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701E6656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3B1FD8">
        <w:rPr>
          <w:rFonts w:eastAsia="Times New Roman" w:cs="Arial"/>
          <w:sz w:val="20"/>
          <w:szCs w:val="20"/>
          <w:lang w:eastAsia="ar-SA"/>
        </w:rPr>
        <w:t>2</w:t>
      </w:r>
      <w:r w:rsidR="003E5A1A">
        <w:rPr>
          <w:rFonts w:eastAsia="Times New Roman" w:cs="Arial"/>
          <w:sz w:val="20"/>
          <w:szCs w:val="20"/>
          <w:lang w:eastAsia="ar-SA"/>
        </w:rPr>
        <w:t>3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764799" w:rsidRPr="00A92AC7">
        <w:rPr>
          <w:rFonts w:eastAsia="Times New Roman" w:cs="Arial"/>
          <w:sz w:val="20"/>
          <w:szCs w:val="20"/>
          <w:lang w:eastAsia="ar-SA"/>
        </w:rPr>
        <w:t>8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60FAE7E3" w14:textId="03099253" w:rsidR="003B1FD8" w:rsidRPr="003B1FD8" w:rsidRDefault="00322EC2" w:rsidP="00322EC2">
      <w:pPr>
        <w:spacing w:line="360" w:lineRule="auto"/>
        <w:rPr>
          <w:rFonts w:cstheme="minorHAnsi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 xml:space="preserve">nr: </w:t>
      </w:r>
      <w:r w:rsidR="00261CB1" w:rsidRPr="003B1FD8">
        <w:rPr>
          <w:rFonts w:cstheme="minorHAnsi"/>
          <w:b/>
          <w:sz w:val="20"/>
          <w:szCs w:val="20"/>
        </w:rPr>
        <w:t>UKW/DZP-281-</w:t>
      </w:r>
      <w:r w:rsidR="003B1FD8" w:rsidRPr="003B1FD8">
        <w:rPr>
          <w:rFonts w:cstheme="minorHAnsi"/>
          <w:b/>
          <w:sz w:val="20"/>
          <w:szCs w:val="20"/>
        </w:rPr>
        <w:t>D</w:t>
      </w:r>
      <w:r w:rsidR="0012622C" w:rsidRPr="003B1FD8">
        <w:rPr>
          <w:rFonts w:cstheme="minorHAnsi"/>
          <w:b/>
          <w:sz w:val="20"/>
          <w:szCs w:val="20"/>
        </w:rPr>
        <w:t>-</w:t>
      </w:r>
      <w:r w:rsidR="003B1FD8" w:rsidRPr="003B1FD8">
        <w:rPr>
          <w:rFonts w:cstheme="minorHAnsi"/>
          <w:b/>
          <w:sz w:val="20"/>
          <w:szCs w:val="20"/>
        </w:rPr>
        <w:t>28</w:t>
      </w:r>
      <w:r w:rsidR="00E975BE" w:rsidRPr="003B1FD8">
        <w:rPr>
          <w:rFonts w:cstheme="minorHAnsi"/>
          <w:b/>
          <w:sz w:val="20"/>
          <w:szCs w:val="20"/>
        </w:rPr>
        <w:t>/202</w:t>
      </w:r>
      <w:r w:rsidR="00B1504A" w:rsidRPr="003B1FD8">
        <w:rPr>
          <w:rFonts w:cstheme="minorHAnsi"/>
          <w:b/>
          <w:sz w:val="20"/>
          <w:szCs w:val="20"/>
        </w:rPr>
        <w:t>4</w:t>
      </w:r>
      <w:r w:rsidR="003B1FD8" w:rsidRPr="003B1FD8">
        <w:rPr>
          <w:rFonts w:cstheme="minorHAnsi"/>
          <w:b/>
          <w:sz w:val="20"/>
          <w:szCs w:val="20"/>
        </w:rPr>
        <w:t xml:space="preserve"> pod nazwą: DOSTAWA SPRZĘTU KOMPUTEROWEGO</w:t>
      </w:r>
    </w:p>
    <w:p w14:paraId="756D7367" w14:textId="1C64CA3C" w:rsidR="00D62FFC" w:rsidRDefault="00D62FFC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Odpowiedzi na pytania </w:t>
      </w:r>
    </w:p>
    <w:p w14:paraId="61AF342A" w14:textId="1313AB5B" w:rsidR="003E5A1A" w:rsidRDefault="003E5A1A" w:rsidP="003E5A1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6E2049">
        <w:rPr>
          <w:rFonts w:cstheme="minorHAnsi"/>
          <w:sz w:val="20"/>
          <w:szCs w:val="20"/>
        </w:rPr>
        <w:t xml:space="preserve">Działając na podstawie art. </w:t>
      </w:r>
      <w:r>
        <w:rPr>
          <w:rFonts w:cstheme="minorHAnsi"/>
          <w:sz w:val="20"/>
          <w:szCs w:val="20"/>
        </w:rPr>
        <w:t>135</w:t>
      </w:r>
      <w:r w:rsidRPr="006E2049">
        <w:rPr>
          <w:rFonts w:cstheme="minorHAnsi"/>
          <w:sz w:val="20"/>
          <w:szCs w:val="20"/>
        </w:rPr>
        <w:t xml:space="preserve"> ustawy Prawo zamówień publicznych (Dz. U. z 2023 r. poz. 1605 ) Zamawiający</w:t>
      </w:r>
      <w:r>
        <w:rPr>
          <w:rFonts w:cstheme="minorHAnsi"/>
          <w:sz w:val="20"/>
          <w:szCs w:val="20"/>
        </w:rPr>
        <w:t xml:space="preserve"> odpowiada na pytania wykonawców:</w:t>
      </w:r>
    </w:p>
    <w:p w14:paraId="77794995" w14:textId="13544E94" w:rsidR="00D62FFC" w:rsidRPr="00D62FFC" w:rsidRDefault="003E5A1A" w:rsidP="00D62FFC">
      <w:pPr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1.</w:t>
      </w:r>
      <w:r w:rsidR="00D62FFC" w:rsidRPr="00D62FFC">
        <w:rPr>
          <w:rFonts w:cstheme="minorHAnsi"/>
          <w:sz w:val="20"/>
          <w:szCs w:val="20"/>
          <w:shd w:val="clear" w:color="auto" w:fill="FFFFFF"/>
        </w:rPr>
        <w:t>Zamawiający w komputerach w </w:t>
      </w:r>
      <w:r w:rsidR="00D62FFC" w:rsidRPr="00D62FFC">
        <w:rPr>
          <w:rStyle w:val="object"/>
          <w:rFonts w:cstheme="minorHAnsi"/>
          <w:sz w:val="20"/>
          <w:szCs w:val="20"/>
          <w:shd w:val="clear" w:color="auto" w:fill="FFFFFF"/>
        </w:rPr>
        <w:t>cz</w:t>
      </w:r>
      <w:r w:rsidR="00D62FFC" w:rsidRPr="00D62FFC">
        <w:rPr>
          <w:rFonts w:cstheme="minorHAnsi"/>
          <w:sz w:val="20"/>
          <w:szCs w:val="20"/>
          <w:shd w:val="clear" w:color="auto" w:fill="FFFFFF"/>
        </w:rPr>
        <w:t xml:space="preserve">ęści 3 wymaga co najmniej jednego portu USB w standardzie VR </w:t>
      </w:r>
      <w:proofErr w:type="spellStart"/>
      <w:r w:rsidR="00D62FFC" w:rsidRPr="00D62FFC">
        <w:rPr>
          <w:rFonts w:cstheme="minorHAnsi"/>
          <w:sz w:val="20"/>
          <w:szCs w:val="20"/>
          <w:shd w:val="clear" w:color="auto" w:fill="FFFFFF"/>
        </w:rPr>
        <w:t>Ready</w:t>
      </w:r>
      <w:proofErr w:type="spellEnd"/>
      <w:r w:rsidR="00D62FFC" w:rsidRPr="00D62FFC">
        <w:rPr>
          <w:rFonts w:cstheme="minorHAnsi"/>
          <w:sz w:val="20"/>
          <w:szCs w:val="20"/>
          <w:shd w:val="clear" w:color="auto" w:fill="FFFFFF"/>
        </w:rPr>
        <w:t xml:space="preserve">. Chcielibyśmy zauważyć, że w ostatnich latach producenci płyt głównych już nie oznaczają portów USB jako VR </w:t>
      </w:r>
      <w:proofErr w:type="spellStart"/>
      <w:r w:rsidR="00D62FFC" w:rsidRPr="00D62FFC">
        <w:rPr>
          <w:rFonts w:cstheme="minorHAnsi"/>
          <w:sz w:val="20"/>
          <w:szCs w:val="20"/>
          <w:shd w:val="clear" w:color="auto" w:fill="FFFFFF"/>
        </w:rPr>
        <w:t>Ready</w:t>
      </w:r>
      <w:proofErr w:type="spellEnd"/>
      <w:r w:rsidR="00D62FFC" w:rsidRPr="00D62FFC">
        <w:rPr>
          <w:rFonts w:cstheme="minorHAnsi"/>
          <w:sz w:val="20"/>
          <w:szCs w:val="20"/>
          <w:shd w:val="clear" w:color="auto" w:fill="FFFFFF"/>
        </w:rPr>
        <w:t xml:space="preserve">. Początkowo, kiedy technologia VR była nowością, takie oznaczenie było bardziej marketingowym hasłem, które miało podkreślić gotowość sprzętu do obsługi VR. Dziś, z bardziej zaawansowanymi specyfikacjami portów USB, takie oznaczenie stało się zbędne. Brak takowego oznaczenia nie oznacza, że sprzęt jest mniej wydajny lub niekompatybilny z VR - rozwój standardów i technologii sprawił, że większość nowoczesnych portów USB jest automatycznie gotowa do obsługi VR bez potrzeby specjalnych oznaczeń. W związku z tym zwracamy się z prośbą o dopuszczenie komputerów bez portów USB oznaczonych jako VR </w:t>
      </w:r>
      <w:proofErr w:type="spellStart"/>
      <w:r w:rsidR="00D62FFC" w:rsidRPr="00D62FFC">
        <w:rPr>
          <w:rFonts w:cstheme="minorHAnsi"/>
          <w:sz w:val="20"/>
          <w:szCs w:val="20"/>
          <w:shd w:val="clear" w:color="auto" w:fill="FFFFFF"/>
        </w:rPr>
        <w:t>Ready</w:t>
      </w:r>
      <w:proofErr w:type="spellEnd"/>
      <w:r w:rsidR="00D62FFC" w:rsidRPr="00D62FFC">
        <w:rPr>
          <w:rFonts w:cstheme="minorHAnsi"/>
          <w:sz w:val="20"/>
          <w:szCs w:val="20"/>
          <w:shd w:val="clear" w:color="auto" w:fill="FFFFFF"/>
        </w:rPr>
        <w:t>, co zwiększy konkurencyjność i pozwoli na zaoferowanie wydajnego, nowoczesnego sprzętu.</w:t>
      </w:r>
    </w:p>
    <w:p w14:paraId="2FDA3918" w14:textId="44CC056E" w:rsidR="003E5A1A" w:rsidRPr="003E5A1A" w:rsidRDefault="003E5A1A" w:rsidP="003E5A1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3E5A1A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Zapis otrzymuje brzmienie: </w:t>
      </w:r>
      <w:r w:rsidRPr="003E5A1A">
        <w:rPr>
          <w:rFonts w:cstheme="minorHAnsi"/>
          <w:b/>
          <w:bCs/>
          <w:sz w:val="20"/>
          <w:szCs w:val="20"/>
          <w:shd w:val="clear" w:color="auto" w:fill="FFFFFF"/>
        </w:rPr>
        <w:t>P</w:t>
      </w:r>
      <w:r w:rsidRPr="003E5A1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ort w standardzie VR </w:t>
      </w:r>
      <w:proofErr w:type="spellStart"/>
      <w:r w:rsidRPr="003E5A1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Ready</w:t>
      </w:r>
      <w:proofErr w:type="spellEnd"/>
      <w:r w:rsidRPr="003E5A1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, USB 3.1 bądź 3.2 (jednego z trzech)</w:t>
      </w: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12C8222D" w14:textId="4014A106" w:rsidR="00D62FFC" w:rsidRDefault="003E5A1A" w:rsidP="00D62FFC">
      <w:pPr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2.</w:t>
      </w:r>
      <w:r w:rsidR="00D62FFC" w:rsidRPr="00D62FFC">
        <w:rPr>
          <w:rFonts w:cstheme="minorHAnsi"/>
          <w:sz w:val="20"/>
          <w:szCs w:val="20"/>
          <w:shd w:val="clear" w:color="auto" w:fill="FFFFFF"/>
        </w:rPr>
        <w:t>Zamawiający w </w:t>
      </w:r>
      <w:r w:rsidR="00D62FFC" w:rsidRPr="00D62FFC">
        <w:rPr>
          <w:rStyle w:val="object"/>
          <w:rFonts w:cstheme="minorHAnsi"/>
          <w:sz w:val="20"/>
          <w:szCs w:val="20"/>
        </w:rPr>
        <w:t>cz</w:t>
      </w:r>
      <w:r w:rsidR="00D62FFC" w:rsidRPr="00D62FFC">
        <w:rPr>
          <w:rFonts w:cstheme="minorHAnsi"/>
          <w:sz w:val="20"/>
          <w:szCs w:val="20"/>
          <w:shd w:val="clear" w:color="auto" w:fill="FFFFFF"/>
        </w:rPr>
        <w:t>ęści 3 wymaga komputerów posiadających złącze "Wyjście słuchawkowe/wejście mikrofonowe - 1 szt.". Większość obudów dostępnych na rynku posiada 2 oddzielne złącza audio dla mikrofonu i słuchawek, zatem zwracamy się z prośbą o dopuszczenie takiego rozwiązania</w:t>
      </w:r>
      <w:r w:rsidR="0097131D">
        <w:rPr>
          <w:rFonts w:cstheme="minorHAnsi"/>
          <w:sz w:val="20"/>
          <w:szCs w:val="20"/>
          <w:shd w:val="clear" w:color="auto" w:fill="FFFFFF"/>
        </w:rPr>
        <w:t>.</w:t>
      </w:r>
    </w:p>
    <w:p w14:paraId="1BA4E8AC" w14:textId="6830A6E6" w:rsidR="0097131D" w:rsidRPr="0097131D" w:rsidRDefault="0097131D" w:rsidP="00D62FFC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 w:rsidR="003E5A1A">
        <w:rPr>
          <w:rFonts w:cstheme="minorHAnsi"/>
          <w:b/>
          <w:bCs/>
          <w:sz w:val="20"/>
          <w:szCs w:val="20"/>
          <w:shd w:val="clear" w:color="auto" w:fill="FFFFFF"/>
        </w:rPr>
        <w:t>Zamawiający dopuszcza takie rozwiązanie.</w:t>
      </w:r>
    </w:p>
    <w:p w14:paraId="03AC2FF9" w14:textId="247BF067" w:rsidR="00D62FFC" w:rsidRDefault="003E5A1A" w:rsidP="00D62FFC">
      <w:pPr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3.</w:t>
      </w:r>
      <w:r w:rsidR="00D62FFC" w:rsidRPr="00D62FFC">
        <w:rPr>
          <w:rFonts w:cstheme="minorHAnsi"/>
          <w:sz w:val="20"/>
          <w:szCs w:val="20"/>
          <w:shd w:val="clear" w:color="auto" w:fill="FFFFFF"/>
        </w:rPr>
        <w:t> Zamawiający w SWZ wskazał kryteria cena 60% i termin dostawy 40% dla części 1-3, jednak niżej wskazał zasady przyznawania punktów w kryterium termin dostawy tylko dla części 1-2. Prosimy o doprecyzowanie zasad przyznawania punktów za w/w kryterium dla części 3. Czy miały być one takie same jak dla pozostałych 2 części?</w:t>
      </w:r>
    </w:p>
    <w:p w14:paraId="5D7F81D1" w14:textId="154D0EA9" w:rsidR="0097131D" w:rsidRPr="0097131D" w:rsidRDefault="0097131D" w:rsidP="00D62FFC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Odpowiedź: Tak, kryteria </w:t>
      </w:r>
      <w:r w:rsidR="003E5A1A">
        <w:rPr>
          <w:rFonts w:cstheme="minorHAnsi"/>
          <w:b/>
          <w:bCs/>
          <w:sz w:val="20"/>
          <w:szCs w:val="20"/>
          <w:shd w:val="clear" w:color="auto" w:fill="FFFFFF"/>
        </w:rPr>
        <w:t>są</w:t>
      </w: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 takie same.</w:t>
      </w:r>
    </w:p>
    <w:p w14:paraId="2D57E416" w14:textId="0308CCF9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4400F464" w:rsidR="00A92AC7" w:rsidRPr="006E2049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6E2049">
        <w:rPr>
          <w:rFonts w:cstheme="minorHAnsi"/>
          <w:sz w:val="20"/>
          <w:szCs w:val="20"/>
        </w:rPr>
        <w:t xml:space="preserve">Działając na podstawie art. 286 ust. 3 ustawy Prawo zamówień publicznych (Dz. U. z 2023 r. poz. 1605 ) Zamawiający dokonuje modyfikacji treści SWZ w zakresie </w:t>
      </w:r>
      <w:r w:rsidR="00D62FFC" w:rsidRPr="006E2049">
        <w:rPr>
          <w:rFonts w:cstheme="minorHAnsi"/>
          <w:sz w:val="20"/>
          <w:szCs w:val="20"/>
        </w:rPr>
        <w:t>:</w:t>
      </w:r>
    </w:p>
    <w:p w14:paraId="3E973DC6" w14:textId="4AAEF635" w:rsidR="00A92AC7" w:rsidRPr="006E2049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E2049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0E54D091" w14:textId="42F054A0" w:rsidR="003B1FD8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E2049">
        <w:rPr>
          <w:rFonts w:cstheme="minorHAnsi"/>
          <w:sz w:val="20"/>
          <w:szCs w:val="20"/>
          <w:lang w:eastAsia="pl-PL"/>
        </w:rPr>
        <w:t>1.Do opisu przedmiotu zamówienia d</w:t>
      </w:r>
      <w:r w:rsidR="003B1FD8" w:rsidRPr="006E2049">
        <w:rPr>
          <w:rFonts w:cstheme="minorHAnsi"/>
          <w:sz w:val="20"/>
          <w:szCs w:val="20"/>
          <w:lang w:eastAsia="pl-PL"/>
        </w:rPr>
        <w:t xml:space="preserve">odaje się zapis </w:t>
      </w:r>
      <w:r w:rsidRPr="006E2049">
        <w:rPr>
          <w:rFonts w:cstheme="minorHAnsi"/>
          <w:sz w:val="20"/>
          <w:szCs w:val="20"/>
          <w:lang w:eastAsia="pl-PL"/>
        </w:rPr>
        <w:t xml:space="preserve">: </w:t>
      </w:r>
      <w:r w:rsidR="003B1FD8" w:rsidRPr="006E2049">
        <w:rPr>
          <w:rFonts w:cstheme="minorHAnsi"/>
          <w:sz w:val="20"/>
          <w:szCs w:val="20"/>
          <w:lang w:eastAsia="pl-PL"/>
        </w:rPr>
        <w:t>„</w:t>
      </w:r>
      <w:r w:rsidRPr="006E2049">
        <w:rPr>
          <w:rFonts w:cstheme="minorHAnsi"/>
          <w:sz w:val="20"/>
          <w:szCs w:val="20"/>
          <w:lang w:eastAsia="pl-PL"/>
        </w:rPr>
        <w:t xml:space="preserve">Sprzęt musi być </w:t>
      </w:r>
      <w:r w:rsidR="003B1FD8" w:rsidRPr="006E2049">
        <w:rPr>
          <w:rFonts w:cstheme="minorHAnsi"/>
          <w:sz w:val="20"/>
          <w:szCs w:val="20"/>
          <w:lang w:eastAsia="pl-PL"/>
        </w:rPr>
        <w:t>fabrycznie nowy”</w:t>
      </w:r>
      <w:r w:rsidRPr="006E2049">
        <w:rPr>
          <w:rFonts w:cstheme="minorHAnsi"/>
          <w:sz w:val="20"/>
          <w:szCs w:val="20"/>
          <w:lang w:eastAsia="pl-PL"/>
        </w:rPr>
        <w:t>.</w:t>
      </w:r>
    </w:p>
    <w:p w14:paraId="53C43927" w14:textId="17751216" w:rsidR="003B1FD8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E2049">
        <w:rPr>
          <w:rFonts w:cstheme="minorHAnsi"/>
          <w:sz w:val="20"/>
          <w:szCs w:val="20"/>
          <w:lang w:eastAsia="pl-PL"/>
        </w:rPr>
        <w:t>2.</w:t>
      </w:r>
      <w:r w:rsidR="003B1FD8" w:rsidRPr="006E2049">
        <w:rPr>
          <w:rFonts w:cstheme="minorHAnsi"/>
          <w:sz w:val="20"/>
          <w:szCs w:val="20"/>
          <w:lang w:eastAsia="pl-PL"/>
        </w:rPr>
        <w:t xml:space="preserve">W formularzu cenowym </w:t>
      </w:r>
      <w:r w:rsidRPr="006E2049">
        <w:rPr>
          <w:rFonts w:cstheme="minorHAnsi"/>
          <w:sz w:val="20"/>
          <w:szCs w:val="20"/>
          <w:lang w:eastAsia="pl-PL"/>
        </w:rPr>
        <w:t xml:space="preserve">dla części 1 </w:t>
      </w:r>
      <w:r w:rsidR="003B1FD8" w:rsidRPr="006E2049">
        <w:rPr>
          <w:rFonts w:cstheme="minorHAnsi"/>
          <w:sz w:val="20"/>
          <w:szCs w:val="20"/>
          <w:lang w:eastAsia="pl-PL"/>
        </w:rPr>
        <w:t xml:space="preserve">wykreśla się </w:t>
      </w:r>
      <w:r w:rsidRPr="006E2049">
        <w:rPr>
          <w:rFonts w:cstheme="minorHAnsi"/>
          <w:sz w:val="20"/>
          <w:szCs w:val="20"/>
          <w:lang w:eastAsia="pl-PL"/>
        </w:rPr>
        <w:t>wiersz P</w:t>
      </w:r>
      <w:r w:rsidR="003B1FD8" w:rsidRPr="006E2049">
        <w:rPr>
          <w:rFonts w:cstheme="minorHAnsi"/>
          <w:sz w:val="20"/>
          <w:szCs w:val="20"/>
          <w:lang w:eastAsia="pl-PL"/>
        </w:rPr>
        <w:t>rzykładowy model</w:t>
      </w:r>
      <w:r w:rsidRPr="006E2049">
        <w:rPr>
          <w:rFonts w:cstheme="minorHAnsi"/>
          <w:sz w:val="20"/>
          <w:szCs w:val="20"/>
          <w:lang w:eastAsia="pl-PL"/>
        </w:rPr>
        <w:t xml:space="preserve">. </w:t>
      </w:r>
    </w:p>
    <w:p w14:paraId="719234C8" w14:textId="0500F313" w:rsidR="003B1FD8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E2049">
        <w:rPr>
          <w:rFonts w:cstheme="minorHAnsi"/>
          <w:sz w:val="20"/>
          <w:szCs w:val="20"/>
          <w:lang w:eastAsia="pl-PL"/>
        </w:rPr>
        <w:t>3.</w:t>
      </w:r>
      <w:r w:rsidR="003B1FD8" w:rsidRPr="006E2049">
        <w:rPr>
          <w:rFonts w:cstheme="minorHAnsi"/>
          <w:sz w:val="20"/>
          <w:szCs w:val="20"/>
          <w:lang w:eastAsia="pl-PL"/>
        </w:rPr>
        <w:t xml:space="preserve">W formularzu cenowym </w:t>
      </w:r>
      <w:r w:rsidRPr="006E2049">
        <w:rPr>
          <w:rFonts w:cstheme="minorHAnsi"/>
          <w:sz w:val="20"/>
          <w:szCs w:val="20"/>
          <w:lang w:eastAsia="pl-PL"/>
        </w:rPr>
        <w:t xml:space="preserve">dla części </w:t>
      </w:r>
      <w:r w:rsidRPr="006E2049">
        <w:rPr>
          <w:rFonts w:cstheme="minorHAnsi"/>
          <w:sz w:val="20"/>
          <w:szCs w:val="20"/>
          <w:lang w:eastAsia="pl-PL"/>
        </w:rPr>
        <w:t xml:space="preserve">2 </w:t>
      </w:r>
      <w:r w:rsidR="003B1FD8" w:rsidRPr="006E2049">
        <w:rPr>
          <w:rFonts w:cstheme="minorHAnsi"/>
          <w:sz w:val="20"/>
          <w:szCs w:val="20"/>
          <w:lang w:eastAsia="pl-PL"/>
        </w:rPr>
        <w:t xml:space="preserve">dwukrotnie znajduje się pozycja mysz , wykreśla się pozycję </w:t>
      </w:r>
      <w:r w:rsidRPr="006E2049">
        <w:rPr>
          <w:rFonts w:cstheme="minorHAnsi"/>
          <w:sz w:val="20"/>
          <w:szCs w:val="20"/>
          <w:lang w:eastAsia="pl-PL"/>
        </w:rPr>
        <w:t xml:space="preserve">w </w:t>
      </w:r>
      <w:r w:rsidR="003E5A1A">
        <w:rPr>
          <w:rFonts w:cstheme="minorHAnsi"/>
          <w:sz w:val="20"/>
          <w:szCs w:val="20"/>
          <w:lang w:eastAsia="pl-PL"/>
        </w:rPr>
        <w:t xml:space="preserve">wierszu </w:t>
      </w:r>
      <w:r w:rsidRPr="006E2049">
        <w:rPr>
          <w:rFonts w:cstheme="minorHAnsi"/>
          <w:sz w:val="20"/>
          <w:szCs w:val="20"/>
          <w:lang w:eastAsia="pl-PL"/>
        </w:rPr>
        <w:t>dołączon</w:t>
      </w:r>
      <w:r w:rsidR="003E5A1A">
        <w:rPr>
          <w:rFonts w:cstheme="minorHAnsi"/>
          <w:sz w:val="20"/>
          <w:szCs w:val="20"/>
          <w:lang w:eastAsia="pl-PL"/>
        </w:rPr>
        <w:t>e</w:t>
      </w:r>
      <w:r w:rsidRPr="006E2049">
        <w:rPr>
          <w:rFonts w:cstheme="minorHAnsi"/>
          <w:sz w:val="20"/>
          <w:szCs w:val="20"/>
          <w:lang w:eastAsia="pl-PL"/>
        </w:rPr>
        <w:t xml:space="preserve"> akcesoria. </w:t>
      </w:r>
    </w:p>
    <w:p w14:paraId="622F3F52" w14:textId="7510908D" w:rsidR="003B1FD8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E2049">
        <w:rPr>
          <w:rFonts w:cstheme="minorHAnsi"/>
          <w:sz w:val="20"/>
          <w:szCs w:val="20"/>
          <w:lang w:eastAsia="pl-PL"/>
        </w:rPr>
        <w:t>Wykonawca zobowiązany jest  uwzględnić wprowadzone zmiany w ofercie.</w:t>
      </w:r>
    </w:p>
    <w:p w14:paraId="6951FC3F" w14:textId="62F33E55" w:rsidR="00A326FB" w:rsidRPr="006E2049" w:rsidRDefault="0097131D" w:rsidP="0046259C">
      <w:pPr>
        <w:pStyle w:val="pkt"/>
        <w:spacing w:beforeLines="60" w:before="144" w:afterLines="60" w:after="144" w:line="276" w:lineRule="auto"/>
        <w:ind w:left="0" w:firstLine="0"/>
        <w:contextualSpacing/>
        <w:rPr>
          <w:rFonts w:asciiTheme="minorHAnsi" w:hAnsiTheme="minorHAnsi" w:cstheme="minorHAnsi"/>
        </w:rPr>
      </w:pPr>
      <w:r w:rsidRPr="006E2049">
        <w:rPr>
          <w:rFonts w:asciiTheme="minorHAnsi" w:hAnsiTheme="minorHAnsi" w:cstheme="minorHAnsi"/>
          <w:szCs w:val="20"/>
          <w:lang w:eastAsia="pl-PL"/>
        </w:rPr>
        <w:lastRenderedPageBreak/>
        <w:t xml:space="preserve">Do opisu </w:t>
      </w:r>
      <w:r w:rsidR="006E2049" w:rsidRPr="006E2049">
        <w:rPr>
          <w:rFonts w:asciiTheme="minorHAnsi" w:hAnsiTheme="minorHAnsi" w:cstheme="minorHAnsi"/>
          <w:szCs w:val="20"/>
          <w:lang w:eastAsia="pl-PL"/>
        </w:rPr>
        <w:t>sposobu obliczenia ceny oferty</w:t>
      </w:r>
      <w:r w:rsidRPr="006E2049">
        <w:rPr>
          <w:rFonts w:asciiTheme="minorHAnsi" w:hAnsiTheme="minorHAnsi" w:cstheme="minorHAnsi"/>
          <w:szCs w:val="20"/>
          <w:lang w:eastAsia="pl-PL"/>
        </w:rPr>
        <w:t xml:space="preserve"> dodaje się zapis :</w:t>
      </w:r>
      <w:r w:rsidR="00A326FB" w:rsidRPr="006E2049">
        <w:rPr>
          <w:rFonts w:asciiTheme="minorHAnsi" w:hAnsiTheme="minorHAnsi" w:cstheme="minorHAnsi"/>
        </w:rPr>
        <w:t xml:space="preserve"> </w:t>
      </w:r>
      <w:r w:rsidR="006E2049" w:rsidRPr="006E2049">
        <w:rPr>
          <w:rFonts w:asciiTheme="minorHAnsi" w:hAnsiTheme="minorHAnsi" w:cstheme="minorHAnsi"/>
        </w:rPr>
        <w:t>„</w:t>
      </w:r>
      <w:r w:rsidR="00A326FB" w:rsidRPr="006E2049">
        <w:rPr>
          <w:rFonts w:asciiTheme="minorHAnsi" w:hAnsiTheme="minorHAnsi" w:cstheme="minorHAnsi"/>
        </w:rPr>
        <w:t xml:space="preserve">Wykonawca podaje cenę ofertową brutto na Formularzu Ofertowym, stanowiącym </w:t>
      </w:r>
      <w:r w:rsidR="00A326FB" w:rsidRPr="006E2049">
        <w:rPr>
          <w:rFonts w:asciiTheme="minorHAnsi" w:hAnsiTheme="minorHAnsi" w:cstheme="minorHAnsi"/>
          <w:b/>
        </w:rPr>
        <w:t>Załącznik nr 1 do SWZ</w:t>
      </w:r>
      <w:r w:rsidR="00A326FB" w:rsidRPr="006E2049">
        <w:rPr>
          <w:rFonts w:asciiTheme="minorHAnsi" w:hAnsiTheme="minorHAnsi" w:cstheme="minorHAnsi"/>
        </w:rPr>
        <w:t>.</w:t>
      </w:r>
    </w:p>
    <w:p w14:paraId="0946E9FC" w14:textId="426AD7CA" w:rsidR="00A326FB" w:rsidRPr="006E2049" w:rsidRDefault="00A326FB" w:rsidP="0046259C">
      <w:pPr>
        <w:pStyle w:val="pkt"/>
        <w:spacing w:beforeLines="60" w:before="144" w:afterLines="60" w:after="144" w:line="276" w:lineRule="auto"/>
        <w:ind w:left="0" w:firstLine="0"/>
        <w:contextualSpacing/>
        <w:rPr>
          <w:rFonts w:asciiTheme="minorHAnsi" w:hAnsiTheme="minorHAnsi" w:cstheme="minorHAnsi"/>
        </w:rPr>
      </w:pPr>
      <w:r w:rsidRPr="006E2049">
        <w:rPr>
          <w:rFonts w:asciiTheme="minorHAnsi" w:hAnsiTheme="minorHAnsi" w:cstheme="minorHAnsi"/>
        </w:rPr>
        <w:tab/>
        <w:t xml:space="preserve">Cena oferty musi zawierać należny podatek Vat zgodnie z obowiązującą ustawą z dnia 11 marca 2004 r. o podatku od towarów i usług (Dz.U. z 2023 r. poz. 1570 ze zm.), z zastrzeżeniem pkt.7 niniejszego rozdziału. W przedmiotowym postępowaniu będą miały zastosowanie zapisy art. 83 ust. 1 pkt 26 ustawy o podatku VAT dotyczące dostaw sprzętu komputerowego do placówek oświatowych. Zastosowanie stawki podatku 0% przy zakupie przez UKW sprzętu komputerowego </w:t>
      </w:r>
      <w:r w:rsidRPr="006E2049">
        <w:rPr>
          <w:rFonts w:asciiTheme="minorHAnsi" w:hAnsiTheme="minorHAnsi" w:cstheme="minorHAnsi"/>
          <w:u w:val="single"/>
        </w:rPr>
        <w:t>będzie możliwe dopiero pod warunkiem otrzymania</w:t>
      </w:r>
      <w:r w:rsidR="006E2049" w:rsidRPr="006E2049">
        <w:rPr>
          <w:rFonts w:asciiTheme="minorHAnsi" w:hAnsiTheme="minorHAnsi" w:cstheme="minorHAnsi"/>
          <w:u w:val="single"/>
        </w:rPr>
        <w:t xml:space="preserve"> przez UKW</w:t>
      </w:r>
      <w:r w:rsidRPr="006E2049">
        <w:rPr>
          <w:rFonts w:asciiTheme="minorHAnsi" w:hAnsiTheme="minorHAnsi" w:cstheme="minorHAnsi"/>
          <w:u w:val="single"/>
        </w:rPr>
        <w:t xml:space="preserve"> z Ministerstwa Nauki i Szkolnictwa Wyższego z</w:t>
      </w:r>
      <w:r w:rsidRPr="006E2049">
        <w:rPr>
          <w:rFonts w:asciiTheme="minorHAnsi" w:hAnsiTheme="minorHAnsi" w:cstheme="minorHAnsi"/>
        </w:rPr>
        <w:t>aświadczenia uprawniającego do zastosowania takiej stawki podatkowej.</w:t>
      </w:r>
      <w:r w:rsidR="006E2049" w:rsidRPr="006E2049">
        <w:rPr>
          <w:rFonts w:asciiTheme="minorHAnsi" w:hAnsiTheme="minorHAnsi" w:cstheme="minorHAnsi"/>
        </w:rPr>
        <w:t>”</w:t>
      </w:r>
    </w:p>
    <w:p w14:paraId="17866E65" w14:textId="008B2E02" w:rsidR="0097131D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color w:val="FF0000"/>
          <w:sz w:val="20"/>
          <w:szCs w:val="20"/>
          <w:lang w:eastAsia="pl-PL"/>
        </w:rPr>
      </w:pP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532AEE6B" w:rsidR="002B50EB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444D1FE8" w14:textId="77777777" w:rsidR="0046259C" w:rsidRDefault="0046259C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902EEE5" w14:textId="61D505D1" w:rsidR="00261CB1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B1504A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3F1C" w14:textId="77777777" w:rsidR="00F8160F" w:rsidRDefault="00F8160F" w:rsidP="00322EC2">
      <w:pPr>
        <w:spacing w:after="0" w:line="240" w:lineRule="auto"/>
      </w:pPr>
      <w:r>
        <w:separator/>
      </w:r>
    </w:p>
  </w:endnote>
  <w:endnote w:type="continuationSeparator" w:id="0">
    <w:p w14:paraId="7D49FACA" w14:textId="77777777" w:rsidR="00F8160F" w:rsidRDefault="00F8160F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BB5A" w14:textId="77777777" w:rsidR="00F8160F" w:rsidRDefault="00F8160F" w:rsidP="00322EC2">
      <w:pPr>
        <w:spacing w:after="0" w:line="240" w:lineRule="auto"/>
      </w:pPr>
      <w:r>
        <w:separator/>
      </w:r>
    </w:p>
  </w:footnote>
  <w:footnote w:type="continuationSeparator" w:id="0">
    <w:p w14:paraId="3FC4E17B" w14:textId="77777777" w:rsidR="00F8160F" w:rsidRDefault="00F8160F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7777777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58398417" wp14:editId="318D52A1">
          <wp:extent cx="5534025" cy="791845"/>
          <wp:effectExtent l="0" t="0" r="952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855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4729"/>
    <w:rsid w:val="0068286C"/>
    <w:rsid w:val="0069532C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7131D"/>
    <w:rsid w:val="00975B3F"/>
    <w:rsid w:val="009D37FB"/>
    <w:rsid w:val="009D3EE3"/>
    <w:rsid w:val="00A16C5E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6</cp:revision>
  <cp:lastPrinted>2024-08-23T09:02:00Z</cp:lastPrinted>
  <dcterms:created xsi:type="dcterms:W3CDTF">2024-08-22T07:03:00Z</dcterms:created>
  <dcterms:modified xsi:type="dcterms:W3CDTF">2024-08-23T09:02:00Z</dcterms:modified>
</cp:coreProperties>
</file>