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56B1" w14:textId="5EFA8F0A" w:rsidR="00482A08" w:rsidRDefault="00482A08" w:rsidP="00482A08">
      <w:pPr>
        <w:keepNext/>
        <w:keepLines/>
        <w:shd w:val="clear" w:color="auto" w:fill="FFFFFF"/>
        <w:tabs>
          <w:tab w:val="left" w:pos="-180"/>
        </w:tabs>
        <w:spacing w:after="0" w:line="360" w:lineRule="auto"/>
        <w:jc w:val="right"/>
        <w:rPr>
          <w:rFonts w:ascii="Ubuntu" w:hAnsi="Ubuntu"/>
          <w:sz w:val="20"/>
          <w:szCs w:val="20"/>
        </w:rPr>
      </w:pPr>
      <w:r w:rsidRPr="00ED62CF">
        <w:rPr>
          <w:rFonts w:ascii="Ubuntu" w:hAnsi="Ubuntu"/>
          <w:sz w:val="20"/>
          <w:szCs w:val="20"/>
        </w:rPr>
        <w:t>Załącznik 1</w:t>
      </w:r>
      <w:r>
        <w:rPr>
          <w:rFonts w:ascii="Ubuntu" w:hAnsi="Ubuntu"/>
          <w:sz w:val="20"/>
          <w:szCs w:val="20"/>
        </w:rPr>
        <w:t>c</w:t>
      </w:r>
      <w:r w:rsidRPr="00ED62CF">
        <w:rPr>
          <w:rFonts w:ascii="Ubuntu" w:hAnsi="Ubuntu"/>
          <w:sz w:val="20"/>
          <w:szCs w:val="20"/>
        </w:rPr>
        <w:t xml:space="preserve">  do SWZ CZG -RXXI_202</w:t>
      </w:r>
      <w:r w:rsidR="00B65BBE">
        <w:rPr>
          <w:rFonts w:ascii="Ubuntu" w:hAnsi="Ubuntu"/>
          <w:sz w:val="20"/>
          <w:szCs w:val="20"/>
        </w:rPr>
        <w:t>4</w:t>
      </w:r>
    </w:p>
    <w:p w14:paraId="4B57330E" w14:textId="77777777" w:rsidR="00482A08" w:rsidRDefault="00482A08" w:rsidP="00482A08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normaltextrun"/>
          <w:rFonts w:ascii="Ubuntu" w:hAnsi="Ubuntu" w:cs="Segoe UI"/>
          <w:b/>
          <w:bCs/>
          <w:sz w:val="20"/>
          <w:szCs w:val="20"/>
          <w:u w:val="single"/>
        </w:rPr>
      </w:pPr>
    </w:p>
    <w:p w14:paraId="79A81302" w14:textId="37F19E6B" w:rsidR="00416EF8" w:rsidRDefault="00416EF8" w:rsidP="004069D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 w:cs="Segoe UI"/>
          <w:b/>
          <w:bCs/>
          <w:sz w:val="20"/>
          <w:szCs w:val="20"/>
          <w:u w:val="single"/>
        </w:rPr>
      </w:pPr>
      <w:r w:rsidRPr="00416EF8">
        <w:rPr>
          <w:rStyle w:val="normaltextrun"/>
          <w:rFonts w:ascii="Ubuntu" w:hAnsi="Ubuntu" w:cs="Segoe UI"/>
          <w:b/>
          <w:bCs/>
          <w:sz w:val="20"/>
          <w:szCs w:val="20"/>
          <w:u w:val="single"/>
        </w:rPr>
        <w:t>ZADANIE NR 3 – Ubezpieczenie odpowiedzialności prawnej za szkody w środowisku</w:t>
      </w:r>
    </w:p>
    <w:p w14:paraId="41E635E9" w14:textId="77777777" w:rsidR="00BE01BF" w:rsidRDefault="00BE01BF" w:rsidP="004069D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 w:cs="Segoe UI"/>
          <w:b/>
          <w:bCs/>
          <w:sz w:val="20"/>
          <w:szCs w:val="20"/>
          <w:u w:val="single"/>
        </w:rPr>
      </w:pPr>
    </w:p>
    <w:p w14:paraId="4F5E4422" w14:textId="77777777" w:rsidR="00BE01BF" w:rsidRDefault="00BE01BF" w:rsidP="004069D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 w:cs="Segoe UI"/>
          <w:b/>
          <w:bCs/>
          <w:sz w:val="20"/>
          <w:szCs w:val="20"/>
          <w:u w:val="single"/>
        </w:rPr>
      </w:pPr>
    </w:p>
    <w:p w14:paraId="129BE983" w14:textId="77777777" w:rsidR="00BE01BF" w:rsidRPr="00430057" w:rsidRDefault="00BE01BF" w:rsidP="00BE01BF">
      <w:pPr>
        <w:pStyle w:val="Tre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Ubuntu" w:eastAsia="Times New Roman" w:hAnsi="Ubuntu" w:cs="Arial"/>
          <w:iCs/>
          <w:color w:val="auto"/>
          <w:sz w:val="20"/>
          <w:szCs w:val="20"/>
          <w:lang w:eastAsia="en-US"/>
        </w:rPr>
      </w:pPr>
      <w:r w:rsidRPr="00430057">
        <w:rPr>
          <w:rFonts w:ascii="Ubuntu" w:eastAsia="Times New Roman" w:hAnsi="Ubuntu" w:cs="Arial"/>
          <w:iCs/>
          <w:color w:val="auto"/>
          <w:sz w:val="20"/>
          <w:szCs w:val="20"/>
          <w:lang w:eastAsia="en-US"/>
        </w:rPr>
        <w:t xml:space="preserve">Wszystkie warunki są obligatoryjne, za wyjątkiem klauzul opisanych jako klauzule fakultatywne. </w:t>
      </w:r>
    </w:p>
    <w:p w14:paraId="025A01CA" w14:textId="77777777" w:rsidR="00BE01BF" w:rsidRPr="00430057" w:rsidRDefault="00BE01BF" w:rsidP="00BE01BF">
      <w:pPr>
        <w:pStyle w:val="Tre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Ubuntu" w:eastAsia="Times New Roman" w:hAnsi="Ubuntu" w:cs="Arial"/>
          <w:iCs/>
          <w:color w:val="auto"/>
          <w:sz w:val="20"/>
          <w:szCs w:val="20"/>
          <w:lang w:eastAsia="en-US"/>
        </w:rPr>
      </w:pPr>
      <w:r w:rsidRPr="00430057">
        <w:rPr>
          <w:rFonts w:ascii="Ubuntu" w:eastAsia="Times New Roman" w:hAnsi="Ubuntu" w:cs="Arial"/>
          <w:color w:val="auto"/>
          <w:sz w:val="20"/>
          <w:szCs w:val="20"/>
          <w:u w:color="000000"/>
        </w:rPr>
        <w:t>Zapisy i postanowienia szczegółowego opisu przedmiotu zamówienia (OPZ) mają pierwszeństwo przed dokumentem potwierdzającym zawarcie ubezpieczenia, który z kolei ma pierwszeństwo przed ogólnymi warunkami ubezpieczenia (OWU) Wykonawcy, chyba że OWU zawierają postanowienia korzystniejsze.</w:t>
      </w:r>
    </w:p>
    <w:p w14:paraId="52034287" w14:textId="77777777" w:rsidR="00BE01BF" w:rsidRPr="00430057" w:rsidRDefault="00BE01BF" w:rsidP="00BE01BF">
      <w:pPr>
        <w:pStyle w:val="Tre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Ubuntu" w:eastAsia="Times New Roman" w:hAnsi="Ubuntu" w:cs="Arial"/>
          <w:color w:val="auto"/>
          <w:sz w:val="20"/>
          <w:szCs w:val="20"/>
          <w:u w:color="000000"/>
        </w:rPr>
      </w:pPr>
      <w:r w:rsidRPr="00430057">
        <w:rPr>
          <w:rFonts w:ascii="Ubuntu" w:eastAsia="Times New Roman" w:hAnsi="Ubuntu" w:cs="Arial"/>
          <w:iCs/>
          <w:color w:val="auto"/>
          <w:sz w:val="20"/>
          <w:szCs w:val="20"/>
          <w:lang w:eastAsia="en-US"/>
        </w:rPr>
        <w:t>Kwestie nieuregulowane postanowieniami OPZ mogą być określone OWU stosowanymi przez Wykonawcę, o ile nie stoją w sprzeczności z zapisami OPZ.</w:t>
      </w:r>
    </w:p>
    <w:p w14:paraId="4177238F" w14:textId="77777777" w:rsidR="00BE01BF" w:rsidRPr="00416EF8" w:rsidRDefault="00BE01BF" w:rsidP="004069D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  <w:u w:val="single"/>
        </w:rPr>
      </w:pPr>
    </w:p>
    <w:p w14:paraId="30B8EAF9" w14:textId="77777777" w:rsidR="00416EF8" w:rsidRDefault="00416EF8" w:rsidP="004069D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Ubuntu" w:hAnsi="Ubuntu" w:cs="Segoe UI"/>
          <w:sz w:val="20"/>
          <w:szCs w:val="20"/>
        </w:rPr>
      </w:pPr>
    </w:p>
    <w:p w14:paraId="0EA401E9" w14:textId="77777777" w:rsidR="00416EF8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416EF8">
        <w:rPr>
          <w:rStyle w:val="normaltextrun"/>
          <w:rFonts w:ascii="Ubuntu" w:hAnsi="Ubuntu" w:cs="Segoe UI"/>
          <w:b/>
          <w:bCs/>
          <w:sz w:val="20"/>
          <w:szCs w:val="20"/>
        </w:rPr>
        <w:t>Podstawa prawna:</w:t>
      </w:r>
      <w:r w:rsidRPr="00416EF8">
        <w:rPr>
          <w:rStyle w:val="eop"/>
          <w:rFonts w:ascii="Ubuntu" w:hAnsi="Ubuntu" w:cs="Segoe UI"/>
          <w:b/>
          <w:bCs/>
          <w:sz w:val="20"/>
          <w:szCs w:val="20"/>
        </w:rPr>
        <w:t> </w:t>
      </w:r>
    </w:p>
    <w:p w14:paraId="56A7B95E" w14:textId="246F5D45" w:rsidR="00416EF8" w:rsidRPr="009C13D0" w:rsidRDefault="00416EF8" w:rsidP="004069D1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416EF8">
        <w:rPr>
          <w:rStyle w:val="normaltextrun"/>
          <w:rFonts w:ascii="Ubuntu" w:hAnsi="Ubuntu" w:cs="Segoe UI"/>
          <w:sz w:val="20"/>
          <w:szCs w:val="20"/>
        </w:rPr>
        <w:t xml:space="preserve">dnia 13.04.2007 r. o zapobieganiu szkodom w środowisku i ich naprawie (Dz.U. Ustawa </w:t>
      </w:r>
      <w:r w:rsidR="00401120">
        <w:rPr>
          <w:rStyle w:val="normaltextrun"/>
          <w:rFonts w:ascii="Ubuntu" w:hAnsi="Ubuntu" w:cs="Segoe UI"/>
          <w:sz w:val="20"/>
          <w:szCs w:val="20"/>
        </w:rPr>
        <w:br/>
      </w:r>
      <w:r w:rsidRPr="00416EF8">
        <w:rPr>
          <w:rStyle w:val="normaltextrun"/>
          <w:rFonts w:ascii="Ubuntu" w:hAnsi="Ubuntu" w:cs="Segoe UI"/>
          <w:sz w:val="20"/>
          <w:szCs w:val="20"/>
        </w:rPr>
        <w:t>z dnia 21.04.2001 r. prawo ochrony środowiska (Dz.U. z 2001 nr 62 r., poz.672z </w:t>
      </w:r>
      <w:proofErr w:type="spellStart"/>
      <w:r w:rsidRPr="009C13D0">
        <w:rPr>
          <w:rStyle w:val="normaltextrun"/>
        </w:rPr>
        <w:t>późn</w:t>
      </w:r>
      <w:proofErr w:type="spellEnd"/>
      <w:r w:rsidRPr="00416EF8">
        <w:rPr>
          <w:rStyle w:val="normaltextrun"/>
          <w:rFonts w:ascii="Ubuntu" w:hAnsi="Ubuntu" w:cs="Segoe UI"/>
          <w:sz w:val="20"/>
          <w:szCs w:val="20"/>
        </w:rPr>
        <w:t>. zm.)</w:t>
      </w:r>
    </w:p>
    <w:p w14:paraId="17F9838D" w14:textId="77777777" w:rsidR="00416EF8" w:rsidRPr="009C13D0" w:rsidRDefault="00416EF8" w:rsidP="004069D1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416EF8">
        <w:rPr>
          <w:rStyle w:val="normaltextrun"/>
          <w:rFonts w:ascii="Ubuntu" w:hAnsi="Ubuntu" w:cs="Segoe UI"/>
          <w:sz w:val="20"/>
          <w:szCs w:val="20"/>
        </w:rPr>
        <w:t xml:space="preserve">Ustawa z </w:t>
      </w:r>
      <w:proofErr w:type="spellStart"/>
      <w:r w:rsidRPr="00416EF8">
        <w:rPr>
          <w:rStyle w:val="normaltextrun"/>
          <w:rFonts w:ascii="Ubuntu" w:hAnsi="Ubuntu" w:cs="Segoe UI"/>
          <w:sz w:val="20"/>
          <w:szCs w:val="20"/>
        </w:rPr>
        <w:t>z</w:t>
      </w:r>
      <w:proofErr w:type="spellEnd"/>
      <w:r w:rsidRPr="00416EF8">
        <w:rPr>
          <w:rStyle w:val="normaltextrun"/>
          <w:rFonts w:ascii="Ubuntu" w:hAnsi="Ubuntu" w:cs="Segoe UI"/>
          <w:sz w:val="20"/>
          <w:szCs w:val="20"/>
        </w:rPr>
        <w:t xml:space="preserve"> 2007r. nr 75, poz. 493 z </w:t>
      </w:r>
      <w:proofErr w:type="spellStart"/>
      <w:r w:rsidRPr="009C13D0">
        <w:rPr>
          <w:rStyle w:val="normaltextrun"/>
        </w:rPr>
        <w:t>późn</w:t>
      </w:r>
      <w:proofErr w:type="spellEnd"/>
      <w:r w:rsidRPr="00416EF8">
        <w:rPr>
          <w:rStyle w:val="normaltextrun"/>
          <w:rFonts w:ascii="Ubuntu" w:hAnsi="Ubuntu" w:cs="Segoe UI"/>
          <w:sz w:val="20"/>
          <w:szCs w:val="20"/>
        </w:rPr>
        <w:t>. zm.)</w:t>
      </w:r>
      <w:r w:rsidRPr="009C13D0">
        <w:rPr>
          <w:rStyle w:val="normaltextrun"/>
        </w:rPr>
        <w:t> </w:t>
      </w:r>
    </w:p>
    <w:p w14:paraId="67D24924" w14:textId="77777777" w:rsidR="00416EF8" w:rsidRPr="009C13D0" w:rsidRDefault="00416EF8" w:rsidP="004069D1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416EF8">
        <w:rPr>
          <w:rStyle w:val="normaltextrun"/>
          <w:rFonts w:ascii="Ubuntu" w:hAnsi="Ubuntu" w:cs="Segoe UI"/>
          <w:sz w:val="20"/>
          <w:szCs w:val="20"/>
        </w:rPr>
        <w:t>Ustawa z dnia 14 grudnia 2012 r. o odpadach (Dz. U. z 2020 r. poz. 797 ze zm.)</w:t>
      </w:r>
      <w:r w:rsidRPr="009C13D0">
        <w:rPr>
          <w:rStyle w:val="normaltextrun"/>
        </w:rPr>
        <w:t> </w:t>
      </w:r>
    </w:p>
    <w:p w14:paraId="68A319DC" w14:textId="77777777" w:rsidR="009C13D0" w:rsidRDefault="00416EF8" w:rsidP="004069D1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416EF8">
        <w:rPr>
          <w:rStyle w:val="normaltextrun"/>
          <w:rFonts w:ascii="Ubuntu" w:hAnsi="Ubuntu" w:cs="Segoe UI"/>
          <w:sz w:val="20"/>
          <w:szCs w:val="20"/>
        </w:rPr>
        <w:t>Rozporządzenie Ministra Środowiska z dnia 01.09.2016 r. w sprawie kryteriów oceny wystąpienia szkody w środowisku (Dz.U. z 2016 r. nr 1399).</w:t>
      </w:r>
      <w:r w:rsidRPr="009C13D0">
        <w:rPr>
          <w:rStyle w:val="normaltextrun"/>
        </w:rPr>
        <w:t> </w:t>
      </w:r>
    </w:p>
    <w:p w14:paraId="7A3A9AE9" w14:textId="7F6FE96E" w:rsidR="00416EF8" w:rsidRPr="009C13D0" w:rsidRDefault="00416EF8" w:rsidP="004069D1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Ubuntu" w:hAnsi="Ubuntu"/>
          <w:sz w:val="20"/>
          <w:szCs w:val="20"/>
        </w:rPr>
      </w:pPr>
      <w:r w:rsidRPr="009C13D0">
        <w:rPr>
          <w:rStyle w:val="normaltextrun"/>
          <w:rFonts w:ascii="Ubuntu" w:hAnsi="Ubuntu" w:cs="Segoe UI"/>
          <w:sz w:val="20"/>
          <w:szCs w:val="20"/>
        </w:rPr>
        <w:t>Rozporządzenie Ministra Środowiska z dnia 01.09.2016 r. w sprawie rodzajów działań naprawczych oraz warunków i sposobu ich prowadzenia (Dz.U. z 2008 nr 103 poz. 664)</w:t>
      </w:r>
      <w:r w:rsidRPr="009C13D0">
        <w:rPr>
          <w:rStyle w:val="eop"/>
          <w:rFonts w:ascii="Ubuntu" w:hAnsi="Ubuntu" w:cs="Segoe UI"/>
          <w:sz w:val="20"/>
          <w:szCs w:val="20"/>
        </w:rPr>
        <w:t> </w:t>
      </w:r>
    </w:p>
    <w:p w14:paraId="4BFDD7A1" w14:textId="77777777" w:rsidR="00416EF8" w:rsidRDefault="00416EF8" w:rsidP="004069D1">
      <w:pPr>
        <w:pStyle w:val="paragraph"/>
        <w:spacing w:before="0" w:beforeAutospacing="0" w:after="0" w:afterAutospacing="0" w:line="276" w:lineRule="auto"/>
        <w:ind w:left="108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740AA06D" w14:textId="77777777" w:rsidR="00416EF8" w:rsidRPr="00416EF8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Segoe UI" w:hAnsi="Segoe UI" w:cs="Segoe UI"/>
          <w:b/>
          <w:bCs/>
          <w:sz w:val="18"/>
          <w:szCs w:val="18"/>
        </w:rPr>
      </w:pPr>
      <w:r w:rsidRPr="00416EF8">
        <w:rPr>
          <w:rStyle w:val="normaltextrun"/>
          <w:rFonts w:ascii="Ubuntu" w:hAnsi="Ubuntu" w:cs="Segoe UI"/>
          <w:b/>
          <w:bCs/>
          <w:sz w:val="20"/>
          <w:szCs w:val="20"/>
        </w:rPr>
        <w:t>Przedmiot ubezpieczenia:</w:t>
      </w:r>
    </w:p>
    <w:p w14:paraId="400B4646" w14:textId="77CCFE9F" w:rsidR="00416EF8" w:rsidRDefault="00416EF8" w:rsidP="004069D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Style w:val="eop"/>
          <w:rFonts w:ascii="Ubuntu" w:hAnsi="Ubuntu" w:cs="Segoe UI"/>
          <w:sz w:val="20"/>
          <w:szCs w:val="20"/>
        </w:rPr>
      </w:pPr>
      <w:r w:rsidRPr="00416EF8">
        <w:rPr>
          <w:rStyle w:val="normaltextrun"/>
          <w:rFonts w:ascii="Ubuntu" w:hAnsi="Ubuntu" w:cs="Segoe UI"/>
          <w:sz w:val="20"/>
          <w:szCs w:val="20"/>
        </w:rPr>
        <w:t>Mienie należące do Zamawiającego i jego odpowiedzialność prawna z tytułu zanieczyszczenia środowiska naturalnego w związku z prowadzeniem działalności polegającej na zarządzaniu składowiskiem odpadów.</w:t>
      </w:r>
      <w:r w:rsidRPr="00416EF8">
        <w:rPr>
          <w:rStyle w:val="eop"/>
          <w:rFonts w:ascii="Ubuntu" w:hAnsi="Ubuntu" w:cs="Segoe UI"/>
          <w:sz w:val="20"/>
          <w:szCs w:val="20"/>
        </w:rPr>
        <w:t> </w:t>
      </w:r>
    </w:p>
    <w:p w14:paraId="0E510D74" w14:textId="77777777" w:rsidR="00416EF8" w:rsidRDefault="00416EF8" w:rsidP="004069D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729AB9C8" w14:textId="63C499F6" w:rsidR="00D70170" w:rsidRPr="00D70170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Segoe UI" w:hAnsi="Segoe UI" w:cs="Segoe UI"/>
          <w:b/>
          <w:bCs/>
          <w:sz w:val="18"/>
          <w:szCs w:val="18"/>
        </w:rPr>
      </w:pPr>
      <w:r w:rsidRPr="00416EF8">
        <w:rPr>
          <w:rStyle w:val="normaltextrun"/>
          <w:rFonts w:ascii="Ubuntu" w:hAnsi="Ubuntu" w:cs="Segoe UI"/>
          <w:b/>
          <w:bCs/>
          <w:sz w:val="20"/>
          <w:szCs w:val="20"/>
        </w:rPr>
        <w:t>Miejsce ubezpieczenia:</w:t>
      </w:r>
      <w:r w:rsidR="00D70170">
        <w:rPr>
          <w:rStyle w:val="eop"/>
          <w:rFonts w:ascii="Ubuntu" w:hAnsi="Ubuntu" w:cs="Segoe UI"/>
          <w:b/>
          <w:bCs/>
          <w:sz w:val="20"/>
          <w:szCs w:val="20"/>
        </w:rPr>
        <w:t xml:space="preserve"> </w:t>
      </w:r>
      <w:r w:rsidRPr="00D70170">
        <w:rPr>
          <w:rStyle w:val="normaltextrun"/>
          <w:rFonts w:ascii="Ubuntu" w:hAnsi="Ubuntu" w:cs="Segoe UI"/>
          <w:sz w:val="20"/>
          <w:szCs w:val="20"/>
        </w:rPr>
        <w:t xml:space="preserve">Zgodnie z </w:t>
      </w:r>
      <w:r w:rsidR="00482A08">
        <w:rPr>
          <w:rStyle w:val="normaltextrun"/>
          <w:rFonts w:ascii="Ubuntu" w:hAnsi="Ubuntu" w:cs="Segoe UI"/>
          <w:sz w:val="20"/>
          <w:szCs w:val="20"/>
        </w:rPr>
        <w:t xml:space="preserve"> Załącznikiem nr 2 I</w:t>
      </w:r>
      <w:r w:rsidRPr="00D70170">
        <w:rPr>
          <w:rStyle w:val="normaltextrun"/>
          <w:rFonts w:ascii="Ubuntu" w:hAnsi="Ubuntu" w:cs="Segoe UI"/>
          <w:sz w:val="20"/>
          <w:szCs w:val="20"/>
        </w:rPr>
        <w:t>nformacj</w:t>
      </w:r>
      <w:r w:rsidR="00482A08">
        <w:rPr>
          <w:rStyle w:val="normaltextrun"/>
          <w:rFonts w:ascii="Ubuntu" w:hAnsi="Ubuntu" w:cs="Segoe UI"/>
          <w:sz w:val="20"/>
          <w:szCs w:val="20"/>
        </w:rPr>
        <w:t>e</w:t>
      </w:r>
      <w:r w:rsidRPr="00D70170">
        <w:rPr>
          <w:rStyle w:val="normaltextrun"/>
          <w:rFonts w:ascii="Ubuntu" w:hAnsi="Ubuntu" w:cs="Segoe UI"/>
          <w:sz w:val="20"/>
          <w:szCs w:val="20"/>
        </w:rPr>
        <w:t xml:space="preserve"> ogóln</w:t>
      </w:r>
      <w:r w:rsidR="00482A08">
        <w:rPr>
          <w:rStyle w:val="normaltextrun"/>
          <w:rFonts w:ascii="Ubuntu" w:hAnsi="Ubuntu" w:cs="Segoe UI"/>
          <w:sz w:val="20"/>
          <w:szCs w:val="20"/>
        </w:rPr>
        <w:t>e</w:t>
      </w:r>
    </w:p>
    <w:p w14:paraId="175C8617" w14:textId="77777777" w:rsidR="00D70170" w:rsidRDefault="00D70170" w:rsidP="004069D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49C2D71A" w14:textId="77777777" w:rsidR="00D70170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Segoe UI" w:hAnsi="Segoe UI" w:cs="Segoe UI"/>
          <w:b/>
          <w:bCs/>
          <w:sz w:val="18"/>
          <w:szCs w:val="18"/>
        </w:rPr>
      </w:pPr>
      <w:r w:rsidRPr="00D70170">
        <w:rPr>
          <w:rStyle w:val="normaltextrun"/>
          <w:rFonts w:ascii="Ubuntu" w:hAnsi="Ubuntu" w:cs="Segoe UI"/>
          <w:b/>
          <w:bCs/>
          <w:sz w:val="20"/>
          <w:szCs w:val="20"/>
        </w:rPr>
        <w:t>Zakres ubezpieczenia:</w:t>
      </w:r>
    </w:p>
    <w:p w14:paraId="6C58D79A" w14:textId="3540E5E7" w:rsidR="005405E8" w:rsidRDefault="00416EF8" w:rsidP="004069D1">
      <w:pPr>
        <w:pStyle w:val="paragraph"/>
        <w:spacing w:before="0" w:beforeAutospacing="0" w:after="0" w:afterAutospacing="0" w:line="276" w:lineRule="auto"/>
        <w:ind w:left="708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D70170">
        <w:rPr>
          <w:rStyle w:val="normaltextrun"/>
          <w:rFonts w:ascii="Ubuntu" w:hAnsi="Ubuntu" w:cs="Segoe UI"/>
          <w:sz w:val="20"/>
          <w:szCs w:val="20"/>
        </w:rPr>
        <w:t xml:space="preserve">Zakres ubezpieczenia obejmuje odpowiedzialność prawną za szkody w środowisku, w związku z prowadzeniem przez Zamawiającego działalności, wprowadzaniem produktu do obrotu, posiadaniem i użytkowaniem mienia (w tym w związku z posiadaniem, zarządzaniem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D70170">
        <w:rPr>
          <w:rStyle w:val="normaltextrun"/>
          <w:rFonts w:ascii="Ubuntu" w:hAnsi="Ubuntu" w:cs="Segoe UI"/>
          <w:sz w:val="20"/>
          <w:szCs w:val="20"/>
        </w:rPr>
        <w:t xml:space="preserve">i eksploatacją Regionalnego Zakładu Gospodarki Odpadami w Słajsinie, zrekultywowanych składowisk (informacje zgodnie z Załącznikiem nr </w:t>
      </w:r>
      <w:r w:rsidR="005E747F">
        <w:rPr>
          <w:rStyle w:val="normaltextrun"/>
          <w:rFonts w:ascii="Ubuntu" w:hAnsi="Ubuntu" w:cs="Segoe UI"/>
          <w:sz w:val="20"/>
          <w:szCs w:val="20"/>
        </w:rPr>
        <w:t>2</w:t>
      </w:r>
      <w:r w:rsidRPr="00D70170">
        <w:rPr>
          <w:rStyle w:val="normaltextrun"/>
          <w:rFonts w:ascii="Ubuntu" w:hAnsi="Ubuntu" w:cs="Segoe UI"/>
          <w:sz w:val="20"/>
          <w:szCs w:val="20"/>
        </w:rPr>
        <w:t xml:space="preserve"> do SWZ) z oraz Stacji przeładunkowych (Stacja Przeładunkowa Odpadów w Mielenku Drawskim, Stacja Przeładunkowa Odpadów w Mokrawicy gmina Kamień Pomorski, Stacja Przeładunkowa Odpadów w Świnoujściu gmina Świnoujście). Odpowiedzialność ubezpieczyciela obejmuje szkody powstałe w wyniku zdarzeń nagłych i niezamierzonych, powstałych na skutek emisji powolnej a także wyrządzone gatunkom chronionym oraz </w:t>
      </w:r>
      <w:r w:rsidR="00EF0CC1">
        <w:rPr>
          <w:rStyle w:val="normaltextrun"/>
          <w:rFonts w:ascii="Ubuntu" w:hAnsi="Ubuntu" w:cs="Segoe UI"/>
          <w:sz w:val="20"/>
          <w:szCs w:val="20"/>
        </w:rPr>
        <w:t xml:space="preserve"> </w:t>
      </w:r>
      <w:r w:rsidRPr="00D70170">
        <w:rPr>
          <w:rStyle w:val="normaltextrun"/>
          <w:rFonts w:ascii="Ubuntu" w:hAnsi="Ubuntu" w:cs="Segoe UI"/>
          <w:sz w:val="20"/>
          <w:szCs w:val="20"/>
        </w:rPr>
        <w:t>w chronionych środowiskach przyrodniczych.</w:t>
      </w:r>
      <w:r w:rsidRPr="00D70170">
        <w:rPr>
          <w:rStyle w:val="eop"/>
          <w:rFonts w:ascii="Ubuntu" w:hAnsi="Ubuntu" w:cs="Segoe UI"/>
          <w:sz w:val="20"/>
          <w:szCs w:val="20"/>
        </w:rPr>
        <w:t> </w:t>
      </w:r>
    </w:p>
    <w:p w14:paraId="09E254CD" w14:textId="77777777" w:rsidR="005405E8" w:rsidRPr="00244D7E" w:rsidRDefault="00416EF8" w:rsidP="004069D1">
      <w:pPr>
        <w:pStyle w:val="paragraph"/>
        <w:spacing w:before="0" w:beforeAutospacing="0" w:after="0" w:afterAutospacing="0" w:line="276" w:lineRule="auto"/>
        <w:ind w:left="708"/>
        <w:jc w:val="both"/>
        <w:textAlignment w:val="baseline"/>
        <w:rPr>
          <w:rStyle w:val="normaltextrun"/>
          <w:rFonts w:ascii="Ubuntu" w:hAnsi="Ubuntu" w:cs="Segoe UI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W zakres ochrony ubezpieczeniowej włączone są w szczególności następujące koszty działania związane z wystąpieniem lub zagrożeniem wystąpienia szkody</w:t>
      </w:r>
      <w:r w:rsidR="005405E8" w:rsidRPr="00244D7E">
        <w:rPr>
          <w:rStyle w:val="normaltextrun"/>
          <w:rFonts w:ascii="Ubuntu" w:hAnsi="Ubuntu" w:cs="Segoe UI"/>
          <w:sz w:val="20"/>
          <w:szCs w:val="20"/>
        </w:rPr>
        <w:t xml:space="preserve">: </w:t>
      </w:r>
    </w:p>
    <w:p w14:paraId="6D7A4F4F" w14:textId="16B85F5F" w:rsidR="005405E8" w:rsidRPr="00244D7E" w:rsidRDefault="00564BFD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k</w:t>
      </w:r>
      <w:r w:rsidR="00416EF8" w:rsidRPr="00244D7E">
        <w:rPr>
          <w:rStyle w:val="normaltextrun"/>
          <w:rFonts w:ascii="Ubuntu" w:hAnsi="Ubuntu" w:cs="Segoe UI"/>
          <w:sz w:val="20"/>
          <w:szCs w:val="20"/>
        </w:rPr>
        <w:t xml:space="preserve">oszty przeprowadzenia działań naprawczych bezpośrednich i uzupełniających szkód </w:t>
      </w:r>
      <w:r w:rsidRPr="00244D7E">
        <w:rPr>
          <w:rStyle w:val="normaltextrun"/>
          <w:rFonts w:ascii="Ubuntu" w:hAnsi="Ubuntu" w:cs="Segoe UI"/>
          <w:sz w:val="20"/>
          <w:szCs w:val="20"/>
        </w:rPr>
        <w:br/>
      </w:r>
      <w:r w:rsidR="00416EF8" w:rsidRPr="00244D7E">
        <w:rPr>
          <w:rStyle w:val="normaltextrun"/>
          <w:rFonts w:ascii="Ubuntu" w:hAnsi="Ubuntu" w:cs="Segoe UI"/>
          <w:sz w:val="20"/>
          <w:szCs w:val="20"/>
        </w:rPr>
        <w:t>w środowisku w porozumieniu z organem ochrony środowiska;</w:t>
      </w:r>
      <w:r w:rsidR="00416EF8" w:rsidRPr="00244D7E">
        <w:rPr>
          <w:rStyle w:val="normaltextrun"/>
        </w:rPr>
        <w:t> </w:t>
      </w:r>
    </w:p>
    <w:p w14:paraId="7DDC6304" w14:textId="77777777" w:rsidR="005405E8" w:rsidRPr="00244D7E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koszty przeprowadzenia działań zapobiegawczych, kompensacyjnych i/lub naprawczych, które musi ponieść Zamawiający;</w:t>
      </w:r>
      <w:r w:rsidRPr="00244D7E">
        <w:rPr>
          <w:rStyle w:val="normaltextrun"/>
        </w:rPr>
        <w:t> </w:t>
      </w:r>
    </w:p>
    <w:p w14:paraId="59121422" w14:textId="77777777" w:rsidR="005405E8" w:rsidRPr="00244D7E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koszty związane z uszkodzeniami ciała, szkodami materialnymi i niematerialnymi;</w:t>
      </w:r>
      <w:r w:rsidRPr="00244D7E">
        <w:rPr>
          <w:rStyle w:val="eop"/>
          <w:rFonts w:ascii="Ubuntu" w:hAnsi="Ubuntu" w:cs="Segoe UI"/>
          <w:sz w:val="20"/>
          <w:szCs w:val="20"/>
        </w:rPr>
        <w:t> </w:t>
      </w:r>
    </w:p>
    <w:p w14:paraId="0276CA17" w14:textId="77777777" w:rsidR="005405E8" w:rsidRPr="00244D7E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szkody w chronionych gatunkach i siedliskach, a także szkody w wodzie i glebie;</w:t>
      </w:r>
      <w:r w:rsidRPr="00244D7E">
        <w:rPr>
          <w:rStyle w:val="eop"/>
          <w:rFonts w:ascii="Ubuntu" w:hAnsi="Ubuntu" w:cs="Segoe UI"/>
          <w:sz w:val="20"/>
          <w:szCs w:val="20"/>
        </w:rPr>
        <w:t> </w:t>
      </w:r>
    </w:p>
    <w:p w14:paraId="60C7024A" w14:textId="4B9F5B2F" w:rsidR="005405E8" w:rsidRPr="00244D7E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koszty, które poniósł ubezpieczony w wyniku działań zleconych przez ubezpieczyciela, mających na celu uniknięcie lub minimalizację efektów emisji;</w:t>
      </w:r>
    </w:p>
    <w:p w14:paraId="1051E0B4" w14:textId="3A2F6BA5" w:rsidR="005405E8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lastRenderedPageBreak/>
        <w:t xml:space="preserve">koszty minimalizacji, wynikające z koniecznych działań podjętych samodzielnie i w dobrej wierze przez Zamawiającego, w celu uniknięcia emisji, która może lub mogłaby prowadzić do powstania Roszczenia, bądź w celu uniknięcia lub zminimalizowania skutków tej emisji, w takim zakresie, jak jest to nagłe. Przez konieczne działania podjęte samodzielnie należy rozumieć w szczególności działania zapobiegawcze w rozumieniu Ustawy z dnia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>13 kwietnia 2007 roku o zapobieganiu szkodom w środowisku i ich naprawie. (Dz.U. z 2007 r. nr 75, poz. 493 z </w:t>
      </w:r>
      <w:proofErr w:type="spellStart"/>
      <w:r w:rsidRPr="005405E8">
        <w:rPr>
          <w:rStyle w:val="spellingerror"/>
          <w:rFonts w:ascii="Ubuntu" w:hAnsi="Ubuntu" w:cs="Segoe UI"/>
          <w:sz w:val="20"/>
          <w:szCs w:val="20"/>
        </w:rPr>
        <w:t>późn</w:t>
      </w:r>
      <w:proofErr w:type="spellEnd"/>
      <w:r w:rsidRPr="005405E8">
        <w:rPr>
          <w:rStyle w:val="normaltextrun"/>
          <w:rFonts w:ascii="Ubuntu" w:hAnsi="Ubuntu" w:cs="Segoe UI"/>
          <w:sz w:val="20"/>
          <w:szCs w:val="20"/>
        </w:rPr>
        <w:t>. zm.);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60EA1B9E" w14:textId="77777777" w:rsidR="005405E8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koszty oczyszczania w zakładzie ubezpieczonego wynikające z emisji, która przedostanie się poza składowisko odpadów, z wyłączeniem kosztów związanych lub wynikających ze składowania odpadów;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70850EDF" w14:textId="48417241" w:rsidR="005405E8" w:rsidRPr="005405E8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Ubuntu" w:hAnsi="Ubuntu"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 xml:space="preserve">uzasadnione i niezbędne koszty odbudowy mienia zniszczonego w związku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>z przeprowadzonym oczyszczaniem obszaru skażonego, poniesione za uprzednią zgodą ubezpieczyciela;</w:t>
      </w:r>
    </w:p>
    <w:p w14:paraId="0E6C116B" w14:textId="6F560A08" w:rsidR="005405E8" w:rsidRPr="005405E8" w:rsidRDefault="00416EF8" w:rsidP="004069D1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Ubuntu" w:hAnsi="Ubuntu"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koszty ochrony prawnej.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52CBD1F6" w14:textId="77777777" w:rsidR="005405E8" w:rsidRDefault="005405E8" w:rsidP="004069D1">
      <w:pPr>
        <w:pStyle w:val="paragraph"/>
        <w:spacing w:before="0" w:beforeAutospacing="0" w:after="0" w:afterAutospacing="0" w:line="276" w:lineRule="auto"/>
        <w:ind w:left="1080"/>
        <w:jc w:val="both"/>
        <w:textAlignment w:val="baseline"/>
        <w:rPr>
          <w:rFonts w:ascii="Ubuntu" w:hAnsi="Ubuntu"/>
          <w:sz w:val="20"/>
          <w:szCs w:val="20"/>
        </w:rPr>
      </w:pPr>
    </w:p>
    <w:p w14:paraId="0D332DEA" w14:textId="3B146F2E" w:rsidR="005405E8" w:rsidRPr="005405E8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  <w:r w:rsidRPr="005405E8">
        <w:rPr>
          <w:rStyle w:val="normaltextrun"/>
          <w:rFonts w:ascii="Ubuntu" w:hAnsi="Ubuntu" w:cs="Segoe UI"/>
          <w:b/>
          <w:bCs/>
          <w:sz w:val="20"/>
          <w:szCs w:val="20"/>
        </w:rPr>
        <w:t>Suma gwarancyjna:</w:t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 </w:t>
      </w:r>
      <w:r w:rsidR="00867E3D">
        <w:rPr>
          <w:rStyle w:val="normaltextrun"/>
          <w:rFonts w:ascii="Ubuntu" w:hAnsi="Ubuntu" w:cs="Segoe UI"/>
          <w:sz w:val="20"/>
          <w:szCs w:val="20"/>
        </w:rPr>
        <w:t>4</w:t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 000 000 zł na jedno i na wszystkie zdarzenia w okresie ubezpieczenia, przy czym nie mniej niż </w:t>
      </w:r>
      <w:r w:rsidR="00867E3D">
        <w:rPr>
          <w:rStyle w:val="normaltextrun"/>
          <w:rFonts w:ascii="Ubuntu" w:hAnsi="Ubuntu" w:cs="Segoe UI"/>
          <w:sz w:val="20"/>
          <w:szCs w:val="20"/>
        </w:rPr>
        <w:t>2 0</w:t>
      </w:r>
      <w:r w:rsidRPr="005405E8">
        <w:rPr>
          <w:rStyle w:val="normaltextrun"/>
          <w:rFonts w:ascii="Ubuntu" w:hAnsi="Ubuntu" w:cs="Segoe UI"/>
          <w:sz w:val="20"/>
          <w:szCs w:val="20"/>
        </w:rPr>
        <w:t>00.000,00 zł na jedno i wszystkie wypadki w odniesieniu do</w:t>
      </w:r>
      <w:r w:rsidR="005405E8">
        <w:rPr>
          <w:rStyle w:val="normaltextrun"/>
          <w:rFonts w:ascii="Ubuntu" w:hAnsi="Ubuntu" w:cs="Segoe UI"/>
          <w:sz w:val="20"/>
          <w:szCs w:val="20"/>
        </w:rPr>
        <w:t xml:space="preserve"> </w:t>
      </w:r>
      <w:r w:rsidRPr="005405E8">
        <w:rPr>
          <w:rStyle w:val="normaltextrun"/>
          <w:rFonts w:ascii="Ubuntu" w:hAnsi="Ubuntu" w:cs="Segoe UI"/>
          <w:sz w:val="20"/>
          <w:szCs w:val="20"/>
        </w:rPr>
        <w:t>składowiska Regionalnego Zakładu Gospodarki Odpadami w Słajsinie</w:t>
      </w:r>
      <w:r w:rsidR="005405E8">
        <w:rPr>
          <w:rStyle w:val="normaltextrun"/>
          <w:rFonts w:ascii="Ubuntu" w:hAnsi="Ubuntu" w:cs="Segoe UI"/>
          <w:sz w:val="20"/>
          <w:szCs w:val="20"/>
        </w:rPr>
        <w:t>.</w:t>
      </w:r>
    </w:p>
    <w:p w14:paraId="4DE16E39" w14:textId="77777777" w:rsidR="005405E8" w:rsidRPr="005405E8" w:rsidRDefault="005405E8" w:rsidP="004069D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Style w:val="normaltextrun"/>
          <w:rFonts w:ascii="Ubuntu" w:hAnsi="Ubuntu"/>
          <w:sz w:val="20"/>
          <w:szCs w:val="20"/>
        </w:rPr>
      </w:pPr>
    </w:p>
    <w:p w14:paraId="409DA3FB" w14:textId="77777777" w:rsidR="005405E8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b/>
          <w:bCs/>
          <w:sz w:val="20"/>
          <w:szCs w:val="20"/>
        </w:rPr>
        <w:t>Wymagane warunki szczególne:</w:t>
      </w:r>
      <w:r w:rsidRPr="005405E8">
        <w:rPr>
          <w:rStyle w:val="eop"/>
          <w:rFonts w:ascii="Ubuntu" w:hAnsi="Ubuntu" w:cs="Segoe UI"/>
          <w:b/>
          <w:bCs/>
          <w:sz w:val="20"/>
          <w:szCs w:val="20"/>
        </w:rPr>
        <w:t> </w:t>
      </w:r>
    </w:p>
    <w:p w14:paraId="08BDE87E" w14:textId="77777777" w:rsidR="005405E8" w:rsidRDefault="00416EF8" w:rsidP="004069D1">
      <w:pPr>
        <w:pStyle w:val="paragraph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Franszyza redukcyjna – 10 000 zł w odniesieniu do każdego zdarzenia,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258189C8" w14:textId="6A406EAB" w:rsidR="005405E8" w:rsidRDefault="00416EF8" w:rsidP="004069D1">
      <w:pPr>
        <w:pStyle w:val="paragraph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proofErr w:type="spellStart"/>
      <w:r w:rsidRPr="005405E8">
        <w:rPr>
          <w:rStyle w:val="spellingerror"/>
          <w:rFonts w:ascii="Ubuntu" w:hAnsi="Ubuntu" w:cs="Segoe UI"/>
          <w:sz w:val="20"/>
          <w:szCs w:val="20"/>
        </w:rPr>
        <w:t>Trigger</w:t>
      </w:r>
      <w:proofErr w:type="spellEnd"/>
      <w:r w:rsidRPr="005405E8">
        <w:rPr>
          <w:rStyle w:val="normaltextrun"/>
          <w:rFonts w:ascii="Ubuntu" w:hAnsi="Ubuntu" w:cs="Segoe UI"/>
          <w:sz w:val="20"/>
          <w:szCs w:val="20"/>
        </w:rPr>
        <w:t> odpowiedzialności – szkody oraz roszczenia będące następstwem emisji powstałej w okresie ubezpieczenia lub zgłoszone w dodatkowym terminie 24 miesięcy po upływie okresu ubezpieczenia</w:t>
      </w:r>
      <w:r w:rsidR="00564BFD">
        <w:rPr>
          <w:rStyle w:val="normaltextrun"/>
          <w:rFonts w:ascii="Ubuntu" w:hAnsi="Ubuntu" w:cs="Segoe UI"/>
          <w:sz w:val="20"/>
          <w:szCs w:val="20"/>
        </w:rPr>
        <w:t>,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406CCB60" w14:textId="04B50452" w:rsidR="005405E8" w:rsidRPr="005405E8" w:rsidRDefault="00416EF8" w:rsidP="004069D1">
      <w:pPr>
        <w:pStyle w:val="paragraph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Data początkowa: 01.06.202</w:t>
      </w:r>
      <w:r w:rsidR="002166C9">
        <w:rPr>
          <w:rStyle w:val="normaltextrun"/>
          <w:rFonts w:ascii="Ubuntu" w:hAnsi="Ubuntu" w:cs="Segoe UI"/>
          <w:sz w:val="20"/>
          <w:szCs w:val="20"/>
        </w:rPr>
        <w:t>4</w:t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 r.</w:t>
      </w:r>
      <w:r w:rsidR="005405E8">
        <w:rPr>
          <w:rStyle w:val="normaltextrun"/>
          <w:rFonts w:ascii="Ubuntu" w:hAnsi="Ubuntu" w:cs="Segoe UI"/>
          <w:sz w:val="20"/>
          <w:szCs w:val="20"/>
        </w:rPr>
        <w:t xml:space="preserve"> </w:t>
      </w:r>
    </w:p>
    <w:p w14:paraId="7088D479" w14:textId="4016A961" w:rsidR="005405E8" w:rsidRPr="005405E8" w:rsidRDefault="00416EF8" w:rsidP="004069D1">
      <w:pPr>
        <w:pStyle w:val="paragraph"/>
        <w:spacing w:before="0" w:beforeAutospacing="0" w:after="0" w:afterAutospacing="0" w:line="276" w:lineRule="auto"/>
        <w:ind w:left="1068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1412078C" w14:textId="44E28816" w:rsidR="005405E8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b/>
          <w:bCs/>
          <w:sz w:val="20"/>
          <w:szCs w:val="20"/>
        </w:rPr>
        <w:t>Definicje, warunki szczególne i klauzule</w:t>
      </w:r>
      <w:r w:rsidRPr="005405E8">
        <w:rPr>
          <w:rStyle w:val="eop"/>
          <w:rFonts w:ascii="Ubuntu" w:hAnsi="Ubuntu" w:cs="Segoe UI"/>
          <w:b/>
          <w:bCs/>
          <w:sz w:val="20"/>
          <w:szCs w:val="20"/>
        </w:rPr>
        <w:t> </w:t>
      </w:r>
    </w:p>
    <w:p w14:paraId="3F9D6DEB" w14:textId="75D63133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Emisja oznacza uwolnienie, rozproszenie, wyciek jakichkolwiek stałych, ciekłych, gazowych lub termicznych środków drażniących lub zanieczyszczających, powodujące skażenie lub zanieczyszczenie z</w:t>
      </w:r>
      <w:r w:rsidR="005E747F">
        <w:rPr>
          <w:rStyle w:val="normaltextrun"/>
          <w:rFonts w:ascii="Ubuntu" w:hAnsi="Ubuntu" w:cs="Segoe UI"/>
          <w:sz w:val="20"/>
          <w:szCs w:val="20"/>
        </w:rPr>
        <w:t>iemi</w:t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 lub jej powierzchni, atmosfery lub jakiegokolwiek strumienia rzeki czy zbiornika wodnego, włączając wody gruntowe. Emisja nie obejmuje materii mikrobiologicznej.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040196C3" w14:textId="418B9865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 xml:space="preserve">Franszyza redukcyjna – kwotowy udział własny Ubezpieczającego/ Ubezpieczonego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>w każdej szkodzie.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727A0226" w14:textId="77777777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Przez szkodę osobową rozumie się szkodę powstałą wskutek śmierci, uszkodzenia ciała lub rozstroju zdrowia, w tym także utracone korzyści poszkodowanego, które mógłby osiągnąć, gdyby nie doznał uszkodzenia ciała lub rozstroju zdrowia.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03AEE209" w14:textId="77777777" w:rsidR="005405E8" w:rsidRDefault="005405E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Fonts w:ascii="Ubuntu" w:hAnsi="Ubuntu"/>
          <w:sz w:val="20"/>
          <w:szCs w:val="20"/>
        </w:rPr>
        <w:t>p</w:t>
      </w:r>
      <w:r w:rsidR="00416EF8" w:rsidRPr="005405E8">
        <w:rPr>
          <w:rStyle w:val="normaltextrun"/>
          <w:rFonts w:ascii="Ubuntu" w:hAnsi="Ubuntu" w:cs="Segoe UI"/>
          <w:sz w:val="20"/>
          <w:szCs w:val="20"/>
        </w:rPr>
        <w:t>rzez szkodę rzeczową rozumie się fizyczne uszkodzenie lub zniszczenie rzeczy ruchomej lub nieruchomości osoby trzeciej, włączając ograniczenie w jej rozporządzaniu oraz zmniejszenie jej wartości.</w:t>
      </w:r>
      <w:r w:rsidR="00416EF8"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5B1CEA17" w14:textId="4F6FB69D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244D7E">
        <w:rPr>
          <w:rStyle w:val="normaltextrun"/>
          <w:rFonts w:ascii="Ubuntu" w:hAnsi="Ubuntu" w:cs="Segoe UI"/>
          <w:sz w:val="20"/>
          <w:szCs w:val="20"/>
        </w:rPr>
        <w:t>Przez szkodę na różnorodności biologicznej rozumie się rzeczywistą, fizyczną szkodę lub zniszczenie wód, lądu, chronionych gatunków lub naturalnych siedlisk,</w:t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 za którą prawnie odpowiedzialny jest Zamawiający wobec Dyrektywy Unii Europejskiej 2004/35/WE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 xml:space="preserve">o odpowiedzialności środowiskowej oraz/lub według adekwatnego ustawodawstwa krajowego, w szczególności w oparciu o Ustawę o zapobieganiu szkodom w środowisku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>i ich naprawie (Dz.U. z 2007 r. nr 75, poz. 493 z </w:t>
      </w:r>
      <w:proofErr w:type="spellStart"/>
      <w:r w:rsidRPr="005405E8">
        <w:rPr>
          <w:rStyle w:val="spellingerror"/>
          <w:rFonts w:ascii="Ubuntu" w:hAnsi="Ubuntu" w:cs="Segoe UI"/>
          <w:sz w:val="20"/>
          <w:szCs w:val="20"/>
        </w:rPr>
        <w:t>późn</w:t>
      </w:r>
      <w:proofErr w:type="spellEnd"/>
      <w:r w:rsidRPr="005405E8">
        <w:rPr>
          <w:rStyle w:val="normaltextrun"/>
          <w:rFonts w:ascii="Ubuntu" w:hAnsi="Ubuntu" w:cs="Segoe UI"/>
          <w:sz w:val="20"/>
          <w:szCs w:val="20"/>
        </w:rPr>
        <w:t>. zm.).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7F45806A" w14:textId="7E2C7AE4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 xml:space="preserve">Umowa ubezpieczenia będzie stanowiła zabezpieczenie roszczeń, o których mowa </w:t>
      </w:r>
      <w:r w:rsidR="00564BFD">
        <w:rPr>
          <w:rStyle w:val="normaltextrun"/>
          <w:rFonts w:ascii="Ubuntu" w:hAnsi="Ubuntu" w:cs="Segoe UI"/>
          <w:sz w:val="20"/>
          <w:szCs w:val="20"/>
        </w:rPr>
        <w:br/>
      </w:r>
      <w:r w:rsidRPr="005405E8">
        <w:rPr>
          <w:rStyle w:val="normaltextrun"/>
          <w:rFonts w:ascii="Ubuntu" w:hAnsi="Ubuntu" w:cs="Segoe UI"/>
          <w:sz w:val="20"/>
          <w:szCs w:val="20"/>
        </w:rPr>
        <w:t>w art. 125 Ustawy z dnia 14 grudnia 2012 r. o odpadach na rzecz Marszałka Województwa Zachodniopomorskiego.</w:t>
      </w:r>
    </w:p>
    <w:p w14:paraId="7B64769A" w14:textId="6BB240DF" w:rsid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Umowa ubezpieczenia nie będzie zawierała wyłączenia odpowiedzialności w zakresie szkód związanych z azbestem lub materiałami zawierającymi azbest w jakiejkolwiek postaci lub ilości</w:t>
      </w:r>
      <w:r w:rsidR="00C72A49">
        <w:rPr>
          <w:rStyle w:val="normaltextrun"/>
          <w:rFonts w:ascii="Ubuntu" w:hAnsi="Ubuntu" w:cs="Segoe UI"/>
          <w:sz w:val="20"/>
          <w:szCs w:val="20"/>
        </w:rPr>
        <w:t>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6C83EEBF" w14:textId="306FACB7" w:rsidR="005405E8" w:rsidRP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Klauzula dotycząca rozstrzygania sporów</w:t>
      </w:r>
      <w:r w:rsidR="00C72A49">
        <w:rPr>
          <w:rStyle w:val="normaltextrun"/>
          <w:rFonts w:ascii="Ubuntu" w:hAnsi="Ubuntu" w:cs="Segoe UI"/>
          <w:sz w:val="20"/>
          <w:szCs w:val="20"/>
        </w:rPr>
        <w:t>.</w:t>
      </w:r>
    </w:p>
    <w:p w14:paraId="6F3C3DAA" w14:textId="77777777" w:rsidR="005405E8" w:rsidRDefault="00416EF8" w:rsidP="004069D1">
      <w:pPr>
        <w:pStyle w:val="paragraph"/>
        <w:spacing w:before="0" w:beforeAutospacing="0" w:after="0" w:afterAutospacing="0" w:line="276" w:lineRule="auto"/>
        <w:ind w:left="1080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lastRenderedPageBreak/>
        <w:t>Dla sporów wynikających z istnienia niniejszej umowy właściwym będzie Sąd siedziby Zamawiającego.</w:t>
      </w:r>
      <w:r w:rsidRPr="005405E8">
        <w:rPr>
          <w:rStyle w:val="eop"/>
          <w:rFonts w:ascii="Ubuntu" w:hAnsi="Ubuntu" w:cs="Segoe UI"/>
          <w:sz w:val="20"/>
          <w:szCs w:val="20"/>
        </w:rPr>
        <w:t> </w:t>
      </w:r>
    </w:p>
    <w:p w14:paraId="285152AE" w14:textId="4741AC24" w:rsidR="005405E8" w:rsidRPr="005405E8" w:rsidRDefault="00416EF8" w:rsidP="004069D1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="Ubuntu" w:hAnsi="Ubuntu"/>
          <w:b/>
          <w:bCs/>
          <w:sz w:val="20"/>
          <w:szCs w:val="20"/>
        </w:rPr>
      </w:pPr>
      <w:r>
        <w:rPr>
          <w:rStyle w:val="normaltextrun"/>
          <w:rFonts w:ascii="Ubuntu" w:hAnsi="Ubuntu" w:cs="Segoe UI"/>
          <w:sz w:val="20"/>
          <w:szCs w:val="20"/>
        </w:rPr>
        <w:t>Klauzula obowiązku monitorowania płatności składki</w:t>
      </w:r>
      <w:r w:rsidR="00C72A49">
        <w:rPr>
          <w:rStyle w:val="normaltextrun"/>
          <w:rFonts w:ascii="Ubuntu" w:hAnsi="Ubuntu" w:cs="Segoe UI"/>
          <w:sz w:val="20"/>
          <w:szCs w:val="20"/>
        </w:rPr>
        <w:t>.</w:t>
      </w:r>
    </w:p>
    <w:p w14:paraId="0B9165EC" w14:textId="68B58CAD" w:rsidR="00B87797" w:rsidRDefault="00416EF8" w:rsidP="004069D1">
      <w:pPr>
        <w:pStyle w:val="paragraph"/>
        <w:spacing w:before="0" w:beforeAutospacing="0" w:after="0" w:afterAutospacing="0" w:line="276" w:lineRule="auto"/>
        <w:ind w:left="1080"/>
        <w:jc w:val="both"/>
        <w:textAlignment w:val="baseline"/>
        <w:rPr>
          <w:rStyle w:val="normaltextrun"/>
          <w:rFonts w:ascii="Ubuntu" w:hAnsi="Ubuntu" w:cs="Segoe UI"/>
          <w:sz w:val="20"/>
          <w:szCs w:val="20"/>
        </w:rPr>
      </w:pPr>
      <w:r w:rsidRPr="005405E8">
        <w:rPr>
          <w:rStyle w:val="normaltextrun"/>
          <w:rFonts w:ascii="Ubuntu" w:hAnsi="Ubuntu" w:cs="Segoe UI"/>
          <w:sz w:val="20"/>
          <w:szCs w:val="20"/>
        </w:rPr>
        <w:t>Uzgadnia się, że nieopłacenie składki (lub raty składki) w pierwszym uzgodnionym terminie, nie powoduje rozwiązania umowy i/lub braku odpowiedzialności Ubezpieczyciela. Ubezpieczyciel wyznaczy kolejny termin płatności składki, nie krótszy niż 14 dni, powiadamiając jednocześnie Ubezpieczającego o tym fakcie</w:t>
      </w:r>
      <w:r w:rsidR="00FD7C72">
        <w:rPr>
          <w:rStyle w:val="normaltextrun"/>
          <w:rFonts w:ascii="Ubuntu" w:hAnsi="Ubuntu" w:cs="Segoe UI"/>
          <w:sz w:val="20"/>
          <w:szCs w:val="20"/>
        </w:rPr>
        <w:t>.</w:t>
      </w:r>
    </w:p>
    <w:p w14:paraId="3BCA2BEA" w14:textId="77777777" w:rsidR="00B87797" w:rsidRPr="005405E8" w:rsidRDefault="00B87797" w:rsidP="004069D1">
      <w:pPr>
        <w:pStyle w:val="paragraph"/>
        <w:spacing w:before="0" w:beforeAutospacing="0" w:after="0" w:afterAutospacing="0" w:line="276" w:lineRule="auto"/>
        <w:ind w:left="1068"/>
        <w:jc w:val="both"/>
        <w:textAlignment w:val="baseline"/>
        <w:rPr>
          <w:rFonts w:ascii="Ubuntu" w:hAnsi="Ubuntu"/>
          <w:b/>
          <w:bCs/>
          <w:sz w:val="20"/>
          <w:szCs w:val="20"/>
        </w:rPr>
      </w:pPr>
    </w:p>
    <w:p w14:paraId="4EA304D8" w14:textId="77777777" w:rsidR="00304D73" w:rsidRPr="00304D73" w:rsidRDefault="00416EF8" w:rsidP="004069D1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cs="Segoe UI"/>
        </w:rPr>
      </w:pPr>
      <w:r w:rsidRPr="00B87797">
        <w:rPr>
          <w:rStyle w:val="eop"/>
          <w:rFonts w:ascii="Ubuntu" w:hAnsi="Ubuntu" w:cs="Segoe UI"/>
          <w:b/>
          <w:bCs/>
          <w:sz w:val="20"/>
          <w:szCs w:val="20"/>
        </w:rPr>
        <w:t>Postanowienia i klauzule fakultatywne</w:t>
      </w:r>
      <w:r w:rsidRPr="00B87797">
        <w:rPr>
          <w:rStyle w:val="eop"/>
        </w:rPr>
        <w:t xml:space="preserve"> </w:t>
      </w:r>
    </w:p>
    <w:p w14:paraId="50CF35A4" w14:textId="62CC31E5" w:rsidR="00B87797" w:rsidRPr="00304D73" w:rsidRDefault="00416EF8" w:rsidP="00304D73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Style w:val="normaltextrun"/>
          <w:rFonts w:cs="Segoe UI"/>
          <w:i/>
          <w:iCs/>
        </w:rPr>
      </w:pPr>
      <w:r w:rsidRPr="00304D73">
        <w:rPr>
          <w:rStyle w:val="normaltextrun"/>
          <w:rFonts w:ascii="Ubuntu" w:hAnsi="Ubuntu" w:cs="Segoe UI"/>
          <w:i/>
          <w:iCs/>
          <w:sz w:val="20"/>
          <w:szCs w:val="20"/>
        </w:rPr>
        <w:t>brak akceptu nie spowoduje odrzucenia oferty, ma jednakże wypływ na ocenę i tym samym wybór oferty. W przypadku braku akceptacji lub zmiany treści klauzuli Zamawiający nie przyzna punktów</w:t>
      </w:r>
      <w:r w:rsidR="00B87797" w:rsidRPr="00304D73">
        <w:rPr>
          <w:rStyle w:val="normaltextrun"/>
          <w:rFonts w:ascii="Ubuntu" w:hAnsi="Ubuntu" w:cs="Segoe UI"/>
          <w:i/>
          <w:iCs/>
          <w:sz w:val="20"/>
          <w:szCs w:val="20"/>
        </w:rPr>
        <w:t>.</w:t>
      </w:r>
    </w:p>
    <w:p w14:paraId="291CF8ED" w14:textId="39496642" w:rsidR="00416EF8" w:rsidRPr="00304D73" w:rsidRDefault="00416EF8" w:rsidP="004069D1">
      <w:pPr>
        <w:pStyle w:val="paragraph"/>
        <w:numPr>
          <w:ilvl w:val="1"/>
          <w:numId w:val="9"/>
        </w:numPr>
        <w:spacing w:before="0" w:beforeAutospacing="0" w:after="0" w:afterAutospacing="0" w:line="276" w:lineRule="auto"/>
        <w:jc w:val="both"/>
        <w:textAlignment w:val="baseline"/>
        <w:rPr>
          <w:rFonts w:cs="Segoe UI"/>
          <w:b/>
          <w:bCs/>
        </w:rPr>
      </w:pPr>
      <w:r w:rsidRPr="00304D73">
        <w:rPr>
          <w:rStyle w:val="normaltextrun"/>
          <w:rFonts w:ascii="Ubuntu" w:hAnsi="Ubuntu" w:cs="Segoe UI"/>
          <w:b/>
          <w:bCs/>
          <w:sz w:val="20"/>
          <w:szCs w:val="20"/>
        </w:rPr>
        <w:t>Zniesienie franszyzy redukcyjnej/udziału własnego.</w:t>
      </w:r>
      <w:r w:rsidRPr="00304D73">
        <w:rPr>
          <w:rStyle w:val="eop"/>
          <w:rFonts w:ascii="Ubuntu" w:hAnsi="Ubuntu" w:cs="Segoe UI"/>
          <w:b/>
          <w:bCs/>
          <w:sz w:val="20"/>
          <w:szCs w:val="20"/>
        </w:rPr>
        <w:t> </w:t>
      </w:r>
    </w:p>
    <w:p w14:paraId="5AD043A8" w14:textId="77777777" w:rsidR="006B1624" w:rsidRDefault="006B1624" w:rsidP="004069D1">
      <w:pPr>
        <w:spacing w:line="276" w:lineRule="auto"/>
        <w:jc w:val="both"/>
      </w:pPr>
    </w:p>
    <w:sectPr w:rsidR="006B1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buntu">
    <w:altName w:val="Ubuntu Medium"/>
    <w:charset w:val="00"/>
    <w:family w:val="swiss"/>
    <w:pitch w:val="variable"/>
    <w:sig w:usb0="E00002FF" w:usb1="5000205B" w:usb2="00000000" w:usb3="00000000" w:csb0="000000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7B5"/>
    <w:multiLevelType w:val="multilevel"/>
    <w:tmpl w:val="25BA9BF6"/>
    <w:lvl w:ilvl="0">
      <w:start w:val="1"/>
      <w:numFmt w:val="decimal"/>
      <w:lvlText w:val="%1."/>
      <w:lvlJc w:val="left"/>
      <w:pPr>
        <w:ind w:left="720" w:hanging="720"/>
      </w:pPr>
      <w:rPr>
        <w:rFonts w:ascii="Ubuntu" w:hAnsi="Ubuntu" w:hint="default"/>
        <w:b/>
        <w:bCs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Ubuntu" w:hAnsi="Ubuntu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Ubuntu" w:hAnsi="Ubuntu"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Ubuntu" w:hAnsi="Ubuntu"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Ubuntu" w:hAnsi="Ubuntu"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Ubuntu" w:hAnsi="Ubuntu"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Ubuntu" w:hAnsi="Ubuntu"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Ubuntu" w:hAnsi="Ubuntu"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Ubuntu" w:hAnsi="Ubuntu" w:hint="default"/>
        <w:b/>
        <w:sz w:val="20"/>
      </w:rPr>
    </w:lvl>
  </w:abstractNum>
  <w:abstractNum w:abstractNumId="1" w15:restartNumberingAfterBreak="0">
    <w:nsid w:val="14E41605"/>
    <w:multiLevelType w:val="hybridMultilevel"/>
    <w:tmpl w:val="030A110A"/>
    <w:lvl w:ilvl="0" w:tplc="DDC6794A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38017A"/>
    <w:multiLevelType w:val="hybridMultilevel"/>
    <w:tmpl w:val="592A0366"/>
    <w:lvl w:ilvl="0" w:tplc="9BCC80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B7B80"/>
    <w:multiLevelType w:val="hybridMultilevel"/>
    <w:tmpl w:val="2F508CE8"/>
    <w:lvl w:ilvl="0" w:tplc="372E3F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E4171E"/>
    <w:multiLevelType w:val="multilevel"/>
    <w:tmpl w:val="B0C86398"/>
    <w:lvl w:ilvl="0">
      <w:start w:val="8"/>
      <w:numFmt w:val="decimal"/>
      <w:lvlText w:val="%1."/>
      <w:lvlJc w:val="left"/>
      <w:pPr>
        <w:ind w:left="360" w:hanging="360"/>
      </w:pPr>
      <w:rPr>
        <w:rFonts w:ascii="Ubuntu" w:hAnsi="Ubuntu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Ubuntu" w:hAnsi="Ubuntu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Ubuntu" w:hAnsi="Ubuntu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Ubuntu" w:hAnsi="Ubuntu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Ubuntu" w:hAnsi="Ubuntu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Ubuntu" w:hAnsi="Ubuntu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Ubuntu" w:hAnsi="Ubuntu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Ubuntu" w:hAnsi="Ubuntu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Ubuntu" w:hAnsi="Ubuntu" w:hint="default"/>
        <w:sz w:val="20"/>
      </w:rPr>
    </w:lvl>
  </w:abstractNum>
  <w:abstractNum w:abstractNumId="5" w15:restartNumberingAfterBreak="0">
    <w:nsid w:val="589E7BFB"/>
    <w:multiLevelType w:val="hybridMultilevel"/>
    <w:tmpl w:val="592A0366"/>
    <w:lvl w:ilvl="0" w:tplc="9BCC80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F22B8E"/>
    <w:multiLevelType w:val="hybridMultilevel"/>
    <w:tmpl w:val="CA129F2A"/>
    <w:lvl w:ilvl="0" w:tplc="912485C2">
      <w:start w:val="1"/>
      <w:numFmt w:val="lowerLetter"/>
      <w:lvlText w:val="%1)"/>
      <w:lvlJc w:val="left"/>
      <w:pPr>
        <w:ind w:left="1068" w:hanging="360"/>
      </w:pPr>
      <w:rPr>
        <w:rFonts w:cs="Segoe U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5A12C50"/>
    <w:multiLevelType w:val="hybridMultilevel"/>
    <w:tmpl w:val="81564D50"/>
    <w:lvl w:ilvl="0" w:tplc="0F30FC64">
      <w:start w:val="1"/>
      <w:numFmt w:val="decimal"/>
      <w:lvlText w:val="%1."/>
      <w:lvlJc w:val="left"/>
      <w:pPr>
        <w:ind w:left="720" w:hanging="360"/>
      </w:pPr>
      <w:rPr>
        <w:rFonts w:ascii="Ubuntu" w:hAnsi="Ubuntu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E2282"/>
    <w:multiLevelType w:val="hybridMultilevel"/>
    <w:tmpl w:val="0C56B2A6"/>
    <w:lvl w:ilvl="0" w:tplc="DDC6794A">
      <w:start w:val="1"/>
      <w:numFmt w:val="lowerLetter"/>
      <w:lvlText w:val="%1)"/>
      <w:lvlJc w:val="righ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909417857">
    <w:abstractNumId w:val="0"/>
  </w:num>
  <w:num w:numId="2" w16cid:durableId="176971692">
    <w:abstractNumId w:val="2"/>
  </w:num>
  <w:num w:numId="3" w16cid:durableId="2130738869">
    <w:abstractNumId w:val="8"/>
  </w:num>
  <w:num w:numId="4" w16cid:durableId="1140458061">
    <w:abstractNumId w:val="1"/>
  </w:num>
  <w:num w:numId="5" w16cid:durableId="802619882">
    <w:abstractNumId w:val="5"/>
  </w:num>
  <w:num w:numId="6" w16cid:durableId="2043358396">
    <w:abstractNumId w:val="6"/>
  </w:num>
  <w:num w:numId="7" w16cid:durableId="1080642224">
    <w:abstractNumId w:val="3"/>
  </w:num>
  <w:num w:numId="8" w16cid:durableId="949554646">
    <w:abstractNumId w:val="7"/>
  </w:num>
  <w:num w:numId="9" w16cid:durableId="1328170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5E1"/>
    <w:rsid w:val="002166C9"/>
    <w:rsid w:val="00244D7E"/>
    <w:rsid w:val="00303090"/>
    <w:rsid w:val="00304D73"/>
    <w:rsid w:val="00347CFE"/>
    <w:rsid w:val="00401120"/>
    <w:rsid w:val="004069D1"/>
    <w:rsid w:val="00416EF8"/>
    <w:rsid w:val="00482A08"/>
    <w:rsid w:val="005405E8"/>
    <w:rsid w:val="00564BFD"/>
    <w:rsid w:val="005E747F"/>
    <w:rsid w:val="006B1624"/>
    <w:rsid w:val="00867E3D"/>
    <w:rsid w:val="009C13D0"/>
    <w:rsid w:val="009E7DE5"/>
    <w:rsid w:val="00A605E1"/>
    <w:rsid w:val="00A61291"/>
    <w:rsid w:val="00AD5576"/>
    <w:rsid w:val="00AE02C9"/>
    <w:rsid w:val="00B34BEC"/>
    <w:rsid w:val="00B65BBE"/>
    <w:rsid w:val="00B87797"/>
    <w:rsid w:val="00BE01BF"/>
    <w:rsid w:val="00BF62B3"/>
    <w:rsid w:val="00C72A49"/>
    <w:rsid w:val="00D70170"/>
    <w:rsid w:val="00E13A1D"/>
    <w:rsid w:val="00EF0CC1"/>
    <w:rsid w:val="00FB4A9D"/>
    <w:rsid w:val="00FD1EAD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1FAA"/>
  <w15:chartTrackingRefBased/>
  <w15:docId w15:val="{6D09BF5F-F6CB-486F-A7A7-A96403C2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416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16EF8"/>
  </w:style>
  <w:style w:type="character" w:customStyle="1" w:styleId="eop">
    <w:name w:val="eop"/>
    <w:basedOn w:val="Domylnaczcionkaakapitu"/>
    <w:rsid w:val="00416EF8"/>
  </w:style>
  <w:style w:type="character" w:customStyle="1" w:styleId="tabchar">
    <w:name w:val="tabchar"/>
    <w:basedOn w:val="Domylnaczcionkaakapitu"/>
    <w:rsid w:val="00416EF8"/>
  </w:style>
  <w:style w:type="character" w:customStyle="1" w:styleId="spellingerror">
    <w:name w:val="spellingerror"/>
    <w:basedOn w:val="Domylnaczcionkaakapitu"/>
    <w:rsid w:val="00416EF8"/>
  </w:style>
  <w:style w:type="paragraph" w:styleId="Akapitzlist">
    <w:name w:val="List Paragraph"/>
    <w:basedOn w:val="Normalny"/>
    <w:uiPriority w:val="34"/>
    <w:qFormat/>
    <w:rsid w:val="00D70170"/>
    <w:pPr>
      <w:ind w:left="720"/>
      <w:contextualSpacing/>
    </w:pPr>
  </w:style>
  <w:style w:type="paragraph" w:customStyle="1" w:styleId="Tre">
    <w:name w:val="Treść"/>
    <w:uiPriority w:val="99"/>
    <w:rsid w:val="00BE01B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Arial Unicode MS" w:cs="Arial Unicode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Koniszewska</dc:creator>
  <cp:keywords/>
  <dc:description/>
  <cp:lastModifiedBy>Barbara Piekarek</cp:lastModifiedBy>
  <cp:revision>4</cp:revision>
  <dcterms:created xsi:type="dcterms:W3CDTF">2024-02-09T07:26:00Z</dcterms:created>
  <dcterms:modified xsi:type="dcterms:W3CDTF">2024-02-09T07:28:00Z</dcterms:modified>
</cp:coreProperties>
</file>