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77" w:rsidRDefault="00E97D77" w:rsidP="00E97D77">
      <w:pPr>
        <w:pStyle w:val="NormalnyWeb"/>
        <w:spacing w:line="276" w:lineRule="auto"/>
        <w:jc w:val="right"/>
      </w:pPr>
      <w:r>
        <w:rPr>
          <w:rFonts w:ascii="Arial" w:hAnsi="Arial" w:cs="Arial"/>
          <w:b/>
          <w:sz w:val="20"/>
          <w:szCs w:val="20"/>
        </w:rPr>
        <w:t xml:space="preserve"> </w:t>
      </w:r>
    </w:p>
    <w:p w:rsidR="00733D36" w:rsidRDefault="00733D36" w:rsidP="00463641">
      <w:pPr>
        <w:spacing w:line="360" w:lineRule="auto"/>
        <w:jc w:val="both"/>
        <w:outlineLvl w:val="0"/>
        <w:rPr>
          <w:rFonts w:ascii="Arial" w:hAnsi="Arial" w:cs="Arial"/>
          <w:b/>
          <w:sz w:val="22"/>
          <w:szCs w:val="22"/>
        </w:rPr>
      </w:pPr>
    </w:p>
    <w:p w:rsidR="00463641" w:rsidRPr="00F77745" w:rsidRDefault="00463641" w:rsidP="00463641">
      <w:pPr>
        <w:pStyle w:val="Akapitzlist"/>
        <w:numPr>
          <w:ilvl w:val="0"/>
          <w:numId w:val="10"/>
        </w:numPr>
        <w:spacing w:after="60" w:line="360" w:lineRule="auto"/>
        <w:ind w:left="0" w:hanging="284"/>
        <w:jc w:val="both"/>
        <w:rPr>
          <w:rFonts w:ascii="Arial Narrow" w:hAnsi="Arial Narrow" w:cs="Arial"/>
          <w:i/>
        </w:rPr>
      </w:pPr>
      <w:r w:rsidRPr="00F77745">
        <w:rPr>
          <w:rFonts w:ascii="Arial Narrow" w:hAnsi="Arial Narrow" w:cs="Arial"/>
          <w:bCs/>
        </w:rPr>
        <w:t xml:space="preserve">Metodologia wyliczenia wartości wskaźnika produktu pn. </w:t>
      </w:r>
      <w:r w:rsidRPr="00F77745">
        <w:rPr>
          <w:rFonts w:ascii="Arial Narrow" w:hAnsi="Arial Narrow" w:cs="Arial"/>
          <w:b/>
          <w:bCs/>
        </w:rPr>
        <w:t>„Zmniejszenie rocznego zużycia energii pierwotnej w budynkach publicznych [</w:t>
      </w:r>
      <w:proofErr w:type="spellStart"/>
      <w:r w:rsidRPr="00F77745">
        <w:rPr>
          <w:rFonts w:ascii="Arial Narrow" w:hAnsi="Arial Narrow" w:cs="Arial"/>
          <w:b/>
          <w:bCs/>
        </w:rPr>
        <w:t>kWh</w:t>
      </w:r>
      <w:proofErr w:type="spellEnd"/>
      <w:r w:rsidRPr="00F77745">
        <w:rPr>
          <w:rFonts w:ascii="Arial Narrow" w:hAnsi="Arial Narrow" w:cs="Arial"/>
          <w:b/>
          <w:bCs/>
        </w:rPr>
        <w:t>/rok] (Cl 32)”.</w:t>
      </w:r>
      <w:r w:rsidRPr="00F77745">
        <w:rPr>
          <w:rFonts w:ascii="Arial Narrow" w:hAnsi="Arial Narrow" w:cs="Arial"/>
          <w:bCs/>
        </w:rPr>
        <w:t xml:space="preserve"> </w:t>
      </w:r>
    </w:p>
    <w:p w:rsidR="00463641" w:rsidRPr="00F77745" w:rsidRDefault="00463641" w:rsidP="00463641">
      <w:pPr>
        <w:pStyle w:val="Akapitzlist"/>
        <w:spacing w:after="60" w:line="360" w:lineRule="auto"/>
        <w:ind w:left="0"/>
        <w:jc w:val="both"/>
        <w:rPr>
          <w:rFonts w:ascii="Arial Narrow" w:hAnsi="Arial Narrow" w:cs="Arial"/>
          <w:i/>
        </w:rPr>
      </w:pPr>
      <w:r w:rsidRPr="00F77745">
        <w:rPr>
          <w:rFonts w:ascii="Arial Narrow" w:hAnsi="Arial Narrow" w:cs="Arial"/>
          <w:i/>
        </w:rPr>
        <w:t>Metodologia wyliczenia wskaźnika została oparta na zapisach regulaminu konkursu, zgodnie z którymi:</w:t>
      </w:r>
    </w:p>
    <w:p w:rsidR="00463641" w:rsidRPr="00F77745" w:rsidRDefault="00463641" w:rsidP="00463641">
      <w:pPr>
        <w:pStyle w:val="Akapitzlist"/>
        <w:spacing w:after="60" w:line="360" w:lineRule="auto"/>
        <w:ind w:left="0"/>
        <w:jc w:val="both"/>
        <w:rPr>
          <w:rFonts w:ascii="Arial Narrow" w:hAnsi="Arial Narrow" w:cs="Arial"/>
          <w:i/>
          <w:iCs/>
        </w:rPr>
      </w:pPr>
      <w:r w:rsidRPr="00F77745">
        <w:rPr>
          <w:rFonts w:ascii="Arial Narrow" w:hAnsi="Arial Narrow" w:cs="Arial"/>
          <w:i/>
          <w:u w:val="single"/>
        </w:rPr>
        <w:t>„Definicja wskaźnika</w:t>
      </w:r>
      <w:r w:rsidRPr="00F77745">
        <w:rPr>
          <w:rFonts w:ascii="Arial Narrow" w:hAnsi="Arial Narrow" w:cs="Arial"/>
          <w:i/>
        </w:rPr>
        <w:t xml:space="preserve">: </w:t>
      </w:r>
      <w:r w:rsidRPr="00F77745">
        <w:rPr>
          <w:rFonts w:ascii="Arial Narrow" w:hAnsi="Arial Narrow" w:cs="Arial"/>
          <w:i/>
          <w:iCs/>
        </w:rPr>
        <w:t xml:space="preserve">Ilość zaoszczędzonej w wyniku realizacji projektu energii cieplnej i elektrycznej </w:t>
      </w:r>
      <w:r w:rsidR="00590639">
        <w:rPr>
          <w:rFonts w:ascii="Arial Narrow" w:hAnsi="Arial Narrow" w:cs="Arial"/>
          <w:i/>
          <w:iCs/>
        </w:rPr>
        <w:br/>
      </w:r>
      <w:r w:rsidRPr="00F77745">
        <w:rPr>
          <w:rFonts w:ascii="Arial Narrow" w:hAnsi="Arial Narrow" w:cs="Arial"/>
          <w:i/>
          <w:iCs/>
        </w:rPr>
        <w:t>w dystrybucji w ciągu pełnego roku po zakończeniu projektu w stosunku do roku bazowego.</w:t>
      </w:r>
    </w:p>
    <w:p w:rsidR="00463641" w:rsidRPr="00F77745" w:rsidRDefault="00463641" w:rsidP="00463641">
      <w:pPr>
        <w:pStyle w:val="Akapitzlist"/>
        <w:spacing w:after="60" w:line="360" w:lineRule="auto"/>
        <w:ind w:left="0"/>
        <w:jc w:val="both"/>
        <w:rPr>
          <w:rFonts w:ascii="Arial Narrow" w:hAnsi="Arial Narrow" w:cs="Arial"/>
          <w:i/>
          <w:iCs/>
        </w:rPr>
      </w:pPr>
      <w:r w:rsidRPr="00F77745">
        <w:rPr>
          <w:rFonts w:ascii="Arial Narrow" w:hAnsi="Arial Narrow" w:cs="Arial"/>
          <w:i/>
          <w:iCs/>
        </w:rPr>
        <w:t>Wskaźnik może być oszacowany na podstawie wartości docelowych wskaźników „Ilość zaoszczędzonej energii cieplnej” oraz „Ilość zaoszczędzonej energii elektrycznej” (wyłącznie w części dotyczącej budynków użyteczności publicznej). Aby z oszacowanej wartości oszacowanego poziomu oszczędności energii końcowej otrzymać oszczędność energii pierwotnej należy wykorzystać współczynnik konwersji 1,25 (tj. do wytworzenie 1 jednostki energii końcowej potrzeba 1,25 energii pierwotnej).</w:t>
      </w:r>
    </w:p>
    <w:p w:rsidR="00463641" w:rsidRPr="00F77745" w:rsidRDefault="00463641" w:rsidP="00463641">
      <w:pPr>
        <w:pStyle w:val="Akapitzlist"/>
        <w:spacing w:after="60" w:line="360" w:lineRule="auto"/>
        <w:ind w:left="0"/>
        <w:jc w:val="both"/>
        <w:rPr>
          <w:rFonts w:ascii="Arial Narrow" w:hAnsi="Arial Narrow" w:cs="Arial"/>
          <w:i/>
        </w:rPr>
      </w:pPr>
      <w:r w:rsidRPr="00F77745">
        <w:rPr>
          <w:rFonts w:ascii="Arial Narrow" w:hAnsi="Arial Narrow" w:cs="Arial"/>
          <w:i/>
        </w:rPr>
        <w:t>W związku z powyższym do wyliczenia wskaźnika wykorzystano wartości docelowe wskaźników:</w:t>
      </w:r>
    </w:p>
    <w:p w:rsidR="00463641" w:rsidRPr="00F77745" w:rsidRDefault="00463641" w:rsidP="00463641">
      <w:pPr>
        <w:pStyle w:val="Akapitzlist"/>
        <w:numPr>
          <w:ilvl w:val="0"/>
          <w:numId w:val="6"/>
        </w:numPr>
        <w:spacing w:after="60" w:line="360" w:lineRule="auto"/>
        <w:ind w:left="709" w:hanging="425"/>
        <w:contextualSpacing w:val="0"/>
        <w:jc w:val="both"/>
        <w:rPr>
          <w:rFonts w:ascii="Arial Narrow" w:hAnsi="Arial Narrow" w:cs="Arial"/>
          <w:i/>
          <w:iCs/>
        </w:rPr>
      </w:pPr>
      <w:r w:rsidRPr="00F77745">
        <w:rPr>
          <w:rFonts w:ascii="Arial Narrow" w:hAnsi="Arial Narrow" w:cs="Arial"/>
          <w:i/>
          <w:iCs/>
        </w:rPr>
        <w:t xml:space="preserve">Ilość zaoszczędzonej energii elektrycznej – </w:t>
      </w:r>
      <w:r w:rsidR="00590639">
        <w:rPr>
          <w:rFonts w:ascii="Arial Narrow" w:hAnsi="Arial Narrow" w:cs="Arial"/>
          <w:i/>
          <w:iCs/>
        </w:rPr>
        <w:t>………</w:t>
      </w:r>
      <w:r w:rsidRPr="00F77745">
        <w:rPr>
          <w:rFonts w:ascii="Arial Narrow" w:hAnsi="Arial Narrow" w:cs="Arial"/>
          <w:i/>
          <w:iCs/>
        </w:rPr>
        <w:t xml:space="preserve"> </w:t>
      </w:r>
      <w:proofErr w:type="spellStart"/>
      <w:r w:rsidRPr="00F77745">
        <w:rPr>
          <w:rFonts w:ascii="Arial Narrow" w:hAnsi="Arial Narrow" w:cs="Arial"/>
          <w:i/>
          <w:iCs/>
        </w:rPr>
        <w:t>MWh</w:t>
      </w:r>
      <w:proofErr w:type="spellEnd"/>
      <w:r w:rsidRPr="00F77745">
        <w:rPr>
          <w:rFonts w:ascii="Arial Narrow" w:hAnsi="Arial Narrow" w:cs="Arial"/>
          <w:i/>
          <w:iCs/>
        </w:rPr>
        <w:t>/rok</w:t>
      </w:r>
    </w:p>
    <w:p w:rsidR="00463641" w:rsidRPr="00F77745" w:rsidRDefault="00463641" w:rsidP="00463641">
      <w:pPr>
        <w:pStyle w:val="Akapitzlist"/>
        <w:numPr>
          <w:ilvl w:val="0"/>
          <w:numId w:val="6"/>
        </w:numPr>
        <w:spacing w:after="60" w:line="360" w:lineRule="auto"/>
        <w:ind w:left="709" w:hanging="425"/>
        <w:jc w:val="both"/>
        <w:rPr>
          <w:rFonts w:ascii="Arial Narrow" w:hAnsi="Arial Narrow" w:cs="Arial"/>
          <w:i/>
        </w:rPr>
      </w:pPr>
      <w:r w:rsidRPr="00F77745">
        <w:rPr>
          <w:rFonts w:ascii="Arial Narrow" w:hAnsi="Arial Narrow" w:cs="Arial"/>
          <w:i/>
          <w:iCs/>
        </w:rPr>
        <w:t xml:space="preserve">Ilość zaoszczędzonej energii cieplnej – </w:t>
      </w:r>
      <w:r w:rsidR="00590639">
        <w:rPr>
          <w:rFonts w:ascii="Arial Narrow" w:hAnsi="Arial Narrow" w:cs="Arial"/>
          <w:i/>
          <w:iCs/>
        </w:rPr>
        <w:t>………</w:t>
      </w:r>
      <w:r w:rsidRPr="00F77745">
        <w:rPr>
          <w:rFonts w:ascii="Arial Narrow" w:hAnsi="Arial Narrow" w:cs="Arial"/>
          <w:i/>
          <w:iCs/>
        </w:rPr>
        <w:t xml:space="preserve"> GJ/rok, tj. </w:t>
      </w:r>
      <w:r w:rsidR="00590639">
        <w:rPr>
          <w:rFonts w:ascii="Arial Narrow" w:hAnsi="Arial Narrow" w:cs="Arial"/>
          <w:i/>
          <w:iCs/>
        </w:rPr>
        <w:t>………</w:t>
      </w:r>
      <w:r w:rsidRPr="00F77745">
        <w:rPr>
          <w:rFonts w:ascii="Arial Narrow" w:hAnsi="Arial Narrow" w:cs="Arial"/>
          <w:i/>
          <w:iCs/>
        </w:rPr>
        <w:t xml:space="preserve"> </w:t>
      </w:r>
      <w:proofErr w:type="spellStart"/>
      <w:r w:rsidRPr="00F77745">
        <w:rPr>
          <w:rFonts w:ascii="Arial Narrow" w:hAnsi="Arial Narrow" w:cs="Arial"/>
          <w:i/>
          <w:iCs/>
        </w:rPr>
        <w:t>kWh</w:t>
      </w:r>
      <w:proofErr w:type="spellEnd"/>
      <w:r w:rsidRPr="00F77745">
        <w:rPr>
          <w:rFonts w:ascii="Arial Narrow" w:hAnsi="Arial Narrow" w:cs="Arial"/>
          <w:i/>
          <w:iCs/>
        </w:rPr>
        <w:t>/rok (</w:t>
      </w:r>
      <w:r w:rsidR="00590639">
        <w:rPr>
          <w:rFonts w:ascii="Arial Narrow" w:hAnsi="Arial Narrow" w:cs="Arial"/>
          <w:i/>
          <w:iCs/>
        </w:rPr>
        <w:t>………</w:t>
      </w:r>
      <w:r w:rsidRPr="00F77745">
        <w:rPr>
          <w:rFonts w:ascii="Arial Narrow" w:hAnsi="Arial Narrow" w:cs="Arial"/>
          <w:i/>
          <w:iCs/>
        </w:rPr>
        <w:t xml:space="preserve"> x 277,78), tj.  </w:t>
      </w:r>
      <w:r w:rsidR="00590639">
        <w:rPr>
          <w:rFonts w:ascii="Arial Narrow" w:hAnsi="Arial Narrow" w:cs="Arial"/>
          <w:i/>
          <w:iCs/>
        </w:rPr>
        <w:t>………</w:t>
      </w:r>
      <w:proofErr w:type="spellStart"/>
      <w:r w:rsidRPr="00F77745">
        <w:rPr>
          <w:rFonts w:ascii="Arial Narrow" w:hAnsi="Arial Narrow" w:cs="Arial"/>
          <w:i/>
          <w:iCs/>
        </w:rPr>
        <w:t>MWh</w:t>
      </w:r>
      <w:proofErr w:type="spellEnd"/>
      <w:r w:rsidRPr="00F77745">
        <w:rPr>
          <w:rFonts w:ascii="Arial Narrow" w:hAnsi="Arial Narrow" w:cs="Arial"/>
          <w:i/>
          <w:iCs/>
        </w:rPr>
        <w:t>/rok</w:t>
      </w:r>
    </w:p>
    <w:p w:rsidR="00463641" w:rsidRPr="00F77745" w:rsidRDefault="00463641" w:rsidP="00463641">
      <w:pPr>
        <w:pStyle w:val="Akapitzlist"/>
        <w:spacing w:after="60" w:line="360" w:lineRule="auto"/>
        <w:ind w:left="0"/>
        <w:jc w:val="both"/>
        <w:rPr>
          <w:rFonts w:ascii="Arial Narrow" w:hAnsi="Arial Narrow" w:cs="Arial"/>
          <w:i/>
        </w:rPr>
      </w:pPr>
      <w:r w:rsidRPr="00F77745">
        <w:rPr>
          <w:rFonts w:ascii="Arial Narrow" w:hAnsi="Arial Narrow" w:cs="Arial"/>
          <w:i/>
        </w:rPr>
        <w:t xml:space="preserve">W następnej kolejności dokonano przeliczenia ww. wartości z wykorzystaniem współczynnika konwersji 1,25. </w:t>
      </w:r>
    </w:p>
    <w:p w:rsidR="00463641" w:rsidRPr="00F77745" w:rsidRDefault="00590639" w:rsidP="00463641">
      <w:pPr>
        <w:pStyle w:val="Akapitzlist"/>
        <w:spacing w:after="60" w:line="360" w:lineRule="auto"/>
        <w:ind w:left="0"/>
        <w:jc w:val="both"/>
        <w:rPr>
          <w:rFonts w:ascii="Arial Narrow" w:hAnsi="Arial Narrow" w:cs="Arial"/>
          <w:i/>
        </w:rPr>
      </w:pPr>
      <w:r>
        <w:rPr>
          <w:rFonts w:ascii="Arial Narrow" w:hAnsi="Arial Narrow" w:cs="Arial"/>
          <w:i/>
          <w:iCs/>
        </w:rPr>
        <w:t>………</w:t>
      </w:r>
      <w:r w:rsidR="00463641" w:rsidRPr="00F77745">
        <w:rPr>
          <w:rFonts w:ascii="Arial Narrow" w:hAnsi="Arial Narrow" w:cs="Arial"/>
          <w:i/>
        </w:rPr>
        <w:t xml:space="preserve"> x 1,25 = </w:t>
      </w:r>
      <w:r>
        <w:rPr>
          <w:rFonts w:ascii="Arial Narrow" w:hAnsi="Arial Narrow" w:cs="Arial"/>
          <w:i/>
          <w:iCs/>
        </w:rPr>
        <w:t>………</w:t>
      </w:r>
      <w:r w:rsidR="00463641" w:rsidRPr="00F77745">
        <w:rPr>
          <w:rFonts w:ascii="Arial Narrow" w:hAnsi="Arial Narrow" w:cs="Arial"/>
          <w:i/>
        </w:rPr>
        <w:t xml:space="preserve"> </w:t>
      </w:r>
      <w:proofErr w:type="spellStart"/>
      <w:r w:rsidR="00463641" w:rsidRPr="00F77745">
        <w:rPr>
          <w:rFonts w:ascii="Arial Narrow" w:hAnsi="Arial Narrow" w:cs="Arial"/>
          <w:i/>
        </w:rPr>
        <w:t>MWh</w:t>
      </w:r>
      <w:proofErr w:type="spellEnd"/>
      <w:r w:rsidR="00463641" w:rsidRPr="00F77745">
        <w:rPr>
          <w:rFonts w:ascii="Arial Narrow" w:hAnsi="Arial Narrow" w:cs="Arial"/>
          <w:i/>
        </w:rPr>
        <w:t>/rok</w:t>
      </w:r>
    </w:p>
    <w:p w:rsidR="00463641" w:rsidRPr="00F77745" w:rsidRDefault="00590639" w:rsidP="00463641">
      <w:pPr>
        <w:pStyle w:val="Akapitzlist"/>
        <w:spacing w:after="60" w:line="360" w:lineRule="auto"/>
        <w:ind w:left="0"/>
        <w:jc w:val="both"/>
        <w:rPr>
          <w:rFonts w:ascii="Arial Narrow" w:hAnsi="Arial Narrow" w:cs="Arial"/>
          <w:i/>
        </w:rPr>
      </w:pPr>
      <w:r>
        <w:rPr>
          <w:rFonts w:ascii="Arial Narrow" w:hAnsi="Arial Narrow" w:cs="Arial"/>
          <w:i/>
          <w:iCs/>
        </w:rPr>
        <w:t>………</w:t>
      </w:r>
      <w:r w:rsidR="00463641" w:rsidRPr="00F77745">
        <w:rPr>
          <w:rFonts w:ascii="Arial Narrow" w:hAnsi="Arial Narrow" w:cs="Arial"/>
          <w:i/>
        </w:rPr>
        <w:t xml:space="preserve"> x 1,25 = </w:t>
      </w:r>
      <w:r>
        <w:rPr>
          <w:rFonts w:ascii="Arial Narrow" w:hAnsi="Arial Narrow" w:cs="Arial"/>
          <w:i/>
          <w:iCs/>
        </w:rPr>
        <w:t>………</w:t>
      </w:r>
      <w:r w:rsidR="00463641" w:rsidRPr="00F77745">
        <w:rPr>
          <w:rFonts w:ascii="Arial Narrow" w:hAnsi="Arial Narrow" w:cs="Arial"/>
          <w:i/>
        </w:rPr>
        <w:t xml:space="preserve"> </w:t>
      </w:r>
      <w:proofErr w:type="spellStart"/>
      <w:r w:rsidR="00463641" w:rsidRPr="00F77745">
        <w:rPr>
          <w:rFonts w:ascii="Arial Narrow" w:hAnsi="Arial Narrow" w:cs="Arial"/>
          <w:i/>
        </w:rPr>
        <w:t>MWh</w:t>
      </w:r>
      <w:proofErr w:type="spellEnd"/>
      <w:r w:rsidR="00463641" w:rsidRPr="00F77745">
        <w:rPr>
          <w:rFonts w:ascii="Arial Narrow" w:hAnsi="Arial Narrow" w:cs="Arial"/>
          <w:i/>
        </w:rPr>
        <w:t>/rok</w:t>
      </w:r>
    </w:p>
    <w:p w:rsidR="00463641" w:rsidRPr="00F77745" w:rsidRDefault="00590639" w:rsidP="00463641">
      <w:pPr>
        <w:pStyle w:val="Akapitzlist"/>
        <w:spacing w:after="60" w:line="360" w:lineRule="auto"/>
        <w:ind w:left="0"/>
        <w:jc w:val="both"/>
        <w:rPr>
          <w:rFonts w:ascii="Arial Narrow" w:hAnsi="Arial Narrow" w:cs="Arial"/>
          <w:i/>
        </w:rPr>
      </w:pPr>
      <w:r>
        <w:rPr>
          <w:rFonts w:ascii="Arial Narrow" w:hAnsi="Arial Narrow" w:cs="Arial"/>
          <w:i/>
          <w:iCs/>
        </w:rPr>
        <w:t>………</w:t>
      </w:r>
      <w:r w:rsidR="00463641" w:rsidRPr="00F77745">
        <w:rPr>
          <w:rFonts w:ascii="Arial Narrow" w:hAnsi="Arial Narrow" w:cs="Arial"/>
          <w:i/>
        </w:rPr>
        <w:t xml:space="preserve"> + </w:t>
      </w:r>
      <w:r>
        <w:rPr>
          <w:rFonts w:ascii="Arial Narrow" w:hAnsi="Arial Narrow" w:cs="Arial"/>
          <w:i/>
          <w:iCs/>
        </w:rPr>
        <w:t>………</w:t>
      </w:r>
      <w:r w:rsidR="00463641" w:rsidRPr="00F77745">
        <w:rPr>
          <w:rFonts w:ascii="Arial Narrow" w:hAnsi="Arial Narrow" w:cs="Arial"/>
          <w:i/>
        </w:rPr>
        <w:t xml:space="preserve"> = </w:t>
      </w:r>
      <w:r>
        <w:rPr>
          <w:rFonts w:ascii="Arial Narrow" w:hAnsi="Arial Narrow" w:cs="Arial"/>
          <w:i/>
          <w:iCs/>
        </w:rPr>
        <w:t>………</w:t>
      </w:r>
      <w:r w:rsidR="00463641" w:rsidRPr="00F77745">
        <w:rPr>
          <w:rFonts w:ascii="Arial Narrow" w:hAnsi="Arial Narrow" w:cs="Arial"/>
          <w:i/>
        </w:rPr>
        <w:t xml:space="preserve"> </w:t>
      </w:r>
      <w:proofErr w:type="spellStart"/>
      <w:r w:rsidR="00463641" w:rsidRPr="00F77745">
        <w:rPr>
          <w:rFonts w:ascii="Arial Narrow" w:hAnsi="Arial Narrow" w:cs="Arial"/>
          <w:i/>
        </w:rPr>
        <w:t>MWh</w:t>
      </w:r>
      <w:proofErr w:type="spellEnd"/>
      <w:r w:rsidR="00463641" w:rsidRPr="00F77745">
        <w:rPr>
          <w:rFonts w:ascii="Arial Narrow" w:hAnsi="Arial Narrow" w:cs="Arial"/>
          <w:i/>
        </w:rPr>
        <w:t xml:space="preserve">/rok, tj. </w:t>
      </w:r>
      <w:r>
        <w:rPr>
          <w:rFonts w:ascii="Arial Narrow" w:hAnsi="Arial Narrow" w:cs="Arial"/>
          <w:i/>
          <w:iCs/>
        </w:rPr>
        <w:t>………</w:t>
      </w:r>
      <w:r w:rsidR="00463641" w:rsidRPr="00F77745">
        <w:rPr>
          <w:rFonts w:ascii="Arial Narrow" w:hAnsi="Arial Narrow" w:cs="Arial"/>
          <w:b/>
          <w:i/>
        </w:rPr>
        <w:t xml:space="preserve"> </w:t>
      </w:r>
      <w:proofErr w:type="spellStart"/>
      <w:r w:rsidR="00463641" w:rsidRPr="00F77745">
        <w:rPr>
          <w:rFonts w:ascii="Arial Narrow" w:hAnsi="Arial Narrow" w:cs="Arial"/>
          <w:b/>
          <w:i/>
        </w:rPr>
        <w:t>kWh</w:t>
      </w:r>
      <w:proofErr w:type="spellEnd"/>
      <w:r w:rsidR="00463641" w:rsidRPr="00F77745">
        <w:rPr>
          <w:rFonts w:ascii="Arial Narrow" w:hAnsi="Arial Narrow" w:cs="Arial"/>
          <w:b/>
          <w:i/>
        </w:rPr>
        <w:t>/rok</w:t>
      </w:r>
    </w:p>
    <w:p w:rsidR="00463641" w:rsidRPr="00F77745" w:rsidRDefault="00463641" w:rsidP="00463641">
      <w:pPr>
        <w:pStyle w:val="Akapitzlist"/>
        <w:numPr>
          <w:ilvl w:val="0"/>
          <w:numId w:val="10"/>
        </w:numPr>
        <w:spacing w:after="120" w:line="360" w:lineRule="auto"/>
        <w:ind w:left="0"/>
        <w:jc w:val="both"/>
        <w:rPr>
          <w:rFonts w:ascii="Arial Narrow" w:hAnsi="Arial Narrow" w:cs="Arial"/>
          <w:i/>
          <w:iCs/>
        </w:rPr>
      </w:pPr>
      <w:r w:rsidRPr="00F77745">
        <w:rPr>
          <w:rFonts w:ascii="Arial Narrow" w:eastAsia="Times New Roman" w:hAnsi="Arial Narrow" w:cs="Arial"/>
          <w:bCs/>
        </w:rPr>
        <w:t xml:space="preserve">Metodologia wyliczenia wartości wskaźnika produktu pn. </w:t>
      </w:r>
      <w:r w:rsidRPr="00F77745">
        <w:rPr>
          <w:rFonts w:ascii="Arial Narrow" w:eastAsia="Times New Roman" w:hAnsi="Arial Narrow" w:cs="Arial"/>
          <w:b/>
          <w:bCs/>
        </w:rPr>
        <w:t xml:space="preserve">„Szacowany roczny spadek emisji gazów cieplarnianych [tony równoważnika CO2] (Cl 34)”. </w:t>
      </w:r>
    </w:p>
    <w:p w:rsidR="00463641" w:rsidRPr="00F77745" w:rsidRDefault="00463641" w:rsidP="00463641">
      <w:pPr>
        <w:pStyle w:val="Akapitzlist"/>
        <w:spacing w:after="120" w:line="360" w:lineRule="auto"/>
        <w:ind w:left="0"/>
        <w:jc w:val="both"/>
        <w:rPr>
          <w:rFonts w:ascii="Arial Narrow" w:hAnsi="Arial Narrow" w:cs="Arial"/>
          <w:i/>
          <w:iCs/>
        </w:rPr>
      </w:pPr>
      <w:r w:rsidRPr="00F77745">
        <w:rPr>
          <w:rFonts w:ascii="Arial Narrow" w:hAnsi="Arial Narrow" w:cs="Arial"/>
          <w:i/>
          <w:iCs/>
        </w:rPr>
        <w:t>Metodologia wyliczenia wskaźnika została oparta na zapisach regulaminu konkursu, zgodnie z którymi:</w:t>
      </w:r>
    </w:p>
    <w:p w:rsidR="00463641" w:rsidRPr="00F77745" w:rsidRDefault="00463641" w:rsidP="00463641">
      <w:pPr>
        <w:pStyle w:val="Akapitzlist"/>
        <w:spacing w:after="0" w:line="360" w:lineRule="auto"/>
        <w:ind w:left="0"/>
        <w:jc w:val="both"/>
        <w:rPr>
          <w:rFonts w:ascii="Arial Narrow" w:hAnsi="Arial Narrow" w:cs="Arial"/>
          <w:i/>
          <w:iCs/>
        </w:rPr>
      </w:pPr>
      <w:r w:rsidRPr="00F77745">
        <w:rPr>
          <w:rFonts w:ascii="Arial Narrow" w:hAnsi="Arial Narrow" w:cs="Arial"/>
          <w:i/>
          <w:iCs/>
        </w:rPr>
        <w:t>„Definicja wskaźnika: Wskaźnik mierzy łączny szacunkowy roczny spadek na koniec okresu, a nie całkowity spadek w całym okresie.</w:t>
      </w:r>
    </w:p>
    <w:p w:rsidR="00463641" w:rsidRPr="00F77745" w:rsidRDefault="00463641" w:rsidP="00463641">
      <w:pPr>
        <w:pStyle w:val="Akapitzlist"/>
        <w:spacing w:after="0" w:line="360" w:lineRule="auto"/>
        <w:ind w:left="0"/>
        <w:jc w:val="both"/>
        <w:rPr>
          <w:rFonts w:ascii="Arial Narrow" w:hAnsi="Arial Narrow" w:cs="Arial"/>
          <w:i/>
          <w:iCs/>
        </w:rPr>
      </w:pPr>
      <w:r w:rsidRPr="00F77745">
        <w:rPr>
          <w:rFonts w:ascii="Arial Narrow" w:hAnsi="Arial Narrow" w:cs="Arial"/>
          <w:i/>
          <w:iCs/>
        </w:rPr>
        <w:t>W przypadku działań dotyczących oszczędności energii, szacunki opierają się na ilości zaoszczędzonej energii pierwotnej w danym roku poprzez wsparcie działań (albo jeden rok po zakończeniu projektu lub w roku kalendarzowym, po zakończeniu projektu).</w:t>
      </w:r>
    </w:p>
    <w:p w:rsidR="00463641" w:rsidRPr="00F77745" w:rsidRDefault="00463641" w:rsidP="00463641">
      <w:pPr>
        <w:pStyle w:val="Akapitzlist"/>
        <w:spacing w:after="0" w:line="360" w:lineRule="auto"/>
        <w:ind w:left="0"/>
        <w:jc w:val="both"/>
        <w:rPr>
          <w:rFonts w:ascii="Arial Narrow" w:hAnsi="Arial Narrow" w:cs="Arial"/>
          <w:i/>
          <w:iCs/>
        </w:rPr>
      </w:pPr>
      <w:r w:rsidRPr="00F77745">
        <w:rPr>
          <w:rFonts w:ascii="Arial Narrow" w:hAnsi="Arial Narrow" w:cs="Arial"/>
          <w:i/>
          <w:iCs/>
        </w:rPr>
        <w:t>Zaoszczędzona energia ma zastąpić produkcję energii ze źródeł nieodnawialnych. Wpływ gazów cieplarnianych powstałych ze źródeł energii nieodnawialnej jest szacowany poprzez koszt emisji gazów cieplarnianych przypadających na jednostkę produkcji energii ze źródeł nieodnawialnych.</w:t>
      </w:r>
    </w:p>
    <w:p w:rsidR="00463641" w:rsidRPr="00F77745" w:rsidRDefault="00463641" w:rsidP="00463641">
      <w:pPr>
        <w:pStyle w:val="Akapitzlist"/>
        <w:spacing w:after="0" w:line="360" w:lineRule="auto"/>
        <w:ind w:left="0"/>
        <w:jc w:val="both"/>
        <w:rPr>
          <w:rFonts w:ascii="Arial Narrow" w:hAnsi="Arial Narrow" w:cs="Arial"/>
          <w:i/>
          <w:iCs/>
        </w:rPr>
      </w:pPr>
      <w:r w:rsidRPr="00F77745">
        <w:rPr>
          <w:rFonts w:ascii="Arial Narrow" w:hAnsi="Arial Narrow" w:cs="Arial"/>
          <w:i/>
          <w:iCs/>
        </w:rPr>
        <w:t>Wartość wskaźnika należy oszacować wynikowo, w odniesieniu do mierników opisujących ilość zaoszczędzonej energii. Wykorzystać należy wartości docelowe wskaźników:</w:t>
      </w:r>
    </w:p>
    <w:p w:rsidR="00463641" w:rsidRPr="00F77745" w:rsidRDefault="00463641" w:rsidP="00463641">
      <w:pPr>
        <w:pStyle w:val="Akapitzlist"/>
        <w:numPr>
          <w:ilvl w:val="0"/>
          <w:numId w:val="7"/>
        </w:numPr>
        <w:spacing w:after="0" w:line="360" w:lineRule="auto"/>
        <w:ind w:left="0" w:firstLine="284"/>
        <w:contextualSpacing w:val="0"/>
        <w:jc w:val="both"/>
        <w:rPr>
          <w:rFonts w:ascii="Arial Narrow" w:hAnsi="Arial Narrow" w:cs="Arial"/>
          <w:i/>
          <w:iCs/>
        </w:rPr>
      </w:pPr>
      <w:r w:rsidRPr="00F77745">
        <w:rPr>
          <w:rFonts w:ascii="Arial Narrow" w:hAnsi="Arial Narrow" w:cs="Arial"/>
          <w:i/>
          <w:iCs/>
        </w:rPr>
        <w:t>Ilość zaoszczędzonej energii cieplnej;</w:t>
      </w:r>
    </w:p>
    <w:p w:rsidR="00463641" w:rsidRPr="00F77745" w:rsidRDefault="00463641" w:rsidP="00463641">
      <w:pPr>
        <w:pStyle w:val="Akapitzlist"/>
        <w:numPr>
          <w:ilvl w:val="0"/>
          <w:numId w:val="7"/>
        </w:numPr>
        <w:spacing w:after="0" w:line="360" w:lineRule="auto"/>
        <w:ind w:left="0" w:firstLine="284"/>
        <w:contextualSpacing w:val="0"/>
        <w:jc w:val="both"/>
        <w:rPr>
          <w:rFonts w:ascii="Arial Narrow" w:hAnsi="Arial Narrow" w:cs="Arial"/>
          <w:i/>
          <w:iCs/>
        </w:rPr>
      </w:pPr>
      <w:r w:rsidRPr="00F77745">
        <w:rPr>
          <w:rFonts w:ascii="Arial Narrow" w:hAnsi="Arial Narrow" w:cs="Arial"/>
          <w:i/>
          <w:iCs/>
        </w:rPr>
        <w:t>Ilość zaoszczędzonej energii elektrycznej.</w:t>
      </w:r>
    </w:p>
    <w:p w:rsidR="00463641" w:rsidRPr="00F77745" w:rsidRDefault="00463641" w:rsidP="00463641">
      <w:pPr>
        <w:pStyle w:val="Akapitzlist"/>
        <w:spacing w:after="0" w:line="360" w:lineRule="auto"/>
        <w:ind w:left="0"/>
        <w:jc w:val="both"/>
        <w:rPr>
          <w:rFonts w:ascii="Arial Narrow" w:hAnsi="Arial Narrow" w:cs="Arial"/>
          <w:i/>
          <w:iCs/>
        </w:rPr>
      </w:pPr>
      <w:r w:rsidRPr="00F77745">
        <w:rPr>
          <w:rFonts w:ascii="Arial Narrow" w:hAnsi="Arial Narrow" w:cs="Arial"/>
          <w:i/>
          <w:iCs/>
        </w:rPr>
        <w:t>Następnie wartości docelowe obydwu wskaźników należy przemnożyć przez odpowiednie współczynniki emisyjności:</w:t>
      </w:r>
    </w:p>
    <w:p w:rsidR="00463641" w:rsidRPr="00F77745" w:rsidRDefault="00463641" w:rsidP="00463641">
      <w:pPr>
        <w:pStyle w:val="Akapitzlist"/>
        <w:numPr>
          <w:ilvl w:val="0"/>
          <w:numId w:val="8"/>
        </w:numPr>
        <w:spacing w:after="0" w:line="360" w:lineRule="auto"/>
        <w:ind w:left="567" w:hanging="283"/>
        <w:contextualSpacing w:val="0"/>
        <w:jc w:val="both"/>
        <w:rPr>
          <w:rFonts w:ascii="Arial Narrow" w:hAnsi="Arial Narrow" w:cs="Arial"/>
          <w:i/>
          <w:iCs/>
        </w:rPr>
      </w:pPr>
      <w:r w:rsidRPr="00F77745">
        <w:rPr>
          <w:rFonts w:ascii="Arial Narrow" w:hAnsi="Arial Narrow" w:cs="Arial"/>
          <w:i/>
          <w:iCs/>
        </w:rPr>
        <w:lastRenderedPageBreak/>
        <w:t>0,812 Mg CO2/</w:t>
      </w:r>
      <w:proofErr w:type="spellStart"/>
      <w:r w:rsidRPr="00F77745">
        <w:rPr>
          <w:rFonts w:ascii="Arial Narrow" w:hAnsi="Arial Narrow" w:cs="Arial"/>
          <w:i/>
          <w:iCs/>
        </w:rPr>
        <w:t>MWh</w:t>
      </w:r>
      <w:proofErr w:type="spellEnd"/>
      <w:r w:rsidRPr="00F77745">
        <w:rPr>
          <w:rFonts w:ascii="Arial Narrow" w:hAnsi="Arial Narrow" w:cs="Arial"/>
          <w:i/>
          <w:iCs/>
        </w:rPr>
        <w:t xml:space="preserve"> w przypadku energii elektrycznej;</w:t>
      </w:r>
    </w:p>
    <w:p w:rsidR="00463641" w:rsidRPr="00F77745" w:rsidRDefault="00463641" w:rsidP="00463641">
      <w:pPr>
        <w:pStyle w:val="Akapitzlist"/>
        <w:numPr>
          <w:ilvl w:val="0"/>
          <w:numId w:val="8"/>
        </w:numPr>
        <w:spacing w:after="0" w:line="360" w:lineRule="auto"/>
        <w:ind w:left="567" w:hanging="283"/>
        <w:contextualSpacing w:val="0"/>
        <w:jc w:val="both"/>
        <w:rPr>
          <w:rFonts w:ascii="Arial Narrow" w:hAnsi="Arial Narrow" w:cs="Arial"/>
          <w:i/>
          <w:iCs/>
        </w:rPr>
      </w:pPr>
      <w:r w:rsidRPr="00F77745">
        <w:rPr>
          <w:rFonts w:ascii="Arial Narrow" w:hAnsi="Arial Narrow" w:cs="Arial"/>
          <w:i/>
          <w:iCs/>
        </w:rPr>
        <w:t>0,3 Mg CO2/</w:t>
      </w:r>
      <w:proofErr w:type="spellStart"/>
      <w:r w:rsidRPr="00F77745">
        <w:rPr>
          <w:rFonts w:ascii="Arial Narrow" w:hAnsi="Arial Narrow" w:cs="Arial"/>
          <w:i/>
          <w:iCs/>
        </w:rPr>
        <w:t>MWh</w:t>
      </w:r>
      <w:proofErr w:type="spellEnd"/>
      <w:r w:rsidRPr="00F77745">
        <w:rPr>
          <w:rFonts w:ascii="Arial Narrow" w:hAnsi="Arial Narrow" w:cs="Arial"/>
          <w:i/>
          <w:iCs/>
        </w:rPr>
        <w:t xml:space="preserve"> w przypadku energii cieplnej”.</w:t>
      </w:r>
    </w:p>
    <w:p w:rsidR="00463641" w:rsidRPr="00F77745" w:rsidRDefault="00463641" w:rsidP="00463641">
      <w:pPr>
        <w:pStyle w:val="Akapitzlist"/>
        <w:spacing w:after="0" w:line="360" w:lineRule="auto"/>
        <w:ind w:left="0"/>
        <w:jc w:val="both"/>
        <w:rPr>
          <w:rFonts w:ascii="Arial Narrow" w:hAnsi="Arial Narrow" w:cs="Arial"/>
          <w:i/>
          <w:iCs/>
        </w:rPr>
      </w:pPr>
      <w:r w:rsidRPr="00F77745">
        <w:rPr>
          <w:rFonts w:ascii="Arial Narrow" w:hAnsi="Arial Narrow" w:cs="Arial"/>
          <w:i/>
          <w:iCs/>
        </w:rPr>
        <w:t>Zgodnie z regulaminem konkursu, wskaźnik 0,3 Mg CO2/</w:t>
      </w:r>
      <w:proofErr w:type="spellStart"/>
      <w:r w:rsidRPr="00F77745">
        <w:rPr>
          <w:rFonts w:ascii="Arial Narrow" w:hAnsi="Arial Narrow" w:cs="Arial"/>
          <w:i/>
          <w:iCs/>
        </w:rPr>
        <w:t>MWh</w:t>
      </w:r>
      <w:proofErr w:type="spellEnd"/>
      <w:r w:rsidRPr="00F77745">
        <w:rPr>
          <w:rFonts w:ascii="Arial Narrow" w:hAnsi="Arial Narrow" w:cs="Arial"/>
          <w:i/>
          <w:iCs/>
        </w:rPr>
        <w:t xml:space="preserve"> dotyczy wyłącznie ciepła sieciowego.</w:t>
      </w:r>
    </w:p>
    <w:p w:rsidR="00463641" w:rsidRPr="00F77745" w:rsidRDefault="00463641" w:rsidP="00463641">
      <w:pPr>
        <w:pStyle w:val="Akapitzlist"/>
        <w:spacing w:after="0" w:line="360" w:lineRule="auto"/>
        <w:ind w:left="0"/>
        <w:jc w:val="both"/>
        <w:rPr>
          <w:rFonts w:ascii="Arial Narrow" w:hAnsi="Arial Narrow" w:cs="Arial"/>
          <w:i/>
          <w:iCs/>
        </w:rPr>
      </w:pPr>
      <w:r w:rsidRPr="00F77745">
        <w:rPr>
          <w:rFonts w:ascii="Arial Narrow" w:hAnsi="Arial Narrow" w:cs="Arial"/>
          <w:i/>
          <w:iCs/>
        </w:rPr>
        <w:t>W związku z powyższym do wyliczenia wskaźnika wykorzystano wartości docelowe wskaźników:</w:t>
      </w:r>
    </w:p>
    <w:p w:rsidR="00463641" w:rsidRPr="00F77745" w:rsidRDefault="00463641" w:rsidP="00463641">
      <w:pPr>
        <w:pStyle w:val="Akapitzlist"/>
        <w:numPr>
          <w:ilvl w:val="0"/>
          <w:numId w:val="9"/>
        </w:numPr>
        <w:spacing w:after="0" w:line="360" w:lineRule="auto"/>
        <w:ind w:left="709" w:hanging="425"/>
        <w:contextualSpacing w:val="0"/>
        <w:jc w:val="both"/>
        <w:rPr>
          <w:rFonts w:ascii="Arial Narrow" w:hAnsi="Arial Narrow" w:cs="Arial"/>
          <w:i/>
          <w:iCs/>
        </w:rPr>
      </w:pPr>
      <w:r w:rsidRPr="00F77745">
        <w:rPr>
          <w:rFonts w:ascii="Arial Narrow" w:hAnsi="Arial Narrow" w:cs="Arial"/>
          <w:i/>
          <w:iCs/>
        </w:rPr>
        <w:t xml:space="preserve">Ilość zaoszczędzonej energii elektrycznej – </w:t>
      </w:r>
      <w:r w:rsidR="00590639">
        <w:rPr>
          <w:rFonts w:ascii="Arial Narrow" w:hAnsi="Arial Narrow" w:cs="Arial"/>
          <w:i/>
          <w:iCs/>
        </w:rPr>
        <w:t>………</w:t>
      </w:r>
      <w:r w:rsidRPr="00F77745">
        <w:rPr>
          <w:rFonts w:ascii="Arial Narrow" w:hAnsi="Arial Narrow" w:cs="Arial"/>
          <w:i/>
          <w:iCs/>
        </w:rPr>
        <w:t xml:space="preserve"> </w:t>
      </w:r>
      <w:proofErr w:type="spellStart"/>
      <w:r w:rsidRPr="00F77745">
        <w:rPr>
          <w:rFonts w:ascii="Arial Narrow" w:hAnsi="Arial Narrow" w:cs="Arial"/>
          <w:i/>
          <w:iCs/>
        </w:rPr>
        <w:t>MWh</w:t>
      </w:r>
      <w:proofErr w:type="spellEnd"/>
      <w:r w:rsidRPr="00F77745">
        <w:rPr>
          <w:rFonts w:ascii="Arial Narrow" w:hAnsi="Arial Narrow" w:cs="Arial"/>
          <w:i/>
          <w:iCs/>
        </w:rPr>
        <w:t>/rok</w:t>
      </w:r>
    </w:p>
    <w:p w:rsidR="00463641" w:rsidRPr="00F77745" w:rsidRDefault="00463641" w:rsidP="00463641">
      <w:pPr>
        <w:pStyle w:val="Akapitzlist"/>
        <w:numPr>
          <w:ilvl w:val="0"/>
          <w:numId w:val="9"/>
        </w:numPr>
        <w:spacing w:after="0" w:line="360" w:lineRule="auto"/>
        <w:ind w:left="709" w:hanging="425"/>
        <w:contextualSpacing w:val="0"/>
        <w:jc w:val="both"/>
        <w:rPr>
          <w:rFonts w:ascii="Arial Narrow" w:hAnsi="Arial Narrow" w:cs="Arial"/>
          <w:i/>
          <w:iCs/>
        </w:rPr>
      </w:pPr>
      <w:r w:rsidRPr="00F77745">
        <w:rPr>
          <w:rFonts w:ascii="Arial Narrow" w:hAnsi="Arial Narrow" w:cs="Arial"/>
          <w:i/>
          <w:iCs/>
        </w:rPr>
        <w:t xml:space="preserve">Ilość zaoszczędzonej energii </w:t>
      </w:r>
      <w:r w:rsidR="00AD4E6A">
        <w:rPr>
          <w:rFonts w:ascii="Arial Narrow" w:hAnsi="Arial Narrow" w:cs="Arial"/>
          <w:i/>
          <w:iCs/>
        </w:rPr>
        <w:t>cieplnej (dot. obiektu</w:t>
      </w:r>
      <w:r w:rsidR="000F37D7">
        <w:rPr>
          <w:rFonts w:ascii="Arial Narrow" w:hAnsi="Arial Narrow" w:cs="Arial"/>
          <w:i/>
          <w:iCs/>
        </w:rPr>
        <w:t xml:space="preserve"> </w:t>
      </w:r>
      <w:r w:rsidRPr="00F77745">
        <w:rPr>
          <w:rFonts w:ascii="Arial Narrow" w:hAnsi="Arial Narrow" w:cs="Arial"/>
          <w:i/>
          <w:iCs/>
        </w:rPr>
        <w:t xml:space="preserve">– </w:t>
      </w:r>
      <w:r w:rsidR="00590639">
        <w:rPr>
          <w:rFonts w:ascii="Arial Narrow" w:hAnsi="Arial Narrow" w:cs="Arial"/>
          <w:i/>
          <w:iCs/>
        </w:rPr>
        <w:t>………</w:t>
      </w:r>
      <w:r w:rsidRPr="00F77745">
        <w:rPr>
          <w:rFonts w:ascii="Arial Narrow" w:hAnsi="Arial Narrow" w:cs="Arial"/>
          <w:i/>
          <w:iCs/>
        </w:rPr>
        <w:t xml:space="preserve"> GJ/rok, tj. </w:t>
      </w:r>
      <w:r w:rsidR="00590639">
        <w:rPr>
          <w:rFonts w:ascii="Arial Narrow" w:hAnsi="Arial Narrow" w:cs="Arial"/>
          <w:i/>
          <w:iCs/>
        </w:rPr>
        <w:t>………</w:t>
      </w:r>
      <w:r w:rsidRPr="00F77745">
        <w:rPr>
          <w:rFonts w:ascii="Arial Narrow" w:hAnsi="Arial Narrow" w:cs="Arial"/>
          <w:i/>
          <w:iCs/>
        </w:rPr>
        <w:t xml:space="preserve"> </w:t>
      </w:r>
      <w:proofErr w:type="spellStart"/>
      <w:r w:rsidRPr="00F77745">
        <w:rPr>
          <w:rFonts w:ascii="Arial Narrow" w:hAnsi="Arial Narrow" w:cs="Arial"/>
          <w:i/>
          <w:iCs/>
        </w:rPr>
        <w:t>kWh</w:t>
      </w:r>
      <w:proofErr w:type="spellEnd"/>
      <w:r w:rsidRPr="00F77745">
        <w:rPr>
          <w:rFonts w:ascii="Arial Narrow" w:hAnsi="Arial Narrow" w:cs="Arial"/>
          <w:i/>
          <w:iCs/>
        </w:rPr>
        <w:t>/rok (</w:t>
      </w:r>
      <w:r w:rsidR="00590639">
        <w:rPr>
          <w:rFonts w:ascii="Arial Narrow" w:hAnsi="Arial Narrow" w:cs="Arial"/>
          <w:i/>
          <w:iCs/>
        </w:rPr>
        <w:t>………</w:t>
      </w:r>
      <w:r w:rsidRPr="00F77745">
        <w:rPr>
          <w:rFonts w:ascii="Arial Narrow" w:hAnsi="Arial Narrow" w:cs="Arial"/>
          <w:i/>
          <w:iCs/>
        </w:rPr>
        <w:t xml:space="preserve"> x 277,78), tj. </w:t>
      </w:r>
      <w:r w:rsidR="00590639">
        <w:rPr>
          <w:rFonts w:ascii="Arial Narrow" w:hAnsi="Arial Narrow" w:cs="Arial"/>
          <w:i/>
          <w:iCs/>
        </w:rPr>
        <w:t>………</w:t>
      </w:r>
      <w:r w:rsidRPr="00F77745">
        <w:rPr>
          <w:rFonts w:ascii="Arial Narrow" w:hAnsi="Arial Narrow" w:cs="Arial"/>
          <w:i/>
          <w:iCs/>
        </w:rPr>
        <w:t xml:space="preserve"> </w:t>
      </w:r>
      <w:proofErr w:type="spellStart"/>
      <w:r w:rsidRPr="00F77745">
        <w:rPr>
          <w:rFonts w:ascii="Arial Narrow" w:hAnsi="Arial Narrow" w:cs="Arial"/>
          <w:i/>
          <w:iCs/>
        </w:rPr>
        <w:t>MWh</w:t>
      </w:r>
      <w:proofErr w:type="spellEnd"/>
      <w:r w:rsidRPr="00F77745">
        <w:rPr>
          <w:rFonts w:ascii="Arial Narrow" w:hAnsi="Arial Narrow" w:cs="Arial"/>
          <w:i/>
          <w:iCs/>
        </w:rPr>
        <w:t>/rok</w:t>
      </w:r>
    </w:p>
    <w:p w:rsidR="00463641" w:rsidRPr="00F77745" w:rsidRDefault="00463641" w:rsidP="00463641">
      <w:pPr>
        <w:tabs>
          <w:tab w:val="left" w:pos="142"/>
        </w:tabs>
        <w:spacing w:line="360" w:lineRule="auto"/>
        <w:ind w:hanging="426"/>
        <w:jc w:val="both"/>
        <w:rPr>
          <w:rFonts w:ascii="Arial Narrow" w:hAnsi="Arial Narrow" w:cs="Arial"/>
          <w:bCs/>
          <w:sz w:val="22"/>
          <w:szCs w:val="22"/>
        </w:rPr>
      </w:pPr>
      <w:r w:rsidRPr="00F77745">
        <w:rPr>
          <w:rFonts w:ascii="Arial Narrow" w:hAnsi="Arial Narrow" w:cs="Arial"/>
          <w:iCs/>
          <w:sz w:val="22"/>
          <w:szCs w:val="22"/>
        </w:rPr>
        <w:t>3.</w:t>
      </w:r>
      <w:r w:rsidRPr="00F77745">
        <w:rPr>
          <w:rFonts w:ascii="Arial Narrow" w:hAnsi="Arial Narrow" w:cs="Arial"/>
          <w:iCs/>
          <w:sz w:val="22"/>
          <w:szCs w:val="22"/>
        </w:rPr>
        <w:tab/>
        <w:t>M</w:t>
      </w:r>
      <w:r w:rsidRPr="00F77745">
        <w:rPr>
          <w:rFonts w:ascii="Arial Narrow" w:hAnsi="Arial Narrow" w:cs="Arial"/>
          <w:bCs/>
          <w:sz w:val="22"/>
          <w:szCs w:val="22"/>
        </w:rPr>
        <w:t>etodologii wyliczenia wartości wskaźnika produktu pn</w:t>
      </w:r>
      <w:r w:rsidRPr="00F77745">
        <w:rPr>
          <w:rFonts w:ascii="Arial Narrow" w:hAnsi="Arial Narrow" w:cs="Arial"/>
          <w:b/>
          <w:bCs/>
          <w:sz w:val="22"/>
          <w:szCs w:val="22"/>
        </w:rPr>
        <w:t>. „Dodatkowa zdolność wytwarzania energii ze źródeł odnawialnych [ MW] (Cl 30)”.</w:t>
      </w:r>
    </w:p>
    <w:p w:rsidR="00463641" w:rsidRPr="00F77745" w:rsidRDefault="00463641" w:rsidP="00463641">
      <w:pPr>
        <w:pStyle w:val="Akapitzlist"/>
        <w:spacing w:after="60" w:line="360" w:lineRule="auto"/>
        <w:ind w:left="0"/>
        <w:jc w:val="both"/>
        <w:rPr>
          <w:rFonts w:ascii="Arial Narrow" w:hAnsi="Arial Narrow" w:cs="Arial"/>
          <w:i/>
        </w:rPr>
      </w:pPr>
      <w:r w:rsidRPr="00F77745">
        <w:rPr>
          <w:rFonts w:ascii="Arial Narrow" w:eastAsia="Times New Roman" w:hAnsi="Arial Narrow" w:cs="Arial"/>
          <w:i/>
        </w:rPr>
        <w:t xml:space="preserve">W </w:t>
      </w:r>
      <w:r w:rsidRPr="00F77745">
        <w:rPr>
          <w:rFonts w:ascii="Arial Narrow" w:hAnsi="Arial Narrow" w:cs="Arial"/>
          <w:i/>
        </w:rPr>
        <w:t xml:space="preserve">przypadku paneli fotowoltaicznych wskaźnik jest iloczynem przyjętej w audycie nominalnej mocy jednostkowej pojedynczego ogniwa PV i ilości ogniw wyrażonym w MW. Wynosi on 10 </w:t>
      </w:r>
      <w:proofErr w:type="spellStart"/>
      <w:r w:rsidRPr="00F77745">
        <w:rPr>
          <w:rFonts w:ascii="Arial Narrow" w:hAnsi="Arial Narrow" w:cs="Arial"/>
          <w:i/>
        </w:rPr>
        <w:t>kW</w:t>
      </w:r>
      <w:proofErr w:type="spellEnd"/>
      <w:r w:rsidRPr="00F77745">
        <w:rPr>
          <w:rFonts w:ascii="Arial Narrow" w:hAnsi="Arial Narrow" w:cs="Arial"/>
          <w:i/>
        </w:rPr>
        <w:t>, tj. 0,010 MW. Dla pomp ciepła  wyliczenia dokonano na podstawie metodyki opisanej w Załączniku 1 pkt. 8 do Rozporządzenia Ministra Infrastruktury i Rozwoju z dnia 27 lutego 2015r. w sprawie metodologii wyznaczania charakterystyki energetycznej budynku lub części budynku oraz świadectw charakterystyki energetycznej mnożąc całkowitą moc cieplną systemu grzewczego/systemu przygotowania ciepłej wody użytkowej przez wskazany wzór (1-1/</w:t>
      </w:r>
      <w:r w:rsidRPr="00F77745">
        <w:rPr>
          <w:rFonts w:ascii="Arial" w:hAnsi="Arial" w:cs="Arial"/>
          <w:i/>
        </w:rPr>
        <w:t>ƞ</w:t>
      </w:r>
      <w:r w:rsidRPr="00F77745">
        <w:rPr>
          <w:rFonts w:ascii="Arial Narrow" w:hAnsi="Arial Narrow" w:cs="Arial"/>
          <w:i/>
        </w:rPr>
        <w:t xml:space="preserve">). Wynosi ona </w:t>
      </w:r>
      <w:r w:rsidR="00D175E2">
        <w:rPr>
          <w:rFonts w:ascii="Arial Narrow" w:hAnsi="Arial Narrow" w:cs="Arial"/>
          <w:i/>
          <w:iCs/>
        </w:rPr>
        <w:t xml:space="preserve">……… </w:t>
      </w:r>
      <w:r w:rsidRPr="00F77745">
        <w:rPr>
          <w:rFonts w:ascii="Arial Narrow" w:hAnsi="Arial Narrow" w:cs="Arial"/>
          <w:i/>
        </w:rPr>
        <w:t xml:space="preserve">MW. Łączna wartość wskaźnika wynosi zatem </w:t>
      </w:r>
      <w:r w:rsidR="00D175E2">
        <w:rPr>
          <w:rFonts w:ascii="Arial Narrow" w:hAnsi="Arial Narrow" w:cs="Arial"/>
          <w:i/>
          <w:iCs/>
        </w:rPr>
        <w:t xml:space="preserve">……… </w:t>
      </w:r>
      <w:r w:rsidRPr="00F77745">
        <w:rPr>
          <w:rFonts w:ascii="Arial Narrow" w:hAnsi="Arial Narrow" w:cs="Arial"/>
          <w:i/>
        </w:rPr>
        <w:t xml:space="preserve">MW, a zatem </w:t>
      </w:r>
      <w:r w:rsidR="00D175E2">
        <w:rPr>
          <w:rFonts w:ascii="Arial Narrow" w:hAnsi="Arial Narrow" w:cs="Arial"/>
          <w:i/>
          <w:iCs/>
        </w:rPr>
        <w:t xml:space="preserve">……… </w:t>
      </w:r>
      <w:r w:rsidRPr="009D3147">
        <w:rPr>
          <w:rFonts w:ascii="Arial Narrow" w:hAnsi="Arial Narrow" w:cs="Arial"/>
          <w:b/>
          <w:i/>
        </w:rPr>
        <w:t>MW.</w:t>
      </w:r>
    </w:p>
    <w:p w:rsidR="00463641" w:rsidRPr="00F77745" w:rsidRDefault="00463641" w:rsidP="00463641">
      <w:pPr>
        <w:pStyle w:val="Akapitzlist"/>
        <w:numPr>
          <w:ilvl w:val="0"/>
          <w:numId w:val="11"/>
        </w:numPr>
        <w:spacing w:after="60" w:line="360" w:lineRule="auto"/>
        <w:ind w:left="0"/>
        <w:jc w:val="both"/>
        <w:rPr>
          <w:rFonts w:ascii="Arial Narrow" w:hAnsi="Arial Narrow" w:cs="Arial"/>
          <w:bCs/>
        </w:rPr>
      </w:pPr>
      <w:r w:rsidRPr="00F77745">
        <w:rPr>
          <w:rFonts w:ascii="Arial Narrow" w:hAnsi="Arial Narrow" w:cs="Arial"/>
          <w:bCs/>
        </w:rPr>
        <w:t xml:space="preserve">Metodologia wyliczenia wartości wskaźnika rezultatu pn. </w:t>
      </w:r>
      <w:r w:rsidRPr="00F77745">
        <w:rPr>
          <w:rFonts w:ascii="Arial Narrow" w:hAnsi="Arial Narrow" w:cs="Arial"/>
          <w:b/>
          <w:bCs/>
        </w:rPr>
        <w:t>„Produkcja energii elektrycznej z nowo wybudowanych/nowych mocy wytwórczych instalacji wykorzystujących OZE [</w:t>
      </w:r>
      <w:proofErr w:type="spellStart"/>
      <w:r w:rsidRPr="00F77745">
        <w:rPr>
          <w:rFonts w:ascii="Arial Narrow" w:hAnsi="Arial Narrow" w:cs="Arial"/>
          <w:b/>
          <w:bCs/>
        </w:rPr>
        <w:t>MWhe</w:t>
      </w:r>
      <w:proofErr w:type="spellEnd"/>
      <w:r w:rsidRPr="00F77745">
        <w:rPr>
          <w:rFonts w:ascii="Arial Narrow" w:hAnsi="Arial Narrow" w:cs="Arial"/>
          <w:b/>
          <w:bCs/>
        </w:rPr>
        <w:t>/rok]”</w:t>
      </w:r>
      <w:r w:rsidRPr="00F77745">
        <w:rPr>
          <w:rFonts w:ascii="Arial Narrow" w:hAnsi="Arial Narrow" w:cs="Arial"/>
          <w:bCs/>
        </w:rPr>
        <w:t>.</w:t>
      </w:r>
    </w:p>
    <w:p w:rsidR="00463641" w:rsidRPr="00F77745" w:rsidRDefault="00463641" w:rsidP="00463641">
      <w:pPr>
        <w:pStyle w:val="Akapitzlist"/>
        <w:spacing w:after="60" w:line="360" w:lineRule="auto"/>
        <w:ind w:left="0"/>
        <w:jc w:val="both"/>
        <w:rPr>
          <w:rFonts w:ascii="Arial Narrow" w:hAnsi="Arial Narrow"/>
        </w:rPr>
      </w:pPr>
      <w:r w:rsidRPr="00F77745">
        <w:rPr>
          <w:rFonts w:ascii="Arial Narrow" w:eastAsia="Times New Roman" w:hAnsi="Arial Narrow" w:cs="Arial"/>
          <w:i/>
        </w:rPr>
        <w:t xml:space="preserve">We </w:t>
      </w:r>
      <w:r w:rsidRPr="00F77745">
        <w:rPr>
          <w:rFonts w:ascii="Arial Narrow" w:hAnsi="Arial Narrow" w:cs="Arial"/>
          <w:i/>
        </w:rPr>
        <w:t>wszystkich audytach energetycznych jedynym zaproponowanym źródłem energii elektrycznej wykorzystującym OZE były panele fotowoltaiczne. Do obliczeń wykorzystano wyniki przeprowadzonych audytów, które zawierały szczegółową analizę nasłonecznienia w miejscu planowanej modernizacji z podziałem przynajmniej na miesiące. Zgodnie z audytem oświetlenia sporządzonym dla</w:t>
      </w:r>
      <w:r w:rsidR="000F37D7">
        <w:rPr>
          <w:rFonts w:ascii="Arial Narrow" w:hAnsi="Arial Narrow" w:cs="Arial"/>
          <w:i/>
        </w:rPr>
        <w:t>………………….</w:t>
      </w:r>
      <w:r w:rsidRPr="00F77745">
        <w:rPr>
          <w:rFonts w:ascii="Arial Narrow" w:hAnsi="Arial Narrow" w:cs="Arial"/>
          <w:i/>
        </w:rPr>
        <w:t xml:space="preserve">, średni roczny uzysk energetyczny wynosi </w:t>
      </w:r>
      <w:r w:rsidR="00590639">
        <w:rPr>
          <w:rFonts w:ascii="Arial Narrow" w:hAnsi="Arial Narrow" w:cs="Arial"/>
          <w:i/>
          <w:iCs/>
        </w:rPr>
        <w:t>………</w:t>
      </w:r>
      <w:r w:rsidRPr="00F77745">
        <w:rPr>
          <w:rFonts w:ascii="Arial Narrow" w:hAnsi="Arial Narrow" w:cs="Arial"/>
          <w:i/>
        </w:rPr>
        <w:t xml:space="preserve"> </w:t>
      </w:r>
      <w:proofErr w:type="spellStart"/>
      <w:r w:rsidRPr="00F77745">
        <w:rPr>
          <w:rFonts w:ascii="Arial Narrow" w:hAnsi="Arial Narrow" w:cs="Arial"/>
          <w:i/>
        </w:rPr>
        <w:t>kWh</w:t>
      </w:r>
      <w:proofErr w:type="spellEnd"/>
      <w:r w:rsidRPr="00F77745">
        <w:rPr>
          <w:rFonts w:ascii="Arial Narrow" w:hAnsi="Arial Narrow" w:cs="Arial"/>
          <w:i/>
        </w:rPr>
        <w:t xml:space="preserve">. W przypadku pozostałych szkół objętych projektem nie jest planowany montaż instalacji produkujących energię elektryczną wykorzystujących OZE, zatem wartość docelowa wskaźnika wyniesie </w:t>
      </w:r>
      <w:r w:rsidR="00590639">
        <w:rPr>
          <w:rFonts w:ascii="Arial Narrow" w:hAnsi="Arial Narrow" w:cs="Arial"/>
          <w:i/>
          <w:iCs/>
        </w:rPr>
        <w:t>………</w:t>
      </w:r>
      <w:r w:rsidRPr="009D3147">
        <w:rPr>
          <w:rFonts w:ascii="Arial Narrow" w:hAnsi="Arial Narrow" w:cs="Arial"/>
          <w:b/>
          <w:i/>
        </w:rPr>
        <w:t xml:space="preserve"> </w:t>
      </w:r>
      <w:proofErr w:type="spellStart"/>
      <w:r w:rsidRPr="009D3147">
        <w:rPr>
          <w:rFonts w:ascii="Arial Narrow" w:hAnsi="Arial Narrow" w:cs="Arial"/>
          <w:b/>
          <w:i/>
        </w:rPr>
        <w:t>MWHe</w:t>
      </w:r>
      <w:proofErr w:type="spellEnd"/>
      <w:r w:rsidRPr="009D3147">
        <w:rPr>
          <w:rFonts w:ascii="Arial Narrow" w:hAnsi="Arial Narrow" w:cs="Arial"/>
          <w:b/>
          <w:i/>
        </w:rPr>
        <w:t>/rok.</w:t>
      </w:r>
    </w:p>
    <w:p w:rsidR="00463641" w:rsidRPr="00F77745" w:rsidRDefault="00463641" w:rsidP="00463641">
      <w:pPr>
        <w:pStyle w:val="Akapitzlist"/>
        <w:numPr>
          <w:ilvl w:val="0"/>
          <w:numId w:val="11"/>
        </w:numPr>
        <w:spacing w:after="60" w:line="360" w:lineRule="auto"/>
        <w:ind w:left="0"/>
        <w:jc w:val="both"/>
        <w:rPr>
          <w:rFonts w:ascii="Arial Narrow" w:hAnsi="Arial Narrow" w:cs="Arial"/>
          <w:bCs/>
        </w:rPr>
      </w:pPr>
      <w:r w:rsidRPr="00F77745">
        <w:rPr>
          <w:rFonts w:ascii="Arial Narrow" w:hAnsi="Arial Narrow" w:cs="Arial"/>
          <w:bCs/>
        </w:rPr>
        <w:t xml:space="preserve">Metodologia wyliczenia wartości wskaźnika rezultatu pn. </w:t>
      </w:r>
      <w:r w:rsidRPr="00F77745">
        <w:rPr>
          <w:rFonts w:ascii="Arial Narrow" w:hAnsi="Arial Narrow" w:cs="Arial"/>
          <w:b/>
          <w:bCs/>
        </w:rPr>
        <w:t>„Produkcja energii cieplnej z nowo wybudowanych/nowych mocy wytwórczych instalacji wykorzystujących OZE [</w:t>
      </w:r>
      <w:proofErr w:type="spellStart"/>
      <w:r w:rsidRPr="00F77745">
        <w:rPr>
          <w:rFonts w:ascii="Arial Narrow" w:hAnsi="Arial Narrow" w:cs="Arial"/>
          <w:b/>
          <w:bCs/>
        </w:rPr>
        <w:t>MWhe</w:t>
      </w:r>
      <w:proofErr w:type="spellEnd"/>
      <w:r w:rsidRPr="00F77745">
        <w:rPr>
          <w:rFonts w:ascii="Arial Narrow" w:hAnsi="Arial Narrow" w:cs="Arial"/>
          <w:b/>
          <w:bCs/>
        </w:rPr>
        <w:t>/rok]”.</w:t>
      </w:r>
    </w:p>
    <w:p w:rsidR="00463641" w:rsidRPr="00F77745" w:rsidRDefault="00463641" w:rsidP="00463641">
      <w:pPr>
        <w:pStyle w:val="Akapitzlist"/>
        <w:spacing w:after="60" w:line="360" w:lineRule="auto"/>
        <w:ind w:left="0"/>
        <w:jc w:val="both"/>
        <w:rPr>
          <w:rFonts w:ascii="Arial Narrow" w:hAnsi="Arial Narrow" w:cs="Arial"/>
          <w:i/>
        </w:rPr>
      </w:pPr>
      <w:r w:rsidRPr="00F77745">
        <w:rPr>
          <w:rFonts w:ascii="Arial Narrow" w:eastAsia="Times New Roman" w:hAnsi="Arial Narrow" w:cs="Arial"/>
          <w:i/>
        </w:rPr>
        <w:t>Wy</w:t>
      </w:r>
      <w:r w:rsidRPr="00F77745">
        <w:rPr>
          <w:rFonts w:ascii="Arial Narrow" w:hAnsi="Arial Narrow" w:cs="Arial"/>
          <w:i/>
        </w:rPr>
        <w:t xml:space="preserve">liczenia dokonano zgodnie z metodyką opisaną w Załączniku 1 pkt. 8 do Rozporządzenia Ministra Infrastruktury i Rozwoju z dnia 27 lutego 2015r. w sprawie metodologii wyznaczania charakterystyki energetycznej budynku lub części budynku oraz świadectw charakterystyki energetycznej. Zgodnie z powyższym, produkcja energii cieplnej z projektowanej pompy ciepła w </w:t>
      </w:r>
      <w:r w:rsidR="000F37D7">
        <w:rPr>
          <w:rFonts w:ascii="Arial Narrow" w:hAnsi="Arial Narrow" w:cs="Arial"/>
          <w:i/>
        </w:rPr>
        <w:t>………………………………</w:t>
      </w:r>
      <w:r w:rsidRPr="00F77745">
        <w:rPr>
          <w:rFonts w:ascii="Arial Narrow" w:hAnsi="Arial Narrow" w:cs="Arial"/>
          <w:i/>
        </w:rPr>
        <w:t xml:space="preserve">wyniesie </w:t>
      </w:r>
      <w:r w:rsidR="00590639">
        <w:rPr>
          <w:rFonts w:ascii="Arial Narrow" w:hAnsi="Arial Narrow" w:cs="Arial"/>
          <w:i/>
          <w:iCs/>
        </w:rPr>
        <w:t>………</w:t>
      </w:r>
      <w:r w:rsidRPr="009D3147">
        <w:rPr>
          <w:rFonts w:ascii="Arial Narrow" w:hAnsi="Arial Narrow" w:cs="Arial"/>
          <w:b/>
          <w:i/>
        </w:rPr>
        <w:t xml:space="preserve"> </w:t>
      </w:r>
      <w:proofErr w:type="spellStart"/>
      <w:r w:rsidRPr="009D3147">
        <w:rPr>
          <w:rFonts w:ascii="Arial Narrow" w:hAnsi="Arial Narrow" w:cs="Arial"/>
          <w:b/>
          <w:i/>
        </w:rPr>
        <w:t>MWht</w:t>
      </w:r>
      <w:proofErr w:type="spellEnd"/>
      <w:r w:rsidRPr="009D3147">
        <w:rPr>
          <w:rFonts w:ascii="Arial Narrow" w:hAnsi="Arial Narrow" w:cs="Arial"/>
          <w:b/>
          <w:i/>
        </w:rPr>
        <w:t>/rok.</w:t>
      </w:r>
    </w:p>
    <w:p w:rsidR="00463641" w:rsidRPr="00F77745" w:rsidRDefault="00463641" w:rsidP="00463641">
      <w:pPr>
        <w:pStyle w:val="Akapitzlist"/>
        <w:numPr>
          <w:ilvl w:val="0"/>
          <w:numId w:val="11"/>
        </w:numPr>
        <w:spacing w:after="60" w:line="360" w:lineRule="auto"/>
        <w:ind w:left="0"/>
        <w:jc w:val="both"/>
        <w:rPr>
          <w:rFonts w:ascii="Arial Narrow" w:hAnsi="Arial Narrow" w:cs="Arial"/>
          <w:i/>
        </w:rPr>
      </w:pPr>
      <w:r w:rsidRPr="00F77745">
        <w:rPr>
          <w:rFonts w:ascii="Arial Narrow" w:eastAsia="Times New Roman" w:hAnsi="Arial Narrow" w:cs="Arial"/>
          <w:bCs/>
        </w:rPr>
        <w:t xml:space="preserve">Metodologia wyliczenia wartości wskaźnika rezultatu pn. </w:t>
      </w:r>
      <w:r w:rsidRPr="00F77745">
        <w:rPr>
          <w:rFonts w:ascii="Arial Narrow" w:eastAsia="Times New Roman" w:hAnsi="Arial Narrow" w:cs="Arial"/>
          <w:b/>
          <w:bCs/>
        </w:rPr>
        <w:t>„Ilość zaoszczędzonej energii elektrycznej [</w:t>
      </w:r>
      <w:proofErr w:type="spellStart"/>
      <w:r w:rsidRPr="00F77745">
        <w:rPr>
          <w:rFonts w:ascii="Arial Narrow" w:eastAsia="Times New Roman" w:hAnsi="Arial Narrow" w:cs="Arial"/>
          <w:b/>
          <w:bCs/>
        </w:rPr>
        <w:t>MWh</w:t>
      </w:r>
      <w:proofErr w:type="spellEnd"/>
      <w:r w:rsidRPr="00F77745">
        <w:rPr>
          <w:rFonts w:ascii="Arial Narrow" w:eastAsia="Times New Roman" w:hAnsi="Arial Narrow" w:cs="Arial"/>
          <w:b/>
          <w:bCs/>
        </w:rPr>
        <w:t>/rok]”.</w:t>
      </w:r>
    </w:p>
    <w:p w:rsidR="00463641" w:rsidRDefault="00463641" w:rsidP="00463641">
      <w:pPr>
        <w:pStyle w:val="Akapitzlist"/>
        <w:spacing w:after="60" w:line="360" w:lineRule="auto"/>
        <w:ind w:left="0"/>
        <w:jc w:val="both"/>
        <w:rPr>
          <w:rFonts w:ascii="Arial Narrow" w:hAnsi="Arial Narrow" w:cs="Arial"/>
          <w:i/>
        </w:rPr>
      </w:pPr>
      <w:r w:rsidRPr="00F77745">
        <w:rPr>
          <w:rFonts w:ascii="Arial Narrow" w:eastAsia="Times New Roman" w:hAnsi="Arial Narrow" w:cs="Arial"/>
          <w:i/>
        </w:rPr>
        <w:t>W</w:t>
      </w:r>
      <w:r w:rsidRPr="00F77745">
        <w:rPr>
          <w:rFonts w:ascii="Arial Narrow" w:hAnsi="Arial Narrow" w:cs="Arial"/>
          <w:i/>
        </w:rPr>
        <w:t>artość wskaźnika została oszacowana na podstawie danych zawartych w audytach oświetlenia, zgodnie z którymi ilość zaoszczędzonej energii elektrycznej w poszczególnych budynkach, tj. iloczyn całkowitej mocy zainstalowanej oświetlenia oraz przewidywanego czasu użytkowania oświetlenia, przedstawia się następująco:</w:t>
      </w:r>
    </w:p>
    <w:p w:rsidR="000F37D7" w:rsidRPr="00F77745" w:rsidRDefault="000F37D7" w:rsidP="00463641">
      <w:pPr>
        <w:pStyle w:val="Akapitzlist"/>
        <w:spacing w:after="60" w:line="360" w:lineRule="auto"/>
        <w:ind w:left="0"/>
        <w:jc w:val="both"/>
        <w:rPr>
          <w:rFonts w:ascii="Arial Narrow" w:eastAsia="Times New Roman" w:hAnsi="Arial Narrow" w:cs="Arial"/>
          <w:i/>
        </w:rPr>
      </w:pPr>
    </w:p>
    <w:tbl>
      <w:tblPr>
        <w:tblW w:w="6529" w:type="dxa"/>
        <w:tblInd w:w="779" w:type="dxa"/>
        <w:tblCellMar>
          <w:left w:w="70" w:type="dxa"/>
          <w:right w:w="70" w:type="dxa"/>
        </w:tblCellMar>
        <w:tblLook w:val="04A0"/>
      </w:tblPr>
      <w:tblGrid>
        <w:gridCol w:w="1240"/>
        <w:gridCol w:w="2540"/>
        <w:gridCol w:w="993"/>
        <w:gridCol w:w="863"/>
        <w:gridCol w:w="893"/>
      </w:tblGrid>
      <w:tr w:rsidR="00463641" w:rsidRPr="00F77745" w:rsidTr="00590639">
        <w:trPr>
          <w:trHeight w:val="435"/>
        </w:trPr>
        <w:tc>
          <w:tcPr>
            <w:tcW w:w="1240"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hideMark/>
          </w:tcPr>
          <w:p w:rsidR="00463641" w:rsidRPr="00F77745" w:rsidRDefault="00463641" w:rsidP="00463641">
            <w:pPr>
              <w:jc w:val="center"/>
              <w:rPr>
                <w:rFonts w:ascii="Arial Narrow" w:hAnsi="Arial Narrow" w:cs="Arial"/>
                <w:b/>
                <w:bCs/>
                <w:i/>
                <w:color w:val="000000"/>
              </w:rPr>
            </w:pPr>
            <w:r w:rsidRPr="00F77745">
              <w:rPr>
                <w:rFonts w:ascii="Arial Narrow" w:hAnsi="Arial Narrow" w:cs="Arial"/>
                <w:b/>
                <w:bCs/>
                <w:i/>
                <w:color w:val="000000"/>
                <w:sz w:val="22"/>
                <w:szCs w:val="22"/>
              </w:rPr>
              <w:lastRenderedPageBreak/>
              <w:t>Jednostka miary</w:t>
            </w:r>
          </w:p>
        </w:tc>
        <w:tc>
          <w:tcPr>
            <w:tcW w:w="2540" w:type="dxa"/>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463641" w:rsidRPr="00F77745" w:rsidRDefault="00463641" w:rsidP="00463641">
            <w:pPr>
              <w:jc w:val="center"/>
              <w:rPr>
                <w:rFonts w:ascii="Arial Narrow" w:hAnsi="Arial Narrow" w:cs="Arial"/>
                <w:b/>
                <w:bCs/>
                <w:i/>
                <w:color w:val="000000"/>
              </w:rPr>
            </w:pPr>
            <w:r w:rsidRPr="00F77745">
              <w:rPr>
                <w:rFonts w:ascii="Arial Narrow" w:hAnsi="Arial Narrow" w:cs="Arial"/>
                <w:b/>
                <w:bCs/>
                <w:i/>
                <w:color w:val="000000"/>
                <w:sz w:val="22"/>
                <w:szCs w:val="22"/>
              </w:rPr>
              <w:t>Budynek</w:t>
            </w:r>
          </w:p>
        </w:tc>
        <w:tc>
          <w:tcPr>
            <w:tcW w:w="993" w:type="dxa"/>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463641" w:rsidRPr="00F77745" w:rsidRDefault="00463641" w:rsidP="00463641">
            <w:pPr>
              <w:jc w:val="center"/>
              <w:rPr>
                <w:rFonts w:ascii="Arial Narrow" w:hAnsi="Arial Narrow" w:cs="Arial"/>
                <w:b/>
                <w:bCs/>
                <w:i/>
                <w:color w:val="000000"/>
              </w:rPr>
            </w:pPr>
            <w:r w:rsidRPr="00F77745">
              <w:rPr>
                <w:rFonts w:ascii="Arial Narrow" w:hAnsi="Arial Narrow" w:cs="Arial"/>
                <w:b/>
                <w:bCs/>
                <w:i/>
                <w:color w:val="000000"/>
                <w:sz w:val="22"/>
                <w:szCs w:val="22"/>
              </w:rPr>
              <w:t>Przed</w:t>
            </w:r>
          </w:p>
        </w:tc>
        <w:tc>
          <w:tcPr>
            <w:tcW w:w="863" w:type="dxa"/>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463641" w:rsidRPr="00F77745" w:rsidRDefault="00463641" w:rsidP="00463641">
            <w:pPr>
              <w:jc w:val="center"/>
              <w:rPr>
                <w:rFonts w:ascii="Arial Narrow" w:hAnsi="Arial Narrow" w:cs="Arial"/>
                <w:b/>
                <w:bCs/>
                <w:i/>
                <w:color w:val="000000"/>
              </w:rPr>
            </w:pPr>
            <w:r w:rsidRPr="00F77745">
              <w:rPr>
                <w:rFonts w:ascii="Arial Narrow" w:hAnsi="Arial Narrow" w:cs="Arial"/>
                <w:b/>
                <w:bCs/>
                <w:i/>
                <w:color w:val="000000"/>
                <w:sz w:val="22"/>
                <w:szCs w:val="22"/>
              </w:rPr>
              <w:t>Po</w:t>
            </w:r>
          </w:p>
        </w:tc>
        <w:tc>
          <w:tcPr>
            <w:tcW w:w="893" w:type="dxa"/>
            <w:tcBorders>
              <w:top w:val="single" w:sz="4" w:space="0" w:color="auto"/>
              <w:left w:val="nil"/>
              <w:bottom w:val="single" w:sz="4" w:space="0" w:color="auto"/>
              <w:right w:val="single" w:sz="4" w:space="0" w:color="auto"/>
            </w:tcBorders>
            <w:shd w:val="clear" w:color="000000" w:fill="C6D9F1" w:themeFill="text2" w:themeFillTint="33"/>
            <w:vAlign w:val="center"/>
          </w:tcPr>
          <w:p w:rsidR="00463641" w:rsidRPr="00F77745" w:rsidRDefault="00463641" w:rsidP="00463641">
            <w:pPr>
              <w:jc w:val="center"/>
              <w:rPr>
                <w:rFonts w:ascii="Arial Narrow" w:hAnsi="Arial Narrow" w:cs="Arial"/>
                <w:b/>
                <w:bCs/>
                <w:i/>
                <w:color w:val="000000"/>
              </w:rPr>
            </w:pPr>
            <w:r w:rsidRPr="00F77745">
              <w:rPr>
                <w:rFonts w:ascii="Arial Narrow" w:hAnsi="Arial Narrow" w:cs="Arial"/>
                <w:b/>
                <w:bCs/>
                <w:i/>
                <w:color w:val="000000"/>
                <w:sz w:val="22"/>
                <w:szCs w:val="22"/>
              </w:rPr>
              <w:t>Różnica</w:t>
            </w:r>
          </w:p>
        </w:tc>
      </w:tr>
      <w:tr w:rsidR="00590639" w:rsidRPr="00F77745" w:rsidTr="00590639">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639" w:rsidRPr="00F77745" w:rsidRDefault="00590639" w:rsidP="00463641">
            <w:pPr>
              <w:jc w:val="center"/>
              <w:rPr>
                <w:rFonts w:ascii="Arial Narrow" w:hAnsi="Arial Narrow" w:cs="Arial"/>
                <w:i/>
                <w:color w:val="000000"/>
              </w:rPr>
            </w:pPr>
            <w:proofErr w:type="spellStart"/>
            <w:r w:rsidRPr="00F77745">
              <w:rPr>
                <w:rFonts w:ascii="Arial Narrow" w:hAnsi="Arial Narrow" w:cs="Arial"/>
                <w:i/>
                <w:color w:val="000000"/>
                <w:sz w:val="22"/>
                <w:szCs w:val="22"/>
              </w:rPr>
              <w:t>MWh</w:t>
            </w:r>
            <w:proofErr w:type="spellEnd"/>
            <w:r w:rsidRPr="00F77745">
              <w:rPr>
                <w:rFonts w:ascii="Arial Narrow" w:hAnsi="Arial Narrow" w:cs="Arial"/>
                <w:i/>
                <w:color w:val="000000"/>
                <w:sz w:val="22"/>
                <w:szCs w:val="22"/>
              </w:rPr>
              <w:t>/rok</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r>
              <w:rPr>
                <w:rFonts w:ascii="Arial Narrow" w:hAnsi="Arial Narrow" w:cs="Arial"/>
                <w:i/>
                <w:iCs/>
              </w:rPr>
              <w:t>………</w:t>
            </w:r>
          </w:p>
        </w:tc>
        <w:tc>
          <w:tcPr>
            <w:tcW w:w="893" w:type="dxa"/>
            <w:tcBorders>
              <w:top w:val="single" w:sz="4" w:space="0" w:color="auto"/>
              <w:left w:val="nil"/>
              <w:bottom w:val="single" w:sz="4" w:space="0" w:color="auto"/>
              <w:right w:val="single" w:sz="4" w:space="0" w:color="auto"/>
            </w:tcBorders>
            <w:vAlign w:val="bottom"/>
          </w:tcPr>
          <w:p w:rsidR="00590639" w:rsidRPr="00F77745" w:rsidRDefault="00590639" w:rsidP="00BA029A">
            <w:pPr>
              <w:jc w:val="right"/>
              <w:rPr>
                <w:rFonts w:ascii="Arial Narrow" w:hAnsi="Arial Narrow" w:cs="Arial"/>
                <w:i/>
                <w:color w:val="000000"/>
              </w:rPr>
            </w:pPr>
            <w:r>
              <w:rPr>
                <w:rFonts w:ascii="Arial Narrow" w:hAnsi="Arial Narrow" w:cs="Arial"/>
                <w:i/>
                <w:iCs/>
              </w:rPr>
              <w:t>………</w:t>
            </w:r>
          </w:p>
        </w:tc>
      </w:tr>
      <w:tr w:rsidR="00590639" w:rsidRPr="00F77745" w:rsidTr="00590639">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590639" w:rsidRPr="00F77745" w:rsidRDefault="00590639" w:rsidP="00463641">
            <w:pPr>
              <w:rPr>
                <w:rFonts w:ascii="Arial Narrow" w:hAnsi="Arial Narrow" w:cs="Arial"/>
                <w:i/>
                <w:color w:val="000000"/>
              </w:rPr>
            </w:pP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r>
              <w:rPr>
                <w:rFonts w:ascii="Arial Narrow" w:hAnsi="Arial Narrow" w:cs="Arial"/>
                <w:i/>
                <w:iCs/>
              </w:rPr>
              <w:t>………</w:t>
            </w:r>
          </w:p>
        </w:tc>
        <w:tc>
          <w:tcPr>
            <w:tcW w:w="893" w:type="dxa"/>
            <w:tcBorders>
              <w:top w:val="single" w:sz="4" w:space="0" w:color="auto"/>
              <w:left w:val="nil"/>
              <w:bottom w:val="single" w:sz="4" w:space="0" w:color="auto"/>
              <w:right w:val="single" w:sz="4" w:space="0" w:color="auto"/>
            </w:tcBorders>
            <w:vAlign w:val="bottom"/>
          </w:tcPr>
          <w:p w:rsidR="00590639" w:rsidRPr="00F77745" w:rsidRDefault="00590639" w:rsidP="00BA029A">
            <w:pPr>
              <w:jc w:val="right"/>
              <w:rPr>
                <w:rFonts w:ascii="Arial Narrow" w:hAnsi="Arial Narrow" w:cs="Arial"/>
                <w:i/>
                <w:color w:val="000000"/>
              </w:rPr>
            </w:pPr>
            <w:r>
              <w:rPr>
                <w:rFonts w:ascii="Arial Narrow" w:hAnsi="Arial Narrow" w:cs="Arial"/>
                <w:i/>
                <w:iCs/>
              </w:rPr>
              <w:t>………</w:t>
            </w:r>
          </w:p>
        </w:tc>
      </w:tr>
      <w:tr w:rsidR="00590639" w:rsidRPr="00F77745" w:rsidTr="00590639">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590639" w:rsidRPr="00F77745" w:rsidRDefault="00590639" w:rsidP="00463641">
            <w:pPr>
              <w:rPr>
                <w:rFonts w:ascii="Arial Narrow" w:hAnsi="Arial Narrow" w:cs="Arial"/>
                <w:i/>
                <w:color w:val="000000"/>
              </w:rPr>
            </w:pP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rPr>
            </w:pP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rPr>
            </w:pPr>
            <w:r>
              <w:rPr>
                <w:rFonts w:ascii="Arial Narrow" w:hAnsi="Arial Narrow" w:cs="Arial"/>
                <w:i/>
                <w:iCs/>
              </w:rPr>
              <w:t>………</w:t>
            </w:r>
          </w:p>
        </w:tc>
        <w:tc>
          <w:tcPr>
            <w:tcW w:w="893" w:type="dxa"/>
            <w:tcBorders>
              <w:top w:val="single" w:sz="4" w:space="0" w:color="auto"/>
              <w:left w:val="nil"/>
              <w:bottom w:val="single" w:sz="4" w:space="0" w:color="auto"/>
              <w:right w:val="single" w:sz="4" w:space="0" w:color="auto"/>
            </w:tcBorders>
            <w:vAlign w:val="bottom"/>
          </w:tcPr>
          <w:p w:rsidR="00590639" w:rsidRPr="00F77745" w:rsidRDefault="00590639" w:rsidP="00BA029A">
            <w:pPr>
              <w:jc w:val="right"/>
              <w:rPr>
                <w:rFonts w:ascii="Arial Narrow" w:hAnsi="Arial Narrow" w:cs="Arial"/>
                <w:i/>
              </w:rPr>
            </w:pPr>
            <w:r>
              <w:rPr>
                <w:rFonts w:ascii="Arial Narrow" w:hAnsi="Arial Narrow" w:cs="Arial"/>
                <w:i/>
                <w:iCs/>
              </w:rPr>
              <w:t>………</w:t>
            </w:r>
          </w:p>
        </w:tc>
      </w:tr>
      <w:tr w:rsidR="00590639" w:rsidRPr="00F77745" w:rsidTr="00590639">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590639" w:rsidRPr="00F77745" w:rsidRDefault="00590639" w:rsidP="00463641">
            <w:pPr>
              <w:rPr>
                <w:rFonts w:ascii="Arial Narrow" w:hAnsi="Arial Narrow" w:cs="Arial"/>
                <w:i/>
                <w:color w:val="000000"/>
              </w:rPr>
            </w:pP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r>
              <w:rPr>
                <w:rFonts w:ascii="Arial Narrow" w:hAnsi="Arial Narrow" w:cs="Arial"/>
                <w:i/>
                <w:iCs/>
              </w:rPr>
              <w:t>………</w:t>
            </w:r>
          </w:p>
        </w:tc>
        <w:tc>
          <w:tcPr>
            <w:tcW w:w="893" w:type="dxa"/>
            <w:tcBorders>
              <w:top w:val="single" w:sz="4" w:space="0" w:color="auto"/>
              <w:left w:val="nil"/>
              <w:bottom w:val="single" w:sz="4" w:space="0" w:color="auto"/>
              <w:right w:val="single" w:sz="4" w:space="0" w:color="auto"/>
            </w:tcBorders>
            <w:vAlign w:val="bottom"/>
          </w:tcPr>
          <w:p w:rsidR="00590639" w:rsidRPr="00F77745" w:rsidRDefault="00590639" w:rsidP="00BA029A">
            <w:pPr>
              <w:jc w:val="right"/>
              <w:rPr>
                <w:rFonts w:ascii="Arial Narrow" w:hAnsi="Arial Narrow" w:cs="Arial"/>
                <w:i/>
                <w:color w:val="000000"/>
              </w:rPr>
            </w:pPr>
            <w:r>
              <w:rPr>
                <w:rFonts w:ascii="Arial Narrow" w:hAnsi="Arial Narrow" w:cs="Arial"/>
                <w:i/>
                <w:iCs/>
              </w:rPr>
              <w:t>………</w:t>
            </w:r>
          </w:p>
        </w:tc>
      </w:tr>
      <w:tr w:rsidR="00590639" w:rsidRPr="00F77745" w:rsidTr="00590639">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590639" w:rsidRPr="00F77745" w:rsidRDefault="00590639" w:rsidP="00463641">
            <w:pPr>
              <w:rPr>
                <w:rFonts w:ascii="Arial Narrow" w:hAnsi="Arial Narrow" w:cs="Arial"/>
                <w:i/>
                <w:color w:val="000000"/>
              </w:rPr>
            </w:pP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r>
              <w:rPr>
                <w:rFonts w:ascii="Arial Narrow" w:hAnsi="Arial Narrow" w:cs="Arial"/>
                <w:i/>
                <w:iCs/>
              </w:rPr>
              <w:t>………</w:t>
            </w:r>
          </w:p>
        </w:tc>
        <w:tc>
          <w:tcPr>
            <w:tcW w:w="893" w:type="dxa"/>
            <w:tcBorders>
              <w:top w:val="single" w:sz="4" w:space="0" w:color="auto"/>
              <w:left w:val="nil"/>
              <w:bottom w:val="single" w:sz="4" w:space="0" w:color="auto"/>
              <w:right w:val="single" w:sz="4" w:space="0" w:color="auto"/>
            </w:tcBorders>
            <w:vAlign w:val="bottom"/>
          </w:tcPr>
          <w:p w:rsidR="00590639" w:rsidRPr="00F77745" w:rsidRDefault="00590639" w:rsidP="00BA029A">
            <w:pPr>
              <w:jc w:val="right"/>
              <w:rPr>
                <w:rFonts w:ascii="Arial Narrow" w:hAnsi="Arial Narrow" w:cs="Arial"/>
                <w:i/>
                <w:color w:val="000000"/>
              </w:rPr>
            </w:pPr>
            <w:r>
              <w:rPr>
                <w:rFonts w:ascii="Arial Narrow" w:hAnsi="Arial Narrow" w:cs="Arial"/>
                <w:i/>
                <w:iCs/>
              </w:rPr>
              <w:t>………</w:t>
            </w:r>
          </w:p>
        </w:tc>
      </w:tr>
      <w:tr w:rsidR="00463641" w:rsidRPr="00F77745" w:rsidTr="00590639">
        <w:trPr>
          <w:trHeight w:val="30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463641" w:rsidRPr="00F77745" w:rsidRDefault="00463641" w:rsidP="00463641">
            <w:pPr>
              <w:jc w:val="center"/>
              <w:rPr>
                <w:rFonts w:ascii="Arial Narrow" w:hAnsi="Arial Narrow" w:cs="Arial"/>
                <w:i/>
                <w:color w:val="000000"/>
              </w:rPr>
            </w:pPr>
            <w:r w:rsidRPr="00F77745">
              <w:rPr>
                <w:rFonts w:ascii="Arial Narrow" w:hAnsi="Arial Narrow" w:cs="Arial"/>
                <w:i/>
                <w:color w:val="000000"/>
                <w:sz w:val="22"/>
                <w:szCs w:val="22"/>
              </w:rPr>
              <w:t>Razem</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63641" w:rsidRPr="00F77745" w:rsidRDefault="00463641" w:rsidP="00463641">
            <w:pPr>
              <w:jc w:val="right"/>
              <w:rPr>
                <w:rFonts w:ascii="Arial Narrow" w:hAnsi="Arial Narrow" w:cs="Arial"/>
                <w:i/>
                <w:color w:val="000000"/>
              </w:rPr>
            </w:pP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463641" w:rsidRPr="00F77745" w:rsidRDefault="00590639" w:rsidP="00463641">
            <w:pPr>
              <w:jc w:val="right"/>
              <w:rPr>
                <w:rFonts w:ascii="Arial Narrow" w:hAnsi="Arial Narrow" w:cs="Arial"/>
                <w:i/>
                <w:color w:val="000000"/>
              </w:rPr>
            </w:pPr>
            <w:r>
              <w:rPr>
                <w:rFonts w:ascii="Arial Narrow" w:hAnsi="Arial Narrow" w:cs="Arial"/>
                <w:i/>
                <w:iCs/>
              </w:rPr>
              <w:t>………</w:t>
            </w:r>
          </w:p>
        </w:tc>
        <w:tc>
          <w:tcPr>
            <w:tcW w:w="893" w:type="dxa"/>
            <w:tcBorders>
              <w:top w:val="single" w:sz="4" w:space="0" w:color="auto"/>
              <w:left w:val="nil"/>
              <w:bottom w:val="single" w:sz="4" w:space="0" w:color="auto"/>
              <w:right w:val="single" w:sz="4" w:space="0" w:color="auto"/>
            </w:tcBorders>
            <w:vAlign w:val="bottom"/>
          </w:tcPr>
          <w:p w:rsidR="00463641" w:rsidRPr="00F77745" w:rsidRDefault="00590639" w:rsidP="00463641">
            <w:pPr>
              <w:jc w:val="right"/>
              <w:rPr>
                <w:rFonts w:ascii="Arial Narrow" w:hAnsi="Arial Narrow" w:cs="Arial"/>
                <w:i/>
                <w:color w:val="000000"/>
              </w:rPr>
            </w:pPr>
            <w:r>
              <w:rPr>
                <w:rFonts w:ascii="Arial Narrow" w:hAnsi="Arial Narrow" w:cs="Arial"/>
                <w:i/>
                <w:iCs/>
              </w:rPr>
              <w:t>………</w:t>
            </w:r>
          </w:p>
        </w:tc>
      </w:tr>
    </w:tbl>
    <w:p w:rsidR="00463641" w:rsidRPr="00F77745" w:rsidRDefault="00463641" w:rsidP="00463641">
      <w:pPr>
        <w:pStyle w:val="Akapitzlist"/>
        <w:spacing w:before="120" w:after="60" w:line="360" w:lineRule="auto"/>
        <w:ind w:left="0"/>
        <w:jc w:val="both"/>
        <w:rPr>
          <w:rFonts w:ascii="Arial Narrow" w:hAnsi="Arial Narrow" w:cs="Arial"/>
          <w:i/>
        </w:rPr>
      </w:pPr>
      <w:r w:rsidRPr="00F77745">
        <w:rPr>
          <w:rFonts w:ascii="Arial Narrow" w:hAnsi="Arial Narrow" w:cs="Arial"/>
          <w:i/>
        </w:rPr>
        <w:t xml:space="preserve">Zgodnie z powyższym, wartość docelowa wskaźnika wynosi </w:t>
      </w:r>
      <w:r w:rsidR="00590639">
        <w:rPr>
          <w:rFonts w:ascii="Arial Narrow" w:hAnsi="Arial Narrow" w:cs="Arial"/>
          <w:i/>
          <w:iCs/>
        </w:rPr>
        <w:t>………</w:t>
      </w:r>
      <w:r w:rsidRPr="00F77745">
        <w:rPr>
          <w:rFonts w:ascii="Arial Narrow" w:hAnsi="Arial Narrow" w:cs="Arial"/>
          <w:i/>
        </w:rPr>
        <w:t xml:space="preserve"> </w:t>
      </w:r>
      <w:proofErr w:type="spellStart"/>
      <w:r w:rsidRPr="00F77745">
        <w:rPr>
          <w:rFonts w:ascii="Arial Narrow" w:hAnsi="Arial Narrow" w:cs="Arial"/>
          <w:i/>
        </w:rPr>
        <w:t>kWh</w:t>
      </w:r>
      <w:proofErr w:type="spellEnd"/>
      <w:r w:rsidRPr="00F77745">
        <w:rPr>
          <w:rFonts w:ascii="Arial Narrow" w:hAnsi="Arial Narrow" w:cs="Arial"/>
          <w:i/>
        </w:rPr>
        <w:t xml:space="preserve">/rok, a zatem </w:t>
      </w:r>
      <w:r w:rsidR="00590639">
        <w:rPr>
          <w:rFonts w:ascii="Arial Narrow" w:hAnsi="Arial Narrow" w:cs="Arial"/>
          <w:i/>
          <w:iCs/>
        </w:rPr>
        <w:t>………</w:t>
      </w:r>
      <w:r w:rsidRPr="009D3147">
        <w:rPr>
          <w:rFonts w:ascii="Arial Narrow" w:hAnsi="Arial Narrow" w:cs="Arial"/>
          <w:b/>
          <w:i/>
        </w:rPr>
        <w:t xml:space="preserve"> </w:t>
      </w:r>
      <w:proofErr w:type="spellStart"/>
      <w:r w:rsidRPr="009D3147">
        <w:rPr>
          <w:rFonts w:ascii="Arial Narrow" w:hAnsi="Arial Narrow" w:cs="Arial"/>
          <w:b/>
          <w:i/>
        </w:rPr>
        <w:t>MWhe</w:t>
      </w:r>
      <w:proofErr w:type="spellEnd"/>
      <w:r w:rsidRPr="009D3147">
        <w:rPr>
          <w:rFonts w:ascii="Arial Narrow" w:hAnsi="Arial Narrow" w:cs="Arial"/>
          <w:b/>
          <w:i/>
        </w:rPr>
        <w:t>/rok.</w:t>
      </w:r>
    </w:p>
    <w:p w:rsidR="00463641" w:rsidRPr="00F77745" w:rsidRDefault="00463641" w:rsidP="00463641">
      <w:pPr>
        <w:pStyle w:val="Akapitzlist"/>
        <w:numPr>
          <w:ilvl w:val="0"/>
          <w:numId w:val="11"/>
        </w:numPr>
        <w:spacing w:after="60" w:line="360" w:lineRule="auto"/>
        <w:ind w:left="0"/>
        <w:jc w:val="both"/>
        <w:rPr>
          <w:rFonts w:ascii="Arial Narrow" w:hAnsi="Arial Narrow" w:cs="Arial"/>
          <w:bCs/>
        </w:rPr>
      </w:pPr>
      <w:r w:rsidRPr="00F77745">
        <w:rPr>
          <w:rFonts w:ascii="Arial Narrow" w:hAnsi="Arial Narrow" w:cs="Arial"/>
          <w:bCs/>
        </w:rPr>
        <w:t xml:space="preserve">Metodologia wyliczenia wartości wskaźnika rezultatu pn. </w:t>
      </w:r>
      <w:r w:rsidRPr="00F77745">
        <w:rPr>
          <w:rFonts w:ascii="Arial Narrow" w:hAnsi="Arial Narrow" w:cs="Arial"/>
          <w:b/>
          <w:bCs/>
        </w:rPr>
        <w:t>„Ilość zaoszczędzonej energii cieplnej [GJ/rok]”.</w:t>
      </w:r>
    </w:p>
    <w:p w:rsidR="00463641" w:rsidRPr="00F77745" w:rsidRDefault="00463641" w:rsidP="00463641">
      <w:pPr>
        <w:pStyle w:val="Akapitzlist"/>
        <w:spacing w:after="60" w:line="360" w:lineRule="auto"/>
        <w:ind w:left="0"/>
        <w:jc w:val="both"/>
        <w:rPr>
          <w:rFonts w:ascii="Arial Narrow" w:hAnsi="Arial Narrow" w:cs="Arial"/>
          <w:i/>
        </w:rPr>
      </w:pPr>
      <w:r w:rsidRPr="00F77745">
        <w:rPr>
          <w:rFonts w:ascii="Arial Narrow" w:eastAsia="Times New Roman" w:hAnsi="Arial Narrow" w:cs="Arial"/>
          <w:i/>
        </w:rPr>
        <w:t>W</w:t>
      </w:r>
      <w:r w:rsidRPr="00F77745">
        <w:rPr>
          <w:rFonts w:ascii="Arial Narrow" w:hAnsi="Arial Narrow" w:cs="Arial"/>
          <w:i/>
        </w:rPr>
        <w:t xml:space="preserve">artość wskaźnika została oszacowana na podstawie danych zawartych w audytach energetycznych, tj. rocznego zapotrzebowania na ciepło do ogrzewania budynku (z uwzględnieniem sprawności systemu grzewczego i przerw w ogrzewaniu) (GJ/rok) oraz rocznego obliczeniowego zużycia energii końcowej </w:t>
      </w:r>
      <w:r w:rsidR="00590639">
        <w:rPr>
          <w:rFonts w:ascii="Arial Narrow" w:hAnsi="Arial Narrow" w:cs="Arial"/>
          <w:i/>
        </w:rPr>
        <w:br/>
      </w:r>
      <w:r w:rsidRPr="00F77745">
        <w:rPr>
          <w:rFonts w:ascii="Arial Narrow" w:hAnsi="Arial Narrow" w:cs="Arial"/>
          <w:i/>
        </w:rPr>
        <w:t xml:space="preserve">do przygotowania </w:t>
      </w:r>
      <w:proofErr w:type="spellStart"/>
      <w:r w:rsidRPr="00F77745">
        <w:rPr>
          <w:rFonts w:ascii="Arial Narrow" w:hAnsi="Arial Narrow" w:cs="Arial"/>
          <w:i/>
        </w:rPr>
        <w:t>c.w.u</w:t>
      </w:r>
      <w:proofErr w:type="spellEnd"/>
      <w:r w:rsidRPr="00F77745">
        <w:rPr>
          <w:rFonts w:ascii="Arial Narrow" w:hAnsi="Arial Narrow" w:cs="Arial"/>
          <w:i/>
        </w:rPr>
        <w:t>. (GJ/rok).</w:t>
      </w:r>
    </w:p>
    <w:tbl>
      <w:tblPr>
        <w:tblW w:w="8201" w:type="dxa"/>
        <w:tblInd w:w="496" w:type="dxa"/>
        <w:tblCellMar>
          <w:left w:w="70" w:type="dxa"/>
          <w:right w:w="70" w:type="dxa"/>
        </w:tblCellMar>
        <w:tblLook w:val="04A0"/>
      </w:tblPr>
      <w:tblGrid>
        <w:gridCol w:w="1823"/>
        <w:gridCol w:w="2398"/>
        <w:gridCol w:w="1240"/>
        <w:gridCol w:w="1080"/>
        <w:gridCol w:w="1660"/>
      </w:tblGrid>
      <w:tr w:rsidR="00463641" w:rsidRPr="00F77745" w:rsidTr="00E97D77">
        <w:trPr>
          <w:trHeight w:val="240"/>
        </w:trPr>
        <w:tc>
          <w:tcPr>
            <w:tcW w:w="182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63641" w:rsidRPr="00F77745" w:rsidRDefault="00463641" w:rsidP="00463641">
            <w:pPr>
              <w:jc w:val="center"/>
              <w:rPr>
                <w:rFonts w:ascii="Arial Narrow" w:hAnsi="Arial Narrow" w:cs="Arial"/>
                <w:b/>
                <w:bCs/>
                <w:i/>
                <w:color w:val="000000"/>
              </w:rPr>
            </w:pPr>
            <w:r w:rsidRPr="00F77745">
              <w:rPr>
                <w:rFonts w:ascii="Arial Narrow" w:hAnsi="Arial Narrow" w:cs="Arial"/>
                <w:b/>
                <w:bCs/>
                <w:i/>
                <w:color w:val="000000"/>
                <w:sz w:val="22"/>
                <w:szCs w:val="22"/>
              </w:rPr>
              <w:t>PROJEKT 1</w:t>
            </w:r>
          </w:p>
        </w:tc>
        <w:tc>
          <w:tcPr>
            <w:tcW w:w="2398" w:type="dxa"/>
            <w:tcBorders>
              <w:top w:val="single" w:sz="4" w:space="0" w:color="auto"/>
              <w:left w:val="nil"/>
              <w:bottom w:val="single" w:sz="4" w:space="0" w:color="auto"/>
              <w:right w:val="single" w:sz="4" w:space="0" w:color="auto"/>
            </w:tcBorders>
            <w:shd w:val="clear" w:color="000000" w:fill="C5D9F1"/>
            <w:noWrap/>
            <w:vAlign w:val="bottom"/>
            <w:hideMark/>
          </w:tcPr>
          <w:p w:rsidR="00463641" w:rsidRPr="00F77745" w:rsidRDefault="00463641" w:rsidP="00463641">
            <w:pPr>
              <w:rPr>
                <w:rFonts w:ascii="Arial Narrow" w:hAnsi="Arial Narrow" w:cs="Arial"/>
                <w:b/>
                <w:bCs/>
                <w:i/>
                <w:color w:val="000000"/>
              </w:rPr>
            </w:pPr>
            <w:r w:rsidRPr="00F77745">
              <w:rPr>
                <w:rFonts w:ascii="Arial Narrow" w:hAnsi="Arial Narrow" w:cs="Arial"/>
                <w:b/>
                <w:bCs/>
                <w:i/>
                <w:color w:val="000000"/>
                <w:sz w:val="22"/>
                <w:szCs w:val="22"/>
              </w:rPr>
              <w:t>GJ/rok</w:t>
            </w:r>
          </w:p>
        </w:tc>
        <w:tc>
          <w:tcPr>
            <w:tcW w:w="1240" w:type="dxa"/>
            <w:tcBorders>
              <w:top w:val="single" w:sz="4" w:space="0" w:color="auto"/>
              <w:left w:val="nil"/>
              <w:bottom w:val="single" w:sz="4" w:space="0" w:color="auto"/>
              <w:right w:val="single" w:sz="4" w:space="0" w:color="auto"/>
            </w:tcBorders>
            <w:shd w:val="clear" w:color="000000" w:fill="C5D9F1"/>
            <w:noWrap/>
            <w:vAlign w:val="bottom"/>
            <w:hideMark/>
          </w:tcPr>
          <w:p w:rsidR="00463641" w:rsidRPr="00F77745" w:rsidRDefault="00463641" w:rsidP="00463641">
            <w:pPr>
              <w:rPr>
                <w:rFonts w:ascii="Arial Narrow" w:hAnsi="Arial Narrow" w:cs="Arial"/>
                <w:b/>
                <w:bCs/>
                <w:i/>
                <w:color w:val="000000"/>
              </w:rPr>
            </w:pPr>
            <w:r w:rsidRPr="00F77745">
              <w:rPr>
                <w:rFonts w:ascii="Arial Narrow" w:hAnsi="Arial Narrow" w:cs="Arial"/>
                <w:b/>
                <w:bCs/>
                <w:i/>
                <w:color w:val="000000"/>
                <w:sz w:val="22"/>
                <w:szCs w:val="22"/>
              </w:rPr>
              <w:t>Przed</w:t>
            </w:r>
          </w:p>
        </w:tc>
        <w:tc>
          <w:tcPr>
            <w:tcW w:w="1080" w:type="dxa"/>
            <w:tcBorders>
              <w:top w:val="single" w:sz="4" w:space="0" w:color="auto"/>
              <w:left w:val="nil"/>
              <w:bottom w:val="single" w:sz="4" w:space="0" w:color="auto"/>
              <w:right w:val="single" w:sz="4" w:space="0" w:color="auto"/>
            </w:tcBorders>
            <w:shd w:val="clear" w:color="000000" w:fill="C5D9F1"/>
            <w:noWrap/>
            <w:vAlign w:val="bottom"/>
            <w:hideMark/>
          </w:tcPr>
          <w:p w:rsidR="00463641" w:rsidRPr="00F77745" w:rsidRDefault="00463641" w:rsidP="00463641">
            <w:pPr>
              <w:rPr>
                <w:rFonts w:ascii="Arial Narrow" w:hAnsi="Arial Narrow" w:cs="Arial"/>
                <w:b/>
                <w:bCs/>
                <w:i/>
                <w:color w:val="000000"/>
              </w:rPr>
            </w:pPr>
            <w:r w:rsidRPr="00F77745">
              <w:rPr>
                <w:rFonts w:ascii="Arial Narrow" w:hAnsi="Arial Narrow" w:cs="Arial"/>
                <w:b/>
                <w:bCs/>
                <w:i/>
                <w:color w:val="000000"/>
                <w:sz w:val="22"/>
                <w:szCs w:val="22"/>
              </w:rPr>
              <w:t>Po</w:t>
            </w:r>
          </w:p>
        </w:tc>
        <w:tc>
          <w:tcPr>
            <w:tcW w:w="1660" w:type="dxa"/>
            <w:tcBorders>
              <w:top w:val="single" w:sz="4" w:space="0" w:color="auto"/>
              <w:left w:val="nil"/>
              <w:bottom w:val="single" w:sz="4" w:space="0" w:color="auto"/>
              <w:right w:val="single" w:sz="4" w:space="0" w:color="auto"/>
            </w:tcBorders>
            <w:shd w:val="clear" w:color="000000" w:fill="C5D9F1"/>
            <w:noWrap/>
            <w:vAlign w:val="bottom"/>
            <w:hideMark/>
          </w:tcPr>
          <w:p w:rsidR="00463641" w:rsidRPr="00F77745" w:rsidRDefault="00463641" w:rsidP="00463641">
            <w:pPr>
              <w:rPr>
                <w:rFonts w:ascii="Arial Narrow" w:hAnsi="Arial Narrow" w:cs="Arial"/>
                <w:b/>
                <w:bCs/>
                <w:i/>
                <w:color w:val="000000"/>
              </w:rPr>
            </w:pPr>
            <w:r w:rsidRPr="00F77745">
              <w:rPr>
                <w:rFonts w:ascii="Arial Narrow" w:hAnsi="Arial Narrow" w:cs="Arial"/>
                <w:b/>
                <w:bCs/>
                <w:i/>
                <w:color w:val="000000"/>
                <w:sz w:val="22"/>
                <w:szCs w:val="22"/>
              </w:rPr>
              <w:t>Redukcja</w:t>
            </w:r>
          </w:p>
        </w:tc>
      </w:tr>
      <w:tr w:rsidR="00590639" w:rsidRPr="00F77745" w:rsidTr="00B35ACE">
        <w:trPr>
          <w:trHeight w:val="240"/>
        </w:trPr>
        <w:tc>
          <w:tcPr>
            <w:tcW w:w="1823"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590639" w:rsidRPr="00F77745" w:rsidRDefault="00590639" w:rsidP="00463641">
            <w:pPr>
              <w:jc w:val="center"/>
              <w:rPr>
                <w:rFonts w:ascii="Arial Narrow" w:hAnsi="Arial Narrow" w:cs="Arial"/>
                <w:b/>
                <w:bCs/>
                <w:i/>
                <w:color w:val="000000"/>
              </w:rPr>
            </w:pPr>
            <w:r w:rsidRPr="00F77745">
              <w:rPr>
                <w:rFonts w:ascii="Arial Narrow" w:hAnsi="Arial Narrow" w:cs="Arial"/>
                <w:b/>
                <w:bCs/>
                <w:i/>
                <w:color w:val="000000"/>
                <w:sz w:val="22"/>
                <w:szCs w:val="22"/>
              </w:rPr>
              <w:t>Przedszkole nr 4</w:t>
            </w: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590639">
            <w:pPr>
              <w:jc w:val="center"/>
              <w:rPr>
                <w:rFonts w:ascii="Arial Narrow" w:hAnsi="Arial Narrow" w:cs="Arial"/>
                <w:i/>
                <w:color w:val="000000"/>
              </w:rPr>
            </w:pPr>
            <w:r>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590639">
            <w:pPr>
              <w:jc w:val="center"/>
              <w:rPr>
                <w:rFonts w:ascii="Arial Narrow" w:hAnsi="Arial Narrow" w:cs="Arial"/>
                <w:i/>
                <w:color w:val="000000"/>
              </w:rPr>
            </w:pPr>
            <w:r>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85"/>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rPr>
                <w:rFonts w:ascii="Arial Narrow" w:hAnsi="Arial Narrow" w:cs="Arial"/>
                <w:i/>
                <w:color w:val="000000"/>
              </w:rPr>
            </w:pPr>
            <w:r w:rsidRPr="00F77745">
              <w:rPr>
                <w:rFonts w:ascii="Arial Narrow" w:hAnsi="Arial Narrow" w:cs="Arial"/>
                <w:i/>
                <w:color w:val="000000"/>
                <w:sz w:val="22"/>
                <w:szCs w:val="22"/>
              </w:rPr>
              <w:t>RAZEM (</w:t>
            </w: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 xml:space="preserve">.+ </w:t>
            </w: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C84712">
              <w:rPr>
                <w:rFonts w:ascii="Arial Narrow" w:hAnsi="Arial Narrow" w:cs="Arial"/>
                <w:i/>
                <w:iCs/>
              </w:rPr>
              <w:t>………</w:t>
            </w:r>
          </w:p>
        </w:tc>
        <w:tc>
          <w:tcPr>
            <w:tcW w:w="166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590639" w:rsidRPr="00F77745" w:rsidRDefault="00590639" w:rsidP="00463641">
            <w:pPr>
              <w:jc w:val="cente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C84712">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C84712">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rPr>
                <w:rFonts w:ascii="Arial Narrow" w:hAnsi="Arial Narrow" w:cs="Arial"/>
                <w:i/>
                <w:color w:val="000000"/>
              </w:rPr>
            </w:pPr>
            <w:r w:rsidRPr="00F77745">
              <w:rPr>
                <w:rFonts w:ascii="Arial Narrow" w:hAnsi="Arial Narrow" w:cs="Arial"/>
                <w:i/>
                <w:color w:val="000000"/>
                <w:sz w:val="22"/>
                <w:szCs w:val="22"/>
              </w:rPr>
              <w:t>RAZEM (</w:t>
            </w: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 xml:space="preserve">.+ </w:t>
            </w: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C84712">
              <w:rPr>
                <w:rFonts w:ascii="Arial Narrow" w:hAnsi="Arial Narrow" w:cs="Arial"/>
                <w:i/>
                <w:iCs/>
              </w:rPr>
              <w:t>………</w:t>
            </w:r>
          </w:p>
        </w:tc>
        <w:tc>
          <w:tcPr>
            <w:tcW w:w="166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590639" w:rsidRPr="00F77745" w:rsidRDefault="00590639" w:rsidP="00463641">
            <w:pPr>
              <w:jc w:val="cente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rPr>
            </w:pPr>
          </w:p>
        </w:tc>
        <w:tc>
          <w:tcPr>
            <w:tcW w:w="108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rPr>
                <w:rFonts w:ascii="Arial Narrow" w:hAnsi="Arial Narrow" w:cs="Arial"/>
                <w:i/>
                <w:color w:val="000000"/>
              </w:rPr>
            </w:pPr>
            <w:r w:rsidRPr="00F77745">
              <w:rPr>
                <w:rFonts w:ascii="Arial Narrow" w:hAnsi="Arial Narrow" w:cs="Arial"/>
                <w:i/>
                <w:color w:val="000000"/>
                <w:sz w:val="22"/>
                <w:szCs w:val="22"/>
              </w:rPr>
              <w:t>RAZEM (</w:t>
            </w: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 xml:space="preserve">.+ </w:t>
            </w: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590639" w:rsidRPr="00F77745" w:rsidRDefault="00590639" w:rsidP="00463641">
            <w:pPr>
              <w:jc w:val="cente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rPr>
                <w:rFonts w:ascii="Arial Narrow" w:hAnsi="Arial Narrow" w:cs="Arial"/>
                <w:i/>
                <w:color w:val="000000"/>
              </w:rPr>
            </w:pPr>
            <w:r w:rsidRPr="00F77745">
              <w:rPr>
                <w:rFonts w:ascii="Arial Narrow" w:hAnsi="Arial Narrow" w:cs="Arial"/>
                <w:i/>
                <w:color w:val="000000"/>
                <w:sz w:val="22"/>
                <w:szCs w:val="22"/>
              </w:rPr>
              <w:t>RAZEM (</w:t>
            </w: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 xml:space="preserve">.+ </w:t>
            </w: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590639" w:rsidRPr="00F77745" w:rsidRDefault="00590639" w:rsidP="00463641">
            <w:pPr>
              <w:jc w:val="cente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rPr>
                <w:rFonts w:ascii="Arial Narrow" w:hAnsi="Arial Narrow" w:cs="Arial"/>
                <w:i/>
                <w:color w:val="000000"/>
              </w:rPr>
            </w:pP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auto" w:fill="auto"/>
            <w:noWrap/>
            <w:hideMark/>
          </w:tcPr>
          <w:p w:rsidR="00590639" w:rsidRDefault="00590639" w:rsidP="00590639">
            <w:pPr>
              <w:jc w:val="center"/>
            </w:pPr>
            <w:r w:rsidRPr="0031666B">
              <w:rPr>
                <w:rFonts w:ascii="Arial Narrow" w:hAnsi="Arial Narrow" w:cs="Arial"/>
                <w:i/>
                <w:iCs/>
              </w:rPr>
              <w:t>………</w:t>
            </w:r>
          </w:p>
        </w:tc>
      </w:tr>
      <w:tr w:rsidR="00590639" w:rsidRPr="00F77745" w:rsidTr="00B35ACE">
        <w:trPr>
          <w:trHeight w:val="240"/>
        </w:trPr>
        <w:tc>
          <w:tcPr>
            <w:tcW w:w="1823" w:type="dxa"/>
            <w:vMerge/>
            <w:tcBorders>
              <w:top w:val="nil"/>
              <w:left w:val="single" w:sz="4" w:space="0" w:color="auto"/>
              <w:bottom w:val="single" w:sz="4" w:space="0" w:color="000000"/>
              <w:right w:val="single" w:sz="4" w:space="0" w:color="auto"/>
            </w:tcBorders>
            <w:vAlign w:val="center"/>
            <w:hideMark/>
          </w:tcPr>
          <w:p w:rsidR="00590639" w:rsidRPr="00F77745" w:rsidRDefault="00590639" w:rsidP="00463641">
            <w:pPr>
              <w:rPr>
                <w:rFonts w:ascii="Arial Narrow" w:hAnsi="Arial Narrow" w:cs="Arial"/>
                <w:b/>
                <w:bCs/>
                <w:i/>
                <w:color w:val="000000"/>
              </w:rPr>
            </w:pPr>
          </w:p>
        </w:tc>
        <w:tc>
          <w:tcPr>
            <w:tcW w:w="2398"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rPr>
                <w:rFonts w:ascii="Arial Narrow" w:hAnsi="Arial Narrow" w:cs="Arial"/>
                <w:i/>
                <w:color w:val="000000"/>
              </w:rPr>
            </w:pPr>
            <w:r w:rsidRPr="00F77745">
              <w:rPr>
                <w:rFonts w:ascii="Arial Narrow" w:hAnsi="Arial Narrow" w:cs="Arial"/>
                <w:i/>
                <w:color w:val="000000"/>
                <w:sz w:val="22"/>
                <w:szCs w:val="22"/>
              </w:rPr>
              <w:t>RAZEM (</w:t>
            </w:r>
            <w:proofErr w:type="spellStart"/>
            <w:r w:rsidRPr="00F77745">
              <w:rPr>
                <w:rFonts w:ascii="Arial Narrow" w:hAnsi="Arial Narrow" w:cs="Arial"/>
                <w:i/>
                <w:color w:val="000000"/>
                <w:sz w:val="22"/>
                <w:szCs w:val="22"/>
              </w:rPr>
              <w:t>c.o</w:t>
            </w:r>
            <w:proofErr w:type="spellEnd"/>
            <w:r w:rsidRPr="00F77745">
              <w:rPr>
                <w:rFonts w:ascii="Arial Narrow" w:hAnsi="Arial Narrow" w:cs="Arial"/>
                <w:i/>
                <w:color w:val="000000"/>
                <w:sz w:val="22"/>
                <w:szCs w:val="22"/>
              </w:rPr>
              <w:t xml:space="preserve">.+ </w:t>
            </w:r>
            <w:proofErr w:type="spellStart"/>
            <w:r w:rsidRPr="00F77745">
              <w:rPr>
                <w:rFonts w:ascii="Arial Narrow" w:hAnsi="Arial Narrow" w:cs="Arial"/>
                <w:i/>
                <w:color w:val="000000"/>
                <w:sz w:val="22"/>
                <w:szCs w:val="22"/>
              </w:rPr>
              <w:t>c.w.u</w:t>
            </w:r>
            <w:proofErr w:type="spellEnd"/>
            <w:r w:rsidRPr="00F77745">
              <w:rPr>
                <w:rFonts w:ascii="Arial Narrow" w:hAnsi="Arial Narrow" w:cs="Arial"/>
                <w:i/>
                <w:color w:val="000000"/>
                <w:sz w:val="22"/>
                <w:szCs w:val="22"/>
              </w:rPr>
              <w:t>.)</w:t>
            </w:r>
          </w:p>
        </w:tc>
        <w:tc>
          <w:tcPr>
            <w:tcW w:w="1240" w:type="dxa"/>
            <w:tcBorders>
              <w:top w:val="nil"/>
              <w:left w:val="nil"/>
              <w:bottom w:val="single" w:sz="4" w:space="0" w:color="auto"/>
              <w:right w:val="single" w:sz="4" w:space="0" w:color="auto"/>
            </w:tcBorders>
            <w:shd w:val="clear" w:color="000000" w:fill="FFC000"/>
            <w:noWrap/>
            <w:vAlign w:val="bottom"/>
            <w:hideMark/>
          </w:tcPr>
          <w:p w:rsidR="00590639" w:rsidRPr="00F77745" w:rsidRDefault="00590639" w:rsidP="00463641">
            <w:pPr>
              <w:jc w:val="right"/>
              <w:rPr>
                <w:rFonts w:ascii="Arial Narrow" w:hAnsi="Arial Narrow" w:cs="Arial"/>
                <w:i/>
                <w:color w:val="000000"/>
              </w:rPr>
            </w:pPr>
          </w:p>
        </w:tc>
        <w:tc>
          <w:tcPr>
            <w:tcW w:w="108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D57B89">
              <w:rPr>
                <w:rFonts w:ascii="Arial Narrow" w:hAnsi="Arial Narrow" w:cs="Arial"/>
                <w:i/>
                <w:iCs/>
              </w:rPr>
              <w:t>………</w:t>
            </w:r>
          </w:p>
        </w:tc>
        <w:tc>
          <w:tcPr>
            <w:tcW w:w="1660" w:type="dxa"/>
            <w:tcBorders>
              <w:top w:val="nil"/>
              <w:left w:val="nil"/>
              <w:bottom w:val="single" w:sz="4" w:space="0" w:color="auto"/>
              <w:right w:val="single" w:sz="4" w:space="0" w:color="auto"/>
            </w:tcBorders>
            <w:shd w:val="clear" w:color="000000" w:fill="FFC000"/>
            <w:noWrap/>
            <w:hideMark/>
          </w:tcPr>
          <w:p w:rsidR="00590639" w:rsidRDefault="00590639" w:rsidP="00590639">
            <w:pPr>
              <w:jc w:val="center"/>
            </w:pPr>
            <w:r w:rsidRPr="0031666B">
              <w:rPr>
                <w:rFonts w:ascii="Arial Narrow" w:hAnsi="Arial Narrow" w:cs="Arial"/>
                <w:i/>
                <w:iCs/>
              </w:rPr>
              <w:t>………</w:t>
            </w:r>
          </w:p>
        </w:tc>
      </w:tr>
    </w:tbl>
    <w:p w:rsidR="00463641" w:rsidRPr="00F77745" w:rsidRDefault="00463641" w:rsidP="00463641">
      <w:pPr>
        <w:pStyle w:val="Akapitzlist"/>
        <w:spacing w:after="60" w:line="360" w:lineRule="auto"/>
        <w:ind w:left="646"/>
        <w:jc w:val="both"/>
        <w:rPr>
          <w:rFonts w:ascii="Arial Narrow" w:hAnsi="Arial Narrow" w:cs="Arial"/>
        </w:rPr>
      </w:pPr>
    </w:p>
    <w:p w:rsidR="00463641" w:rsidRPr="00F77745" w:rsidRDefault="00463641" w:rsidP="00463641">
      <w:pPr>
        <w:pStyle w:val="Akapitzlist"/>
        <w:spacing w:after="60" w:line="360" w:lineRule="auto"/>
        <w:ind w:left="646"/>
        <w:jc w:val="both"/>
        <w:rPr>
          <w:rFonts w:ascii="Arial Narrow" w:eastAsia="Times New Roman" w:hAnsi="Arial Narrow" w:cs="Arial"/>
          <w:bCs/>
        </w:rPr>
      </w:pPr>
      <w:r w:rsidRPr="00F77745">
        <w:rPr>
          <w:rFonts w:ascii="Arial Narrow" w:hAnsi="Arial Narrow" w:cs="Arial"/>
        </w:rPr>
        <w:t xml:space="preserve"> </w:t>
      </w:r>
      <w:r w:rsidR="00590639">
        <w:rPr>
          <w:rFonts w:ascii="Arial Narrow" w:hAnsi="Arial Narrow" w:cs="Arial"/>
          <w:i/>
          <w:iCs/>
        </w:rPr>
        <w:t>………</w:t>
      </w:r>
      <w:r w:rsidRPr="00F77745">
        <w:rPr>
          <w:rFonts w:ascii="Arial Narrow" w:hAnsi="Arial Narrow" w:cs="Arial"/>
        </w:rPr>
        <w:t xml:space="preserve"> + </w:t>
      </w:r>
      <w:r w:rsidR="00590639">
        <w:rPr>
          <w:rFonts w:ascii="Arial Narrow" w:hAnsi="Arial Narrow" w:cs="Arial"/>
          <w:i/>
          <w:iCs/>
        </w:rPr>
        <w:t>………</w:t>
      </w:r>
      <w:r w:rsidRPr="00F77745">
        <w:rPr>
          <w:rFonts w:ascii="Arial Narrow" w:hAnsi="Arial Narrow" w:cs="Arial"/>
        </w:rPr>
        <w:t xml:space="preserve"> + </w:t>
      </w:r>
      <w:r w:rsidR="00590639">
        <w:rPr>
          <w:rFonts w:ascii="Arial Narrow" w:hAnsi="Arial Narrow" w:cs="Arial"/>
          <w:i/>
          <w:iCs/>
        </w:rPr>
        <w:t>………</w:t>
      </w:r>
      <w:r w:rsidRPr="00F77745">
        <w:rPr>
          <w:rFonts w:ascii="Arial Narrow" w:hAnsi="Arial Narrow" w:cs="Arial"/>
        </w:rPr>
        <w:t xml:space="preserve"> + </w:t>
      </w:r>
      <w:r w:rsidR="00590639">
        <w:rPr>
          <w:rFonts w:ascii="Arial Narrow" w:hAnsi="Arial Narrow" w:cs="Arial"/>
          <w:i/>
          <w:iCs/>
        </w:rPr>
        <w:t>………</w:t>
      </w:r>
      <w:r w:rsidRPr="00F77745">
        <w:rPr>
          <w:rFonts w:ascii="Arial Narrow" w:hAnsi="Arial Narrow" w:cs="Arial"/>
        </w:rPr>
        <w:t xml:space="preserve"> + </w:t>
      </w:r>
      <w:r w:rsidR="00590639">
        <w:rPr>
          <w:rFonts w:ascii="Arial Narrow" w:hAnsi="Arial Narrow" w:cs="Arial"/>
          <w:i/>
          <w:iCs/>
        </w:rPr>
        <w:t>………</w:t>
      </w:r>
      <w:r w:rsidRPr="00F77745">
        <w:rPr>
          <w:rFonts w:ascii="Arial Narrow" w:hAnsi="Arial Narrow" w:cs="Arial"/>
        </w:rPr>
        <w:t xml:space="preserve"> = </w:t>
      </w:r>
      <w:r w:rsidR="00590639">
        <w:rPr>
          <w:rFonts w:ascii="Arial Narrow" w:hAnsi="Arial Narrow" w:cs="Arial"/>
          <w:i/>
          <w:iCs/>
        </w:rPr>
        <w:t>………</w:t>
      </w:r>
      <w:r w:rsidRPr="00F77745">
        <w:rPr>
          <w:rFonts w:ascii="Arial Narrow" w:hAnsi="Arial Narrow" w:cs="Arial"/>
          <w:b/>
        </w:rPr>
        <w:t xml:space="preserve"> GJ/rok</w:t>
      </w:r>
    </w:p>
    <w:p w:rsidR="00463641" w:rsidRPr="00F77745" w:rsidRDefault="00463641" w:rsidP="00463641">
      <w:pPr>
        <w:spacing w:line="360" w:lineRule="auto"/>
        <w:jc w:val="both"/>
        <w:outlineLvl w:val="0"/>
        <w:rPr>
          <w:rFonts w:ascii="Arial Narrow" w:hAnsi="Arial Narrow" w:cs="Arial"/>
          <w:b/>
          <w:sz w:val="22"/>
          <w:szCs w:val="22"/>
        </w:rPr>
      </w:pPr>
    </w:p>
    <w:p w:rsidR="00F83595" w:rsidRPr="00333C23" w:rsidRDefault="00F83595" w:rsidP="00CB4377">
      <w:pPr>
        <w:rPr>
          <w:rFonts w:ascii="Arial Narrow" w:hAnsi="Arial Narrow"/>
        </w:rPr>
      </w:pPr>
    </w:p>
    <w:sectPr w:rsidR="00F83595" w:rsidRPr="00333C23" w:rsidSect="009001FD">
      <w:headerReference w:type="default" r:id="rId8"/>
      <w:pgSz w:w="11906" w:h="16838"/>
      <w:pgMar w:top="111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6D" w:rsidRDefault="009D786D" w:rsidP="009001FD">
      <w:r>
        <w:separator/>
      </w:r>
    </w:p>
  </w:endnote>
  <w:endnote w:type="continuationSeparator" w:id="0">
    <w:p w:rsidR="009D786D" w:rsidRDefault="009D786D" w:rsidP="00900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6D" w:rsidRDefault="009D786D" w:rsidP="009001FD">
      <w:r>
        <w:separator/>
      </w:r>
    </w:p>
  </w:footnote>
  <w:footnote w:type="continuationSeparator" w:id="0">
    <w:p w:rsidR="009D786D" w:rsidRDefault="009D786D" w:rsidP="00900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A0" w:rsidRPr="00341D77" w:rsidRDefault="00C602A0" w:rsidP="00C602A0">
    <w:pPr>
      <w:pStyle w:val="Nagwek"/>
      <w:jc w:val="right"/>
      <w:rPr>
        <w:rFonts w:ascii="Arial" w:hAnsi="Arial" w:cs="Arial"/>
        <w:sz w:val="20"/>
        <w:szCs w:val="20"/>
      </w:rPr>
    </w:pPr>
    <w:r w:rsidRPr="00341D77">
      <w:rPr>
        <w:rFonts w:ascii="Arial" w:hAnsi="Arial" w:cs="Arial"/>
        <w:sz w:val="20"/>
        <w:szCs w:val="20"/>
      </w:rPr>
      <w:t>WZP.271.18.2019</w:t>
    </w:r>
    <w:r>
      <w:rPr>
        <w:rFonts w:ascii="Arial" w:hAnsi="Arial" w:cs="Arial"/>
        <w:sz w:val="20"/>
        <w:szCs w:val="20"/>
      </w:rPr>
      <w:t>.</w:t>
    </w:r>
    <w:r w:rsidRPr="00341D77">
      <w:rPr>
        <w:rFonts w:ascii="Arial" w:hAnsi="Arial" w:cs="Arial"/>
        <w:sz w:val="20"/>
        <w:szCs w:val="20"/>
      </w:rPr>
      <w:t>E</w:t>
    </w:r>
  </w:p>
  <w:p w:rsidR="00C602A0" w:rsidRDefault="00C602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92B"/>
    <w:multiLevelType w:val="hybridMultilevel"/>
    <w:tmpl w:val="934C705E"/>
    <w:lvl w:ilvl="0" w:tplc="25D275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5965C5"/>
    <w:multiLevelType w:val="hybridMultilevel"/>
    <w:tmpl w:val="E244F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125FE1"/>
    <w:multiLevelType w:val="hybridMultilevel"/>
    <w:tmpl w:val="48382092"/>
    <w:lvl w:ilvl="0" w:tplc="D8B8A5E4">
      <w:start w:val="1"/>
      <w:numFmt w:val="lowerLetter"/>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046E6F"/>
    <w:multiLevelType w:val="hybridMultilevel"/>
    <w:tmpl w:val="C060C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AE2A0A"/>
    <w:multiLevelType w:val="hybridMultilevel"/>
    <w:tmpl w:val="F1DAF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636301"/>
    <w:multiLevelType w:val="hybridMultilevel"/>
    <w:tmpl w:val="4A5E6D28"/>
    <w:lvl w:ilvl="0" w:tplc="4AB8F06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E80A5F"/>
    <w:multiLevelType w:val="hybridMultilevel"/>
    <w:tmpl w:val="14EC130E"/>
    <w:lvl w:ilvl="0" w:tplc="6216523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5A3A47"/>
    <w:multiLevelType w:val="hybridMultilevel"/>
    <w:tmpl w:val="001C94E2"/>
    <w:lvl w:ilvl="0" w:tplc="4F109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CA5F3F"/>
    <w:multiLevelType w:val="hybridMultilevel"/>
    <w:tmpl w:val="CE702B9C"/>
    <w:lvl w:ilvl="0" w:tplc="4AB8F06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1065FD"/>
    <w:multiLevelType w:val="hybridMultilevel"/>
    <w:tmpl w:val="F2C4F200"/>
    <w:lvl w:ilvl="0" w:tplc="BE4CF10A">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E2452E"/>
    <w:multiLevelType w:val="hybridMultilevel"/>
    <w:tmpl w:val="2CB8E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0"/>
  </w:num>
  <w:num w:numId="5">
    <w:abstractNumId w:val="7"/>
  </w:num>
  <w:num w:numId="6">
    <w:abstractNumId w:va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7112E"/>
    <w:rsid w:val="00000CAA"/>
    <w:rsid w:val="00042A35"/>
    <w:rsid w:val="000576E5"/>
    <w:rsid w:val="00066560"/>
    <w:rsid w:val="00097D2E"/>
    <w:rsid w:val="000E70F1"/>
    <w:rsid w:val="000F37D7"/>
    <w:rsid w:val="000F5AC5"/>
    <w:rsid w:val="001133CD"/>
    <w:rsid w:val="00114374"/>
    <w:rsid w:val="00134F45"/>
    <w:rsid w:val="0014725C"/>
    <w:rsid w:val="00147356"/>
    <w:rsid w:val="00171A20"/>
    <w:rsid w:val="001B21ED"/>
    <w:rsid w:val="001E0A03"/>
    <w:rsid w:val="001E3F71"/>
    <w:rsid w:val="001E64C8"/>
    <w:rsid w:val="001F2C44"/>
    <w:rsid w:val="001F466A"/>
    <w:rsid w:val="0020618E"/>
    <w:rsid w:val="002328F3"/>
    <w:rsid w:val="00234194"/>
    <w:rsid w:val="0024137E"/>
    <w:rsid w:val="00270458"/>
    <w:rsid w:val="00271C46"/>
    <w:rsid w:val="00280B4B"/>
    <w:rsid w:val="0029064E"/>
    <w:rsid w:val="00292CE9"/>
    <w:rsid w:val="0029467A"/>
    <w:rsid w:val="002B1FCC"/>
    <w:rsid w:val="002B43CD"/>
    <w:rsid w:val="002B79BF"/>
    <w:rsid w:val="002C1F03"/>
    <w:rsid w:val="002C3477"/>
    <w:rsid w:val="002C6B69"/>
    <w:rsid w:val="002E490A"/>
    <w:rsid w:val="002F5C81"/>
    <w:rsid w:val="00301764"/>
    <w:rsid w:val="00302653"/>
    <w:rsid w:val="00304CBF"/>
    <w:rsid w:val="00311BB1"/>
    <w:rsid w:val="0032360B"/>
    <w:rsid w:val="003275E1"/>
    <w:rsid w:val="00327E27"/>
    <w:rsid w:val="00331148"/>
    <w:rsid w:val="00333C23"/>
    <w:rsid w:val="00341081"/>
    <w:rsid w:val="00342925"/>
    <w:rsid w:val="0035226E"/>
    <w:rsid w:val="0035500E"/>
    <w:rsid w:val="0037520F"/>
    <w:rsid w:val="00385E34"/>
    <w:rsid w:val="00394964"/>
    <w:rsid w:val="00394BE1"/>
    <w:rsid w:val="00395E72"/>
    <w:rsid w:val="003A7BB7"/>
    <w:rsid w:val="003F7C8D"/>
    <w:rsid w:val="00401F75"/>
    <w:rsid w:val="00403796"/>
    <w:rsid w:val="00407DBB"/>
    <w:rsid w:val="004115D7"/>
    <w:rsid w:val="0044369D"/>
    <w:rsid w:val="004468B4"/>
    <w:rsid w:val="004470F4"/>
    <w:rsid w:val="00462EC9"/>
    <w:rsid w:val="00463641"/>
    <w:rsid w:val="0048188D"/>
    <w:rsid w:val="00490954"/>
    <w:rsid w:val="004A0B92"/>
    <w:rsid w:val="004A355F"/>
    <w:rsid w:val="004A4ED2"/>
    <w:rsid w:val="004B536E"/>
    <w:rsid w:val="004D15D5"/>
    <w:rsid w:val="004E7937"/>
    <w:rsid w:val="004F1CD0"/>
    <w:rsid w:val="004F56F3"/>
    <w:rsid w:val="00512D1F"/>
    <w:rsid w:val="00513429"/>
    <w:rsid w:val="00517513"/>
    <w:rsid w:val="00533883"/>
    <w:rsid w:val="0054212F"/>
    <w:rsid w:val="00547BE8"/>
    <w:rsid w:val="00590639"/>
    <w:rsid w:val="005964B0"/>
    <w:rsid w:val="005A2D18"/>
    <w:rsid w:val="005B282C"/>
    <w:rsid w:val="005F1E0A"/>
    <w:rsid w:val="005F48B5"/>
    <w:rsid w:val="006069AE"/>
    <w:rsid w:val="006161C2"/>
    <w:rsid w:val="00621641"/>
    <w:rsid w:val="00627B58"/>
    <w:rsid w:val="00631951"/>
    <w:rsid w:val="006540D6"/>
    <w:rsid w:val="006571A4"/>
    <w:rsid w:val="00664D71"/>
    <w:rsid w:val="00676F15"/>
    <w:rsid w:val="006B2BF9"/>
    <w:rsid w:val="006B4B76"/>
    <w:rsid w:val="006D408D"/>
    <w:rsid w:val="006D4BB1"/>
    <w:rsid w:val="006E24A0"/>
    <w:rsid w:val="007065B9"/>
    <w:rsid w:val="00707680"/>
    <w:rsid w:val="007110ED"/>
    <w:rsid w:val="00717945"/>
    <w:rsid w:val="00733D36"/>
    <w:rsid w:val="00742006"/>
    <w:rsid w:val="00752B24"/>
    <w:rsid w:val="00760318"/>
    <w:rsid w:val="00763F65"/>
    <w:rsid w:val="0078212B"/>
    <w:rsid w:val="00785A3A"/>
    <w:rsid w:val="00797A11"/>
    <w:rsid w:val="007A41E6"/>
    <w:rsid w:val="007B176A"/>
    <w:rsid w:val="007C33D5"/>
    <w:rsid w:val="007E0879"/>
    <w:rsid w:val="007F4086"/>
    <w:rsid w:val="0084123C"/>
    <w:rsid w:val="00863BCD"/>
    <w:rsid w:val="0087112E"/>
    <w:rsid w:val="00884352"/>
    <w:rsid w:val="008B514A"/>
    <w:rsid w:val="008B7270"/>
    <w:rsid w:val="008C5213"/>
    <w:rsid w:val="009001FD"/>
    <w:rsid w:val="0090276A"/>
    <w:rsid w:val="00943866"/>
    <w:rsid w:val="00970DBB"/>
    <w:rsid w:val="00972D14"/>
    <w:rsid w:val="00983CB0"/>
    <w:rsid w:val="00984E66"/>
    <w:rsid w:val="009A2993"/>
    <w:rsid w:val="009B3918"/>
    <w:rsid w:val="009B71F4"/>
    <w:rsid w:val="009C70DC"/>
    <w:rsid w:val="009D338E"/>
    <w:rsid w:val="009D786D"/>
    <w:rsid w:val="009F09AA"/>
    <w:rsid w:val="00A06042"/>
    <w:rsid w:val="00A22258"/>
    <w:rsid w:val="00A23576"/>
    <w:rsid w:val="00A31390"/>
    <w:rsid w:val="00A54247"/>
    <w:rsid w:val="00A62A41"/>
    <w:rsid w:val="00A6782F"/>
    <w:rsid w:val="00A84B0A"/>
    <w:rsid w:val="00A87BF5"/>
    <w:rsid w:val="00AA0A8E"/>
    <w:rsid w:val="00AD1734"/>
    <w:rsid w:val="00AD4E6A"/>
    <w:rsid w:val="00B060F2"/>
    <w:rsid w:val="00B32AB5"/>
    <w:rsid w:val="00B4160A"/>
    <w:rsid w:val="00B42985"/>
    <w:rsid w:val="00B67863"/>
    <w:rsid w:val="00BA7DAB"/>
    <w:rsid w:val="00BC050B"/>
    <w:rsid w:val="00BC3296"/>
    <w:rsid w:val="00BC4C2F"/>
    <w:rsid w:val="00BE51CE"/>
    <w:rsid w:val="00BE7617"/>
    <w:rsid w:val="00C0026D"/>
    <w:rsid w:val="00C20EC8"/>
    <w:rsid w:val="00C21DF6"/>
    <w:rsid w:val="00C2484C"/>
    <w:rsid w:val="00C26DAB"/>
    <w:rsid w:val="00C32582"/>
    <w:rsid w:val="00C51878"/>
    <w:rsid w:val="00C554AD"/>
    <w:rsid w:val="00C5624A"/>
    <w:rsid w:val="00C602A0"/>
    <w:rsid w:val="00C70110"/>
    <w:rsid w:val="00C93BFA"/>
    <w:rsid w:val="00CB4377"/>
    <w:rsid w:val="00CD5497"/>
    <w:rsid w:val="00D063CD"/>
    <w:rsid w:val="00D1235D"/>
    <w:rsid w:val="00D175E2"/>
    <w:rsid w:val="00D33B61"/>
    <w:rsid w:val="00D460F5"/>
    <w:rsid w:val="00D65E3D"/>
    <w:rsid w:val="00D71A0F"/>
    <w:rsid w:val="00D723F7"/>
    <w:rsid w:val="00D8225B"/>
    <w:rsid w:val="00DC1EFF"/>
    <w:rsid w:val="00DD0DB4"/>
    <w:rsid w:val="00DD2326"/>
    <w:rsid w:val="00DE34BE"/>
    <w:rsid w:val="00DE449B"/>
    <w:rsid w:val="00DE6E3D"/>
    <w:rsid w:val="00DF1CA1"/>
    <w:rsid w:val="00E14E50"/>
    <w:rsid w:val="00E23F3C"/>
    <w:rsid w:val="00E33052"/>
    <w:rsid w:val="00E34A15"/>
    <w:rsid w:val="00E527CD"/>
    <w:rsid w:val="00E54464"/>
    <w:rsid w:val="00E81C17"/>
    <w:rsid w:val="00E954F2"/>
    <w:rsid w:val="00E97D77"/>
    <w:rsid w:val="00EA5AC5"/>
    <w:rsid w:val="00EA71CE"/>
    <w:rsid w:val="00EB43C2"/>
    <w:rsid w:val="00EC1488"/>
    <w:rsid w:val="00ED3532"/>
    <w:rsid w:val="00ED5490"/>
    <w:rsid w:val="00EE3F38"/>
    <w:rsid w:val="00EE50EB"/>
    <w:rsid w:val="00EF0EC5"/>
    <w:rsid w:val="00EF1240"/>
    <w:rsid w:val="00F1292A"/>
    <w:rsid w:val="00F12AD4"/>
    <w:rsid w:val="00F221F2"/>
    <w:rsid w:val="00F25E7B"/>
    <w:rsid w:val="00F30B8A"/>
    <w:rsid w:val="00F52234"/>
    <w:rsid w:val="00F615E1"/>
    <w:rsid w:val="00F83595"/>
    <w:rsid w:val="00F9641D"/>
    <w:rsid w:val="00FA424E"/>
    <w:rsid w:val="00FA4FE7"/>
    <w:rsid w:val="00FB5793"/>
    <w:rsid w:val="00FB5C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12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7112E"/>
    <w:pPr>
      <w:tabs>
        <w:tab w:val="center" w:pos="4536"/>
        <w:tab w:val="right" w:pos="9072"/>
      </w:tabs>
    </w:pPr>
  </w:style>
  <w:style w:type="character" w:customStyle="1" w:styleId="NagwekZnak">
    <w:name w:val="Nagłówek Znak"/>
    <w:basedOn w:val="Domylnaczcionkaakapitu"/>
    <w:link w:val="Nagwek"/>
    <w:rsid w:val="0087112E"/>
    <w:rPr>
      <w:rFonts w:ascii="Times New Roman" w:eastAsia="Times New Roman" w:hAnsi="Times New Roman" w:cs="Times New Roman"/>
      <w:sz w:val="24"/>
      <w:szCs w:val="24"/>
      <w:lang w:eastAsia="pl-PL"/>
    </w:rPr>
  </w:style>
  <w:style w:type="paragraph" w:styleId="Bezodstpw">
    <w:name w:val="No Spacing"/>
    <w:uiPriority w:val="1"/>
    <w:qFormat/>
    <w:rsid w:val="001E3F71"/>
    <w:rPr>
      <w:rFonts w:eastAsia="Times New Roman"/>
      <w:sz w:val="22"/>
      <w:szCs w:val="22"/>
    </w:rPr>
  </w:style>
  <w:style w:type="paragraph" w:styleId="Tekstdymka">
    <w:name w:val="Balloon Text"/>
    <w:basedOn w:val="Normalny"/>
    <w:link w:val="TekstdymkaZnak"/>
    <w:uiPriority w:val="99"/>
    <w:semiHidden/>
    <w:unhideWhenUsed/>
    <w:rsid w:val="009001FD"/>
    <w:rPr>
      <w:rFonts w:ascii="Tahoma" w:hAnsi="Tahoma" w:cs="Tahoma"/>
      <w:sz w:val="16"/>
      <w:szCs w:val="16"/>
    </w:rPr>
  </w:style>
  <w:style w:type="character" w:customStyle="1" w:styleId="TekstdymkaZnak">
    <w:name w:val="Tekst dymka Znak"/>
    <w:basedOn w:val="Domylnaczcionkaakapitu"/>
    <w:link w:val="Tekstdymka"/>
    <w:uiPriority w:val="99"/>
    <w:semiHidden/>
    <w:rsid w:val="009001FD"/>
    <w:rPr>
      <w:rFonts w:ascii="Tahoma" w:eastAsia="Times New Roman" w:hAnsi="Tahoma" w:cs="Tahoma"/>
      <w:sz w:val="16"/>
      <w:szCs w:val="16"/>
    </w:rPr>
  </w:style>
  <w:style w:type="paragraph" w:styleId="Stopka">
    <w:name w:val="footer"/>
    <w:basedOn w:val="Normalny"/>
    <w:link w:val="StopkaZnak"/>
    <w:uiPriority w:val="99"/>
    <w:unhideWhenUsed/>
    <w:rsid w:val="009001FD"/>
    <w:pPr>
      <w:tabs>
        <w:tab w:val="center" w:pos="4536"/>
        <w:tab w:val="right" w:pos="9072"/>
      </w:tabs>
    </w:pPr>
  </w:style>
  <w:style w:type="character" w:customStyle="1" w:styleId="StopkaZnak">
    <w:name w:val="Stopka Znak"/>
    <w:basedOn w:val="Domylnaczcionkaakapitu"/>
    <w:link w:val="Stopka"/>
    <w:uiPriority w:val="99"/>
    <w:rsid w:val="009001FD"/>
    <w:rPr>
      <w:rFonts w:ascii="Times New Roman" w:eastAsia="Times New Roman" w:hAnsi="Times New Roman"/>
      <w:sz w:val="24"/>
      <w:szCs w:val="24"/>
    </w:rPr>
  </w:style>
  <w:style w:type="paragraph" w:styleId="Akapitzlist">
    <w:name w:val="List Paragraph"/>
    <w:basedOn w:val="Normalny"/>
    <w:uiPriority w:val="34"/>
    <w:qFormat/>
    <w:rsid w:val="002E490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78212B"/>
    <w:rPr>
      <w:b/>
      <w:bCs/>
    </w:rPr>
  </w:style>
  <w:style w:type="character" w:customStyle="1" w:styleId="displayonly">
    <w:name w:val="display_only"/>
    <w:basedOn w:val="Domylnaczcionkaakapitu"/>
    <w:rsid w:val="00333C23"/>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 Z"/>
    <w:basedOn w:val="Normalny"/>
    <w:next w:val="Normalny"/>
    <w:link w:val="LegendaZnak"/>
    <w:uiPriority w:val="99"/>
    <w:qFormat/>
    <w:rsid w:val="00463641"/>
    <w:pPr>
      <w:jc w:val="both"/>
    </w:pPr>
    <w:rPr>
      <w:rFonts w:ascii="Calibri" w:hAnsi="Calibri"/>
      <w:b/>
      <w:sz w:val="22"/>
      <w:szCs w:val="20"/>
      <w:lang w:eastAsia="en-US"/>
    </w:rPr>
  </w:style>
  <w:style w:type="character" w:customStyle="1" w:styleId="LegendaZnak">
    <w:name w:val="Legenda Znak"/>
    <w:aliases w:val="Podpis pod rysunkiem Znak,Nagłówek Tabeli Znak,Nag3ówek Tabeli Znak,Tabela nr Znak,Podpis nad obiektem Znak,DS Podpis pod obiektem Znak,Legenda Znak Znak Znak Znak1,Legenda Znak Znak Znak1,Legenda Znak Znak Znak Znak Znak"/>
    <w:link w:val="Legenda"/>
    <w:uiPriority w:val="99"/>
    <w:locked/>
    <w:rsid w:val="00463641"/>
    <w:rPr>
      <w:rFonts w:eastAsia="Times New Roman"/>
      <w:b/>
      <w:sz w:val="22"/>
      <w:lang w:eastAsia="en-US"/>
    </w:rPr>
  </w:style>
  <w:style w:type="paragraph" w:styleId="NormalnyWeb">
    <w:name w:val="Normal (Web)"/>
    <w:basedOn w:val="Normalny"/>
    <w:uiPriority w:val="99"/>
    <w:semiHidden/>
    <w:unhideWhenUsed/>
    <w:rsid w:val="00E97D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0290140">
      <w:bodyDiv w:val="1"/>
      <w:marLeft w:val="0"/>
      <w:marRight w:val="0"/>
      <w:marTop w:val="0"/>
      <w:marBottom w:val="0"/>
      <w:divBdr>
        <w:top w:val="none" w:sz="0" w:space="0" w:color="auto"/>
        <w:left w:val="none" w:sz="0" w:space="0" w:color="auto"/>
        <w:bottom w:val="none" w:sz="0" w:space="0" w:color="auto"/>
        <w:right w:val="none" w:sz="0" w:space="0" w:color="auto"/>
      </w:divBdr>
    </w:div>
    <w:div w:id="1881891032">
      <w:bodyDiv w:val="1"/>
      <w:marLeft w:val="0"/>
      <w:marRight w:val="0"/>
      <w:marTop w:val="0"/>
      <w:marBottom w:val="0"/>
      <w:divBdr>
        <w:top w:val="none" w:sz="0" w:space="0" w:color="auto"/>
        <w:left w:val="none" w:sz="0" w:space="0" w:color="auto"/>
        <w:bottom w:val="none" w:sz="0" w:space="0" w:color="auto"/>
        <w:right w:val="none" w:sz="0" w:space="0" w:color="auto"/>
      </w:divBdr>
    </w:div>
    <w:div w:id="18969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FB7E7-35A5-47E9-BEBE-FC6D130E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967</Words>
  <Characters>5805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fifielskis</dc:creator>
  <cp:lastModifiedBy>Grzegorz Zielińdki</cp:lastModifiedBy>
  <cp:revision>10</cp:revision>
  <cp:lastPrinted>2019-12-16T14:10:00Z</cp:lastPrinted>
  <dcterms:created xsi:type="dcterms:W3CDTF">2019-02-28T07:03:00Z</dcterms:created>
  <dcterms:modified xsi:type="dcterms:W3CDTF">2019-12-16T14:28:00Z</dcterms:modified>
</cp:coreProperties>
</file>