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4778E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w:t>
      </w:r>
      <w:r w:rsidR="00621EE2">
        <w:rPr>
          <w:rFonts w:ascii="Times New Roman" w:eastAsia="Times New Roman" w:hAnsi="Times New Roman" w:cs="Times New Roman"/>
          <w:sz w:val="24"/>
          <w:szCs w:val="24"/>
          <w:lang w:eastAsia="pl-PL"/>
        </w:rPr>
        <w:t xml:space="preserve">UDOWA </w:t>
      </w:r>
      <w:r>
        <w:rPr>
          <w:rFonts w:ascii="Times New Roman" w:eastAsia="Times New Roman" w:hAnsi="Times New Roman" w:cs="Times New Roman"/>
          <w:sz w:val="24"/>
          <w:szCs w:val="24"/>
          <w:lang w:eastAsia="pl-PL"/>
        </w:rPr>
        <w:t xml:space="preserve">ODNÓG </w:t>
      </w:r>
      <w:r w:rsidR="00621EE2">
        <w:rPr>
          <w:rFonts w:ascii="Times New Roman" w:eastAsia="Times New Roman" w:hAnsi="Times New Roman" w:cs="Times New Roman"/>
          <w:sz w:val="24"/>
          <w:szCs w:val="24"/>
          <w:lang w:eastAsia="pl-PL"/>
        </w:rPr>
        <w:t>UL</w:t>
      </w:r>
      <w:r>
        <w:rPr>
          <w:rFonts w:ascii="Times New Roman" w:eastAsia="Times New Roman" w:hAnsi="Times New Roman" w:cs="Times New Roman"/>
          <w:sz w:val="24"/>
          <w:szCs w:val="24"/>
          <w:lang w:eastAsia="pl-PL"/>
        </w:rPr>
        <w:t>. KOŚCIELNEJ</w:t>
      </w:r>
      <w:r w:rsidR="00621EE2">
        <w:rPr>
          <w:rFonts w:ascii="Times New Roman" w:eastAsia="Times New Roman" w:hAnsi="Times New Roman" w:cs="Times New Roman"/>
          <w:sz w:val="24"/>
          <w:szCs w:val="24"/>
          <w:lang w:eastAsia="pl-PL"/>
        </w:rPr>
        <w:t xml:space="preserve"> W BIAŁOBRZEGACH</w:t>
      </w:r>
      <w:r>
        <w:rPr>
          <w:rFonts w:ascii="Times New Roman" w:eastAsia="Times New Roman" w:hAnsi="Times New Roman" w:cs="Times New Roman"/>
          <w:sz w:val="24"/>
          <w:szCs w:val="24"/>
          <w:lang w:eastAsia="pl-PL"/>
        </w:rPr>
        <w:t xml:space="preserve"> – DROGI WEWNĘTRZNE NA DZIAŁKACH GMINNYCH NR EWID. 1243/74 I 1136/1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4778EC">
        <w:rPr>
          <w:rFonts w:ascii="Times New Roman" w:eastAsia="Times New Roman" w:hAnsi="Times New Roman" w:cs="Times New Roman"/>
          <w:sz w:val="24"/>
          <w:szCs w:val="24"/>
          <w:lang w:eastAsia="pl-PL"/>
        </w:rPr>
        <w:t>3</w:t>
      </w:r>
      <w:r w:rsidR="00621EE2">
        <w:rPr>
          <w:rFonts w:ascii="Times New Roman" w:eastAsia="Times New Roman" w:hAnsi="Times New Roman" w:cs="Times New Roman"/>
          <w:sz w:val="24"/>
          <w:szCs w:val="24"/>
          <w:lang w:eastAsia="pl-PL"/>
        </w:rPr>
        <w:t>.2021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 xml:space="preserve"> Burmistrz Miasta i Gminy Białobrzegi</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(podpis Kierownika Zamawiającego)</w:t>
      </w:r>
    </w:p>
    <w:p w:rsidR="00F961F3" w:rsidRDefault="004778EC"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621EE2">
        <w:rPr>
          <w:rFonts w:ascii="Times New Roman" w:eastAsia="Times New Roman" w:hAnsi="Times New Roman" w:cs="Times New Roman"/>
          <w:sz w:val="24"/>
          <w:szCs w:val="24"/>
          <w:lang w:eastAsia="pl-PL"/>
        </w:rPr>
        <w:t xml:space="preserve"> marca</w:t>
      </w:r>
      <w:r w:rsidR="00F961F3" w:rsidRPr="00F961F3">
        <w:rPr>
          <w:rFonts w:ascii="Times New Roman" w:eastAsia="Times New Roman" w:hAnsi="Times New Roman" w:cs="Times New Roman"/>
          <w:sz w:val="24"/>
          <w:szCs w:val="24"/>
          <w:lang w:eastAsia="pl-PL"/>
        </w:rPr>
        <w:t xml:space="preserve"> 2021r.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nr 7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Zamawiający nie planuje przetwarzania danych osobowych wykonawcy w celu innym niż cel określony w lit. b powyżej. Jeżeli administrator będzie planował przetwarzać dane </w:t>
      </w:r>
      <w:r w:rsidRPr="004E4A88">
        <w:rPr>
          <w:rFonts w:ascii="Times New Roman" w:eastAsia="Times New Roman" w:hAnsi="Times New Roman" w:cs="Times New Roman"/>
          <w:sz w:val="24"/>
          <w:szCs w:val="24"/>
          <w:lang w:eastAsia="pl-PL"/>
        </w:rPr>
        <w:lastRenderedPageBreak/>
        <w:t>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udostępnia dane osobowe, o których mowa w art. 10 RODO (dane osobowe dotyczące wyroków skazujących i czynów zabronionych) w celu umożliwienia korzystania ze środków ochrony prawnej, o których mowa w dziale IX ustawy Pzp,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Skorzystanie przez osobę, której dane osobowe dotyczą, z uprawnienia, o którym mowa w art. 16 RODO (z uprawnienia do sprostowania lub uzupełnienia danych osobowych), nie może skutkować zmianą wyniku postępowania o udzielenie </w:t>
      </w:r>
      <w:r w:rsidRPr="00F961F3">
        <w:rPr>
          <w:rFonts w:ascii="Times New Roman" w:eastAsia="Times New Roman" w:hAnsi="Times New Roman" w:cs="Times New Roman"/>
          <w:sz w:val="24"/>
          <w:szCs w:val="24"/>
          <w:lang w:eastAsia="pl-PL"/>
        </w:rPr>
        <w:lastRenderedPageBreak/>
        <w:t>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5A2E1C" w:rsidRDefault="005A2E1C"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Przedmiotem zamówienia jest realizacja zadania pn. </w:t>
      </w:r>
      <w:r w:rsidR="00621EE2">
        <w:rPr>
          <w:rFonts w:ascii="Times New Roman" w:eastAsia="Times New Roman" w:hAnsi="Times New Roman" w:cs="Times New Roman"/>
          <w:sz w:val="24"/>
          <w:szCs w:val="24"/>
          <w:lang w:eastAsia="pl-PL"/>
        </w:rPr>
        <w:t>„</w:t>
      </w:r>
      <w:r w:rsidR="004778EC">
        <w:rPr>
          <w:rFonts w:ascii="Times New Roman" w:eastAsia="Times New Roman" w:hAnsi="Times New Roman" w:cs="Times New Roman"/>
          <w:sz w:val="24"/>
          <w:szCs w:val="24"/>
          <w:lang w:eastAsia="pl-PL"/>
        </w:rPr>
        <w:t>Przebudowa</w:t>
      </w:r>
      <w:r w:rsidR="00621EE2">
        <w:rPr>
          <w:rFonts w:ascii="Times New Roman" w:eastAsia="Times New Roman" w:hAnsi="Times New Roman" w:cs="Times New Roman"/>
          <w:sz w:val="24"/>
          <w:szCs w:val="24"/>
          <w:lang w:eastAsia="pl-PL"/>
        </w:rPr>
        <w:t xml:space="preserve"> </w:t>
      </w:r>
      <w:r w:rsidR="004778EC">
        <w:rPr>
          <w:rFonts w:ascii="Times New Roman" w:eastAsia="Times New Roman" w:hAnsi="Times New Roman" w:cs="Times New Roman"/>
          <w:sz w:val="24"/>
          <w:szCs w:val="24"/>
          <w:lang w:eastAsia="pl-PL"/>
        </w:rPr>
        <w:t xml:space="preserve">odnóg </w:t>
      </w:r>
      <w:r w:rsidR="00621EE2">
        <w:rPr>
          <w:rFonts w:ascii="Times New Roman" w:eastAsia="Times New Roman" w:hAnsi="Times New Roman" w:cs="Times New Roman"/>
          <w:sz w:val="24"/>
          <w:szCs w:val="24"/>
          <w:lang w:eastAsia="pl-PL"/>
        </w:rPr>
        <w:t>ul</w:t>
      </w:r>
      <w:r w:rsidR="004778EC">
        <w:rPr>
          <w:rFonts w:ascii="Times New Roman" w:eastAsia="Times New Roman" w:hAnsi="Times New Roman" w:cs="Times New Roman"/>
          <w:sz w:val="24"/>
          <w:szCs w:val="24"/>
          <w:lang w:eastAsia="pl-PL"/>
        </w:rPr>
        <w:t xml:space="preserve">. Kościelnej </w:t>
      </w:r>
      <w:r w:rsidR="00621EE2">
        <w:rPr>
          <w:rFonts w:ascii="Times New Roman" w:eastAsia="Times New Roman" w:hAnsi="Times New Roman" w:cs="Times New Roman"/>
          <w:sz w:val="24"/>
          <w:szCs w:val="24"/>
          <w:lang w:eastAsia="pl-PL"/>
        </w:rPr>
        <w:t xml:space="preserve"> w Białobrzegach</w:t>
      </w:r>
      <w:r w:rsidR="004778EC">
        <w:rPr>
          <w:rFonts w:ascii="Times New Roman" w:eastAsia="Times New Roman" w:hAnsi="Times New Roman" w:cs="Times New Roman"/>
          <w:sz w:val="24"/>
          <w:szCs w:val="24"/>
          <w:lang w:eastAsia="pl-PL"/>
        </w:rPr>
        <w:t xml:space="preserve"> – drogi wewnętrzne na działkach gminnych nr ewid. 1243/74 i 1136/1</w:t>
      </w:r>
      <w:r w:rsidR="00621EE2">
        <w:rPr>
          <w:rFonts w:ascii="Times New Roman" w:eastAsia="Times New Roman" w:hAnsi="Times New Roman" w:cs="Times New Roman"/>
          <w:sz w:val="24"/>
          <w:szCs w:val="24"/>
          <w:lang w:eastAsia="pl-PL"/>
        </w:rPr>
        <w:t>”.</w:t>
      </w: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F961F3"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 xml:space="preserve">45000000-7 </w:t>
      </w:r>
      <w:r w:rsidR="00F961F3" w:rsidRPr="00621EE2">
        <w:rPr>
          <w:rFonts w:ascii="Times New Roman" w:eastAsia="Times New Roman" w:hAnsi="Times New Roman" w:cs="Times New Roman"/>
          <w:sz w:val="24"/>
          <w:szCs w:val="24"/>
          <w:lang w:eastAsia="pl-PL"/>
        </w:rPr>
        <w:t xml:space="preserve"> Roboty budowlane</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lastRenderedPageBreak/>
        <w:t>Dodatkowe przedmioty zamówienia:</w:t>
      </w:r>
    </w:p>
    <w:p w:rsidR="00F961F3"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45233</w:t>
      </w:r>
      <w:r w:rsidR="004778EC">
        <w:rPr>
          <w:rFonts w:ascii="Times New Roman" w:eastAsia="Times New Roman" w:hAnsi="Times New Roman" w:cs="Times New Roman"/>
          <w:sz w:val="24"/>
          <w:szCs w:val="24"/>
          <w:lang w:eastAsia="pl-PL"/>
        </w:rPr>
        <w:t>000</w:t>
      </w:r>
      <w:r w:rsidR="003C35B2">
        <w:rPr>
          <w:rFonts w:ascii="Times New Roman" w:eastAsia="Times New Roman" w:hAnsi="Times New Roman" w:cs="Times New Roman"/>
          <w:sz w:val="24"/>
          <w:szCs w:val="24"/>
          <w:lang w:eastAsia="pl-PL"/>
        </w:rPr>
        <w:t>-</w:t>
      </w:r>
      <w:r w:rsidR="004778EC">
        <w:rPr>
          <w:rFonts w:ascii="Times New Roman" w:eastAsia="Times New Roman" w:hAnsi="Times New Roman" w:cs="Times New Roman"/>
          <w:sz w:val="24"/>
          <w:szCs w:val="24"/>
          <w:lang w:eastAsia="pl-PL"/>
        </w:rPr>
        <w:t>9</w:t>
      </w:r>
      <w:r w:rsidR="00F961F3" w:rsidRPr="00621EE2">
        <w:rPr>
          <w:rFonts w:ascii="Times New Roman" w:eastAsia="Times New Roman" w:hAnsi="Times New Roman" w:cs="Times New Roman"/>
          <w:sz w:val="24"/>
          <w:szCs w:val="24"/>
          <w:lang w:eastAsia="pl-PL"/>
        </w:rPr>
        <w:t xml:space="preserve"> Roboty </w:t>
      </w:r>
      <w:r w:rsidR="004778EC">
        <w:rPr>
          <w:rFonts w:ascii="Times New Roman" w:eastAsia="Times New Roman" w:hAnsi="Times New Roman" w:cs="Times New Roman"/>
          <w:sz w:val="24"/>
          <w:szCs w:val="24"/>
          <w:lang w:eastAsia="pl-PL"/>
        </w:rPr>
        <w:t>w zakresie konstruowania, fundamentowania oraz wykonywania nawierzchni autostrad, dróg</w:t>
      </w:r>
    </w:p>
    <w:p w:rsidR="00F961F3" w:rsidRPr="00621EE2" w:rsidRDefault="00F961F3" w:rsidP="006D00CB">
      <w:pPr>
        <w:spacing w:after="0" w:line="240" w:lineRule="auto"/>
        <w:ind w:left="425"/>
        <w:jc w:val="both"/>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 xml:space="preserve">Zakres przedmiotu zamówienia obejmuje: </w:t>
      </w:r>
      <w:r w:rsidR="00621EE2" w:rsidRPr="00621EE2">
        <w:rPr>
          <w:rFonts w:ascii="Times New Roman" w:eastAsia="Times New Roman" w:hAnsi="Times New Roman" w:cs="Times New Roman"/>
          <w:sz w:val="24"/>
          <w:szCs w:val="24"/>
          <w:lang w:eastAsia="pl-PL"/>
        </w:rPr>
        <w:t>„</w:t>
      </w:r>
      <w:r w:rsidR="00C742A2">
        <w:rPr>
          <w:rFonts w:ascii="Times New Roman" w:eastAsia="Times New Roman" w:hAnsi="Times New Roman" w:cs="Times New Roman"/>
          <w:sz w:val="24"/>
          <w:szCs w:val="24"/>
          <w:lang w:eastAsia="pl-PL"/>
        </w:rPr>
        <w:t>Przebudowa odnóg ul. Kościelnej  w Białobrzegach – drogi wewnętrzne na działkach gminnych nr ewid. 1243/74 i 1136/1</w:t>
      </w:r>
      <w:r w:rsidR="00621EE2" w:rsidRPr="00621EE2">
        <w:rPr>
          <w:rFonts w:ascii="Times New Roman" w:eastAsia="Times New Roman" w:hAnsi="Times New Roman" w:cs="Times New Roman"/>
          <w:sz w:val="24"/>
          <w:szCs w:val="24"/>
          <w:lang w:eastAsia="pl-PL"/>
        </w:rPr>
        <w:t>”</w:t>
      </w:r>
      <w:r w:rsidR="005A2E1C" w:rsidRPr="00621EE2">
        <w:rPr>
          <w:rFonts w:ascii="Times New Roman" w:eastAsia="Times New Roman" w:hAnsi="Times New Roman" w:cs="Times New Roman"/>
          <w:sz w:val="24"/>
          <w:szCs w:val="24"/>
          <w:lang w:eastAsia="pl-PL"/>
        </w:rPr>
        <w:t xml:space="preserve"> </w:t>
      </w:r>
      <w:r w:rsidRPr="00621EE2">
        <w:rPr>
          <w:rFonts w:ascii="Times New Roman" w:eastAsia="Times New Roman" w:hAnsi="Times New Roman" w:cs="Times New Roman"/>
          <w:sz w:val="24"/>
          <w:szCs w:val="24"/>
          <w:lang w:eastAsia="pl-PL"/>
        </w:rPr>
        <w:t xml:space="preserve">w zakresie </w:t>
      </w:r>
      <w:r w:rsidR="00621EE2" w:rsidRPr="00621EE2">
        <w:rPr>
          <w:rFonts w:ascii="Times New Roman" w:eastAsia="Times New Roman" w:hAnsi="Times New Roman" w:cs="Times New Roman"/>
          <w:sz w:val="24"/>
          <w:szCs w:val="24"/>
          <w:lang w:eastAsia="pl-PL"/>
        </w:rPr>
        <w:t>określonym</w:t>
      </w:r>
      <w:r w:rsidRPr="00621EE2">
        <w:rPr>
          <w:rFonts w:ascii="Times New Roman" w:eastAsia="Times New Roman" w:hAnsi="Times New Roman" w:cs="Times New Roman"/>
          <w:sz w:val="24"/>
          <w:szCs w:val="24"/>
          <w:lang w:eastAsia="pl-PL"/>
        </w:rPr>
        <w:t xml:space="preserve"> w dokumentacji stanowiącej załączniki</w:t>
      </w:r>
      <w:r w:rsidR="00621EE2" w:rsidRPr="00621EE2">
        <w:rPr>
          <w:rFonts w:ascii="Times New Roman" w:eastAsia="Times New Roman" w:hAnsi="Times New Roman" w:cs="Times New Roman"/>
          <w:sz w:val="24"/>
          <w:szCs w:val="24"/>
          <w:lang w:eastAsia="pl-PL"/>
        </w:rPr>
        <w:t xml:space="preserve"> do Specyfikacji</w:t>
      </w:r>
      <w:r w:rsidRPr="00621EE2">
        <w:rPr>
          <w:rFonts w:ascii="Times New Roman" w:eastAsia="Times New Roman" w:hAnsi="Times New Roman" w:cs="Times New Roman"/>
          <w:sz w:val="24"/>
          <w:szCs w:val="24"/>
          <w:lang w:eastAsia="pl-PL"/>
        </w:rPr>
        <w:t>. Ten</w:t>
      </w:r>
      <w:r w:rsidR="005A2E1C" w:rsidRPr="00621EE2">
        <w:rPr>
          <w:rFonts w:ascii="Times New Roman" w:eastAsia="Times New Roman" w:hAnsi="Times New Roman" w:cs="Times New Roman"/>
          <w:sz w:val="24"/>
          <w:szCs w:val="24"/>
          <w:lang w:eastAsia="pl-PL"/>
        </w:rPr>
        <w:t xml:space="preserve"> </w:t>
      </w:r>
      <w:r w:rsidRPr="00621EE2">
        <w:rPr>
          <w:rFonts w:ascii="Times New Roman" w:eastAsia="Times New Roman" w:hAnsi="Times New Roman" w:cs="Times New Roman"/>
          <w:sz w:val="24"/>
          <w:szCs w:val="24"/>
          <w:lang w:eastAsia="pl-PL"/>
        </w:rPr>
        <w:t xml:space="preserve">etap realizacji obejmuje </w:t>
      </w:r>
      <w:r w:rsidR="006D00CB">
        <w:rPr>
          <w:rFonts w:ascii="Times New Roman" w:eastAsia="Times New Roman" w:hAnsi="Times New Roman" w:cs="Times New Roman"/>
          <w:sz w:val="24"/>
          <w:szCs w:val="24"/>
          <w:lang w:eastAsia="pl-PL"/>
        </w:rPr>
        <w:t>utwardzenie gruntów, użytkowanych jako drogi wewnętrzne stanowiące dojazd do nieruchomości przyległych</w:t>
      </w:r>
      <w:r w:rsidR="00621EE2" w:rsidRPr="00621EE2">
        <w:rPr>
          <w:rFonts w:ascii="Times New Roman" w:eastAsia="Times New Roman" w:hAnsi="Times New Roman" w:cs="Times New Roman"/>
          <w:sz w:val="24"/>
          <w:szCs w:val="24"/>
          <w:lang w:eastAsia="pl-PL"/>
        </w:rPr>
        <w:t>.</w:t>
      </w:r>
    </w:p>
    <w:p w:rsidR="00621EE2" w:rsidRDefault="00621EE2" w:rsidP="00621EE2">
      <w:pPr>
        <w:spacing w:after="0" w:line="240" w:lineRule="auto"/>
        <w:ind w:left="425"/>
        <w:rPr>
          <w:rFonts w:ascii="Times New Roman" w:eastAsia="Times New Roman" w:hAnsi="Times New Roman" w:cs="Times New Roman"/>
          <w:sz w:val="24"/>
          <w:szCs w:val="24"/>
          <w:u w:val="single"/>
          <w:lang w:eastAsia="pl-PL"/>
        </w:rPr>
      </w:pPr>
    </w:p>
    <w:p w:rsidR="00F961F3" w:rsidRDefault="00F961F3" w:rsidP="00621EE2">
      <w:pPr>
        <w:spacing w:after="0" w:line="240" w:lineRule="auto"/>
        <w:ind w:left="425"/>
        <w:rPr>
          <w:rFonts w:ascii="Times New Roman" w:eastAsia="Times New Roman" w:hAnsi="Times New Roman" w:cs="Times New Roman"/>
          <w:sz w:val="24"/>
          <w:szCs w:val="24"/>
          <w:u w:val="single"/>
          <w:lang w:eastAsia="pl-PL"/>
        </w:rPr>
      </w:pPr>
      <w:r w:rsidRPr="005A2E1C">
        <w:rPr>
          <w:rFonts w:ascii="Times New Roman" w:eastAsia="Times New Roman" w:hAnsi="Times New Roman" w:cs="Times New Roman"/>
          <w:sz w:val="24"/>
          <w:szCs w:val="24"/>
          <w:u w:val="single"/>
          <w:lang w:eastAsia="pl-PL"/>
        </w:rPr>
        <w:t xml:space="preserve">Szczegółowy opis przedmiotu zamówienia określa </w:t>
      </w:r>
      <w:r w:rsidRPr="005A2E1C">
        <w:rPr>
          <w:rFonts w:ascii="Times New Roman" w:eastAsia="Times New Roman" w:hAnsi="Times New Roman" w:cs="Times New Roman"/>
          <w:b/>
          <w:sz w:val="24"/>
          <w:szCs w:val="24"/>
          <w:u w:val="single"/>
          <w:lang w:eastAsia="pl-PL"/>
        </w:rPr>
        <w:t>załącznik</w:t>
      </w:r>
      <w:r w:rsidR="00931ACB">
        <w:rPr>
          <w:rFonts w:ascii="Times New Roman" w:eastAsia="Times New Roman" w:hAnsi="Times New Roman" w:cs="Times New Roman"/>
          <w:b/>
          <w:sz w:val="24"/>
          <w:szCs w:val="24"/>
          <w:u w:val="single"/>
          <w:lang w:eastAsia="pl-PL"/>
        </w:rPr>
        <w:t>i</w:t>
      </w:r>
      <w:r w:rsidR="006D00CB">
        <w:rPr>
          <w:rFonts w:ascii="Times New Roman" w:eastAsia="Times New Roman" w:hAnsi="Times New Roman" w:cs="Times New Roman"/>
          <w:b/>
          <w:sz w:val="24"/>
          <w:szCs w:val="24"/>
          <w:u w:val="single"/>
          <w:lang w:eastAsia="pl-PL"/>
        </w:rPr>
        <w:t xml:space="preserve"> nr 4:</w:t>
      </w:r>
    </w:p>
    <w:p w:rsidR="00931ACB" w:rsidRPr="00995B64" w:rsidRDefault="00931ACB" w:rsidP="00931ACB">
      <w:pPr>
        <w:tabs>
          <w:tab w:val="left" w:pos="284"/>
        </w:tabs>
        <w:spacing w:after="0"/>
        <w:ind w:left="426"/>
        <w:jc w:val="both"/>
        <w:rPr>
          <w:rFonts w:ascii="Times New Roman" w:hAnsi="Times New Roman"/>
        </w:rPr>
      </w:pPr>
      <w:r>
        <w:rPr>
          <w:rFonts w:ascii="Times New Roman" w:hAnsi="Times New Roman"/>
        </w:rPr>
        <w:t>- Dokumentacja projektowa (</w:t>
      </w:r>
      <w:r w:rsidR="006D00CB">
        <w:rPr>
          <w:rFonts w:ascii="Times New Roman" w:hAnsi="Times New Roman"/>
        </w:rPr>
        <w:t>rysunki techniczne</w:t>
      </w:r>
      <w:r>
        <w:rPr>
          <w:rFonts w:ascii="Times New Roman" w:hAnsi="Times New Roman"/>
        </w:rPr>
        <w:t xml:space="preserve"> wraz z</w:t>
      </w:r>
      <w:r w:rsidR="00CC57C6">
        <w:rPr>
          <w:rFonts w:ascii="Times New Roman" w:hAnsi="Times New Roman"/>
        </w:rPr>
        <w:t xml:space="preserve"> dwoma</w:t>
      </w:r>
      <w:r>
        <w:rPr>
          <w:rFonts w:ascii="Times New Roman" w:hAnsi="Times New Roman"/>
        </w:rPr>
        <w:t xml:space="preserve"> przedmiar</w:t>
      </w:r>
      <w:r w:rsidR="00CC57C6">
        <w:rPr>
          <w:rFonts w:ascii="Times New Roman" w:hAnsi="Times New Roman"/>
        </w:rPr>
        <w:t>ami</w:t>
      </w:r>
      <w:bookmarkStart w:id="0" w:name="_GoBack"/>
      <w:bookmarkEnd w:id="0"/>
      <w:r>
        <w:rPr>
          <w:rFonts w:ascii="Times New Roman" w:hAnsi="Times New Roman"/>
        </w:rPr>
        <w:t xml:space="preserve"> robót</w:t>
      </w:r>
      <w:r w:rsidRPr="005862AA">
        <w:rPr>
          <w:rFonts w:ascii="Times New Roman" w:hAnsi="Times New Roman"/>
        </w:rPr>
        <w:t xml:space="preserve">) - </w:t>
      </w:r>
      <w:r w:rsidRPr="00931ACB">
        <w:rPr>
          <w:rFonts w:ascii="Times New Roman" w:hAnsi="Times New Roman"/>
          <w:b/>
        </w:rPr>
        <w:t>załącznik nr 4 do SWZ</w:t>
      </w:r>
      <w:r w:rsidRPr="005862AA">
        <w:rPr>
          <w:rFonts w:ascii="Times New Roman" w:hAnsi="Times New Roman"/>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na wykonany przedmiot umowy –  60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Wymagany okres rękojmi na wykonany przedmiot umowy –  60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Jeśli w dokumentacji projektowej, na rysunkach, zostało wskazane pochodzenie (marka, znak towarowy, producent, dostawca) materiałów lub normy, aprobaty, specyfikacje i systemy, o których mowa w art. 99 ust. 5 Pzp, Zamawiający dopuszcza oferowanie materiałów lub</w:t>
      </w:r>
      <w:r w:rsidR="005A2E1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uzyskanie parametrów technicznych nie gorszych od założonych przez Zamawiającego.</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pkt 7 i 8 ustawy Pzp/zamówienia polegającego na powtórzeniu podobnych usług lub robót budowlanych, zamówienia na dodatkowe dostawy.</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Szczegółowy opis oraz sposób realizacji zamówienia zawiera Opis Przedmiotu Zamówienia (OPZ), stanowiący </w:t>
      </w:r>
      <w:r w:rsidRPr="005A2E1C">
        <w:rPr>
          <w:rFonts w:ascii="Times New Roman" w:eastAsia="Times New Roman" w:hAnsi="Times New Roman" w:cs="Times New Roman"/>
          <w:b/>
          <w:sz w:val="24"/>
          <w:szCs w:val="24"/>
          <w:lang w:eastAsia="pl-PL"/>
        </w:rPr>
        <w:t>Załącznik nr 4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5019F0">
        <w:rPr>
          <w:rFonts w:ascii="Times New Roman" w:eastAsia="Times New Roman" w:hAnsi="Times New Roman" w:cs="Times New Roman"/>
          <w:b/>
          <w:sz w:val="24"/>
          <w:szCs w:val="24"/>
          <w:lang w:eastAsia="pl-PL"/>
        </w:rPr>
        <w:t>4 miesiące</w:t>
      </w:r>
      <w:r w:rsidRPr="005A2E1C">
        <w:rPr>
          <w:rFonts w:ascii="Times New Roman" w:eastAsia="Times New Roman" w:hAnsi="Times New Roman" w:cs="Times New Roman"/>
          <w:b/>
          <w:sz w:val="24"/>
          <w:szCs w:val="24"/>
          <w:lang w:eastAsia="pl-PL"/>
        </w:rPr>
        <w:t xml:space="preserve"> 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1A7B32" w:rsidRDefault="001A7B32" w:rsidP="001A7B32">
      <w:pPr>
        <w:pStyle w:val="Akapitzlist"/>
        <w:tabs>
          <w:tab w:val="left" w:pos="709"/>
        </w:tabs>
        <w:spacing w:after="0"/>
        <w:ind w:left="709"/>
        <w:jc w:val="both"/>
        <w:rPr>
          <w:rFonts w:ascii="Times New Roman" w:hAnsi="Times New Roman"/>
          <w:b/>
          <w:sz w:val="24"/>
          <w:szCs w:val="24"/>
        </w:rPr>
      </w:pPr>
      <w:r w:rsidRPr="001A7B32">
        <w:rPr>
          <w:rFonts w:ascii="Times New Roman" w:hAnsi="Times New Roman"/>
          <w:sz w:val="24"/>
          <w:szCs w:val="24"/>
        </w:rPr>
        <w:t xml:space="preserve">4.1) 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 xml:space="preserve">(tj. zakończyli) co najmniej jedną robotę, </w:t>
      </w:r>
      <w:r w:rsidRPr="001A7B32">
        <w:rPr>
          <w:rFonts w:ascii="Times New Roman" w:hAnsi="Times New Roman"/>
          <w:bCs/>
          <w:sz w:val="24"/>
          <w:szCs w:val="24"/>
        </w:rPr>
        <w:t>polegającą na</w:t>
      </w:r>
      <w:r w:rsidRPr="001A7B32">
        <w:rPr>
          <w:rFonts w:ascii="Times New Roman" w:hAnsi="Times New Roman"/>
          <w:b/>
          <w:bCs/>
          <w:sz w:val="24"/>
          <w:szCs w:val="24"/>
        </w:rPr>
        <w:t xml:space="preserve"> budowie i/lub przebudowie </w:t>
      </w:r>
      <w:r w:rsidRPr="001A7B32">
        <w:rPr>
          <w:rFonts w:ascii="Times New Roman" w:hAnsi="Times New Roman"/>
          <w:b/>
          <w:bCs/>
          <w:sz w:val="24"/>
          <w:szCs w:val="24"/>
        </w:rPr>
        <w:lastRenderedPageBreak/>
        <w:t xml:space="preserve">drogi, w której zakres wchodzi wykonanie nawierzchni z kostki betonowej o wartości wykonanych zamówień minimum 100.000 zł brutto </w:t>
      </w:r>
    </w:p>
    <w:p w:rsidR="001A7B32" w:rsidRPr="001A7B32" w:rsidRDefault="001A7B32" w:rsidP="001A7B32">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040247" w:rsidRPr="00876364" w:rsidRDefault="001A7B32" w:rsidP="001A7B32">
      <w:pPr>
        <w:tabs>
          <w:tab w:val="left" w:pos="284"/>
        </w:tabs>
        <w:spacing w:after="0"/>
        <w:ind w:left="709"/>
        <w:jc w:val="both"/>
        <w:rPr>
          <w:rFonts w:ascii="Times New Roman" w:hAnsi="Times New Roman"/>
          <w:sz w:val="24"/>
          <w:szCs w:val="24"/>
        </w:rPr>
      </w:pPr>
      <w:r w:rsidRPr="00876364">
        <w:rPr>
          <w:rFonts w:ascii="Times New Roman" w:eastAsia="Times New Roman" w:hAnsi="Times New Roman" w:cs="Times New Roman"/>
          <w:sz w:val="24"/>
          <w:szCs w:val="24"/>
          <w:lang w:eastAsia="pl-PL"/>
        </w:rPr>
        <w:t>4.2) d</w:t>
      </w:r>
      <w:r w:rsidRPr="00876364">
        <w:rPr>
          <w:rFonts w:ascii="Times New Roman" w:hAnsi="Times New Roman"/>
          <w:sz w:val="24"/>
          <w:szCs w:val="24"/>
        </w:rPr>
        <w:t xml:space="preserve">ysponowaniem osobami zdolnymi do wykonania zamówienia, w szczególności co najmniej </w:t>
      </w:r>
      <w:r w:rsidRPr="00876364">
        <w:rPr>
          <w:rFonts w:ascii="Times New Roman" w:hAnsi="Times New Roman"/>
          <w:b/>
          <w:sz w:val="24"/>
          <w:szCs w:val="24"/>
        </w:rPr>
        <w:t xml:space="preserve">jedną osobą posiadającą uprawnienia budowlane </w:t>
      </w:r>
      <w:r w:rsidRPr="00876364">
        <w:rPr>
          <w:rFonts w:ascii="Times New Roman" w:hAnsi="Times New Roman"/>
          <w:b/>
          <w:bCs/>
          <w:sz w:val="24"/>
          <w:szCs w:val="24"/>
        </w:rPr>
        <w:t>do kierowania robotami budowlanymi w specjalności drogowej</w:t>
      </w:r>
      <w:r w:rsidRPr="00876364">
        <w:rPr>
          <w:rFonts w:ascii="Times New Roman" w:hAnsi="Times New Roman"/>
          <w:bCs/>
          <w:sz w:val="24"/>
          <w:szCs w:val="24"/>
        </w:rPr>
        <w:t xml:space="preserve"> - do pełnienia funkcji kierownika budowy </w:t>
      </w:r>
      <w:r w:rsidRPr="00876364">
        <w:rPr>
          <w:rFonts w:ascii="Times New Roman" w:hAnsi="Times New Roman"/>
          <w:color w:val="000000"/>
          <w:sz w:val="24"/>
          <w:szCs w:val="24"/>
        </w:rPr>
        <w:t xml:space="preserve">oraz należącą do właściwej Izby Inżynierów Budownictwa </w:t>
      </w:r>
      <w:r w:rsidRPr="00876364">
        <w:rPr>
          <w:rFonts w:ascii="Times New Roman" w:hAnsi="Times New Roman"/>
          <w:sz w:val="24"/>
          <w:szCs w:val="24"/>
        </w:rPr>
        <w:t>lub odpowiednie wydane na podstawie wcześniej obowiązujących przepisów lub odpowiednie wydane obywatelom innych Państw, z zastrzeżeniem art.12a. ustawy z dnia 7 lipca 1994 r. Prawo budowlane</w:t>
      </w:r>
    </w:p>
    <w:p w:rsidR="001A7B32" w:rsidRPr="001A7B32" w:rsidRDefault="001A7B32" w:rsidP="001A7B32">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ga</w:t>
      </w:r>
      <w:r w:rsidRPr="001A7B32">
        <w:rPr>
          <w:rFonts w:ascii="Times New Roman" w:hAnsi="Times New Roman"/>
          <w:b/>
          <w:sz w:val="20"/>
          <w:szCs w:val="20"/>
          <w:u w:val="single" w:color="221F1F"/>
        </w:rPr>
        <w:t>!</w:t>
      </w:r>
    </w:p>
    <w:p w:rsidR="001A7B32" w:rsidRPr="008B158E" w:rsidRDefault="001A7B32" w:rsidP="001A7B32">
      <w:pPr>
        <w:spacing w:before="38" w:after="0"/>
        <w:ind w:left="709" w:right="-6"/>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z w:val="20"/>
          <w:szCs w:val="20"/>
        </w:rPr>
        <w:t>t</w:t>
      </w:r>
      <w:r w:rsidRPr="002363BA">
        <w:rPr>
          <w:rFonts w:ascii="Times New Roman" w:hAnsi="Times New Roman"/>
          <w:spacing w:val="-1"/>
          <w:sz w:val="20"/>
          <w:szCs w:val="20"/>
        </w:rPr>
        <w:t>.j</w:t>
      </w:r>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rsidR="001A7B32" w:rsidRPr="00193121" w:rsidRDefault="001A7B32" w:rsidP="001A7B32">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1A7B32" w:rsidRPr="00040247" w:rsidRDefault="001A7B32" w:rsidP="001A7B32">
      <w:pPr>
        <w:tabs>
          <w:tab w:val="left" w:pos="284"/>
        </w:tabs>
        <w:spacing w:after="0"/>
        <w:ind w:left="709"/>
        <w:jc w:val="both"/>
        <w:rPr>
          <w:rFonts w:ascii="Times New Roman" w:eastAsia="Times New Roman" w:hAnsi="Times New Roman" w:cs="Times New Roman"/>
          <w:color w:val="FF0000"/>
          <w:sz w:val="24"/>
          <w:szCs w:val="24"/>
          <w:lang w:eastAsia="pl-PL"/>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w:t>
      </w:r>
      <w:r w:rsidRPr="00DD12BE">
        <w:rPr>
          <w:rFonts w:ascii="Times New Roman" w:eastAsia="Times New Roman" w:hAnsi="Times New Roman" w:cs="Times New Roman"/>
          <w:sz w:val="24"/>
          <w:szCs w:val="24"/>
          <w:lang w:eastAsia="pl-PL"/>
        </w:rPr>
        <w:lastRenderedPageBreak/>
        <w:t xml:space="preserve">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Informacje zawarte w oświadczeniu, o którym mowa w pkt 1 stanowią dowód potwierdzający brak podstaw wykluczenia oraz spełniania warunków udziału w postępowaniu.</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w:t>
      </w:r>
      <w:r w:rsidRPr="00DD12BE">
        <w:rPr>
          <w:rFonts w:ascii="Times New Roman" w:eastAsia="Times New Roman" w:hAnsi="Times New Roman" w:cs="Times New Roman"/>
          <w:sz w:val="24"/>
          <w:szCs w:val="24"/>
          <w:lang w:eastAsia="pl-PL"/>
        </w:rPr>
        <w:lastRenderedPageBreak/>
        <w:t>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z Wykonawcami jest: inspektor w Wydziale Inwestycji        p. Ewa Ficek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r w:rsidR="00DD12BE" w:rsidRPr="00DD12BE">
        <w:rPr>
          <w:rFonts w:ascii="Times New Roman" w:eastAsia="Times New Roman" w:hAnsi="Times New Roman" w:cs="Times New Roman"/>
          <w:sz w:val="24"/>
          <w:szCs w:val="24"/>
          <w:lang w:eastAsia="pl-PL"/>
        </w:rPr>
        <w:t xml:space="preserve"> </w:t>
      </w:r>
      <w:hyperlink r:id="rId7"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hyperlink r:id="rId11"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3" w:history="1">
        <w:r w:rsidRPr="001B41FD">
          <w:rPr>
            <w:rFonts w:ascii="Times New Roman" w:eastAsia="Times New Roman" w:hAnsi="Times New Roman" w:cs="Times New Roman"/>
            <w:color w:val="0000FF"/>
            <w:sz w:val="24"/>
            <w:szCs w:val="24"/>
            <w:u w:val="single"/>
            <w:lang w:eastAsia="pl-PL"/>
          </w:rPr>
          <w:t>platformazakupowa.pl</w:t>
        </w:r>
      </w:hyperlink>
      <w:hyperlink r:id="rId14"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kb/s,</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zainstalowany program Adobe Acrobat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5"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6"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7" w:history="1">
        <w:r w:rsidR="00F961F3" w:rsidRPr="00F961F3">
          <w:rPr>
            <w:rFonts w:ascii="Times New Roman" w:eastAsia="Times New Roman" w:hAnsi="Times New Roman" w:cs="Times New Roman"/>
            <w:color w:val="0000FF"/>
            <w:sz w:val="24"/>
            <w:szCs w:val="24"/>
            <w:u w:val="single"/>
            <w:lang w:eastAsia="pl-PL"/>
          </w:rPr>
          <w:t>pod linkiem</w:t>
        </w:r>
      </w:hyperlink>
      <w:hyperlink r:id="rId18"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19" w:history="1">
        <w:r w:rsidRPr="001B41FD">
          <w:rPr>
            <w:rFonts w:ascii="Times New Roman" w:eastAsia="Times New Roman" w:hAnsi="Times New Roman" w:cs="Times New Roman"/>
            <w:color w:val="0000FF"/>
            <w:sz w:val="24"/>
            <w:szCs w:val="24"/>
            <w:u w:val="single"/>
            <w:lang w:eastAsia="pl-PL"/>
          </w:rPr>
          <w:t>platformazakupowa.pl</w:t>
        </w:r>
      </w:hyperlink>
      <w:hyperlink r:id="rId20"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Poświadczenia za zgodność z oryginałem dokonuje odpowiednio Wykonawca, podmiot, na którego zdolnościach lub sytuacji polega Wykonawca, wykonawcy wspólnie </w:t>
      </w:r>
      <w:r w:rsidRPr="001B41FD">
        <w:rPr>
          <w:rFonts w:ascii="Times New Roman" w:eastAsia="Times New Roman" w:hAnsi="Times New Roman" w:cs="Times New Roman"/>
          <w:sz w:val="24"/>
          <w:szCs w:val="24"/>
          <w:lang w:eastAsia="pl-PL"/>
        </w:rPr>
        <w:lastRenderedPageBreak/>
        <w:t>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5" w:history="1">
        <w:r w:rsidRPr="00F961F3">
          <w:rPr>
            <w:rFonts w:ascii="Times New Roman" w:eastAsia="Times New Roman" w:hAnsi="Times New Roman" w:cs="Times New Roman"/>
            <w:color w:val="0000FF"/>
            <w:sz w:val="24"/>
            <w:szCs w:val="24"/>
            <w:u w:val="single"/>
            <w:lang w:eastAsia="pl-PL"/>
          </w:rPr>
          <w:t>platformazakupowa.pl</w:t>
        </w:r>
      </w:hyperlink>
      <w:hyperlink r:id="rId26"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7"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8"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29"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0"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1"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876364">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lastRenderedPageBreak/>
        <w:t xml:space="preserve">Wykonawca zobowiązany jest wnieść wadium w wysokości </w:t>
      </w:r>
      <w:r w:rsidR="00DC079B">
        <w:rPr>
          <w:rFonts w:ascii="Times New Roman" w:hAnsi="Times New Roman" w:cs="Times New Roman"/>
          <w:b/>
          <w:bCs/>
          <w:sz w:val="24"/>
          <w:szCs w:val="24"/>
        </w:rPr>
        <w:t>2.000</w:t>
      </w:r>
      <w:r>
        <w:rPr>
          <w:rFonts w:ascii="Times New Roman" w:hAnsi="Times New Roman" w:cs="Times New Roman"/>
          <w:b/>
          <w:sz w:val="24"/>
          <w:szCs w:val="24"/>
        </w:rPr>
        <w:t xml:space="preserve"> zł</w:t>
      </w:r>
      <w:r w:rsidRPr="007B0727">
        <w:rPr>
          <w:rFonts w:ascii="Times New Roman" w:hAnsi="Times New Roman" w:cs="Times New Roman"/>
          <w:sz w:val="24"/>
          <w:szCs w:val="24"/>
        </w:rPr>
        <w:t xml:space="preserve"> (słownie: </w:t>
      </w:r>
      <w:r w:rsidR="00DC079B">
        <w:rPr>
          <w:rFonts w:ascii="Times New Roman" w:hAnsi="Times New Roman" w:cs="Times New Roman"/>
          <w:b/>
          <w:bCs/>
          <w:sz w:val="24"/>
          <w:szCs w:val="24"/>
        </w:rPr>
        <w:t xml:space="preserve">dwa </w:t>
      </w:r>
      <w:r w:rsidR="00DC079B">
        <w:rPr>
          <w:rFonts w:ascii="Times New Roman" w:hAnsi="Times New Roman" w:cs="Times New Roman"/>
          <w:b/>
          <w:sz w:val="24"/>
          <w:szCs w:val="24"/>
        </w:rPr>
        <w:t>tysiące</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8A7210">
      <w:pPr>
        <w:pStyle w:val="Akapitzlist"/>
        <w:numPr>
          <w:ilvl w:val="0"/>
          <w:numId w:val="85"/>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8A7210">
      <w:pPr>
        <w:pStyle w:val="Akapitzlist"/>
        <w:numPr>
          <w:ilvl w:val="0"/>
          <w:numId w:val="85"/>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E025C1">
      <w:pPr>
        <w:pStyle w:val="Akapitzlist"/>
        <w:numPr>
          <w:ilvl w:val="0"/>
          <w:numId w:val="84"/>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w:t>
      </w:r>
      <w:r w:rsidR="00A029E5">
        <w:rPr>
          <w:rFonts w:ascii="Times New Roman" w:hAnsi="Times New Roman" w:cs="Times New Roman"/>
          <w:sz w:val="24"/>
          <w:szCs w:val="24"/>
        </w:rPr>
        <w:t>3</w:t>
      </w:r>
      <w:r w:rsidR="00DC079B">
        <w:rPr>
          <w:rFonts w:ascii="Times New Roman" w:hAnsi="Times New Roman" w:cs="Times New Roman"/>
          <w:sz w:val="24"/>
          <w:szCs w:val="24"/>
        </w:rPr>
        <w:t>.2021</w:t>
      </w:r>
      <w:r w:rsidRPr="007B0727">
        <w:rPr>
          <w:rFonts w:ascii="Times New Roman" w:hAnsi="Times New Roman" w:cs="Times New Roman"/>
          <w:sz w:val="24"/>
          <w:szCs w:val="24"/>
        </w:rPr>
        <w:t>”.</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xml:space="preserve">, przed </w:t>
      </w:r>
      <w:r w:rsidRPr="00E025C1">
        <w:rPr>
          <w:rFonts w:ascii="Times New Roman" w:hAnsi="Times New Roman" w:cs="Times New Roman"/>
          <w:sz w:val="24"/>
          <w:szCs w:val="24"/>
        </w:rPr>
        <w:lastRenderedPageBreak/>
        <w:t>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BF086D">
        <w:rPr>
          <w:rFonts w:ascii="Times New Roman" w:eastAsia="Times New Roman" w:hAnsi="Times New Roman" w:cs="Times New Roman"/>
          <w:sz w:val="24"/>
          <w:szCs w:val="24"/>
          <w:lang w:eastAsia="pl-PL"/>
        </w:rPr>
        <w:t>2</w:t>
      </w:r>
      <w:r w:rsidR="00A029E5">
        <w:rPr>
          <w:rFonts w:ascii="Times New Roman" w:eastAsia="Times New Roman" w:hAnsi="Times New Roman" w:cs="Times New Roman"/>
          <w:sz w:val="24"/>
          <w:szCs w:val="24"/>
          <w:lang w:eastAsia="pl-PL"/>
        </w:rPr>
        <w:t>1</w:t>
      </w:r>
      <w:r w:rsidR="00BF086D">
        <w:rPr>
          <w:rFonts w:ascii="Times New Roman" w:eastAsia="Times New Roman" w:hAnsi="Times New Roman" w:cs="Times New Roman"/>
          <w:sz w:val="24"/>
          <w:szCs w:val="24"/>
          <w:lang w:eastAsia="pl-PL"/>
        </w:rPr>
        <w:t xml:space="preserve"> kwietnia </w:t>
      </w:r>
      <w:r w:rsidRPr="00CC2D44">
        <w:rPr>
          <w:rFonts w:ascii="Times New Roman" w:eastAsia="Times New Roman" w:hAnsi="Times New Roman" w:cs="Times New Roman"/>
          <w:sz w:val="24"/>
          <w:szCs w:val="24"/>
          <w:lang w:eastAsia="pl-PL"/>
        </w:rPr>
        <w:t>2021 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2"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BF086D" w:rsidRPr="004559A2">
        <w:rPr>
          <w:rFonts w:ascii="Times New Roman" w:eastAsia="Times New Roman" w:hAnsi="Times New Roman" w:cs="Times New Roman"/>
          <w:b/>
          <w:sz w:val="24"/>
          <w:szCs w:val="24"/>
          <w:lang w:eastAsia="pl-PL"/>
        </w:rPr>
        <w:t>do dnia 2</w:t>
      </w:r>
      <w:r w:rsidR="00A029E5">
        <w:rPr>
          <w:rFonts w:ascii="Times New Roman" w:eastAsia="Times New Roman" w:hAnsi="Times New Roman" w:cs="Times New Roman"/>
          <w:b/>
          <w:sz w:val="24"/>
          <w:szCs w:val="24"/>
          <w:lang w:eastAsia="pl-PL"/>
        </w:rPr>
        <w:t>3</w:t>
      </w:r>
      <w:r w:rsidR="00BF086D" w:rsidRPr="004559A2">
        <w:rPr>
          <w:rFonts w:ascii="Times New Roman" w:eastAsia="Times New Roman" w:hAnsi="Times New Roman" w:cs="Times New Roman"/>
          <w:b/>
          <w:sz w:val="24"/>
          <w:szCs w:val="24"/>
          <w:lang w:eastAsia="pl-PL"/>
        </w:rPr>
        <w:t xml:space="preserve"> marca 2021 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3" w:history="1">
        <w:r w:rsidRPr="00CC2D44">
          <w:rPr>
            <w:rFonts w:ascii="Times New Roman" w:eastAsia="Times New Roman" w:hAnsi="Times New Roman" w:cs="Times New Roman"/>
            <w:color w:val="0000FF"/>
            <w:sz w:val="24"/>
            <w:szCs w:val="24"/>
            <w:u w:val="single"/>
            <w:lang w:eastAsia="pl-PL"/>
          </w:rPr>
          <w:t>platformazakupowa.pl</w:t>
        </w:r>
      </w:hyperlink>
      <w:hyperlink r:id="rId34"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Zalecamy stosowanie podpisu na każdym załączonym pliku osobno, w szczególności wskazanych w art. 63 ust 1 oraz ust.2 Pzp,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7"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lastRenderedPageBreak/>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BF086D" w:rsidRPr="004559A2">
        <w:rPr>
          <w:rFonts w:ascii="Times New Roman" w:eastAsia="Times New Roman" w:hAnsi="Times New Roman" w:cs="Times New Roman"/>
          <w:b/>
          <w:sz w:val="24"/>
          <w:szCs w:val="24"/>
          <w:lang w:eastAsia="pl-PL"/>
        </w:rPr>
        <w:t>2</w:t>
      </w:r>
      <w:r w:rsidR="00A029E5">
        <w:rPr>
          <w:rFonts w:ascii="Times New Roman" w:eastAsia="Times New Roman" w:hAnsi="Times New Roman" w:cs="Times New Roman"/>
          <w:b/>
          <w:sz w:val="24"/>
          <w:szCs w:val="24"/>
          <w:lang w:eastAsia="pl-PL"/>
        </w:rPr>
        <w:t>3</w:t>
      </w:r>
      <w:r w:rsidR="00BF086D" w:rsidRPr="004559A2">
        <w:rPr>
          <w:rFonts w:ascii="Times New Roman" w:eastAsia="Times New Roman" w:hAnsi="Times New Roman" w:cs="Times New Roman"/>
          <w:b/>
          <w:sz w:val="24"/>
          <w:szCs w:val="24"/>
          <w:lang w:eastAsia="pl-PL"/>
        </w:rPr>
        <w:t xml:space="preserve"> marca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8"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(Cn</w:t>
      </w:r>
      <w:r w:rsidR="00482C63">
        <w:rPr>
          <w:rFonts w:ascii="Times New Roman" w:eastAsia="Times New Roman" w:hAnsi="Times New Roman" w:cs="Times New Roman"/>
          <w:sz w:val="24"/>
          <w:szCs w:val="24"/>
          <w:lang w:eastAsia="pl-PL"/>
        </w:rPr>
        <w:t xml:space="preserve"> / Cb)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Cn</w:t>
      </w:r>
      <w:r w:rsidR="00F961F3" w:rsidRPr="00F961F3">
        <w:rPr>
          <w:rFonts w:ascii="Times New Roman" w:eastAsia="Times New Roman" w:hAnsi="Times New Roman" w:cs="Times New Roman"/>
          <w:sz w:val="24"/>
          <w:szCs w:val="24"/>
          <w:lang w:eastAsia="pl-PL"/>
        </w:rPr>
        <w:t xml:space="preserve"> – najniższa cena oferty, Cb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Zabezpieczenie należytego wykonania umowy może być wnoszone według wyboru wykonawcy w jednej lub w kilku formach wskazanych w art. 450 ust. 1 ustawy Pzp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450ust. 2 ustawy Pzp.</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Do zmiany formy zabezpieczenia w trakcie realizacji umowy stosuje się art. 451 ustawy Pzp.</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w:t>
      </w:r>
      <w:r w:rsidR="003232DF">
        <w:rPr>
          <w:rFonts w:ascii="Times New Roman" w:eastAsia="Times New Roman" w:hAnsi="Times New Roman" w:cs="Times New Roman"/>
          <w:b/>
          <w:i/>
          <w:sz w:val="24"/>
          <w:szCs w:val="24"/>
          <w:lang w:eastAsia="pl-PL"/>
        </w:rPr>
        <w:t>3</w:t>
      </w:r>
      <w:r w:rsidR="00482C63">
        <w:rPr>
          <w:rFonts w:ascii="Times New Roman" w:eastAsia="Times New Roman" w:hAnsi="Times New Roman" w:cs="Times New Roman"/>
          <w:b/>
          <w:i/>
          <w:sz w:val="24"/>
          <w:szCs w:val="24"/>
          <w:lang w:eastAsia="pl-PL"/>
        </w:rPr>
        <w:t>.</w:t>
      </w:r>
      <w:r w:rsidR="005D2DF7" w:rsidRPr="005D2DF7">
        <w:rPr>
          <w:rFonts w:ascii="Times New Roman" w:eastAsia="Times New Roman" w:hAnsi="Times New Roman" w:cs="Times New Roman"/>
          <w:b/>
          <w:i/>
          <w:sz w:val="24"/>
          <w:szCs w:val="24"/>
          <w:lang w:eastAsia="pl-PL"/>
        </w:rPr>
        <w:t>2021</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lastRenderedPageBreak/>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lastRenderedPageBreak/>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.doc .docx .xls .xlsx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 xml:space="preserve">(.jpeg)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.rar .gif .bmp .numbers .pages.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oraz na ograniczenie wielkości plików podpisywanych w aplikacji eDoApp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r w:rsidRPr="00291CC0">
        <w:rPr>
          <w:rFonts w:ascii="Times New Roman" w:eastAsia="Times New Roman" w:hAnsi="Times New Roman" w:cs="Times New Roman"/>
          <w:b/>
          <w:sz w:val="24"/>
          <w:szCs w:val="24"/>
          <w:lang w:eastAsia="pl-PL"/>
        </w:rPr>
        <w:t>PAdES</w:t>
      </w:r>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zaleca się opatrzyć podpisem w formacie XAdES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lastRenderedPageBreak/>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3 Wzór umowy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4 </w:t>
      </w:r>
      <w:r w:rsidR="00876364">
        <w:rPr>
          <w:rFonts w:ascii="Times New Roman" w:eastAsia="Times New Roman" w:hAnsi="Times New Roman" w:cs="Times New Roman"/>
          <w:sz w:val="24"/>
          <w:szCs w:val="24"/>
          <w:lang w:eastAsia="pl-PL"/>
        </w:rPr>
        <w:t>Rysunki techniczne</w:t>
      </w:r>
      <w:r w:rsidR="00482C63">
        <w:rPr>
          <w:rFonts w:ascii="Times New Roman" w:eastAsia="Times New Roman" w:hAnsi="Times New Roman" w:cs="Times New Roman"/>
          <w:sz w:val="24"/>
          <w:szCs w:val="24"/>
          <w:lang w:eastAsia="pl-PL"/>
        </w:rPr>
        <w:t xml:space="preserve"> + przedmiar robót</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6 Oświadczenie o braku przynależności bądź przynależności do tej samej grupy kapitałowej</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6D" w:rsidRDefault="00BF086D" w:rsidP="00DC13EF">
      <w:pPr>
        <w:spacing w:after="0" w:line="240" w:lineRule="auto"/>
      </w:pPr>
      <w:r>
        <w:separator/>
      </w:r>
    </w:p>
  </w:endnote>
  <w:endnote w:type="continuationSeparator" w:id="0">
    <w:p w:rsidR="00BF086D" w:rsidRDefault="00BF086D"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6D" w:rsidRDefault="00BF086D">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w:t>
    </w:r>
    <w:r w:rsidR="004778EC">
      <w:rPr>
        <w:rFonts w:asciiTheme="majorHAnsi" w:eastAsiaTheme="majorEastAsia" w:hAnsiTheme="majorHAnsi" w:cstheme="majorBidi"/>
      </w:rPr>
      <w:t>3</w:t>
    </w:r>
    <w:r>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CC57C6" w:rsidRPr="00CC57C6">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BF086D" w:rsidRDefault="00BF0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6D" w:rsidRDefault="00BF086D" w:rsidP="00DC13EF">
      <w:pPr>
        <w:spacing w:after="0" w:line="240" w:lineRule="auto"/>
      </w:pPr>
      <w:r>
        <w:separator/>
      </w:r>
    </w:p>
  </w:footnote>
  <w:footnote w:type="continuationSeparator" w:id="0">
    <w:p w:rsidR="00BF086D" w:rsidRDefault="00BF086D"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6D" w:rsidRDefault="00BF086D" w:rsidP="00DC13EF">
    <w:pPr>
      <w:pStyle w:val="Nagwek"/>
      <w:jc w:val="right"/>
    </w:pPr>
    <w:r w:rsidRPr="006E240A">
      <w:rPr>
        <w:rFonts w:ascii="Times New Roman" w:hAnsi="Times New Roman"/>
        <w:b/>
        <w:noProof/>
        <w:sz w:val="24"/>
        <w:szCs w:val="24"/>
        <w:lang w:eastAsia="pl-PL"/>
      </w:rPr>
      <w:drawing>
        <wp:inline distT="0" distB="0" distL="0" distR="0" wp14:anchorId="6D1D4782" wp14:editId="174D3041">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F150E"/>
    <w:multiLevelType w:val="multilevel"/>
    <w:tmpl w:val="FEE89F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934389B"/>
    <w:multiLevelType w:val="hybridMultilevel"/>
    <w:tmpl w:val="09F41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8573E"/>
    <w:multiLevelType w:val="hybridMultilevel"/>
    <w:tmpl w:val="676AB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029EC"/>
    <w:multiLevelType w:val="hybridMultilevel"/>
    <w:tmpl w:val="1DDABD24"/>
    <w:lvl w:ilvl="0" w:tplc="6B0C2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7692C"/>
    <w:multiLevelType w:val="hybridMultilevel"/>
    <w:tmpl w:val="1BFA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5C608A"/>
    <w:multiLevelType w:val="hybridMultilevel"/>
    <w:tmpl w:val="C6CAB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AD6E00"/>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590E63"/>
    <w:multiLevelType w:val="hybridMultilevel"/>
    <w:tmpl w:val="5E56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E03821"/>
    <w:multiLevelType w:val="hybridMultilevel"/>
    <w:tmpl w:val="F42E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8C7B05"/>
    <w:multiLevelType w:val="hybridMultilevel"/>
    <w:tmpl w:val="A7284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76"/>
  </w:num>
  <w:num w:numId="3">
    <w:abstractNumId w:val="3"/>
  </w:num>
  <w:num w:numId="4">
    <w:abstractNumId w:val="79"/>
  </w:num>
  <w:num w:numId="5">
    <w:abstractNumId w:val="20"/>
  </w:num>
  <w:num w:numId="6">
    <w:abstractNumId w:val="56"/>
  </w:num>
  <w:num w:numId="7">
    <w:abstractNumId w:val="36"/>
  </w:num>
  <w:num w:numId="8">
    <w:abstractNumId w:val="61"/>
  </w:num>
  <w:num w:numId="9">
    <w:abstractNumId w:val="25"/>
  </w:num>
  <w:num w:numId="10">
    <w:abstractNumId w:val="2"/>
  </w:num>
  <w:num w:numId="11">
    <w:abstractNumId w:val="17"/>
  </w:num>
  <w:num w:numId="12">
    <w:abstractNumId w:val="58"/>
  </w:num>
  <w:num w:numId="13">
    <w:abstractNumId w:val="45"/>
  </w:num>
  <w:num w:numId="14">
    <w:abstractNumId w:val="11"/>
  </w:num>
  <w:num w:numId="15">
    <w:abstractNumId w:val="22"/>
  </w:num>
  <w:num w:numId="16">
    <w:abstractNumId w:val="78"/>
  </w:num>
  <w:num w:numId="17">
    <w:abstractNumId w:val="41"/>
  </w:num>
  <w:num w:numId="18">
    <w:abstractNumId w:val="66"/>
  </w:num>
  <w:num w:numId="19">
    <w:abstractNumId w:val="59"/>
  </w:num>
  <w:num w:numId="20">
    <w:abstractNumId w:val="46"/>
  </w:num>
  <w:num w:numId="21">
    <w:abstractNumId w:val="24"/>
  </w:num>
  <w:num w:numId="22">
    <w:abstractNumId w:val="55"/>
  </w:num>
  <w:num w:numId="23">
    <w:abstractNumId w:val="39"/>
  </w:num>
  <w:num w:numId="24">
    <w:abstractNumId w:val="47"/>
  </w:num>
  <w:num w:numId="25">
    <w:abstractNumId w:val="31"/>
  </w:num>
  <w:num w:numId="26">
    <w:abstractNumId w:val="74"/>
  </w:num>
  <w:num w:numId="27">
    <w:abstractNumId w:val="15"/>
  </w:num>
  <w:num w:numId="28">
    <w:abstractNumId w:val="77"/>
  </w:num>
  <w:num w:numId="29">
    <w:abstractNumId w:val="71"/>
  </w:num>
  <w:num w:numId="30">
    <w:abstractNumId w:val="83"/>
  </w:num>
  <w:num w:numId="31">
    <w:abstractNumId w:val="10"/>
  </w:num>
  <w:num w:numId="32">
    <w:abstractNumId w:val="6"/>
  </w:num>
  <w:num w:numId="33">
    <w:abstractNumId w:val="82"/>
  </w:num>
  <w:num w:numId="34">
    <w:abstractNumId w:val="14"/>
  </w:num>
  <w:num w:numId="35">
    <w:abstractNumId w:val="27"/>
  </w:num>
  <w:num w:numId="36">
    <w:abstractNumId w:val="75"/>
  </w:num>
  <w:num w:numId="37">
    <w:abstractNumId w:val="16"/>
  </w:num>
  <w:num w:numId="38">
    <w:abstractNumId w:val="9"/>
  </w:num>
  <w:num w:numId="39">
    <w:abstractNumId w:val="64"/>
  </w:num>
  <w:num w:numId="40">
    <w:abstractNumId w:val="43"/>
  </w:num>
  <w:num w:numId="41">
    <w:abstractNumId w:val="86"/>
  </w:num>
  <w:num w:numId="42">
    <w:abstractNumId w:val="84"/>
  </w:num>
  <w:num w:numId="43">
    <w:abstractNumId w:val="65"/>
  </w:num>
  <w:num w:numId="44">
    <w:abstractNumId w:val="53"/>
  </w:num>
  <w:num w:numId="45">
    <w:abstractNumId w:val="8"/>
  </w:num>
  <w:num w:numId="46">
    <w:abstractNumId w:val="73"/>
  </w:num>
  <w:num w:numId="47">
    <w:abstractNumId w:val="42"/>
  </w:num>
  <w:num w:numId="48">
    <w:abstractNumId w:val="38"/>
  </w:num>
  <w:num w:numId="49">
    <w:abstractNumId w:val="68"/>
  </w:num>
  <w:num w:numId="50">
    <w:abstractNumId w:val="37"/>
  </w:num>
  <w:num w:numId="51">
    <w:abstractNumId w:val="1"/>
  </w:num>
  <w:num w:numId="52">
    <w:abstractNumId w:val="26"/>
  </w:num>
  <w:num w:numId="53">
    <w:abstractNumId w:val="48"/>
  </w:num>
  <w:num w:numId="54">
    <w:abstractNumId w:val="5"/>
  </w:num>
  <w:num w:numId="55">
    <w:abstractNumId w:val="4"/>
  </w:num>
  <w:num w:numId="56">
    <w:abstractNumId w:val="70"/>
  </w:num>
  <w:num w:numId="57">
    <w:abstractNumId w:val="35"/>
  </w:num>
  <w:num w:numId="58">
    <w:abstractNumId w:val="87"/>
  </w:num>
  <w:num w:numId="59">
    <w:abstractNumId w:val="21"/>
  </w:num>
  <w:num w:numId="60">
    <w:abstractNumId w:val="52"/>
  </w:num>
  <w:num w:numId="61">
    <w:abstractNumId w:val="63"/>
  </w:num>
  <w:num w:numId="62">
    <w:abstractNumId w:val="81"/>
  </w:num>
  <w:num w:numId="63">
    <w:abstractNumId w:val="12"/>
  </w:num>
  <w:num w:numId="64">
    <w:abstractNumId w:val="62"/>
  </w:num>
  <w:num w:numId="65">
    <w:abstractNumId w:val="23"/>
  </w:num>
  <w:num w:numId="66">
    <w:abstractNumId w:val="72"/>
  </w:num>
  <w:num w:numId="67">
    <w:abstractNumId w:val="29"/>
  </w:num>
  <w:num w:numId="68">
    <w:abstractNumId w:val="69"/>
  </w:num>
  <w:num w:numId="69">
    <w:abstractNumId w:val="33"/>
  </w:num>
  <w:num w:numId="70">
    <w:abstractNumId w:val="50"/>
  </w:num>
  <w:num w:numId="71">
    <w:abstractNumId w:val="49"/>
  </w:num>
  <w:num w:numId="72">
    <w:abstractNumId w:val="30"/>
  </w:num>
  <w:num w:numId="73">
    <w:abstractNumId w:val="44"/>
  </w:num>
  <w:num w:numId="74">
    <w:abstractNumId w:val="57"/>
  </w:num>
  <w:num w:numId="75">
    <w:abstractNumId w:val="85"/>
  </w:num>
  <w:num w:numId="76">
    <w:abstractNumId w:val="18"/>
  </w:num>
  <w:num w:numId="77">
    <w:abstractNumId w:val="34"/>
  </w:num>
  <w:num w:numId="78">
    <w:abstractNumId w:val="67"/>
  </w:num>
  <w:num w:numId="79">
    <w:abstractNumId w:val="51"/>
  </w:num>
  <w:num w:numId="80">
    <w:abstractNumId w:val="28"/>
  </w:num>
  <w:num w:numId="81">
    <w:abstractNumId w:val="19"/>
  </w:num>
  <w:num w:numId="82">
    <w:abstractNumId w:val="40"/>
  </w:num>
  <w:num w:numId="83">
    <w:abstractNumId w:val="0"/>
  </w:num>
  <w:num w:numId="84">
    <w:abstractNumId w:val="32"/>
  </w:num>
  <w:num w:numId="85">
    <w:abstractNumId w:val="54"/>
  </w:num>
  <w:num w:numId="86">
    <w:abstractNumId w:val="80"/>
  </w:num>
  <w:num w:numId="87">
    <w:abstractNumId w:val="13"/>
  </w:num>
  <w:num w:numId="88">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A76A6"/>
    <w:rsid w:val="00121DC2"/>
    <w:rsid w:val="001A7B32"/>
    <w:rsid w:val="001B41FD"/>
    <w:rsid w:val="001F6813"/>
    <w:rsid w:val="00291CC0"/>
    <w:rsid w:val="002F6E7B"/>
    <w:rsid w:val="003232DF"/>
    <w:rsid w:val="00382B5C"/>
    <w:rsid w:val="003C35B2"/>
    <w:rsid w:val="004559A2"/>
    <w:rsid w:val="004778EC"/>
    <w:rsid w:val="00482C63"/>
    <w:rsid w:val="00491C5E"/>
    <w:rsid w:val="004E4A88"/>
    <w:rsid w:val="005019F0"/>
    <w:rsid w:val="0050539E"/>
    <w:rsid w:val="00505B63"/>
    <w:rsid w:val="0054292E"/>
    <w:rsid w:val="005838B9"/>
    <w:rsid w:val="00595414"/>
    <w:rsid w:val="005A2E1C"/>
    <w:rsid w:val="005D2DF7"/>
    <w:rsid w:val="006046A9"/>
    <w:rsid w:val="00621EE2"/>
    <w:rsid w:val="006728F4"/>
    <w:rsid w:val="006A2E81"/>
    <w:rsid w:val="006D00CB"/>
    <w:rsid w:val="007B0727"/>
    <w:rsid w:val="00800118"/>
    <w:rsid w:val="008601D9"/>
    <w:rsid w:val="00876364"/>
    <w:rsid w:val="008A7210"/>
    <w:rsid w:val="008E415E"/>
    <w:rsid w:val="00931ACB"/>
    <w:rsid w:val="00976DAF"/>
    <w:rsid w:val="00A029E5"/>
    <w:rsid w:val="00AF4EDA"/>
    <w:rsid w:val="00BF086D"/>
    <w:rsid w:val="00C742A2"/>
    <w:rsid w:val="00CC1AB9"/>
    <w:rsid w:val="00CC2D44"/>
    <w:rsid w:val="00CC57C6"/>
    <w:rsid w:val="00D7124C"/>
    <w:rsid w:val="00D94CA2"/>
    <w:rsid w:val="00DC079B"/>
    <w:rsid w:val="00DC13EF"/>
    <w:rsid w:val="00DD12BE"/>
    <w:rsid w:val="00E025C1"/>
    <w:rsid w:val="00E41ABF"/>
    <w:rsid w:val="00E45E9E"/>
    <w:rsid w:val="00F961F3"/>
    <w:rsid w:val="00FA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940B2CF-9BD2-48A0-ACD8-4120B07F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Pages>
  <Words>7700</Words>
  <Characters>46204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7</cp:revision>
  <dcterms:created xsi:type="dcterms:W3CDTF">2021-03-04T07:02:00Z</dcterms:created>
  <dcterms:modified xsi:type="dcterms:W3CDTF">2021-03-04T11:46:00Z</dcterms:modified>
</cp:coreProperties>
</file>