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4AEFE" w14:textId="4470B3C5" w:rsidR="002E5125" w:rsidRPr="005A05A2" w:rsidRDefault="002E5125" w:rsidP="005A05A2">
      <w:pPr>
        <w:spacing w:after="0" w:line="240" w:lineRule="auto"/>
        <w:jc w:val="center"/>
        <w:rPr>
          <w:b/>
          <w:bCs/>
          <w:sz w:val="40"/>
          <w:szCs w:val="40"/>
        </w:rPr>
      </w:pPr>
      <w:bookmarkStart w:id="0" w:name="_Hlk61947027"/>
      <w:r w:rsidRPr="002E5125">
        <w:rPr>
          <w:b/>
          <w:bCs/>
          <w:sz w:val="40"/>
          <w:szCs w:val="40"/>
        </w:rPr>
        <w:t>SPECYFIKACJA TECHNICZNA WYKONANIA</w:t>
      </w:r>
      <w:r>
        <w:rPr>
          <w:b/>
          <w:bCs/>
          <w:sz w:val="40"/>
          <w:szCs w:val="40"/>
        </w:rPr>
        <w:t xml:space="preserve">                       </w:t>
      </w:r>
      <w:r w:rsidRPr="002E5125">
        <w:rPr>
          <w:b/>
          <w:bCs/>
          <w:sz w:val="40"/>
          <w:szCs w:val="40"/>
        </w:rPr>
        <w:t xml:space="preserve">  ODBIORU ROBÓT</w:t>
      </w:r>
      <w:r w:rsidR="00922E67">
        <w:rPr>
          <w:b/>
          <w:bCs/>
          <w:sz w:val="40"/>
          <w:szCs w:val="40"/>
        </w:rPr>
        <w:t xml:space="preserve"> REJON I</w:t>
      </w:r>
    </w:p>
    <w:p w14:paraId="35E37ABE" w14:textId="0308BD9E" w:rsidR="000377CC" w:rsidRDefault="002E5125" w:rsidP="000377CC">
      <w:pPr>
        <w:spacing w:after="0" w:line="240" w:lineRule="auto"/>
        <w:jc w:val="both"/>
        <w:rPr>
          <w:b/>
          <w:bCs/>
          <w:sz w:val="28"/>
          <w:szCs w:val="28"/>
        </w:rPr>
      </w:pPr>
      <w:r w:rsidRPr="002E5125">
        <w:rPr>
          <w:b/>
          <w:bCs/>
          <w:sz w:val="28"/>
          <w:szCs w:val="28"/>
        </w:rPr>
        <w:t xml:space="preserve">-układanie płyt </w:t>
      </w:r>
      <w:r w:rsidR="00D34004">
        <w:rPr>
          <w:b/>
          <w:bCs/>
          <w:sz w:val="28"/>
          <w:szCs w:val="28"/>
        </w:rPr>
        <w:t>YOMB</w:t>
      </w:r>
      <w:r w:rsidR="00534612">
        <w:rPr>
          <w:b/>
          <w:bCs/>
          <w:sz w:val="28"/>
          <w:szCs w:val="28"/>
        </w:rPr>
        <w:t xml:space="preserve"> i płyt drogowych pełnych</w:t>
      </w:r>
      <w:r w:rsidRPr="002E5125">
        <w:rPr>
          <w:b/>
          <w:bCs/>
          <w:sz w:val="28"/>
          <w:szCs w:val="28"/>
        </w:rPr>
        <w:t xml:space="preserve"> w Rejonie  nr. </w:t>
      </w:r>
      <w:r w:rsidR="00700CAA">
        <w:rPr>
          <w:b/>
          <w:bCs/>
          <w:sz w:val="28"/>
          <w:szCs w:val="28"/>
        </w:rPr>
        <w:t>I</w:t>
      </w:r>
      <w:r w:rsidRPr="002E5125">
        <w:rPr>
          <w:b/>
          <w:bCs/>
          <w:sz w:val="28"/>
          <w:szCs w:val="28"/>
        </w:rPr>
        <w:t xml:space="preserve"> Gminy Kartuzy</w:t>
      </w:r>
    </w:p>
    <w:p w14:paraId="6D2F4CBC" w14:textId="45F01DA0" w:rsidR="002E5125" w:rsidRPr="000377CC" w:rsidRDefault="002E5125" w:rsidP="000377C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2E5125">
        <w:rPr>
          <w:b/>
          <w:bCs/>
          <w:sz w:val="32"/>
          <w:szCs w:val="32"/>
        </w:rPr>
        <w:t>TYMCZASOWE</w:t>
      </w:r>
      <w:r w:rsidR="000377CC">
        <w:rPr>
          <w:b/>
          <w:bCs/>
          <w:sz w:val="32"/>
          <w:szCs w:val="32"/>
        </w:rPr>
        <w:t xml:space="preserve"> </w:t>
      </w:r>
      <w:r w:rsidRPr="002E5125">
        <w:rPr>
          <w:b/>
          <w:bCs/>
          <w:sz w:val="32"/>
          <w:szCs w:val="32"/>
        </w:rPr>
        <w:t>NAWIERZCHNIE Z ELEMENTÓW PREFABRYKOWANYCH TYPU YOMB</w:t>
      </w:r>
      <w:r w:rsidR="000377CC">
        <w:rPr>
          <w:b/>
          <w:bCs/>
          <w:sz w:val="32"/>
          <w:szCs w:val="32"/>
        </w:rPr>
        <w:t xml:space="preserve"> I PŁYT DROGOWYCH</w:t>
      </w:r>
    </w:p>
    <w:bookmarkEnd w:id="0"/>
    <w:p w14:paraId="4A9FBBD6" w14:textId="77777777" w:rsidR="00F30722" w:rsidRPr="0048259D" w:rsidRDefault="00F30722" w:rsidP="00EE45E3">
      <w:pPr>
        <w:jc w:val="both"/>
        <w:rPr>
          <w:b/>
          <w:bCs/>
          <w:sz w:val="28"/>
          <w:szCs w:val="28"/>
        </w:rPr>
      </w:pPr>
      <w:r w:rsidRPr="0048259D">
        <w:rPr>
          <w:b/>
          <w:bCs/>
          <w:sz w:val="28"/>
          <w:szCs w:val="28"/>
        </w:rPr>
        <w:t xml:space="preserve">1. </w:t>
      </w:r>
      <w:bookmarkStart w:id="1" w:name="_Hlk61947238"/>
      <w:r w:rsidRPr="0048259D">
        <w:rPr>
          <w:b/>
          <w:bCs/>
          <w:sz w:val="28"/>
          <w:szCs w:val="28"/>
        </w:rPr>
        <w:t>Wstęp</w:t>
      </w:r>
      <w:bookmarkEnd w:id="1"/>
    </w:p>
    <w:p w14:paraId="6CF5DE2D" w14:textId="77777777" w:rsidR="00F30722" w:rsidRPr="00375A9C" w:rsidRDefault="00F30722" w:rsidP="00EE45E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375A9C">
        <w:rPr>
          <w:b/>
          <w:bCs/>
        </w:rPr>
        <w:t>Przedmiot ST</w:t>
      </w:r>
    </w:p>
    <w:p w14:paraId="78A182FE" w14:textId="7025C669" w:rsidR="00D11B94" w:rsidRPr="00D11B94" w:rsidRDefault="00F30722" w:rsidP="00D11B94">
      <w:pPr>
        <w:pStyle w:val="Akapitzlist"/>
        <w:jc w:val="both"/>
        <w:rPr>
          <w:sz w:val="22"/>
          <w:szCs w:val="22"/>
        </w:rPr>
      </w:pPr>
      <w:r>
        <w:t xml:space="preserve">Przedmiotem, niniejszej specyfikacji technicznej (ST) są wymagania dotyczące wykonania i odbioru robót związanych z wykonaniem tymczasowych nawierzchni z elementów prefabrykowanych przy wykonywaniu nawierzchni z płyt drogowych wielootworowych tj. Przebudowa dróg gminnych, gruntowych za pomocą ułożenia płyt drogowych wielootworowych </w:t>
      </w:r>
      <w:r w:rsidRPr="00D11B94">
        <w:rPr>
          <w:sz w:val="22"/>
          <w:szCs w:val="22"/>
        </w:rPr>
        <w:t xml:space="preserve">typu YOMB </w:t>
      </w:r>
      <w:r w:rsidR="00F95E4C">
        <w:rPr>
          <w:sz w:val="22"/>
          <w:szCs w:val="22"/>
        </w:rPr>
        <w:t xml:space="preserve"> i płyt drogowych pełnych </w:t>
      </w:r>
      <w:r w:rsidRPr="00D11B94">
        <w:rPr>
          <w:sz w:val="22"/>
          <w:szCs w:val="22"/>
        </w:rPr>
        <w:t>w</w:t>
      </w:r>
      <w:r w:rsidR="00D11B94" w:rsidRPr="00D11B94">
        <w:rPr>
          <w:sz w:val="22"/>
          <w:szCs w:val="22"/>
        </w:rPr>
        <w:t>:</w:t>
      </w:r>
    </w:p>
    <w:p w14:paraId="2F595198" w14:textId="7C1D3D71" w:rsidR="00F30722" w:rsidRDefault="00D11B94" w:rsidP="00D11B94">
      <w:pPr>
        <w:pStyle w:val="Akapitzlist"/>
        <w:jc w:val="both"/>
        <w:rPr>
          <w:sz w:val="22"/>
          <w:szCs w:val="22"/>
        </w:rPr>
      </w:pPr>
      <w:r w:rsidRPr="00D11B94">
        <w:rPr>
          <w:sz w:val="22"/>
          <w:szCs w:val="22"/>
        </w:rPr>
        <w:t xml:space="preserve"> - </w:t>
      </w:r>
      <w:r w:rsidR="00F30722" w:rsidRPr="00D11B94">
        <w:rPr>
          <w:b/>
          <w:bCs/>
          <w:sz w:val="22"/>
          <w:szCs w:val="22"/>
        </w:rPr>
        <w:t xml:space="preserve">Rejonie </w:t>
      </w:r>
      <w:r w:rsidR="00700CAA" w:rsidRPr="00D11B94">
        <w:rPr>
          <w:b/>
          <w:bCs/>
          <w:sz w:val="22"/>
          <w:szCs w:val="22"/>
        </w:rPr>
        <w:t xml:space="preserve">I </w:t>
      </w:r>
      <w:r w:rsidR="00F30722" w:rsidRPr="00D11B94">
        <w:rPr>
          <w:b/>
          <w:bCs/>
          <w:sz w:val="22"/>
          <w:szCs w:val="22"/>
        </w:rPr>
        <w:t>Gminy Kartuzy</w:t>
      </w:r>
      <w:r w:rsidRPr="00D11B94">
        <w:rPr>
          <w:sz w:val="22"/>
          <w:szCs w:val="22"/>
        </w:rPr>
        <w:t xml:space="preserve"> - </w:t>
      </w:r>
      <w:r w:rsidR="00700CAA" w:rsidRPr="00D11B94">
        <w:rPr>
          <w:b/>
          <w:bCs/>
          <w:sz w:val="22"/>
          <w:szCs w:val="22"/>
        </w:rPr>
        <w:t xml:space="preserve"> </w:t>
      </w:r>
      <w:r w:rsidR="00F95E4C">
        <w:rPr>
          <w:sz w:val="22"/>
          <w:szCs w:val="22"/>
        </w:rPr>
        <w:t xml:space="preserve">Brodnica Dolna, </w:t>
      </w:r>
      <w:r w:rsidR="003B61BF">
        <w:rPr>
          <w:sz w:val="22"/>
          <w:szCs w:val="22"/>
        </w:rPr>
        <w:t>dz. nr 464/1; 466/1; 466/2</w:t>
      </w:r>
      <w:r w:rsidR="00F95E4C">
        <w:rPr>
          <w:sz w:val="22"/>
          <w:szCs w:val="22"/>
        </w:rPr>
        <w:t xml:space="preserve">, dz. Mezowo, ul. Kiełpińska, dz. ew. nr </w:t>
      </w:r>
      <w:r w:rsidR="003B61BF">
        <w:rPr>
          <w:sz w:val="22"/>
          <w:szCs w:val="22"/>
        </w:rPr>
        <w:t>51/3; 376/6</w:t>
      </w:r>
      <w:r w:rsidR="00F95E4C">
        <w:rPr>
          <w:sz w:val="22"/>
          <w:szCs w:val="22"/>
        </w:rPr>
        <w:t xml:space="preserve">; </w:t>
      </w:r>
      <w:r w:rsidR="003B61BF">
        <w:rPr>
          <w:sz w:val="22"/>
          <w:szCs w:val="22"/>
        </w:rPr>
        <w:t>Brodnica Górna</w:t>
      </w:r>
      <w:r w:rsidR="00F95E4C">
        <w:rPr>
          <w:sz w:val="22"/>
          <w:szCs w:val="22"/>
        </w:rPr>
        <w:t xml:space="preserve">, </w:t>
      </w:r>
      <w:r w:rsidR="003B61BF">
        <w:rPr>
          <w:sz w:val="22"/>
          <w:szCs w:val="22"/>
        </w:rPr>
        <w:t xml:space="preserve">ul. Na Bagnach </w:t>
      </w:r>
      <w:r w:rsidR="00F95E4C">
        <w:rPr>
          <w:sz w:val="22"/>
          <w:szCs w:val="22"/>
        </w:rPr>
        <w:t>dz.</w:t>
      </w:r>
      <w:r w:rsidR="005A05A2">
        <w:rPr>
          <w:sz w:val="22"/>
          <w:szCs w:val="22"/>
        </w:rPr>
        <w:t xml:space="preserve"> </w:t>
      </w:r>
      <w:r w:rsidR="00F95E4C">
        <w:rPr>
          <w:sz w:val="22"/>
          <w:szCs w:val="22"/>
        </w:rPr>
        <w:t xml:space="preserve">ew. nr </w:t>
      </w:r>
      <w:r w:rsidR="003B61BF">
        <w:rPr>
          <w:sz w:val="22"/>
          <w:szCs w:val="22"/>
        </w:rPr>
        <w:t>300; 247</w:t>
      </w:r>
    </w:p>
    <w:p w14:paraId="30E9C35B" w14:textId="77777777" w:rsidR="00D11B94" w:rsidRDefault="00D11B94" w:rsidP="00D11B94">
      <w:pPr>
        <w:pStyle w:val="Akapitzlist"/>
        <w:jc w:val="both"/>
      </w:pPr>
    </w:p>
    <w:p w14:paraId="109C07C4" w14:textId="77777777" w:rsidR="00F30722" w:rsidRPr="00375A9C" w:rsidRDefault="00F30722" w:rsidP="00EE45E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375A9C">
        <w:rPr>
          <w:b/>
          <w:bCs/>
        </w:rPr>
        <w:t>Zakres stosowania ST</w:t>
      </w:r>
    </w:p>
    <w:p w14:paraId="4CE2B1FC" w14:textId="77777777" w:rsidR="00F30722" w:rsidRDefault="00F30722" w:rsidP="00EE45E3">
      <w:pPr>
        <w:ind w:left="708"/>
        <w:jc w:val="both"/>
      </w:pPr>
      <w:r>
        <w:t>Specyfikacja techniczna stanowi dokument przetargowy i kontraktowy przy zlecaniu i realizacji robót związanych z realizacją zadania wymienionego  pkt. 1.1.</w:t>
      </w:r>
    </w:p>
    <w:p w14:paraId="2FD2EAD6" w14:textId="77777777" w:rsidR="00F30722" w:rsidRPr="00375A9C" w:rsidRDefault="00F30722" w:rsidP="00EE45E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375A9C">
        <w:rPr>
          <w:b/>
          <w:bCs/>
        </w:rPr>
        <w:t>Zakres robót objętych ST</w:t>
      </w:r>
    </w:p>
    <w:p w14:paraId="7DFD26F2" w14:textId="2A5EC96C" w:rsidR="00F30722" w:rsidRDefault="00F30722" w:rsidP="003B61BF">
      <w:pPr>
        <w:pStyle w:val="Akapitzlist"/>
        <w:jc w:val="both"/>
      </w:pPr>
      <w:r>
        <w:t>Ustalenia zawarte w niniejszej specyfikacji dotyczą zasad prowadzenia robót związanych z wykonaniem tymczasowych nawierzchni z elementów prefabrykowanych, stosowanych w budownictwie drogowym, pełniących rolę: dojazdów tymczasowych na czas budowy i modernizacji dróg oraz przebudowy istniejących i budowy nowych mostowych, prowizorycznych nawierzchni ulic, placów i parkingów, dróg dojazdowych, łączących plac budowy z drogami publicznymi, dróg wewnętrznych placu budowy i dróg montażowych.</w:t>
      </w:r>
      <w:r w:rsidR="0048259D">
        <w:t xml:space="preserve"> </w:t>
      </w:r>
      <w:r>
        <w:t>Niniejsza ST dotyczy tymczasowych nawierzchni wykonywanych z płyt drogowych żelbetowych wielootworowych o powierzchni zgodnej z przedmiarem robó</w:t>
      </w:r>
      <w:r w:rsidR="003B61BF">
        <w:t>t.</w:t>
      </w:r>
      <w:r>
        <w:tab/>
      </w:r>
    </w:p>
    <w:p w14:paraId="73CC08BF" w14:textId="77777777" w:rsidR="00F30722" w:rsidRPr="0048259D" w:rsidRDefault="00F30722" w:rsidP="00EE45E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48259D">
        <w:rPr>
          <w:b/>
          <w:bCs/>
        </w:rPr>
        <w:t>Określenie podstawowe</w:t>
      </w:r>
    </w:p>
    <w:p w14:paraId="75788AE2" w14:textId="77777777" w:rsidR="00F30722" w:rsidRDefault="00F30722" w:rsidP="00EE45E3">
      <w:pPr>
        <w:pStyle w:val="Akapitzlist"/>
        <w:numPr>
          <w:ilvl w:val="0"/>
          <w:numId w:val="3"/>
        </w:numPr>
        <w:jc w:val="both"/>
      </w:pPr>
      <w:r>
        <w:t>tymczasowa nawierzchnia z elementów prefabrykowanych – tj. nawierzchnia z płyt drogowych betonowych i żelbetowych przeznaczona dla ruchu lub postojów pojazdów na czas określony</w:t>
      </w:r>
      <w:r w:rsidR="00700CAA">
        <w:t>,</w:t>
      </w:r>
    </w:p>
    <w:p w14:paraId="2C74F7EA" w14:textId="77777777" w:rsidR="00F30722" w:rsidRDefault="00F30722" w:rsidP="00EE45E3">
      <w:pPr>
        <w:pStyle w:val="Akapitzlist"/>
        <w:numPr>
          <w:ilvl w:val="0"/>
          <w:numId w:val="3"/>
        </w:numPr>
        <w:jc w:val="both"/>
      </w:pPr>
      <w:r>
        <w:t>pozostałe określenia są zgodne z obowiązującymi, odpowiednimi polskimi normami i definicjami podanymi w OST D-M-00.00.00 „wymagania ogólne”</w:t>
      </w:r>
    </w:p>
    <w:p w14:paraId="1E579092" w14:textId="77777777" w:rsidR="00F30722" w:rsidRPr="0048259D" w:rsidRDefault="00F30722" w:rsidP="00EE45E3">
      <w:pPr>
        <w:jc w:val="both"/>
        <w:rPr>
          <w:b/>
          <w:bCs/>
          <w:sz w:val="28"/>
          <w:szCs w:val="28"/>
        </w:rPr>
      </w:pPr>
      <w:r w:rsidRPr="0048259D">
        <w:rPr>
          <w:b/>
          <w:bCs/>
          <w:sz w:val="28"/>
          <w:szCs w:val="28"/>
        </w:rPr>
        <w:t>2. Materiały</w:t>
      </w:r>
    </w:p>
    <w:p w14:paraId="2051EC3C" w14:textId="77777777" w:rsidR="000F3FBA" w:rsidRPr="0048259D" w:rsidRDefault="000F3FBA" w:rsidP="00EE45E3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48259D">
        <w:rPr>
          <w:b/>
          <w:bCs/>
        </w:rPr>
        <w:t xml:space="preserve">Ogólne wymagania dotyczące materiałów, ich pozyskania podano w OST D-M-00.00.00 „Wymagania ogólne”  pkt </w:t>
      </w:r>
      <w:r w:rsidR="003F7EC6" w:rsidRPr="0048259D">
        <w:rPr>
          <w:b/>
          <w:bCs/>
        </w:rPr>
        <w:t>1,</w:t>
      </w:r>
      <w:r w:rsidRPr="0048259D">
        <w:rPr>
          <w:b/>
          <w:bCs/>
        </w:rPr>
        <w:t>2</w:t>
      </w:r>
      <w:r w:rsidR="003F7EC6" w:rsidRPr="0048259D">
        <w:rPr>
          <w:b/>
          <w:bCs/>
        </w:rPr>
        <w:t>, 3</w:t>
      </w:r>
      <w:r w:rsidRPr="0048259D">
        <w:rPr>
          <w:b/>
          <w:bCs/>
        </w:rPr>
        <w:t>.</w:t>
      </w:r>
    </w:p>
    <w:p w14:paraId="01E0804F" w14:textId="77777777" w:rsidR="000F3FBA" w:rsidRPr="0048259D" w:rsidRDefault="000F3FBA" w:rsidP="00EE45E3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48259D">
        <w:rPr>
          <w:b/>
          <w:bCs/>
        </w:rPr>
        <w:t>Rodzaje materiałów</w:t>
      </w:r>
    </w:p>
    <w:p w14:paraId="1CA70741" w14:textId="77777777" w:rsidR="000F3FBA" w:rsidRDefault="000F3FBA" w:rsidP="00EE45E3">
      <w:pPr>
        <w:pStyle w:val="Akapitzlist"/>
        <w:ind w:left="360"/>
        <w:jc w:val="both"/>
      </w:pPr>
      <w:r>
        <w:t>Materiałami stosowanymi przy</w:t>
      </w:r>
      <w:r w:rsidR="008B0B66">
        <w:t xml:space="preserve"> wykonywaniu tymczasowych</w:t>
      </w:r>
      <w:r w:rsidR="00836C7C">
        <w:t xml:space="preserve"> nawierzchni z elementów prefabrykowanych objętych niniejszą OST, </w:t>
      </w:r>
      <w:r w:rsidR="007B62FD">
        <w:t>są:</w:t>
      </w:r>
    </w:p>
    <w:p w14:paraId="32AD3424" w14:textId="101180A1" w:rsidR="002170FA" w:rsidRDefault="007B62FD" w:rsidP="00BC2AB7">
      <w:pPr>
        <w:pStyle w:val="Akapitzlist"/>
        <w:ind w:left="360"/>
        <w:jc w:val="both"/>
      </w:pPr>
      <w:r>
        <w:t>- płyty drogowe żelbetowe</w:t>
      </w:r>
      <w:r w:rsidR="002170FA">
        <w:t>,</w:t>
      </w:r>
    </w:p>
    <w:p w14:paraId="5357B879" w14:textId="77777777" w:rsidR="007B62FD" w:rsidRDefault="007B62FD" w:rsidP="00EE45E3">
      <w:pPr>
        <w:pStyle w:val="Akapitzlist"/>
        <w:ind w:left="360"/>
        <w:jc w:val="both"/>
      </w:pPr>
      <w:r>
        <w:t>- kruszywo łamane,</w:t>
      </w:r>
    </w:p>
    <w:p w14:paraId="674CD6DE" w14:textId="77777777" w:rsidR="007B62FD" w:rsidRDefault="007B62FD" w:rsidP="00EE45E3">
      <w:pPr>
        <w:pStyle w:val="Akapitzlist"/>
        <w:ind w:left="360"/>
        <w:jc w:val="both"/>
      </w:pPr>
      <w:r>
        <w:t>- piasek na podsypkę i do zamulania spoin,</w:t>
      </w:r>
    </w:p>
    <w:p w14:paraId="09DBE57C" w14:textId="77777777" w:rsidR="000F3FBA" w:rsidRDefault="007B62FD" w:rsidP="00EE45E3">
      <w:pPr>
        <w:pStyle w:val="Akapitzlist"/>
        <w:ind w:left="360"/>
        <w:jc w:val="both"/>
      </w:pPr>
      <w:r>
        <w:lastRenderedPageBreak/>
        <w:t>- woda</w:t>
      </w:r>
    </w:p>
    <w:p w14:paraId="53FF6990" w14:textId="767C27B3" w:rsidR="000F3FBA" w:rsidRPr="0048259D" w:rsidRDefault="007B62FD" w:rsidP="00EE45E3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48259D">
        <w:rPr>
          <w:b/>
          <w:bCs/>
        </w:rPr>
        <w:t>Płyty betonowe i żelbetowe</w:t>
      </w:r>
      <w:r w:rsidR="002170FA">
        <w:rPr>
          <w:b/>
          <w:bCs/>
        </w:rPr>
        <w:t xml:space="preserve"> </w:t>
      </w:r>
    </w:p>
    <w:p w14:paraId="088196E7" w14:textId="77777777" w:rsidR="007B62FD" w:rsidRDefault="007B62FD" w:rsidP="00EE45E3">
      <w:pPr>
        <w:pStyle w:val="Akapitzlist"/>
        <w:ind w:left="360"/>
        <w:jc w:val="both"/>
      </w:pPr>
      <w:r>
        <w:t>Płyty drogowe, stosowane do wykonania tymczasowych nawierzchni powinny opowiadać wymaganiom BN-80/6775-03/01 [2] i BN-80/6775-03/02 [3].</w:t>
      </w:r>
    </w:p>
    <w:p w14:paraId="6E86CA5F" w14:textId="77777777" w:rsidR="007B62FD" w:rsidRDefault="007B62FD" w:rsidP="00EE45E3">
      <w:pPr>
        <w:pStyle w:val="Akapitzlist"/>
        <w:numPr>
          <w:ilvl w:val="2"/>
          <w:numId w:val="10"/>
        </w:numPr>
        <w:jc w:val="both"/>
      </w:pPr>
      <w:r>
        <w:t>Typy, rodzaje i odmiany płyt</w:t>
      </w:r>
    </w:p>
    <w:p w14:paraId="440E9007" w14:textId="594DF72F" w:rsidR="007B62FD" w:rsidRDefault="007B62FD" w:rsidP="00EE45E3">
      <w:pPr>
        <w:pStyle w:val="Akapitzlist"/>
        <w:ind w:left="1080"/>
        <w:jc w:val="both"/>
      </w:pPr>
      <w:r>
        <w:t>W zależności od konstrukcji i przeznaczenia rozróżnia się następujące typy płyt drogowych: tj. płyty żelbetowe wielootworowe typu YOMB (duże i małe)</w:t>
      </w:r>
    </w:p>
    <w:p w14:paraId="7DB83D92" w14:textId="77777777" w:rsidR="007B62FD" w:rsidRDefault="00D55682" w:rsidP="00EE45E3">
      <w:pPr>
        <w:pStyle w:val="Akapitzlist"/>
        <w:numPr>
          <w:ilvl w:val="2"/>
          <w:numId w:val="10"/>
        </w:numPr>
        <w:jc w:val="both"/>
      </w:pPr>
      <w:r>
        <w:t>Kształt i wymiary płyt żelbetowych wielootworowych</w:t>
      </w:r>
    </w:p>
    <w:p w14:paraId="201F12DC" w14:textId="2500410D" w:rsidR="00D55682" w:rsidRDefault="00D55682" w:rsidP="00EE45E3">
      <w:pPr>
        <w:pStyle w:val="Akapitzlist"/>
        <w:ind w:left="1080"/>
        <w:jc w:val="both"/>
      </w:pPr>
      <w:r>
        <w:t>Najczęściej stosowane wymiary płyt: 1,00 x 0,75 x 0,12</w:t>
      </w:r>
    </w:p>
    <w:p w14:paraId="15CC5915" w14:textId="170A880E" w:rsidR="002170FA" w:rsidRDefault="002170FA" w:rsidP="00EE45E3">
      <w:pPr>
        <w:pStyle w:val="Akapitzlist"/>
        <w:ind w:left="1080"/>
        <w:jc w:val="both"/>
      </w:pPr>
      <w:r>
        <w:t>Stosowane wymiary kostki betonowej gr. „8”</w:t>
      </w:r>
    </w:p>
    <w:p w14:paraId="63234F79" w14:textId="77777777" w:rsidR="00D55682" w:rsidRDefault="00D55682" w:rsidP="00EE45E3">
      <w:pPr>
        <w:pStyle w:val="Akapitzlist"/>
        <w:numPr>
          <w:ilvl w:val="2"/>
          <w:numId w:val="10"/>
        </w:numPr>
        <w:jc w:val="both"/>
      </w:pPr>
      <w:r>
        <w:t>Wygląd zewnętrzny</w:t>
      </w:r>
    </w:p>
    <w:p w14:paraId="67B7B9E9" w14:textId="1196D306" w:rsidR="00916446" w:rsidRDefault="00D55682" w:rsidP="005A05A2">
      <w:pPr>
        <w:pStyle w:val="Akapitzlist"/>
        <w:ind w:left="1080"/>
        <w:jc w:val="both"/>
      </w:pPr>
      <w:r>
        <w:t>Powierzchnie płyt</w:t>
      </w:r>
      <w:r w:rsidR="002170FA">
        <w:t xml:space="preserve"> </w:t>
      </w:r>
      <w:r>
        <w:t xml:space="preserve"> powinny być bez rys, pęknięć i ubytków betonu, o fakturze</w:t>
      </w:r>
      <w:r w:rsidR="001C6928">
        <w:t xml:space="preserve"> z formy lub zwartej, zgodnie z wymaganiami. Krawędzie płyt powinny być równe i proste. Dopuszczalne wady oraz uszkodzenia powierzchni i krawędzi płyt betonowych i żelbetowych nie  powinny przekraczać wartości podanych w tablicach 1 i 2.</w:t>
      </w:r>
    </w:p>
    <w:p w14:paraId="0E63FD29" w14:textId="77777777" w:rsidR="0054369A" w:rsidRPr="006916A0" w:rsidRDefault="006916A0" w:rsidP="00EE45E3">
      <w:pPr>
        <w:pStyle w:val="Akapitzlist"/>
        <w:ind w:left="1080"/>
        <w:jc w:val="both"/>
        <w:rPr>
          <w:sz w:val="18"/>
          <w:szCs w:val="18"/>
        </w:rPr>
      </w:pPr>
      <w:r w:rsidRPr="006916A0">
        <w:rPr>
          <w:sz w:val="18"/>
          <w:szCs w:val="18"/>
        </w:rPr>
        <w:t>Tablica 1. Dopuszczalne wady oraz uszkodzenia powierzchni i krawędzi płyt betonowych</w:t>
      </w:r>
    </w:p>
    <w:tbl>
      <w:tblPr>
        <w:tblW w:w="0" w:type="auto"/>
        <w:tblInd w:w="10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392"/>
        <w:gridCol w:w="1517"/>
      </w:tblGrid>
      <w:tr w:rsidR="0054369A" w:rsidRPr="0054369A" w14:paraId="04FBCB39" w14:textId="77777777" w:rsidTr="00854B85">
        <w:tc>
          <w:tcPr>
            <w:tcW w:w="6067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CF3B562" w14:textId="77777777" w:rsidR="0054369A" w:rsidRP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C823FE1" w14:textId="77777777" w:rsidR="0054369A" w:rsidRP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Rodzaj wad i uszkodzeń</w:t>
            </w:r>
          </w:p>
        </w:tc>
        <w:tc>
          <w:tcPr>
            <w:tcW w:w="151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D954F5" w14:textId="77777777" w:rsidR="0054369A" w:rsidRP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Dopuszczalna wielkość</w:t>
            </w:r>
          </w:p>
          <w:p w14:paraId="6B9D1A03" w14:textId="77777777" w:rsidR="0054369A" w:rsidRP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wad i uszkodzeń</w:t>
            </w:r>
          </w:p>
        </w:tc>
      </w:tr>
      <w:tr w:rsidR="0054369A" w:rsidRPr="0054369A" w14:paraId="2D95B165" w14:textId="77777777" w:rsidTr="00854B85">
        <w:tc>
          <w:tcPr>
            <w:tcW w:w="6067" w:type="dxa"/>
            <w:gridSpan w:val="2"/>
            <w:tcBorders>
              <w:left w:val="single" w:sz="4" w:space="0" w:color="00000A"/>
              <w:bottom w:val="double" w:sz="3" w:space="0" w:color="00000A"/>
              <w:right w:val="single" w:sz="4" w:space="0" w:color="00000A"/>
            </w:tcBorders>
            <w:shd w:val="clear" w:color="auto" w:fill="auto"/>
          </w:tcPr>
          <w:p w14:paraId="4AAFECFF" w14:textId="77777777" w:rsidR="0054369A" w:rsidRP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17" w:type="dxa"/>
            <w:tcBorders>
              <w:bottom w:val="double" w:sz="3" w:space="0" w:color="00000A"/>
            </w:tcBorders>
            <w:shd w:val="clear" w:color="auto" w:fill="auto"/>
          </w:tcPr>
          <w:p w14:paraId="5A23E1AE" w14:textId="77777777" w:rsidR="0054369A" w:rsidRP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Gatunek 1</w:t>
            </w:r>
          </w:p>
        </w:tc>
      </w:tr>
      <w:tr w:rsidR="0054369A" w:rsidRPr="0054369A" w14:paraId="5569E16D" w14:textId="77777777" w:rsidTr="005A05A2">
        <w:trPr>
          <w:trHeight w:val="1075"/>
        </w:trPr>
        <w:tc>
          <w:tcPr>
            <w:tcW w:w="606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C339B8" w14:textId="77777777" w:rsidR="00916446" w:rsidRDefault="00916446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768A335D" w14:textId="77777777" w:rsidR="00916446" w:rsidRDefault="00916446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2EE169BA" w14:textId="77777777" w:rsidR="0054369A" w:rsidRP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Wklęsłość lub wypukłość powierzchni górnej,</w:t>
            </w:r>
          </w:p>
          <w:p w14:paraId="18A1D0A0" w14:textId="77777777" w:rsid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wichrowatość powierzchni i krawędzi, mm</w:t>
            </w:r>
          </w:p>
          <w:p w14:paraId="68DA966E" w14:textId="77777777" w:rsidR="00916446" w:rsidRPr="0054369A" w:rsidRDefault="00916446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C9F658" w14:textId="77777777" w:rsidR="00916446" w:rsidRDefault="00916446" w:rsidP="00375A9C">
            <w:pPr>
              <w:tabs>
                <w:tab w:val="left" w:pos="630"/>
              </w:tabs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72FC5586" w14:textId="77777777" w:rsidR="0054369A" w:rsidRPr="0054369A" w:rsidRDefault="0054369A" w:rsidP="00375A9C">
            <w:pPr>
              <w:tabs>
                <w:tab w:val="left" w:pos="630"/>
              </w:tabs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2</w:t>
            </w:r>
          </w:p>
        </w:tc>
      </w:tr>
      <w:tr w:rsidR="0054369A" w:rsidRPr="0054369A" w14:paraId="01C5629A" w14:textId="77777777" w:rsidTr="00854B85">
        <w:tc>
          <w:tcPr>
            <w:tcW w:w="2675" w:type="dxa"/>
            <w:tcBorders>
              <w:left w:val="single" w:sz="4" w:space="0" w:color="00000A"/>
            </w:tcBorders>
            <w:shd w:val="clear" w:color="auto" w:fill="auto"/>
          </w:tcPr>
          <w:p w14:paraId="59F9F43A" w14:textId="77777777" w:rsidR="0054369A" w:rsidRP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651B48E8" w14:textId="77777777" w:rsidR="0054369A" w:rsidRPr="0054369A" w:rsidRDefault="0054369A" w:rsidP="00375A9C">
            <w:pPr>
              <w:tabs>
                <w:tab w:val="left" w:pos="630"/>
              </w:tabs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Szczerby i uszkodzenia </w:t>
            </w:r>
            <w:r w:rsidR="00916446">
              <w:rPr>
                <w:rFonts w:eastAsia="Times New Roman" w:cstheme="minorHAnsi"/>
                <w:sz w:val="20"/>
                <w:szCs w:val="20"/>
                <w:lang w:eastAsia="ar-SA"/>
              </w:rPr>
              <w:t>krawędzi i naroży</w:t>
            </w:r>
          </w:p>
        </w:tc>
        <w:tc>
          <w:tcPr>
            <w:tcW w:w="339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2C8E570" w14:textId="77777777" w:rsidR="00916446" w:rsidRDefault="00916446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AD6E483" w14:textId="37CE25AA" w:rsidR="00916446" w:rsidRPr="0054369A" w:rsidRDefault="0054369A" w:rsidP="00EE45E3">
            <w:pPr>
              <w:tabs>
                <w:tab w:val="left" w:pos="63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ograniczających powierzchnie górne (ścieralne), mm</w:t>
            </w:r>
          </w:p>
        </w:tc>
        <w:tc>
          <w:tcPr>
            <w:tcW w:w="151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0946F6" w14:textId="77777777" w:rsidR="00916446" w:rsidRDefault="00916446" w:rsidP="00375A9C">
            <w:pPr>
              <w:tabs>
                <w:tab w:val="left" w:pos="630"/>
              </w:tabs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BF42F40" w14:textId="77777777" w:rsidR="0054369A" w:rsidRPr="0054369A" w:rsidRDefault="0054369A" w:rsidP="00375A9C">
            <w:pPr>
              <w:tabs>
                <w:tab w:val="left" w:pos="630"/>
              </w:tabs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niedopuszczalne</w:t>
            </w:r>
          </w:p>
        </w:tc>
      </w:tr>
      <w:tr w:rsidR="0054369A" w:rsidRPr="0054369A" w14:paraId="357429BF" w14:textId="77777777" w:rsidTr="00854B85">
        <w:tc>
          <w:tcPr>
            <w:tcW w:w="267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C6451D7" w14:textId="77777777" w:rsidR="0054369A" w:rsidRPr="0054369A" w:rsidRDefault="0054369A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392" w:type="dxa"/>
            <w:tcBorders>
              <w:right w:val="single" w:sz="4" w:space="0" w:color="00000A"/>
            </w:tcBorders>
            <w:shd w:val="clear" w:color="auto" w:fill="auto"/>
          </w:tcPr>
          <w:p w14:paraId="7FA458CE" w14:textId="77777777" w:rsid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5EEFD468" w14:textId="77777777" w:rsidR="0054369A" w:rsidRPr="0054369A" w:rsidRDefault="0054369A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ograniczających pozostałe</w:t>
            </w:r>
          </w:p>
          <w:p w14:paraId="31B474F8" w14:textId="77777777" w:rsidR="0054369A" w:rsidRPr="0054369A" w:rsidRDefault="0054369A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powierzchnie:</w:t>
            </w:r>
          </w:p>
        </w:tc>
        <w:tc>
          <w:tcPr>
            <w:tcW w:w="1517" w:type="dxa"/>
            <w:tcBorders>
              <w:right w:val="single" w:sz="4" w:space="0" w:color="00000A"/>
            </w:tcBorders>
            <w:shd w:val="clear" w:color="auto" w:fill="auto"/>
          </w:tcPr>
          <w:p w14:paraId="72F82A1A" w14:textId="77777777" w:rsidR="0054369A" w:rsidRPr="0054369A" w:rsidRDefault="0054369A" w:rsidP="00375A9C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54369A" w:rsidRPr="0054369A" w14:paraId="14C055D5" w14:textId="77777777" w:rsidTr="00854B85">
        <w:tc>
          <w:tcPr>
            <w:tcW w:w="2675" w:type="dxa"/>
            <w:tcBorders>
              <w:left w:val="single" w:sz="4" w:space="0" w:color="00000A"/>
            </w:tcBorders>
            <w:shd w:val="clear" w:color="auto" w:fill="auto"/>
          </w:tcPr>
          <w:p w14:paraId="4472596E" w14:textId="77777777" w:rsidR="0054369A" w:rsidRPr="0054369A" w:rsidRDefault="0054369A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92" w:type="dxa"/>
            <w:tcBorders>
              <w:left w:val="single" w:sz="4" w:space="0" w:color="00000A"/>
            </w:tcBorders>
            <w:shd w:val="clear" w:color="auto" w:fill="auto"/>
          </w:tcPr>
          <w:p w14:paraId="71DDB104" w14:textId="77777777" w:rsidR="0054369A" w:rsidRPr="0054369A" w:rsidRDefault="0054369A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   liczba, max</w:t>
            </w:r>
          </w:p>
        </w:tc>
        <w:tc>
          <w:tcPr>
            <w:tcW w:w="15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0DCE169" w14:textId="77777777" w:rsidR="0054369A" w:rsidRPr="0054369A" w:rsidRDefault="0054369A" w:rsidP="00375A9C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2</w:t>
            </w:r>
          </w:p>
        </w:tc>
      </w:tr>
      <w:tr w:rsidR="0054369A" w:rsidRPr="0054369A" w14:paraId="6C1B6A74" w14:textId="77777777" w:rsidTr="00854B85">
        <w:tc>
          <w:tcPr>
            <w:tcW w:w="2675" w:type="dxa"/>
            <w:tcBorders>
              <w:left w:val="single" w:sz="4" w:space="0" w:color="00000A"/>
            </w:tcBorders>
            <w:shd w:val="clear" w:color="auto" w:fill="auto"/>
          </w:tcPr>
          <w:p w14:paraId="31A99A4E" w14:textId="77777777" w:rsidR="0054369A" w:rsidRPr="0054369A" w:rsidRDefault="0054369A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92" w:type="dxa"/>
            <w:tcBorders>
              <w:left w:val="single" w:sz="4" w:space="0" w:color="00000A"/>
            </w:tcBorders>
            <w:shd w:val="clear" w:color="auto" w:fill="auto"/>
          </w:tcPr>
          <w:p w14:paraId="52917894" w14:textId="77777777" w:rsidR="0054369A" w:rsidRPr="0054369A" w:rsidRDefault="0054369A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    </w:t>
            </w: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długość, mm, max</w:t>
            </w:r>
          </w:p>
        </w:tc>
        <w:tc>
          <w:tcPr>
            <w:tcW w:w="151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1CBA23A" w14:textId="77777777" w:rsidR="0054369A" w:rsidRPr="0054369A" w:rsidRDefault="0054369A" w:rsidP="00375A9C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20</w:t>
            </w:r>
          </w:p>
        </w:tc>
      </w:tr>
      <w:tr w:rsidR="0054369A" w:rsidRPr="0054369A" w14:paraId="2C073DAE" w14:textId="77777777" w:rsidTr="00854B85">
        <w:tc>
          <w:tcPr>
            <w:tcW w:w="2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CFC6BE" w14:textId="77777777" w:rsidR="0054369A" w:rsidRPr="0054369A" w:rsidRDefault="0054369A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9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0868BA" w14:textId="77777777" w:rsidR="0054369A" w:rsidRDefault="0054369A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    </w:t>
            </w: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głębokość, mm, max</w:t>
            </w:r>
          </w:p>
          <w:p w14:paraId="65A66B3B" w14:textId="77777777" w:rsidR="00916446" w:rsidRPr="0054369A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1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6C9119" w14:textId="77777777" w:rsidR="0054369A" w:rsidRPr="0054369A" w:rsidRDefault="0054369A" w:rsidP="00375A9C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4369A">
              <w:rPr>
                <w:rFonts w:eastAsia="Times New Roman" w:cstheme="minorHAnsi"/>
                <w:sz w:val="20"/>
                <w:szCs w:val="20"/>
                <w:lang w:eastAsia="ar-SA"/>
              </w:rPr>
              <w:t>6</w:t>
            </w:r>
          </w:p>
        </w:tc>
      </w:tr>
    </w:tbl>
    <w:p w14:paraId="4DE840C8" w14:textId="77777777" w:rsidR="00916446" w:rsidRPr="003B61BF" w:rsidRDefault="00916446" w:rsidP="003B61BF">
      <w:pPr>
        <w:jc w:val="both"/>
        <w:rPr>
          <w:sz w:val="18"/>
          <w:szCs w:val="18"/>
        </w:rPr>
      </w:pPr>
    </w:p>
    <w:p w14:paraId="620A0B4D" w14:textId="77777777" w:rsidR="00916446" w:rsidRPr="00916446" w:rsidRDefault="00916446" w:rsidP="00EE45E3">
      <w:pPr>
        <w:jc w:val="both"/>
        <w:rPr>
          <w:rFonts w:cstheme="minorHAnsi"/>
          <w:sz w:val="18"/>
          <w:szCs w:val="18"/>
        </w:rPr>
      </w:pPr>
    </w:p>
    <w:p w14:paraId="3660703A" w14:textId="77777777" w:rsidR="00916446" w:rsidRPr="00916446" w:rsidRDefault="00916446" w:rsidP="00EE45E3">
      <w:pPr>
        <w:tabs>
          <w:tab w:val="left" w:pos="630"/>
          <w:tab w:val="right" w:leader="dot" w:pos="8640"/>
        </w:tabs>
        <w:suppressAutoHyphens/>
        <w:spacing w:after="120" w:line="240" w:lineRule="auto"/>
        <w:jc w:val="both"/>
        <w:rPr>
          <w:rFonts w:eastAsia="Times New Roman" w:cstheme="minorHAnsi"/>
          <w:sz w:val="18"/>
          <w:szCs w:val="18"/>
          <w:lang w:eastAsia="ar-SA"/>
        </w:rPr>
      </w:pPr>
      <w:r>
        <w:rPr>
          <w:rFonts w:eastAsia="Times New Roman" w:cstheme="minorHAnsi"/>
          <w:sz w:val="18"/>
          <w:szCs w:val="18"/>
          <w:lang w:eastAsia="ar-SA"/>
        </w:rPr>
        <w:t xml:space="preserve">                           </w:t>
      </w:r>
      <w:r w:rsidRPr="00916446">
        <w:rPr>
          <w:rFonts w:eastAsia="Times New Roman" w:cstheme="minorHAnsi"/>
          <w:sz w:val="18"/>
          <w:szCs w:val="18"/>
          <w:lang w:eastAsia="ar-SA"/>
        </w:rPr>
        <w:t>Tablica 2. Dopuszczalne wady oraz uszkodzenia powierzchni i krawędzi płyt żelbetowych</w:t>
      </w:r>
    </w:p>
    <w:tbl>
      <w:tblPr>
        <w:tblW w:w="0" w:type="auto"/>
        <w:tblInd w:w="11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7"/>
        <w:gridCol w:w="3123"/>
        <w:gridCol w:w="1541"/>
      </w:tblGrid>
      <w:tr w:rsidR="00916446" w:rsidRPr="00916446" w14:paraId="1608F7D3" w14:textId="77777777" w:rsidTr="00854B85">
        <w:tc>
          <w:tcPr>
            <w:tcW w:w="5900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CBE2016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    </w:t>
            </w:r>
          </w:p>
          <w:p w14:paraId="14E1BC9E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Rodzaj wad i uszkodzeń</w:t>
            </w:r>
          </w:p>
        </w:tc>
        <w:tc>
          <w:tcPr>
            <w:tcW w:w="154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0DBDF5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Dopuszczalna wielkość</w:t>
            </w:r>
          </w:p>
          <w:p w14:paraId="313D4190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wad i uszkodzeń</w:t>
            </w:r>
          </w:p>
        </w:tc>
      </w:tr>
      <w:tr w:rsidR="00916446" w:rsidRPr="00916446" w14:paraId="074D1720" w14:textId="77777777" w:rsidTr="00854B85">
        <w:tc>
          <w:tcPr>
            <w:tcW w:w="5900" w:type="dxa"/>
            <w:gridSpan w:val="2"/>
            <w:tcBorders>
              <w:left w:val="single" w:sz="4" w:space="0" w:color="00000A"/>
              <w:bottom w:val="double" w:sz="3" w:space="0" w:color="00000A"/>
              <w:right w:val="single" w:sz="4" w:space="0" w:color="00000A"/>
            </w:tcBorders>
            <w:shd w:val="clear" w:color="auto" w:fill="auto"/>
          </w:tcPr>
          <w:p w14:paraId="71180A34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bottom w:val="double" w:sz="3" w:space="0" w:color="00000A"/>
              <w:right w:val="single" w:sz="4" w:space="0" w:color="00000A"/>
            </w:tcBorders>
            <w:shd w:val="clear" w:color="auto" w:fill="auto"/>
          </w:tcPr>
          <w:p w14:paraId="424C61B4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Gatunek 1</w:t>
            </w:r>
          </w:p>
        </w:tc>
      </w:tr>
      <w:tr w:rsidR="00916446" w:rsidRPr="00916446" w14:paraId="3F795B05" w14:textId="77777777" w:rsidTr="00854B85">
        <w:tc>
          <w:tcPr>
            <w:tcW w:w="590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7CED35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Wklęsłość lub wypukłość powierzchni górnej,</w:t>
            </w:r>
          </w:p>
          <w:p w14:paraId="5AA4E823" w14:textId="77777777" w:rsid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wichrowatość powierzchni i krawędzi, mm</w:t>
            </w:r>
          </w:p>
          <w:p w14:paraId="036A7769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3B1D1" w14:textId="77777777" w:rsidR="00916446" w:rsidRPr="00916446" w:rsidRDefault="00916446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3</w:t>
            </w:r>
          </w:p>
        </w:tc>
      </w:tr>
      <w:tr w:rsidR="00916446" w:rsidRPr="00916446" w14:paraId="6528C538" w14:textId="77777777" w:rsidTr="00854B85">
        <w:tc>
          <w:tcPr>
            <w:tcW w:w="277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DA59C38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120"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Szczerby i uszkodzenia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66DC2C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 liczba, max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1956EF" w14:textId="77777777" w:rsidR="00916446" w:rsidRPr="00916446" w:rsidRDefault="00916446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3</w:t>
            </w:r>
          </w:p>
        </w:tc>
      </w:tr>
      <w:tr w:rsidR="00916446" w:rsidRPr="00916446" w14:paraId="4768B9F4" w14:textId="77777777" w:rsidTr="00854B85">
        <w:tc>
          <w:tcPr>
            <w:tcW w:w="277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822F099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krawędzi i naroży</w:t>
            </w: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751612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 długość, mm, max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DC6702" w14:textId="77777777" w:rsidR="00916446" w:rsidRPr="00916446" w:rsidRDefault="00916446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20</w:t>
            </w:r>
          </w:p>
        </w:tc>
      </w:tr>
      <w:tr w:rsidR="00916446" w:rsidRPr="00916446" w14:paraId="74EE12D0" w14:textId="77777777" w:rsidTr="00854B85">
        <w:tc>
          <w:tcPr>
            <w:tcW w:w="27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B293A5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D6D7CA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 głębokość, mm, max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2138BA" w14:textId="77777777" w:rsidR="00916446" w:rsidRDefault="00916446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5</w:t>
            </w:r>
          </w:p>
          <w:p w14:paraId="0689F0F8" w14:textId="77777777" w:rsidR="00916446" w:rsidRPr="00916446" w:rsidRDefault="00916446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6C54A2A8" w14:textId="77777777" w:rsidR="00916446" w:rsidRPr="00916446" w:rsidRDefault="00916446" w:rsidP="00EE45E3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916446">
        <w:rPr>
          <w:rFonts w:eastAsia="Times New Roman" w:cstheme="minorHAnsi"/>
          <w:sz w:val="20"/>
          <w:szCs w:val="20"/>
          <w:lang w:eastAsia="ar-SA"/>
        </w:rPr>
        <w:tab/>
        <w:t xml:space="preserve">Dopuszczalne odchyłki wymiarów płyt betonowych i żelbetowych nie powinny przekraczać wartości </w:t>
      </w:r>
    </w:p>
    <w:p w14:paraId="5960E498" w14:textId="321622BF" w:rsidR="00916446" w:rsidRPr="00916446" w:rsidRDefault="00916446" w:rsidP="00EE45E3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916446">
        <w:rPr>
          <w:rFonts w:eastAsia="Times New Roman" w:cstheme="minorHAnsi"/>
          <w:sz w:val="20"/>
          <w:szCs w:val="20"/>
          <w:lang w:eastAsia="ar-SA"/>
        </w:rPr>
        <w:t xml:space="preserve">               podanych w tablicy 3.</w:t>
      </w:r>
    </w:p>
    <w:p w14:paraId="752E7282" w14:textId="77777777" w:rsidR="00916446" w:rsidRPr="00916446" w:rsidRDefault="00916446" w:rsidP="00EE45E3">
      <w:pPr>
        <w:tabs>
          <w:tab w:val="left" w:pos="630"/>
          <w:tab w:val="right" w:leader="dot" w:pos="8640"/>
        </w:tabs>
        <w:suppressAutoHyphens/>
        <w:spacing w:before="120" w:after="120" w:line="240" w:lineRule="auto"/>
        <w:jc w:val="both"/>
        <w:rPr>
          <w:rFonts w:eastAsia="Times New Roman" w:cstheme="minorHAnsi"/>
          <w:sz w:val="18"/>
          <w:szCs w:val="18"/>
          <w:lang w:eastAsia="ar-SA"/>
        </w:rPr>
      </w:pPr>
      <w:r>
        <w:rPr>
          <w:rFonts w:eastAsia="Times New Roman" w:cstheme="minorHAnsi"/>
          <w:sz w:val="18"/>
          <w:szCs w:val="18"/>
          <w:lang w:eastAsia="ar-SA"/>
        </w:rPr>
        <w:lastRenderedPageBreak/>
        <w:t xml:space="preserve">                           </w:t>
      </w:r>
      <w:r w:rsidRPr="00916446">
        <w:rPr>
          <w:rFonts w:eastAsia="Times New Roman" w:cstheme="minorHAnsi"/>
          <w:sz w:val="18"/>
          <w:szCs w:val="18"/>
          <w:lang w:eastAsia="ar-SA"/>
        </w:rPr>
        <w:t>Tablica 3. Dopuszczalne odchyłki wymiarów płyt betonowych i żelbetowych</w:t>
      </w:r>
    </w:p>
    <w:tbl>
      <w:tblPr>
        <w:tblW w:w="0" w:type="auto"/>
        <w:tblInd w:w="11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6"/>
        <w:gridCol w:w="2015"/>
        <w:gridCol w:w="1541"/>
      </w:tblGrid>
      <w:tr w:rsidR="00916446" w:rsidRPr="00916446" w14:paraId="38F27513" w14:textId="77777777" w:rsidTr="00854B85">
        <w:tc>
          <w:tcPr>
            <w:tcW w:w="590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1EBD685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F91785F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Rodzaj wymiaru</w:t>
            </w:r>
          </w:p>
        </w:tc>
        <w:tc>
          <w:tcPr>
            <w:tcW w:w="154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C39600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Dopuszczalna odchyłka</w:t>
            </w:r>
          </w:p>
          <w:p w14:paraId="2C5E4E66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mm</w:t>
            </w:r>
          </w:p>
        </w:tc>
      </w:tr>
      <w:tr w:rsidR="00916446" w:rsidRPr="00916446" w14:paraId="19E785BC" w14:textId="77777777" w:rsidTr="00854B85">
        <w:tc>
          <w:tcPr>
            <w:tcW w:w="5901" w:type="dxa"/>
            <w:gridSpan w:val="2"/>
            <w:tcBorders>
              <w:left w:val="single" w:sz="4" w:space="0" w:color="00000A"/>
              <w:bottom w:val="double" w:sz="3" w:space="0" w:color="00000A"/>
              <w:right w:val="single" w:sz="4" w:space="0" w:color="00000A"/>
            </w:tcBorders>
            <w:shd w:val="clear" w:color="auto" w:fill="auto"/>
          </w:tcPr>
          <w:p w14:paraId="48822175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41" w:type="dxa"/>
            <w:tcBorders>
              <w:top w:val="single" w:sz="4" w:space="0" w:color="00000A"/>
              <w:bottom w:val="double" w:sz="3" w:space="0" w:color="00000A"/>
              <w:right w:val="single" w:sz="4" w:space="0" w:color="00000A"/>
            </w:tcBorders>
            <w:shd w:val="clear" w:color="auto" w:fill="auto"/>
          </w:tcPr>
          <w:p w14:paraId="434A7140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Gatunek 1</w:t>
            </w:r>
          </w:p>
        </w:tc>
      </w:tr>
      <w:tr w:rsidR="00916446" w:rsidRPr="00916446" w14:paraId="0483501E" w14:textId="77777777" w:rsidTr="00854B85">
        <w:tc>
          <w:tcPr>
            <w:tcW w:w="388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62023CD6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120"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Płyty betonowe</w:t>
            </w:r>
          </w:p>
        </w:tc>
        <w:tc>
          <w:tcPr>
            <w:tcW w:w="20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E4B8C9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a, e, h (grub.)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919EBC" w14:textId="77777777" w:rsidR="00916446" w:rsidRPr="00916446" w:rsidRDefault="00B17FF8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± 2</w:t>
            </w:r>
          </w:p>
        </w:tc>
      </w:tr>
      <w:tr w:rsidR="00916446" w:rsidRPr="00916446" w14:paraId="5F070844" w14:textId="77777777" w:rsidTr="00854B85">
        <w:tc>
          <w:tcPr>
            <w:tcW w:w="388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CA53CC1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wg rysunku 1</w:t>
            </w:r>
          </w:p>
        </w:tc>
        <w:tc>
          <w:tcPr>
            <w:tcW w:w="2015" w:type="dxa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14:paraId="2A18983F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b, c, d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0C958474" w14:textId="77777777" w:rsidR="00916446" w:rsidRPr="00916446" w:rsidRDefault="00B17FF8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±</w:t>
            </w:r>
            <w:r w:rsidR="00916446"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3</w:t>
            </w:r>
          </w:p>
        </w:tc>
      </w:tr>
      <w:tr w:rsidR="00916446" w:rsidRPr="00916446" w14:paraId="6562960C" w14:textId="77777777" w:rsidTr="00854B85">
        <w:tc>
          <w:tcPr>
            <w:tcW w:w="388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2BD50666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120"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Płyty żelbetowe</w:t>
            </w:r>
          </w:p>
        </w:tc>
        <w:tc>
          <w:tcPr>
            <w:tcW w:w="20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634DE6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długość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B03809" w14:textId="77777777" w:rsidR="00916446" w:rsidRPr="00916446" w:rsidRDefault="00B17FF8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±</w:t>
            </w:r>
            <w:r w:rsidR="00916446"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10</w:t>
            </w:r>
          </w:p>
        </w:tc>
      </w:tr>
      <w:tr w:rsidR="00916446" w:rsidRPr="00916446" w14:paraId="64FAF894" w14:textId="77777777" w:rsidTr="00854B85">
        <w:tc>
          <w:tcPr>
            <w:tcW w:w="388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12232FF7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0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F3D5E5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szerokość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6190C1" w14:textId="77777777" w:rsidR="00916446" w:rsidRPr="00916446" w:rsidRDefault="00B17FF8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±</w:t>
            </w:r>
            <w:r w:rsidR="00916446"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6</w:t>
            </w:r>
          </w:p>
        </w:tc>
      </w:tr>
      <w:tr w:rsidR="00916446" w:rsidRPr="00916446" w14:paraId="095C9E42" w14:textId="77777777" w:rsidTr="00854B85">
        <w:tc>
          <w:tcPr>
            <w:tcW w:w="38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1F3603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01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67C850" w14:textId="77777777" w:rsidR="00916446" w:rsidRPr="00916446" w:rsidRDefault="00916446" w:rsidP="00EE45E3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>grubość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7C79E1" w14:textId="77777777" w:rsidR="00916446" w:rsidRPr="00916446" w:rsidRDefault="00B17FF8" w:rsidP="00375A9C">
            <w:pPr>
              <w:tabs>
                <w:tab w:val="left" w:pos="630"/>
                <w:tab w:val="right" w:leader="dot" w:pos="8640"/>
              </w:tabs>
              <w:suppressAutoHyphens/>
              <w:spacing w:before="60" w:after="6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±</w:t>
            </w:r>
            <w:r w:rsidR="00916446" w:rsidRPr="00916446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3</w:t>
            </w:r>
          </w:p>
        </w:tc>
      </w:tr>
    </w:tbl>
    <w:p w14:paraId="413004A5" w14:textId="77777777" w:rsidR="00B17FF8" w:rsidRPr="00375A9C" w:rsidRDefault="00B17FF8" w:rsidP="00375A9C">
      <w:pPr>
        <w:jc w:val="both"/>
        <w:rPr>
          <w:rFonts w:cstheme="minorHAnsi"/>
          <w:sz w:val="18"/>
          <w:szCs w:val="18"/>
        </w:rPr>
      </w:pPr>
    </w:p>
    <w:p w14:paraId="6A2F1065" w14:textId="77777777" w:rsidR="0048259D" w:rsidRPr="0048259D" w:rsidRDefault="00B17FF8" w:rsidP="0048259D">
      <w:pPr>
        <w:pStyle w:val="Akapitzlist"/>
        <w:ind w:left="1080"/>
        <w:jc w:val="both"/>
        <w:rPr>
          <w:rFonts w:cstheme="minorHAnsi"/>
          <w:sz w:val="18"/>
          <w:szCs w:val="18"/>
        </w:rPr>
      </w:pPr>
      <w:r w:rsidRPr="00375A9C">
        <w:rPr>
          <w:rFonts w:cstheme="minorHAnsi"/>
          <w:i/>
          <w:iCs/>
          <w:sz w:val="18"/>
          <w:szCs w:val="18"/>
        </w:rPr>
        <w:t xml:space="preserve">Płyty YOMB o wymiarach 100x75x12,5 cm muszą być wykonane zgodnie z normą PN-EN 1339:2005. Płyty winny być krzyżowo zbrojone STALĄ wg normy PN-ISO 6935-2, PN-ISO 6935-2/AK w strefie dolnej i górnej o grubości prętów minimum 6mm. Grubość otuliny prętów zbrojeniowych – 30mm +/- 5mm. Odporność na ścieranie 18 000/5 000 (mm3/mm2). Odporność na działanie mrozu, stopień mrozoodporności F150. Wytrzymałość na ściskanie, klasa betonu nie powinna by mniejsza niż C25/30, </w:t>
      </w:r>
      <w:r w:rsidR="003F7EC6" w:rsidRPr="00375A9C">
        <w:rPr>
          <w:rFonts w:cstheme="minorHAnsi"/>
          <w:i/>
          <w:iCs/>
          <w:sz w:val="18"/>
          <w:szCs w:val="18"/>
        </w:rPr>
        <w:t xml:space="preserve">nasiąkliwość płyt poniżej 5%. Powierzchnie płyt powinny być bez rys, pęknięć i ubytków betonu, o fakturze z formy lub zwartej, zgodnie z wymaganiami. Krawędzie płyt powinny być równe i proste. Odchyłki od wymiarów nominalnych: długość +/- 5mm, szerokość +/-5mm, grubość +/-3mm. Do każdej dostarczonej partii płyt YOMB Wykonawca winien przedłożyć Zamawiającemu CERTYFIKAT </w:t>
      </w:r>
      <w:r w:rsidR="003F7EC6" w:rsidRPr="0048259D">
        <w:rPr>
          <w:rFonts w:cstheme="minorHAnsi"/>
          <w:i/>
          <w:iCs/>
          <w:sz w:val="18"/>
          <w:szCs w:val="18"/>
        </w:rPr>
        <w:t>ZGODNOŚCI lub DEKLARACJĘ ZGODNOŚCI Z POLSKĄ NORMĄ.</w:t>
      </w:r>
    </w:p>
    <w:p w14:paraId="2A94E675" w14:textId="77777777" w:rsidR="007B62FD" w:rsidRPr="0048259D" w:rsidRDefault="007B62FD" w:rsidP="00EE45E3">
      <w:pPr>
        <w:pStyle w:val="Akapitzlist"/>
        <w:jc w:val="both"/>
        <w:rPr>
          <w:rFonts w:cstheme="minorHAnsi"/>
        </w:rPr>
      </w:pPr>
    </w:p>
    <w:p w14:paraId="2D59E255" w14:textId="77777777" w:rsidR="0048259D" w:rsidRPr="0048259D" w:rsidRDefault="0048259D" w:rsidP="0048259D">
      <w:pPr>
        <w:pStyle w:val="Akapitzlist"/>
        <w:numPr>
          <w:ilvl w:val="0"/>
          <w:numId w:val="8"/>
        </w:numPr>
        <w:jc w:val="both"/>
        <w:rPr>
          <w:rFonts w:cstheme="minorHAnsi"/>
          <w:b/>
          <w:bCs/>
          <w:sz w:val="18"/>
          <w:szCs w:val="18"/>
        </w:rPr>
      </w:pPr>
      <w:r w:rsidRPr="0048259D">
        <w:rPr>
          <w:rFonts w:cstheme="minorHAnsi"/>
          <w:b/>
          <w:bCs/>
        </w:rPr>
        <w:t>Składowanie</w:t>
      </w:r>
    </w:p>
    <w:p w14:paraId="541BE06A" w14:textId="7C339AC4" w:rsidR="0048259D" w:rsidRPr="00BC2AB7" w:rsidRDefault="0048259D" w:rsidP="00BC2AB7">
      <w:pPr>
        <w:pStyle w:val="Akapitzlist"/>
        <w:ind w:left="360"/>
        <w:jc w:val="both"/>
        <w:rPr>
          <w:rFonts w:cstheme="minorHAnsi"/>
        </w:rPr>
      </w:pPr>
      <w:r w:rsidRPr="0048259D">
        <w:rPr>
          <w:rFonts w:cstheme="minorHAnsi"/>
        </w:rPr>
        <w:t>Płyty betonowe i żelbetowe mogą</w:t>
      </w:r>
      <w:r>
        <w:rPr>
          <w:rFonts w:cstheme="minorHAnsi"/>
        </w:rPr>
        <w:t xml:space="preserve"> być składowanie na otwartej przestrzeni, na podłożu  </w:t>
      </w:r>
      <w:r w:rsidRPr="00BC2AB7">
        <w:rPr>
          <w:rFonts w:cstheme="minorHAnsi"/>
        </w:rPr>
        <w:t xml:space="preserve">wyrównanym i odwodnieniowym z zastosowaniem podkładek i przekładek, ułożonych w  </w:t>
      </w:r>
    </w:p>
    <w:p w14:paraId="4C7D178D" w14:textId="77777777" w:rsidR="0048259D" w:rsidRPr="003F7EC6" w:rsidRDefault="0048259D" w:rsidP="0048259D">
      <w:pPr>
        <w:pStyle w:val="Akapitzlist"/>
        <w:ind w:left="360"/>
        <w:jc w:val="both"/>
        <w:rPr>
          <w:rFonts w:cstheme="minorHAnsi"/>
        </w:rPr>
      </w:pPr>
      <w:r>
        <w:rPr>
          <w:rFonts w:cstheme="minorHAnsi"/>
        </w:rPr>
        <w:t>pionie jedna nad drugą.</w:t>
      </w:r>
    </w:p>
    <w:p w14:paraId="75FD5C47" w14:textId="77777777" w:rsidR="0048259D" w:rsidRPr="0048259D" w:rsidRDefault="0048259D" w:rsidP="0048259D">
      <w:pPr>
        <w:pStyle w:val="Akapitzlist"/>
        <w:ind w:left="360"/>
        <w:jc w:val="both"/>
        <w:rPr>
          <w:rFonts w:cstheme="minorHAnsi"/>
          <w:i/>
          <w:iCs/>
          <w:sz w:val="18"/>
          <w:szCs w:val="18"/>
        </w:rPr>
      </w:pPr>
    </w:p>
    <w:p w14:paraId="13CA0AC1" w14:textId="77777777" w:rsidR="0048259D" w:rsidRPr="0048259D" w:rsidRDefault="0048259D" w:rsidP="0048259D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48259D">
        <w:rPr>
          <w:b/>
          <w:bCs/>
        </w:rPr>
        <w:t>Kruszywo Łamane</w:t>
      </w:r>
    </w:p>
    <w:p w14:paraId="490B4470" w14:textId="77777777" w:rsidR="00514E24" w:rsidRDefault="00607ADF" w:rsidP="00EE45E3">
      <w:pPr>
        <w:pStyle w:val="Akapitzlist"/>
        <w:ind w:left="360"/>
        <w:jc w:val="both"/>
      </w:pPr>
      <w:r>
        <w:t xml:space="preserve">Kruszywo </w:t>
      </w:r>
      <w:r w:rsidR="00514E24">
        <w:t xml:space="preserve"> n</w:t>
      </w:r>
      <w:r>
        <w:t>a</w:t>
      </w:r>
      <w:r w:rsidR="00514E24">
        <w:t xml:space="preserve"> </w:t>
      </w:r>
      <w:r>
        <w:t>podbudowę  powinien spełniać wymagania PN-B11113 [1]. Kruszywo należy składować w warunkach zabezpieczających przed zanieczyszczeniem i zmieszaniem z innymi kruszywami. Podłoże w miejscu składowania powinno by równe, utwardzone i dobrze odwodnione.</w:t>
      </w:r>
    </w:p>
    <w:p w14:paraId="504D4A9D" w14:textId="77777777" w:rsidR="0048259D" w:rsidRDefault="0048259D" w:rsidP="00EE45E3">
      <w:pPr>
        <w:pStyle w:val="Akapitzlist"/>
        <w:ind w:left="360"/>
        <w:jc w:val="both"/>
      </w:pPr>
    </w:p>
    <w:p w14:paraId="40343F47" w14:textId="77777777" w:rsidR="00607ADF" w:rsidRDefault="00607ADF" w:rsidP="00EE45E3">
      <w:pPr>
        <w:pStyle w:val="Akapitzlist"/>
        <w:ind w:left="360"/>
        <w:jc w:val="both"/>
      </w:pPr>
    </w:p>
    <w:p w14:paraId="2F6C6341" w14:textId="77777777" w:rsidR="00607ADF" w:rsidRPr="0048259D" w:rsidRDefault="00607ADF" w:rsidP="00EE45E3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48259D">
        <w:rPr>
          <w:b/>
          <w:bCs/>
        </w:rPr>
        <w:t>Piasek na podsypkę oraz do zamulania</w:t>
      </w:r>
    </w:p>
    <w:p w14:paraId="6C2893FF" w14:textId="77777777" w:rsidR="00607ADF" w:rsidRDefault="00607ADF" w:rsidP="00EE45E3">
      <w:pPr>
        <w:pStyle w:val="Akapitzlist"/>
        <w:ind w:left="360"/>
        <w:jc w:val="both"/>
      </w:pPr>
      <w:r>
        <w:t>Piasek na podsypkę oraz do zamulania spoin powinien spełniać wymagania PN-B11113 [1]. Piasek należy składować w warunkach zabezpieczających przed zanieczyszczeniem i zmieszaniem z innymi kruszywami. Podłoże w miejscu składowania powinno by równe, utwardzone i dobrze odwodnione.</w:t>
      </w:r>
    </w:p>
    <w:p w14:paraId="6BC2803D" w14:textId="77777777" w:rsidR="005359F6" w:rsidRPr="0048259D" w:rsidRDefault="00607ADF" w:rsidP="00EE45E3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48259D">
        <w:rPr>
          <w:b/>
          <w:bCs/>
        </w:rPr>
        <w:t>Woda</w:t>
      </w:r>
    </w:p>
    <w:p w14:paraId="1FBEA5DD" w14:textId="77777777" w:rsidR="00607ADF" w:rsidRDefault="00607ADF" w:rsidP="00EE45E3">
      <w:pPr>
        <w:pStyle w:val="Akapitzlist"/>
        <w:ind w:left="360"/>
        <w:jc w:val="both"/>
      </w:pPr>
      <w:r>
        <w:t>Woda używana przy wykonywaniu zagęszczarki podsypki</w:t>
      </w:r>
      <w:r w:rsidR="00A85183">
        <w:t xml:space="preserve"> może być studzienna lub z wodociągu, bez specjalnych wymagań.</w:t>
      </w:r>
    </w:p>
    <w:p w14:paraId="6FEDD2F1" w14:textId="77777777" w:rsidR="00607ADF" w:rsidRPr="0048259D" w:rsidRDefault="00A85183" w:rsidP="00EE45E3">
      <w:pPr>
        <w:jc w:val="both"/>
        <w:rPr>
          <w:b/>
          <w:bCs/>
          <w:sz w:val="28"/>
          <w:szCs w:val="28"/>
        </w:rPr>
      </w:pPr>
      <w:r w:rsidRPr="0048259D">
        <w:rPr>
          <w:b/>
          <w:bCs/>
          <w:sz w:val="28"/>
          <w:szCs w:val="28"/>
        </w:rPr>
        <w:t>3. Sprzęt</w:t>
      </w:r>
    </w:p>
    <w:p w14:paraId="11C26895" w14:textId="77777777" w:rsidR="00A85183" w:rsidRPr="0048259D" w:rsidRDefault="005F2B39" w:rsidP="00EE45E3">
      <w:pPr>
        <w:pStyle w:val="Akapitzlist"/>
        <w:numPr>
          <w:ilvl w:val="0"/>
          <w:numId w:val="12"/>
        </w:numPr>
        <w:jc w:val="both"/>
        <w:rPr>
          <w:b/>
          <w:bCs/>
        </w:rPr>
      </w:pPr>
      <w:r w:rsidRPr="0048259D">
        <w:rPr>
          <w:b/>
          <w:bCs/>
        </w:rPr>
        <w:t>Ogólne wymagania dotyczące sprzętu</w:t>
      </w:r>
    </w:p>
    <w:p w14:paraId="6A32C783" w14:textId="77777777" w:rsidR="006C7DDD" w:rsidRDefault="006C7DDD" w:rsidP="00EE45E3">
      <w:pPr>
        <w:pStyle w:val="Akapitzlist"/>
        <w:jc w:val="both"/>
      </w:pPr>
      <w:r>
        <w:t>Ogólne wymagania dotyczące sprzętu podano w OST D-M-00.00.00 „Wymagania ogólne” pkt 3.</w:t>
      </w:r>
    </w:p>
    <w:p w14:paraId="391CCCF3" w14:textId="77777777" w:rsidR="006C7DDD" w:rsidRPr="0048259D" w:rsidRDefault="006C7DDD" w:rsidP="00EE45E3">
      <w:pPr>
        <w:pStyle w:val="Akapitzlist"/>
        <w:numPr>
          <w:ilvl w:val="0"/>
          <w:numId w:val="12"/>
        </w:numPr>
        <w:jc w:val="both"/>
        <w:rPr>
          <w:b/>
          <w:bCs/>
        </w:rPr>
      </w:pPr>
      <w:r w:rsidRPr="0048259D">
        <w:rPr>
          <w:b/>
          <w:bCs/>
        </w:rPr>
        <w:t>Sprzęt do wykonywania tymczasowych nawierzchni z elementów prefabrykowanych</w:t>
      </w:r>
    </w:p>
    <w:p w14:paraId="20EF5062" w14:textId="77777777" w:rsidR="006C7DDD" w:rsidRDefault="006C7DDD" w:rsidP="00EE45E3">
      <w:pPr>
        <w:pStyle w:val="Akapitzlist"/>
        <w:jc w:val="both"/>
      </w:pPr>
      <w:r>
        <w:t>Wykonawca pr</w:t>
      </w:r>
      <w:r w:rsidR="00BA4ACC">
        <w:t>z</w:t>
      </w:r>
      <w:r>
        <w:t>ystępujący do wykonania tymczasowych nawierzchni z elementów prefabrykowanych powinien wykazać się możliwością korzystania z następują</w:t>
      </w:r>
      <w:r w:rsidR="00BA4ACC">
        <w:t>cego sprzętu:</w:t>
      </w:r>
    </w:p>
    <w:p w14:paraId="17EB8BBB" w14:textId="77777777" w:rsidR="00BA4ACC" w:rsidRDefault="00BA4ACC" w:rsidP="00EE45E3">
      <w:pPr>
        <w:pStyle w:val="Akapitzlist"/>
        <w:jc w:val="both"/>
      </w:pPr>
      <w:r>
        <w:t>- żurawi samochodowych lub samojezdnych,</w:t>
      </w:r>
    </w:p>
    <w:p w14:paraId="425C4D64" w14:textId="77777777" w:rsidR="00BA4ACC" w:rsidRDefault="00BA4ACC" w:rsidP="00EE45E3">
      <w:pPr>
        <w:pStyle w:val="Akapitzlist"/>
        <w:jc w:val="both"/>
      </w:pPr>
      <w:r>
        <w:t>- walców ogumionych,</w:t>
      </w:r>
    </w:p>
    <w:p w14:paraId="6A11C19A" w14:textId="77777777" w:rsidR="00BA4ACC" w:rsidRDefault="00BA4ACC" w:rsidP="00EE45E3">
      <w:pPr>
        <w:pStyle w:val="Akapitzlist"/>
        <w:jc w:val="both"/>
      </w:pPr>
      <w:r>
        <w:t>- równiarek,</w:t>
      </w:r>
    </w:p>
    <w:p w14:paraId="463D2DB3" w14:textId="77777777" w:rsidR="00BA4ACC" w:rsidRDefault="00BA4ACC" w:rsidP="00EE45E3">
      <w:pPr>
        <w:pStyle w:val="Akapitzlist"/>
        <w:jc w:val="both"/>
      </w:pPr>
      <w:r>
        <w:lastRenderedPageBreak/>
        <w:t>- wibratorów płytowych,</w:t>
      </w:r>
    </w:p>
    <w:p w14:paraId="340F166D" w14:textId="77777777" w:rsidR="00BA4ACC" w:rsidRDefault="00BA4ACC" w:rsidP="00EE45E3">
      <w:pPr>
        <w:pStyle w:val="Akapitzlist"/>
        <w:jc w:val="both"/>
      </w:pPr>
      <w:r>
        <w:t>- ubijaków,</w:t>
      </w:r>
    </w:p>
    <w:p w14:paraId="41DC2ABD" w14:textId="77777777" w:rsidR="00BA4ACC" w:rsidRDefault="00BA4ACC" w:rsidP="00EE45E3">
      <w:pPr>
        <w:pStyle w:val="Akapitzlist"/>
        <w:jc w:val="both"/>
      </w:pPr>
      <w:r>
        <w:t>- zbiorników na wodę.</w:t>
      </w:r>
    </w:p>
    <w:p w14:paraId="36607804" w14:textId="77777777" w:rsidR="006C7DDD" w:rsidRPr="002A7E59" w:rsidRDefault="00BA4ACC" w:rsidP="00EE45E3">
      <w:pPr>
        <w:jc w:val="both"/>
        <w:rPr>
          <w:b/>
          <w:bCs/>
          <w:sz w:val="28"/>
          <w:szCs w:val="28"/>
        </w:rPr>
      </w:pPr>
      <w:r w:rsidRPr="002A7E59">
        <w:rPr>
          <w:b/>
          <w:bCs/>
          <w:sz w:val="28"/>
          <w:szCs w:val="28"/>
        </w:rPr>
        <w:t>4. Transport</w:t>
      </w:r>
    </w:p>
    <w:p w14:paraId="2DE905C0" w14:textId="77777777" w:rsidR="00BA4ACC" w:rsidRPr="0048259D" w:rsidRDefault="00BA4ACC" w:rsidP="00EE45E3">
      <w:pPr>
        <w:pStyle w:val="Akapitzlist"/>
        <w:numPr>
          <w:ilvl w:val="0"/>
          <w:numId w:val="14"/>
        </w:numPr>
        <w:jc w:val="both"/>
        <w:rPr>
          <w:b/>
          <w:bCs/>
        </w:rPr>
      </w:pPr>
      <w:r w:rsidRPr="0048259D">
        <w:rPr>
          <w:b/>
          <w:bCs/>
        </w:rPr>
        <w:t>Ogólne wymagania dotyczące transportu</w:t>
      </w:r>
    </w:p>
    <w:p w14:paraId="5F8E577D" w14:textId="77777777" w:rsidR="00BA4ACC" w:rsidRDefault="00BA4ACC" w:rsidP="00EE45E3">
      <w:pPr>
        <w:pStyle w:val="Akapitzlist"/>
        <w:jc w:val="both"/>
      </w:pPr>
      <w:r>
        <w:t>Ogólne wymagania dotyczące transportu podano w OST D-M-00.00.00 „Wymagania ogólne” pkt 4.</w:t>
      </w:r>
    </w:p>
    <w:p w14:paraId="72BF2DD9" w14:textId="77777777" w:rsidR="00BA4ACC" w:rsidRPr="0048259D" w:rsidRDefault="00BA4ACC" w:rsidP="00EE45E3">
      <w:pPr>
        <w:pStyle w:val="Akapitzlist"/>
        <w:numPr>
          <w:ilvl w:val="0"/>
          <w:numId w:val="14"/>
        </w:numPr>
        <w:jc w:val="both"/>
        <w:rPr>
          <w:b/>
          <w:bCs/>
        </w:rPr>
      </w:pPr>
      <w:r w:rsidRPr="0048259D">
        <w:rPr>
          <w:b/>
          <w:bCs/>
        </w:rPr>
        <w:t>Transport materiałów</w:t>
      </w:r>
    </w:p>
    <w:p w14:paraId="2B4EDD10" w14:textId="77777777" w:rsidR="00BA4ACC" w:rsidRDefault="00BA4ACC" w:rsidP="00EE45E3">
      <w:pPr>
        <w:pStyle w:val="Akapitzlist"/>
        <w:numPr>
          <w:ilvl w:val="1"/>
          <w:numId w:val="17"/>
        </w:numPr>
        <w:jc w:val="both"/>
      </w:pPr>
      <w:r>
        <w:t>Transport płyt betonowych i żelbetowych</w:t>
      </w:r>
    </w:p>
    <w:p w14:paraId="0B8372C7" w14:textId="38B1436C" w:rsidR="00116A54" w:rsidRDefault="00BA4ACC" w:rsidP="00EE45E3">
      <w:pPr>
        <w:pStyle w:val="Akapitzlist"/>
        <w:ind w:left="1440"/>
        <w:jc w:val="both"/>
      </w:pPr>
      <w:r>
        <w:t>Płyty drogowe betonowe o żelbetowe mogą być przewożone dowolnymi środkami transportu. Płyty powinny być zabezpieczone przed przemieszczaniem</w:t>
      </w:r>
      <w:r w:rsidR="00116A54">
        <w:t xml:space="preserve">  i uszkodzeniami w czasie transportu, a górna warstwa nie powinna wystawać poza ścianki środka transportowego więcej niż 1/3 wysokości tej warstwy.</w:t>
      </w:r>
    </w:p>
    <w:p w14:paraId="4CD6E61A" w14:textId="77777777" w:rsidR="00BA4ACC" w:rsidRDefault="00116A54" w:rsidP="00EE45E3">
      <w:pPr>
        <w:pStyle w:val="Akapitzlist"/>
        <w:numPr>
          <w:ilvl w:val="1"/>
          <w:numId w:val="17"/>
        </w:numPr>
        <w:jc w:val="both"/>
      </w:pPr>
      <w:r>
        <w:t>Transport piasku i kruszywa łamanego</w:t>
      </w:r>
    </w:p>
    <w:p w14:paraId="6B465AEB" w14:textId="77777777" w:rsidR="00116A54" w:rsidRDefault="00116A54" w:rsidP="00EE45E3">
      <w:pPr>
        <w:pStyle w:val="Akapitzlist"/>
        <w:ind w:left="1440"/>
        <w:jc w:val="both"/>
      </w:pPr>
      <w:r>
        <w:t xml:space="preserve">Piasek i kruszywo łamane można przewozić dowolnymi środkami transportu w warunkach zabezpieczających </w:t>
      </w:r>
      <w:r w:rsidR="00595FFA">
        <w:t xml:space="preserve">go </w:t>
      </w:r>
      <w:r>
        <w:t>przed zanieczyszczeniem</w:t>
      </w:r>
      <w:r w:rsidR="00595FFA">
        <w:t>, zawilgoceniem oraz zmieszaniem z innymi rodzajami kruszyw. Podczas transportu piask</w:t>
      </w:r>
      <w:r w:rsidR="00B6579C">
        <w:t>u</w:t>
      </w:r>
      <w:r w:rsidR="00595FFA">
        <w:t xml:space="preserve"> i kruszyw</w:t>
      </w:r>
      <w:r w:rsidR="00B6579C">
        <w:t>a łamanego powinno  być zabezpieczone przed wysypaniem.</w:t>
      </w:r>
    </w:p>
    <w:p w14:paraId="051AE3A8" w14:textId="77777777" w:rsidR="00BA4ACC" w:rsidRPr="002A7E59" w:rsidRDefault="005706B4" w:rsidP="00EE45E3">
      <w:pPr>
        <w:jc w:val="both"/>
        <w:rPr>
          <w:b/>
          <w:bCs/>
          <w:sz w:val="28"/>
          <w:szCs w:val="28"/>
        </w:rPr>
      </w:pPr>
      <w:r w:rsidRPr="002A7E59">
        <w:rPr>
          <w:b/>
          <w:bCs/>
          <w:sz w:val="28"/>
          <w:szCs w:val="28"/>
        </w:rPr>
        <w:t>5. Wykonanie robót</w:t>
      </w:r>
      <w:r w:rsidR="00BA4ACC" w:rsidRPr="002A7E59">
        <w:rPr>
          <w:b/>
          <w:bCs/>
          <w:sz w:val="28"/>
          <w:szCs w:val="28"/>
        </w:rPr>
        <w:t xml:space="preserve"> </w:t>
      </w:r>
    </w:p>
    <w:p w14:paraId="739C684A" w14:textId="77777777" w:rsidR="00BA4ACC" w:rsidRPr="0048259D" w:rsidRDefault="005706B4" w:rsidP="00EE45E3">
      <w:pPr>
        <w:pStyle w:val="Akapitzlist"/>
        <w:numPr>
          <w:ilvl w:val="0"/>
          <w:numId w:val="18"/>
        </w:numPr>
        <w:jc w:val="both"/>
        <w:rPr>
          <w:b/>
          <w:bCs/>
        </w:rPr>
      </w:pPr>
      <w:r w:rsidRPr="0048259D">
        <w:rPr>
          <w:b/>
          <w:bCs/>
        </w:rPr>
        <w:t>Ogólne zasady wykonywania robót</w:t>
      </w:r>
    </w:p>
    <w:p w14:paraId="5259CAEE" w14:textId="77777777" w:rsidR="005706B4" w:rsidRDefault="005706B4" w:rsidP="00EE45E3">
      <w:pPr>
        <w:pStyle w:val="Akapitzlist"/>
        <w:jc w:val="both"/>
      </w:pPr>
      <w:r>
        <w:t>Ogólne zasady wykonywania robót podano w OST D-M-00.00.00 „Wymagania ogólne” pkt 5.</w:t>
      </w:r>
    </w:p>
    <w:p w14:paraId="59CAE39A" w14:textId="77777777" w:rsidR="005706B4" w:rsidRPr="0048259D" w:rsidRDefault="005706B4" w:rsidP="00EE45E3">
      <w:pPr>
        <w:pStyle w:val="Akapitzlist"/>
        <w:numPr>
          <w:ilvl w:val="0"/>
          <w:numId w:val="18"/>
        </w:numPr>
        <w:jc w:val="both"/>
        <w:rPr>
          <w:b/>
          <w:bCs/>
        </w:rPr>
      </w:pPr>
      <w:r w:rsidRPr="0048259D">
        <w:rPr>
          <w:b/>
          <w:bCs/>
        </w:rPr>
        <w:t>Przygotowanie podłoża</w:t>
      </w:r>
    </w:p>
    <w:p w14:paraId="578A6E4D" w14:textId="77777777" w:rsidR="005706B4" w:rsidRDefault="005706B4" w:rsidP="00EE45E3">
      <w:pPr>
        <w:pStyle w:val="Akapitzlist"/>
        <w:jc w:val="both"/>
      </w:pPr>
      <w:r>
        <w:t>Podłoże pod tymczasowe nawierzchnie z elementów prefabrykowanych powinno być przygotowane zgodnie z wymaganiami określonymi w OST D-04.01.01 „Koryto wraz z profilowaniem i zagęszczaniem podłoża”.</w:t>
      </w:r>
    </w:p>
    <w:p w14:paraId="74B65444" w14:textId="77777777" w:rsidR="005706B4" w:rsidRDefault="005706B4" w:rsidP="00EE45E3">
      <w:pPr>
        <w:pStyle w:val="Akapitzlist"/>
        <w:jc w:val="both"/>
      </w:pPr>
      <w:r>
        <w:t xml:space="preserve">Jeśli dokumentacja projektowa nie stanowi inaczej, to na podłożu z gruntu </w:t>
      </w:r>
      <w:proofErr w:type="spellStart"/>
      <w:r>
        <w:t>niewysadzinowego</w:t>
      </w:r>
      <w:proofErr w:type="spellEnd"/>
      <w:r>
        <w:t xml:space="preserve"> można bezpośrednio układać nawierzchnię z płyt betonowych lub żelbetonowych. Jeżeli w podłożu występują grunty</w:t>
      </w:r>
      <w:r w:rsidR="00FD589B">
        <w:t xml:space="preserve"> wątpliwe bądź </w:t>
      </w:r>
      <w:proofErr w:type="spellStart"/>
      <w:r w:rsidR="00FD589B">
        <w:t>wysadzinowe</w:t>
      </w:r>
      <w:proofErr w:type="spellEnd"/>
      <w:r w:rsidR="00FD589B">
        <w:t>, nawierzchnię z płyt należy układać na podsypce piaskowej.</w:t>
      </w:r>
    </w:p>
    <w:p w14:paraId="11CB9BCF" w14:textId="77777777" w:rsidR="005706B4" w:rsidRDefault="005706B4" w:rsidP="00EE45E3">
      <w:pPr>
        <w:pStyle w:val="Akapitzlist"/>
        <w:jc w:val="both"/>
      </w:pPr>
    </w:p>
    <w:p w14:paraId="4B250547" w14:textId="77777777" w:rsidR="005706B4" w:rsidRPr="0048259D" w:rsidRDefault="00FD589B" w:rsidP="00EE45E3">
      <w:pPr>
        <w:pStyle w:val="Akapitzlist"/>
        <w:numPr>
          <w:ilvl w:val="0"/>
          <w:numId w:val="18"/>
        </w:numPr>
        <w:jc w:val="both"/>
        <w:rPr>
          <w:b/>
          <w:bCs/>
        </w:rPr>
      </w:pPr>
      <w:r w:rsidRPr="0048259D">
        <w:rPr>
          <w:b/>
          <w:bCs/>
        </w:rPr>
        <w:t>Wykonanie podsypki</w:t>
      </w:r>
    </w:p>
    <w:p w14:paraId="66484DA8" w14:textId="77777777" w:rsidR="00FD589B" w:rsidRDefault="00FD589B" w:rsidP="00EE45E3">
      <w:pPr>
        <w:pStyle w:val="Akapitzlist"/>
        <w:jc w:val="both"/>
      </w:pPr>
      <w:r>
        <w:t>Podsypka pod nawierzchnię powinna być wykonana z piasku odpowiadającego wymaganiom punktu 2 niniejszej OST.</w:t>
      </w:r>
    </w:p>
    <w:p w14:paraId="7ED81033" w14:textId="77777777" w:rsidR="00FD589B" w:rsidRDefault="00FD589B" w:rsidP="00EE45E3">
      <w:pPr>
        <w:pStyle w:val="Akapitzlist"/>
        <w:jc w:val="both"/>
      </w:pPr>
      <w:r>
        <w:t xml:space="preserve">Grubość podsypki powinna być zgodna z </w:t>
      </w:r>
      <w:bookmarkStart w:id="2" w:name="_Hlk62022881"/>
      <w:r>
        <w:t xml:space="preserve">dokumentacją projektową, SST, schematem przekroju </w:t>
      </w:r>
      <w:bookmarkEnd w:id="2"/>
      <w:r>
        <w:t>pionowym. Jeżeli</w:t>
      </w:r>
      <w:r w:rsidRPr="00FD589B">
        <w:t xml:space="preserve"> </w:t>
      </w:r>
      <w:r>
        <w:t xml:space="preserve">dokumentacja projektowa, SST lub schemat przekroju nie stanowi inaczej, to grubość podsypki nie powinna być mniejsza niż 10 cm na podłożu z gruntów wątpliwych i nie mniejsza niż 20 cm na podłożu z gruntów </w:t>
      </w:r>
      <w:proofErr w:type="spellStart"/>
      <w:r>
        <w:t>wysadzinowych</w:t>
      </w:r>
      <w:proofErr w:type="spellEnd"/>
      <w:r>
        <w:t>. Piasek do wykonania podsypki powinien być rozłożony w warstwie o jednakowej grubości przy użyciu równiarki</w:t>
      </w:r>
      <w:r w:rsidR="009F155D">
        <w:t>, w sposób zapewniający uzyskanie wymaganych spadków i rzędnych wysokościowych.</w:t>
      </w:r>
    </w:p>
    <w:p w14:paraId="41F2837E" w14:textId="77777777" w:rsidR="009F155D" w:rsidRDefault="009F155D" w:rsidP="00EE45E3">
      <w:pPr>
        <w:pStyle w:val="Akapitzlist"/>
        <w:jc w:val="both"/>
      </w:pPr>
      <w:r>
        <w:t xml:space="preserve">Zagęszczenie podsypki należy przeprowadzać bezpośrednio po rozłożeniu. Zagęszczenie należy wykonywać przy zachowaniu optymalnej wilgotności zagęszczonego piasku, aż do osiągnięcia wskaźnika zagęszczenia </w:t>
      </w:r>
      <w:proofErr w:type="spellStart"/>
      <w:r>
        <w:t>I</w:t>
      </w:r>
      <w:r w:rsidRPr="00614AE7">
        <w:rPr>
          <w:vertAlign w:val="subscript"/>
        </w:rPr>
        <w:t>s</w:t>
      </w:r>
      <w:proofErr w:type="spellEnd"/>
      <w:r w:rsidR="00614AE7">
        <w:t xml:space="preserve"> </w:t>
      </w:r>
      <w:r w:rsidR="00614AE7">
        <w:rPr>
          <w:rFonts w:cstheme="minorHAnsi"/>
        </w:rPr>
        <w:t>≥ 1,00.</w:t>
      </w:r>
    </w:p>
    <w:p w14:paraId="0FAB4222" w14:textId="77777777" w:rsidR="00FD589B" w:rsidRPr="0048259D" w:rsidRDefault="00614AE7" w:rsidP="00EE45E3">
      <w:pPr>
        <w:pStyle w:val="Akapitzlist"/>
        <w:numPr>
          <w:ilvl w:val="0"/>
          <w:numId w:val="18"/>
        </w:numPr>
        <w:jc w:val="both"/>
        <w:rPr>
          <w:b/>
          <w:bCs/>
        </w:rPr>
      </w:pPr>
      <w:r w:rsidRPr="0048259D">
        <w:rPr>
          <w:b/>
          <w:bCs/>
        </w:rPr>
        <w:t>Wykonanie nawierzchni z płyt betonowych</w:t>
      </w:r>
    </w:p>
    <w:p w14:paraId="3814BF29" w14:textId="77777777" w:rsidR="00614AE7" w:rsidRDefault="00614AE7" w:rsidP="00EE45E3">
      <w:pPr>
        <w:pStyle w:val="Akapitzlist"/>
        <w:jc w:val="both"/>
      </w:pPr>
      <w:r>
        <w:t>Tymczasowe nawierzchnie z płyt betonowych wykonuje się według ustaleń zawartych w OST D-05.03.03 „Nawierzchnia z płyt betonowych”.</w:t>
      </w:r>
      <w:r w:rsidR="00BD042D">
        <w:t xml:space="preserve"> Przy układaniu tymczasowej nawierzchni z płyt </w:t>
      </w:r>
      <w:r w:rsidR="00BD042D">
        <w:lastRenderedPageBreak/>
        <w:t>betonowych, należy stosować wypełnienie spoin przez zamulenie piaskiem na pełną grubość płyty.</w:t>
      </w:r>
    </w:p>
    <w:p w14:paraId="0EF65333" w14:textId="77777777" w:rsidR="00614AE7" w:rsidRPr="0048259D" w:rsidRDefault="00BD042D" w:rsidP="00EE45E3">
      <w:pPr>
        <w:pStyle w:val="Akapitzlist"/>
        <w:numPr>
          <w:ilvl w:val="0"/>
          <w:numId w:val="18"/>
        </w:numPr>
        <w:jc w:val="both"/>
        <w:rPr>
          <w:b/>
          <w:bCs/>
        </w:rPr>
      </w:pPr>
      <w:r w:rsidRPr="0048259D">
        <w:rPr>
          <w:b/>
          <w:bCs/>
        </w:rPr>
        <w:t>Wykonanie nawierzchni z płyt żelbetowych</w:t>
      </w:r>
    </w:p>
    <w:p w14:paraId="1AE2940F" w14:textId="77777777" w:rsidR="00BD042D" w:rsidRDefault="00BD042D" w:rsidP="00EE45E3">
      <w:pPr>
        <w:pStyle w:val="Akapitzlist"/>
        <w:numPr>
          <w:ilvl w:val="0"/>
          <w:numId w:val="20"/>
        </w:numPr>
        <w:jc w:val="both"/>
      </w:pPr>
      <w:r>
        <w:t>Układanie płyt</w:t>
      </w:r>
    </w:p>
    <w:p w14:paraId="0156D6B3" w14:textId="77777777" w:rsidR="00BD042D" w:rsidRDefault="00BD042D" w:rsidP="00EE45E3">
      <w:pPr>
        <w:pStyle w:val="Akapitzlist"/>
        <w:ind w:left="1440"/>
        <w:jc w:val="both"/>
      </w:pPr>
      <w:r>
        <w:t>Tymczasowa nawierzchnia z płyt żelbetowych może być wykonana w układzie pasowym lub płatowym. Nawierzchnię należy ułożyć w układzie płatowym układając płyty w przekroju poprzecznym, na jeden metr.</w:t>
      </w:r>
    </w:p>
    <w:p w14:paraId="7B773CEF" w14:textId="77777777" w:rsidR="00BD042D" w:rsidRDefault="00BD042D" w:rsidP="00EE45E3">
      <w:pPr>
        <w:pStyle w:val="Akapitzlist"/>
        <w:numPr>
          <w:ilvl w:val="0"/>
          <w:numId w:val="20"/>
        </w:numPr>
        <w:jc w:val="both"/>
      </w:pPr>
      <w:r>
        <w:t>Wykonanie nawierzchni</w:t>
      </w:r>
    </w:p>
    <w:p w14:paraId="2869879A" w14:textId="77777777" w:rsidR="00BE6CE1" w:rsidRDefault="00BE6CE1" w:rsidP="00EE45E3">
      <w:pPr>
        <w:pStyle w:val="Akapitzlist"/>
        <w:ind w:left="1440"/>
        <w:jc w:val="both"/>
      </w:pPr>
      <w:r>
        <w:t>Układanie nawierzchni z płyt żelbetowych na uprzednio przygotowanym podłożu może się odbywać bezpośrednio ze środków transportowych lub z miejsca składowania, za pomocą żurawi samochodowych lub samojezdnych. Płyty żelbetowe należy</w:t>
      </w:r>
      <w:r w:rsidR="005E37A8">
        <w:t xml:space="preserve"> układać tak. Aby cała swoją powierzchnią przylegały do podłoża (podłoża gruntowego lub podsypki). Powierzchnie płyt nie powinny wystawać lub być zagłębione względem siebie więcej niż 8 mm.</w:t>
      </w:r>
    </w:p>
    <w:p w14:paraId="7383D7D0" w14:textId="77777777" w:rsidR="00BE6CE1" w:rsidRDefault="005E37A8" w:rsidP="00EE45E3">
      <w:pPr>
        <w:pStyle w:val="Akapitzlist"/>
        <w:numPr>
          <w:ilvl w:val="0"/>
          <w:numId w:val="20"/>
        </w:numPr>
        <w:jc w:val="both"/>
      </w:pPr>
      <w:r>
        <w:t>Wypełnienie spoin</w:t>
      </w:r>
    </w:p>
    <w:p w14:paraId="23FB4199" w14:textId="77777777" w:rsidR="005E37A8" w:rsidRDefault="005E37A8" w:rsidP="00EE45E3">
      <w:pPr>
        <w:pStyle w:val="Akapitzlist"/>
        <w:ind w:left="1440"/>
        <w:jc w:val="both"/>
      </w:pPr>
      <w:r>
        <w:t>Szerokość spoin między płytami nie powinna być większa niż 10mm. Piasek użyty do wypełnienia spoin przez zamulenie powinien zawierać od 3 do 8 % frakcji mniejszej od 0,05 mm, a zamulenie powinno być wykonane na pełną płyt.</w:t>
      </w:r>
    </w:p>
    <w:p w14:paraId="791047F2" w14:textId="77777777" w:rsidR="005E37A8" w:rsidRPr="0048259D" w:rsidRDefault="005E37A8" w:rsidP="00EE45E3">
      <w:pPr>
        <w:jc w:val="both"/>
        <w:rPr>
          <w:b/>
          <w:bCs/>
          <w:sz w:val="28"/>
          <w:szCs w:val="28"/>
        </w:rPr>
      </w:pPr>
      <w:r w:rsidRPr="0048259D">
        <w:rPr>
          <w:b/>
          <w:bCs/>
          <w:sz w:val="28"/>
          <w:szCs w:val="28"/>
        </w:rPr>
        <w:t>6. Kontrola jakości robót</w:t>
      </w:r>
    </w:p>
    <w:p w14:paraId="00A5060E" w14:textId="77777777" w:rsidR="005E37A8" w:rsidRDefault="005E37A8" w:rsidP="00EE45E3">
      <w:pPr>
        <w:pStyle w:val="Akapitzlist"/>
        <w:ind w:left="1440"/>
        <w:jc w:val="both"/>
      </w:pPr>
    </w:p>
    <w:p w14:paraId="55E5F35E" w14:textId="77777777" w:rsidR="00BD042D" w:rsidRPr="0048259D" w:rsidRDefault="00B6372F" w:rsidP="00EE45E3">
      <w:pPr>
        <w:pStyle w:val="Akapitzlist"/>
        <w:numPr>
          <w:ilvl w:val="0"/>
          <w:numId w:val="21"/>
        </w:numPr>
        <w:jc w:val="both"/>
        <w:rPr>
          <w:b/>
          <w:bCs/>
        </w:rPr>
      </w:pPr>
      <w:r w:rsidRPr="0048259D">
        <w:rPr>
          <w:b/>
          <w:bCs/>
        </w:rPr>
        <w:t>Ogólne zasady kontroli jakości robót</w:t>
      </w:r>
    </w:p>
    <w:p w14:paraId="71B64466" w14:textId="77777777" w:rsidR="00B6372F" w:rsidRDefault="00B6372F" w:rsidP="00EE45E3">
      <w:pPr>
        <w:pStyle w:val="Akapitzlist"/>
        <w:jc w:val="both"/>
      </w:pPr>
      <w:r>
        <w:t>Ogólne zasady kontroli jakości podano w OST D-M-00.00.00 „Wymagania ogólne” pkt 6.</w:t>
      </w:r>
    </w:p>
    <w:p w14:paraId="786AEDE5" w14:textId="77777777" w:rsidR="00B6372F" w:rsidRPr="0048259D" w:rsidRDefault="00B6372F" w:rsidP="00EE45E3">
      <w:pPr>
        <w:pStyle w:val="Akapitzlist"/>
        <w:numPr>
          <w:ilvl w:val="0"/>
          <w:numId w:val="21"/>
        </w:numPr>
        <w:jc w:val="both"/>
        <w:rPr>
          <w:b/>
          <w:bCs/>
        </w:rPr>
      </w:pPr>
      <w:r w:rsidRPr="0048259D">
        <w:rPr>
          <w:b/>
          <w:bCs/>
        </w:rPr>
        <w:t>Kontrola przygotowania podłoża</w:t>
      </w:r>
    </w:p>
    <w:p w14:paraId="39355950" w14:textId="77777777" w:rsidR="00B6372F" w:rsidRDefault="00B6372F" w:rsidP="00EE45E3">
      <w:pPr>
        <w:pStyle w:val="Akapitzlist"/>
        <w:jc w:val="both"/>
      </w:pPr>
      <w:r>
        <w:t xml:space="preserve">Kontrola polega na sprawdzeniu zgodności z </w:t>
      </w:r>
      <w:r w:rsidR="001B10DF">
        <w:t xml:space="preserve"> dokumentacją</w:t>
      </w:r>
      <w:r w:rsidR="00DE1627">
        <w:t xml:space="preserve"> projektową na podstawie oględzin i pomiarów, wymaganiami podanymi w OST D-04.01.01 „Koryto </w:t>
      </w:r>
      <w:r w:rsidR="00541E0C">
        <w:t>wraz z profilowaniem i zagęszczeniem podłoża”.</w:t>
      </w:r>
    </w:p>
    <w:p w14:paraId="4EB013ED" w14:textId="77777777" w:rsidR="00B6372F" w:rsidRPr="0048259D" w:rsidRDefault="00541E0C" w:rsidP="00EE45E3">
      <w:pPr>
        <w:pStyle w:val="Akapitzlist"/>
        <w:numPr>
          <w:ilvl w:val="0"/>
          <w:numId w:val="21"/>
        </w:numPr>
        <w:jc w:val="both"/>
        <w:rPr>
          <w:b/>
          <w:bCs/>
        </w:rPr>
      </w:pPr>
      <w:r w:rsidRPr="0048259D">
        <w:rPr>
          <w:b/>
          <w:bCs/>
        </w:rPr>
        <w:t>Kontrola wykonania podsypki</w:t>
      </w:r>
    </w:p>
    <w:p w14:paraId="53F937F9" w14:textId="77777777" w:rsidR="00541E0C" w:rsidRDefault="00541E0C" w:rsidP="00EE45E3">
      <w:pPr>
        <w:pStyle w:val="Akapitzlist"/>
        <w:jc w:val="both"/>
      </w:pPr>
      <w:r>
        <w:t>Kontrola ułożonej podsypki piaskowej polega na sprawdzeniu zgodności z dokumentacją projektową w zakresie grubości ułożonej warstwy i wyrównania do wymaganego profilu – na podstawie oględzin i pomiarów, wymaganiami podanymi w p. 5.3 niniejszej OST.</w:t>
      </w:r>
    </w:p>
    <w:p w14:paraId="1AE5333C" w14:textId="77777777" w:rsidR="00541E0C" w:rsidRPr="0048259D" w:rsidRDefault="00541E0C" w:rsidP="00EE45E3">
      <w:pPr>
        <w:pStyle w:val="Akapitzlist"/>
        <w:numPr>
          <w:ilvl w:val="0"/>
          <w:numId w:val="21"/>
        </w:numPr>
        <w:jc w:val="both"/>
        <w:rPr>
          <w:b/>
          <w:bCs/>
        </w:rPr>
      </w:pPr>
      <w:r w:rsidRPr="0048259D">
        <w:rPr>
          <w:b/>
          <w:bCs/>
        </w:rPr>
        <w:t>Kontrola wykonania nawierzchni z płyt betonowych</w:t>
      </w:r>
    </w:p>
    <w:p w14:paraId="65EB4E3A" w14:textId="77777777" w:rsidR="00541E0C" w:rsidRDefault="00541E0C" w:rsidP="00EE45E3">
      <w:pPr>
        <w:pStyle w:val="Akapitzlist"/>
        <w:jc w:val="both"/>
      </w:pPr>
      <w:r>
        <w:t>Kontrola jakości robót polega na sprawdzeniu ich zgodności z dokumentacją projektową w zakresie cech geometrycznych nawierzchni oraz dopuszczalnych odchyłek wymienionych w tablicy 1 – na podstawie oględzin i pomiarów, wymaganiami podanymi w OST D- 0,5.03.03 „Nawierzchnie z płyt betonowych”.</w:t>
      </w:r>
    </w:p>
    <w:p w14:paraId="0F24E136" w14:textId="77777777" w:rsidR="00541E0C" w:rsidRPr="0048259D" w:rsidRDefault="00541E0C" w:rsidP="00EE45E3">
      <w:pPr>
        <w:pStyle w:val="Akapitzlist"/>
        <w:numPr>
          <w:ilvl w:val="0"/>
          <w:numId w:val="21"/>
        </w:numPr>
        <w:jc w:val="both"/>
        <w:rPr>
          <w:b/>
          <w:bCs/>
        </w:rPr>
      </w:pPr>
      <w:r w:rsidRPr="0048259D">
        <w:rPr>
          <w:b/>
          <w:bCs/>
        </w:rPr>
        <w:t>Kontrola wykonania nawierzchni z płyt żelbetowych</w:t>
      </w:r>
    </w:p>
    <w:p w14:paraId="14E09BCD" w14:textId="77777777" w:rsidR="00541E0C" w:rsidRDefault="00541E0C" w:rsidP="00EE45E3">
      <w:pPr>
        <w:pStyle w:val="Akapitzlist"/>
        <w:jc w:val="both"/>
      </w:pPr>
      <w:r>
        <w:t xml:space="preserve">Kontrola jakości robót polega na sprawdzeniu ich zgodności z </w:t>
      </w:r>
      <w:r w:rsidR="000E1D9F">
        <w:t>dokumentacją projektową w zakresie cech geometrycznych nawierzchni</w:t>
      </w:r>
      <w:r w:rsidR="006116EB">
        <w:t xml:space="preserve"> oraz dopuszczalnych odchyłek wymienionych w tablicy 1 na podstawie oględzin i pomiarów, wymaganiami podanymi w punkcie</w:t>
      </w:r>
      <w:r w:rsidR="00880428">
        <w:t xml:space="preserve"> 5.5. niniejszej OST. Ścieralność na tarczy </w:t>
      </w:r>
      <w:proofErr w:type="spellStart"/>
      <w:r w:rsidR="00880428">
        <w:t>Boehmego</w:t>
      </w:r>
      <w:proofErr w:type="spellEnd"/>
      <w:r w:rsidR="00880428">
        <w:t xml:space="preserve"> dla płyt żelbetowych nie powinna przekraczać:</w:t>
      </w:r>
    </w:p>
    <w:p w14:paraId="07C5D062" w14:textId="77777777" w:rsidR="00574352" w:rsidRDefault="00574352" w:rsidP="00EE45E3">
      <w:pPr>
        <w:pStyle w:val="Akapitzlist"/>
        <w:jc w:val="both"/>
      </w:pPr>
      <w:r>
        <w:tab/>
        <w:t>1,5 mm dla gatunku 1,</w:t>
      </w:r>
    </w:p>
    <w:p w14:paraId="4AD7E8F6" w14:textId="77777777" w:rsidR="00574352" w:rsidRDefault="00574352" w:rsidP="00EE45E3">
      <w:pPr>
        <w:pStyle w:val="Akapitzlist"/>
        <w:jc w:val="both"/>
      </w:pPr>
      <w:r>
        <w:tab/>
        <w:t>2,5 mm dla gatunku 2.</w:t>
      </w:r>
    </w:p>
    <w:p w14:paraId="58110965" w14:textId="77777777" w:rsidR="00574352" w:rsidRDefault="00574352" w:rsidP="00EE45E3">
      <w:pPr>
        <w:pStyle w:val="Akapitzlist"/>
        <w:jc w:val="both"/>
      </w:pPr>
      <w:r>
        <w:t>Pozostałe wymagania dla płyt żelbetowych powinny być zgodne z BN-80/6775-03.01 [2] i BN-80/6775-03.02 [3]</w:t>
      </w:r>
    </w:p>
    <w:p w14:paraId="20A25457" w14:textId="77777777" w:rsidR="00541E0C" w:rsidRPr="0048259D" w:rsidRDefault="00574352" w:rsidP="00EE45E3">
      <w:pPr>
        <w:pStyle w:val="Akapitzlist"/>
        <w:numPr>
          <w:ilvl w:val="0"/>
          <w:numId w:val="21"/>
        </w:numPr>
        <w:jc w:val="both"/>
        <w:rPr>
          <w:b/>
          <w:bCs/>
        </w:rPr>
      </w:pPr>
      <w:r w:rsidRPr="0048259D">
        <w:rPr>
          <w:b/>
          <w:bCs/>
        </w:rPr>
        <w:t>Pomiary cech geometrycznych nawierzchni</w:t>
      </w:r>
    </w:p>
    <w:p w14:paraId="0E8A4F9F" w14:textId="77777777" w:rsidR="00574352" w:rsidRDefault="00574352" w:rsidP="00EE45E3">
      <w:pPr>
        <w:pStyle w:val="Akapitzlist"/>
        <w:jc w:val="both"/>
      </w:pPr>
      <w:r>
        <w:t>Jeśli dokumentacja projektowa i SST nie określa inaczej, to przeprowadzone pomiary nie powinny wykazać większych odchyleń w zakresie cech geometrycznych tymczasowych nawierzchni z elementów prefabrykowanych niż te, które podano w tablicy 4.</w:t>
      </w:r>
    </w:p>
    <w:p w14:paraId="6B1D3B36" w14:textId="77777777" w:rsidR="00574352" w:rsidRDefault="00574352" w:rsidP="00EE45E3">
      <w:pPr>
        <w:pStyle w:val="Akapitzlist"/>
        <w:jc w:val="both"/>
      </w:pPr>
    </w:p>
    <w:p w14:paraId="5B756626" w14:textId="77777777" w:rsidR="00574352" w:rsidRDefault="00574352" w:rsidP="00EE45E3">
      <w:pPr>
        <w:pStyle w:val="Akapitzlist"/>
        <w:jc w:val="both"/>
      </w:pPr>
      <w:r>
        <w:t xml:space="preserve">Tablica 4. Dopuszczalne odchylenia dla tymczasowych nawierzchni z elementów </w:t>
      </w:r>
      <w:r w:rsidR="002F725A">
        <w:t>prefabrykowanych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930"/>
        <w:gridCol w:w="3042"/>
        <w:gridCol w:w="1370"/>
      </w:tblGrid>
      <w:tr w:rsidR="00CD5DF3" w14:paraId="4E914850" w14:textId="77777777" w:rsidTr="009A1A45">
        <w:trPr>
          <w:trHeight w:val="525"/>
        </w:trPr>
        <w:tc>
          <w:tcPr>
            <w:tcW w:w="3930" w:type="dxa"/>
            <w:vMerge w:val="restart"/>
          </w:tcPr>
          <w:p w14:paraId="41DCB06C" w14:textId="77777777" w:rsidR="00CD5DF3" w:rsidRPr="009A1A45" w:rsidRDefault="00CD5DF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  <w:p w14:paraId="4A68F94C" w14:textId="77777777" w:rsidR="00CD5DF3" w:rsidRPr="009A1A45" w:rsidRDefault="00CD5DF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  <w:p w14:paraId="3830BF30" w14:textId="77777777" w:rsidR="00CD5DF3" w:rsidRPr="009A1A45" w:rsidRDefault="00CD5DF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Cechy nawierzchni</w:t>
            </w:r>
          </w:p>
          <w:p w14:paraId="41236177" w14:textId="77777777" w:rsidR="00CD5DF3" w:rsidRPr="009A1A45" w:rsidRDefault="00CD5DF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  <w:p w14:paraId="055EE195" w14:textId="77777777" w:rsidR="00CD5DF3" w:rsidRPr="009A1A45" w:rsidRDefault="00CD5DF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412" w:type="dxa"/>
            <w:gridSpan w:val="2"/>
          </w:tcPr>
          <w:p w14:paraId="2400D252" w14:textId="77777777" w:rsidR="00CD5DF3" w:rsidRPr="009A1A45" w:rsidRDefault="00CD5DF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Dopuszczalne odchy</w:t>
            </w:r>
            <w:r w:rsidR="00B17083" w:rsidRPr="009A1A45">
              <w:rPr>
                <w:sz w:val="20"/>
                <w:szCs w:val="20"/>
              </w:rPr>
              <w:t>lenia</w:t>
            </w:r>
          </w:p>
        </w:tc>
      </w:tr>
      <w:tr w:rsidR="00CD5DF3" w14:paraId="740087B8" w14:textId="77777777" w:rsidTr="009A1A45">
        <w:trPr>
          <w:trHeight w:val="750"/>
        </w:trPr>
        <w:tc>
          <w:tcPr>
            <w:tcW w:w="3930" w:type="dxa"/>
            <w:vMerge/>
          </w:tcPr>
          <w:p w14:paraId="36900B91" w14:textId="77777777" w:rsidR="00CD5DF3" w:rsidRPr="009A1A45" w:rsidRDefault="00CD5DF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042" w:type="dxa"/>
          </w:tcPr>
          <w:p w14:paraId="4F187FBC" w14:textId="77777777" w:rsidR="00CD5DF3" w:rsidRPr="009A1A45" w:rsidRDefault="00CD5DF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  <w:p w14:paraId="79E922C4" w14:textId="77777777" w:rsidR="00B17083" w:rsidRPr="009A1A45" w:rsidRDefault="00B1708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Nawierzchnia z płyt Betonowych</w:t>
            </w:r>
          </w:p>
        </w:tc>
        <w:tc>
          <w:tcPr>
            <w:tcW w:w="1370" w:type="dxa"/>
          </w:tcPr>
          <w:p w14:paraId="7FE7A060" w14:textId="77777777" w:rsidR="00CD5DF3" w:rsidRPr="009A1A45" w:rsidRDefault="00B1708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Nawierzchnia z płyt żelbetowych</w:t>
            </w:r>
          </w:p>
        </w:tc>
      </w:tr>
      <w:tr w:rsidR="00CD5DF3" w14:paraId="628340FF" w14:textId="77777777" w:rsidTr="009A1A45">
        <w:tc>
          <w:tcPr>
            <w:tcW w:w="3930" w:type="dxa"/>
          </w:tcPr>
          <w:p w14:paraId="53639FFE" w14:textId="77777777" w:rsidR="00CD5DF3" w:rsidRPr="009A1A45" w:rsidRDefault="00B1708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Szerokość, cm</w:t>
            </w:r>
          </w:p>
        </w:tc>
        <w:tc>
          <w:tcPr>
            <w:tcW w:w="3042" w:type="dxa"/>
          </w:tcPr>
          <w:p w14:paraId="2FFDC0BF" w14:textId="77777777" w:rsidR="00CD5DF3" w:rsidRPr="009A1A45" w:rsidRDefault="00B1708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rFonts w:cstheme="minorHAnsi"/>
                <w:sz w:val="20"/>
                <w:szCs w:val="20"/>
              </w:rPr>
              <w:t>±</w:t>
            </w:r>
            <w:r w:rsidRPr="009A1A45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370" w:type="dxa"/>
          </w:tcPr>
          <w:p w14:paraId="34D82153" w14:textId="77777777" w:rsidR="00CD5DF3" w:rsidRPr="009A1A45" w:rsidRDefault="00B17083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+10 i -5</w:t>
            </w:r>
          </w:p>
        </w:tc>
      </w:tr>
      <w:tr w:rsidR="009A1A45" w14:paraId="7B8E288B" w14:textId="77777777" w:rsidTr="009A1A45">
        <w:tc>
          <w:tcPr>
            <w:tcW w:w="3930" w:type="dxa"/>
          </w:tcPr>
          <w:p w14:paraId="60615A4A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Spadek poprzeczny, %</w:t>
            </w:r>
          </w:p>
        </w:tc>
        <w:tc>
          <w:tcPr>
            <w:tcW w:w="3042" w:type="dxa"/>
          </w:tcPr>
          <w:p w14:paraId="11D1B90E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rFonts w:cstheme="minorHAnsi"/>
                <w:sz w:val="20"/>
                <w:szCs w:val="20"/>
              </w:rPr>
              <w:t>±</w:t>
            </w:r>
            <w:r w:rsidRPr="009A1A45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370" w:type="dxa"/>
          </w:tcPr>
          <w:p w14:paraId="35B4FE57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rFonts w:cstheme="minorHAnsi"/>
                <w:sz w:val="20"/>
                <w:szCs w:val="20"/>
              </w:rPr>
              <w:t>±</w:t>
            </w:r>
            <w:r w:rsidRPr="009A1A45">
              <w:rPr>
                <w:sz w:val="20"/>
                <w:szCs w:val="20"/>
              </w:rPr>
              <w:t xml:space="preserve"> 5</w:t>
            </w:r>
          </w:p>
        </w:tc>
      </w:tr>
      <w:tr w:rsidR="009A1A45" w14:paraId="5653BE1F" w14:textId="77777777" w:rsidTr="009A1A45">
        <w:tc>
          <w:tcPr>
            <w:tcW w:w="3930" w:type="dxa"/>
          </w:tcPr>
          <w:p w14:paraId="17B64DA4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Rzędne nawierzchni, cm</w:t>
            </w:r>
          </w:p>
        </w:tc>
        <w:tc>
          <w:tcPr>
            <w:tcW w:w="3042" w:type="dxa"/>
          </w:tcPr>
          <w:p w14:paraId="47CD4AD8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+ 1 i - 2</w:t>
            </w:r>
          </w:p>
        </w:tc>
        <w:tc>
          <w:tcPr>
            <w:tcW w:w="1370" w:type="dxa"/>
          </w:tcPr>
          <w:p w14:paraId="29BD1823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+ 1 i - 2</w:t>
            </w:r>
          </w:p>
        </w:tc>
      </w:tr>
      <w:tr w:rsidR="009A1A45" w14:paraId="1DDBBFDB" w14:textId="77777777" w:rsidTr="009A1A45">
        <w:tc>
          <w:tcPr>
            <w:tcW w:w="3930" w:type="dxa"/>
          </w:tcPr>
          <w:p w14:paraId="65B18912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Odchylenie osi nawierzchni w planie, cm</w:t>
            </w:r>
          </w:p>
        </w:tc>
        <w:tc>
          <w:tcPr>
            <w:tcW w:w="3042" w:type="dxa"/>
          </w:tcPr>
          <w:p w14:paraId="66E46143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rFonts w:cstheme="minorHAnsi"/>
                <w:sz w:val="20"/>
                <w:szCs w:val="20"/>
              </w:rPr>
              <w:t>±</w:t>
            </w:r>
            <w:r w:rsidRPr="009A1A45">
              <w:rPr>
                <w:sz w:val="20"/>
                <w:szCs w:val="20"/>
              </w:rPr>
              <w:t xml:space="preserve"> 5</w:t>
            </w:r>
          </w:p>
        </w:tc>
        <w:tc>
          <w:tcPr>
            <w:tcW w:w="1370" w:type="dxa"/>
          </w:tcPr>
          <w:p w14:paraId="62742C7E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rFonts w:cstheme="minorHAnsi"/>
                <w:sz w:val="20"/>
                <w:szCs w:val="20"/>
              </w:rPr>
              <w:t>±</w:t>
            </w:r>
            <w:r w:rsidRPr="009A1A45">
              <w:rPr>
                <w:sz w:val="20"/>
                <w:szCs w:val="20"/>
              </w:rPr>
              <w:t xml:space="preserve"> 10</w:t>
            </w:r>
          </w:p>
        </w:tc>
      </w:tr>
      <w:tr w:rsidR="009A1A45" w14:paraId="3AD1EB9D" w14:textId="77777777" w:rsidTr="009A1A45">
        <w:tc>
          <w:tcPr>
            <w:tcW w:w="3930" w:type="dxa"/>
          </w:tcPr>
          <w:p w14:paraId="125C057C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sz w:val="20"/>
                <w:szCs w:val="20"/>
              </w:rPr>
              <w:t>Grubość podsypki, cm</w:t>
            </w:r>
          </w:p>
        </w:tc>
        <w:tc>
          <w:tcPr>
            <w:tcW w:w="3042" w:type="dxa"/>
          </w:tcPr>
          <w:p w14:paraId="6F4B201D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rFonts w:cstheme="minorHAnsi"/>
                <w:sz w:val="20"/>
                <w:szCs w:val="20"/>
              </w:rPr>
              <w:t>±</w:t>
            </w:r>
            <w:r w:rsidRPr="009A1A45">
              <w:rPr>
                <w:sz w:val="20"/>
                <w:szCs w:val="20"/>
              </w:rPr>
              <w:t xml:space="preserve"> 1,5</w:t>
            </w:r>
          </w:p>
        </w:tc>
        <w:tc>
          <w:tcPr>
            <w:tcW w:w="1370" w:type="dxa"/>
          </w:tcPr>
          <w:p w14:paraId="301BEFF9" w14:textId="77777777" w:rsidR="009A1A45" w:rsidRPr="009A1A45" w:rsidRDefault="009A1A45" w:rsidP="00EE45E3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9A1A45">
              <w:rPr>
                <w:rFonts w:cstheme="minorHAnsi"/>
                <w:sz w:val="20"/>
                <w:szCs w:val="20"/>
              </w:rPr>
              <w:t>±</w:t>
            </w:r>
            <w:r w:rsidRPr="009A1A45">
              <w:rPr>
                <w:sz w:val="20"/>
                <w:szCs w:val="20"/>
              </w:rPr>
              <w:t xml:space="preserve"> 3</w:t>
            </w:r>
          </w:p>
        </w:tc>
      </w:tr>
    </w:tbl>
    <w:p w14:paraId="2248BCCE" w14:textId="77777777" w:rsidR="002F725A" w:rsidRDefault="002F725A" w:rsidP="00EE45E3">
      <w:pPr>
        <w:pStyle w:val="Akapitzlist"/>
        <w:jc w:val="both"/>
      </w:pPr>
    </w:p>
    <w:p w14:paraId="5B7FEB59" w14:textId="77777777" w:rsidR="00574352" w:rsidRPr="0048259D" w:rsidRDefault="00574352" w:rsidP="00EE45E3">
      <w:pPr>
        <w:pStyle w:val="Akapitzlist"/>
        <w:numPr>
          <w:ilvl w:val="0"/>
          <w:numId w:val="21"/>
        </w:numPr>
        <w:jc w:val="both"/>
        <w:rPr>
          <w:b/>
          <w:bCs/>
        </w:rPr>
      </w:pPr>
      <w:r w:rsidRPr="0048259D">
        <w:rPr>
          <w:b/>
          <w:bCs/>
        </w:rPr>
        <w:t>Ocena wyników badań</w:t>
      </w:r>
    </w:p>
    <w:p w14:paraId="55749E3B" w14:textId="77777777" w:rsidR="00574352" w:rsidRDefault="009A1A45" w:rsidP="00EE45E3">
      <w:pPr>
        <w:pStyle w:val="Akapitzlist"/>
        <w:jc w:val="both"/>
      </w:pPr>
      <w:r>
        <w:t>Wszystkie materiały muszą spełnia wymagania podane w punkcie 1. Wszystkie elementy robót, które wykazują odstępstwa od postanowień SST powinny zostać rozebrane i ponownie w</w:t>
      </w:r>
      <w:r w:rsidR="00285FC9">
        <w:t>ykonane na koszt Wykonawcy.</w:t>
      </w:r>
    </w:p>
    <w:p w14:paraId="75E722A9" w14:textId="77777777" w:rsidR="00285FC9" w:rsidRPr="002A7E59" w:rsidRDefault="00285FC9" w:rsidP="00EE45E3">
      <w:pPr>
        <w:jc w:val="both"/>
        <w:rPr>
          <w:b/>
          <w:bCs/>
          <w:sz w:val="28"/>
          <w:szCs w:val="28"/>
        </w:rPr>
      </w:pPr>
      <w:r w:rsidRPr="002A7E59">
        <w:rPr>
          <w:b/>
          <w:bCs/>
          <w:sz w:val="28"/>
          <w:szCs w:val="28"/>
        </w:rPr>
        <w:t>7. Obmiar robót</w:t>
      </w:r>
    </w:p>
    <w:p w14:paraId="3F299672" w14:textId="77777777" w:rsidR="00574352" w:rsidRPr="0048259D" w:rsidRDefault="00285FC9" w:rsidP="00EE45E3">
      <w:pPr>
        <w:pStyle w:val="Akapitzlist"/>
        <w:numPr>
          <w:ilvl w:val="0"/>
          <w:numId w:val="22"/>
        </w:numPr>
        <w:jc w:val="both"/>
        <w:rPr>
          <w:b/>
          <w:bCs/>
        </w:rPr>
      </w:pPr>
      <w:r w:rsidRPr="0048259D">
        <w:rPr>
          <w:b/>
          <w:bCs/>
        </w:rPr>
        <w:t>Ogólne zasady obmiaru robót</w:t>
      </w:r>
    </w:p>
    <w:p w14:paraId="397D605E" w14:textId="77777777" w:rsidR="00285FC9" w:rsidRDefault="00285FC9" w:rsidP="00EE45E3">
      <w:pPr>
        <w:pStyle w:val="Akapitzlist"/>
        <w:jc w:val="both"/>
      </w:pPr>
      <w:r>
        <w:t>Ogólne zasady obmiaru robót podano w OST-D-M-00.00.00 „Wymagania ogólne” pkt 7.</w:t>
      </w:r>
    </w:p>
    <w:p w14:paraId="19E6BE88" w14:textId="77777777" w:rsidR="00285FC9" w:rsidRPr="0048259D" w:rsidRDefault="00285FC9" w:rsidP="00EE45E3">
      <w:pPr>
        <w:pStyle w:val="Akapitzlist"/>
        <w:numPr>
          <w:ilvl w:val="0"/>
          <w:numId w:val="22"/>
        </w:numPr>
        <w:jc w:val="both"/>
        <w:rPr>
          <w:b/>
          <w:bCs/>
        </w:rPr>
      </w:pPr>
      <w:r w:rsidRPr="0048259D">
        <w:rPr>
          <w:b/>
          <w:bCs/>
        </w:rPr>
        <w:t>Jednostka obmiarowa</w:t>
      </w:r>
    </w:p>
    <w:p w14:paraId="44282CB7" w14:textId="77777777" w:rsidR="00285FC9" w:rsidRDefault="00285FC9" w:rsidP="00EE45E3">
      <w:pPr>
        <w:pStyle w:val="Akapitzlist"/>
        <w:jc w:val="both"/>
      </w:pPr>
      <w:r>
        <w:t>Jednostką obmiarową jest m2 (metr kwadratowy) wykonanej nawierzchni prefabrykowanych.</w:t>
      </w:r>
    </w:p>
    <w:p w14:paraId="544842FE" w14:textId="77777777" w:rsidR="00285FC9" w:rsidRPr="002A7E59" w:rsidRDefault="00AE545E" w:rsidP="00EE45E3">
      <w:pPr>
        <w:jc w:val="both"/>
        <w:rPr>
          <w:b/>
          <w:bCs/>
          <w:sz w:val="28"/>
          <w:szCs w:val="28"/>
        </w:rPr>
      </w:pPr>
      <w:r w:rsidRPr="002A7E59">
        <w:rPr>
          <w:b/>
          <w:bCs/>
          <w:sz w:val="28"/>
          <w:szCs w:val="28"/>
        </w:rPr>
        <w:t>8. Odbiór robót</w:t>
      </w:r>
    </w:p>
    <w:p w14:paraId="733EF44B" w14:textId="77777777" w:rsidR="00AE545E" w:rsidRDefault="00AE545E" w:rsidP="00EE45E3">
      <w:pPr>
        <w:jc w:val="both"/>
      </w:pPr>
      <w:r>
        <w:t>Ogólne zasady</w:t>
      </w:r>
      <w:r w:rsidR="00E16B8B">
        <w:t xml:space="preserve"> odbioru robót podano w OST D-M-00.00.00 „Wymagania ogólne pkt 8. Roboty uznaje si za wykonane zgodnie z dokumentacją projektową, SST i wymaganiami Inżyniera, jeżeli wszystkie pomiary i badania , z zachowaniem tolerancji wg punktu 6, dały wyniki pozytywne.</w:t>
      </w:r>
    </w:p>
    <w:p w14:paraId="512EE246" w14:textId="77777777" w:rsidR="00E16B8B" w:rsidRPr="0048259D" w:rsidRDefault="00E16B8B" w:rsidP="00EE45E3">
      <w:pPr>
        <w:jc w:val="both"/>
        <w:rPr>
          <w:b/>
          <w:bCs/>
          <w:sz w:val="28"/>
          <w:szCs w:val="28"/>
        </w:rPr>
      </w:pPr>
      <w:r w:rsidRPr="0048259D">
        <w:rPr>
          <w:b/>
          <w:bCs/>
          <w:sz w:val="28"/>
          <w:szCs w:val="28"/>
        </w:rPr>
        <w:t>9. Podstawa płatności</w:t>
      </w:r>
    </w:p>
    <w:p w14:paraId="0EAB692E" w14:textId="77777777" w:rsidR="00285FC9" w:rsidRPr="0048259D" w:rsidRDefault="00E16B8B" w:rsidP="00EE45E3">
      <w:pPr>
        <w:pStyle w:val="Akapitzlist"/>
        <w:numPr>
          <w:ilvl w:val="0"/>
          <w:numId w:val="23"/>
        </w:numPr>
        <w:jc w:val="both"/>
        <w:rPr>
          <w:b/>
          <w:bCs/>
        </w:rPr>
      </w:pPr>
      <w:r w:rsidRPr="0048259D">
        <w:rPr>
          <w:b/>
          <w:bCs/>
        </w:rPr>
        <w:t>Ogólne ustalenia dotyczące podstawy płatności</w:t>
      </w:r>
    </w:p>
    <w:p w14:paraId="60EEC3B4" w14:textId="77777777" w:rsidR="00E16B8B" w:rsidRDefault="00E16B8B" w:rsidP="00EE45E3">
      <w:pPr>
        <w:pStyle w:val="Akapitzlist"/>
        <w:jc w:val="both"/>
      </w:pPr>
      <w:r>
        <w:t>Ogólne ustalenia dotyczące podstawy płatności podano w OST D-M-00.00.00 „Wymagania ogólne” pkt 9.</w:t>
      </w:r>
    </w:p>
    <w:p w14:paraId="42D6C0DC" w14:textId="77777777" w:rsidR="00E16B8B" w:rsidRPr="0048259D" w:rsidRDefault="00E16B8B" w:rsidP="00EE45E3">
      <w:pPr>
        <w:pStyle w:val="Akapitzlist"/>
        <w:numPr>
          <w:ilvl w:val="0"/>
          <w:numId w:val="23"/>
        </w:numPr>
        <w:jc w:val="both"/>
        <w:rPr>
          <w:b/>
          <w:bCs/>
        </w:rPr>
      </w:pPr>
      <w:r w:rsidRPr="0048259D">
        <w:rPr>
          <w:b/>
          <w:bCs/>
        </w:rPr>
        <w:t>Cena jednostki obmiarowej</w:t>
      </w:r>
    </w:p>
    <w:p w14:paraId="43B1840D" w14:textId="77777777" w:rsidR="00E16B8B" w:rsidRDefault="00E16B8B" w:rsidP="00EE45E3">
      <w:pPr>
        <w:pStyle w:val="Akapitzlist"/>
        <w:jc w:val="both"/>
      </w:pPr>
      <w:r>
        <w:t>Cena 1 m2 nawierzchni z elementów prefabrykowanych obejmuje:</w:t>
      </w:r>
    </w:p>
    <w:p w14:paraId="0C23AF2F" w14:textId="77777777" w:rsidR="00E16B8B" w:rsidRDefault="00E16B8B" w:rsidP="00EE45E3">
      <w:pPr>
        <w:pStyle w:val="Akapitzlist"/>
        <w:numPr>
          <w:ilvl w:val="0"/>
          <w:numId w:val="25"/>
        </w:numPr>
        <w:jc w:val="both"/>
      </w:pPr>
      <w:r>
        <w:t>prace pomiarowe i roboty przygotowawcze,</w:t>
      </w:r>
    </w:p>
    <w:p w14:paraId="500443FD" w14:textId="77777777" w:rsidR="00E16B8B" w:rsidRDefault="00E16B8B" w:rsidP="00EE45E3">
      <w:pPr>
        <w:pStyle w:val="Akapitzlist"/>
        <w:numPr>
          <w:ilvl w:val="0"/>
          <w:numId w:val="25"/>
        </w:numPr>
        <w:jc w:val="both"/>
      </w:pPr>
      <w:r>
        <w:t>oznakowanie robót,</w:t>
      </w:r>
    </w:p>
    <w:p w14:paraId="4EB1174D" w14:textId="77777777" w:rsidR="00E16B8B" w:rsidRDefault="00E16B8B" w:rsidP="00EE45E3">
      <w:pPr>
        <w:pStyle w:val="Akapitzlist"/>
        <w:numPr>
          <w:ilvl w:val="0"/>
          <w:numId w:val="25"/>
        </w:numPr>
        <w:jc w:val="both"/>
      </w:pPr>
      <w:r>
        <w:t>dostarczenie materiałów,</w:t>
      </w:r>
    </w:p>
    <w:p w14:paraId="7AD7CF5E" w14:textId="77777777" w:rsidR="00E16B8B" w:rsidRDefault="00E16B8B" w:rsidP="00EE45E3">
      <w:pPr>
        <w:pStyle w:val="Akapitzlist"/>
        <w:numPr>
          <w:ilvl w:val="0"/>
          <w:numId w:val="25"/>
        </w:numPr>
        <w:jc w:val="both"/>
      </w:pPr>
      <w:r>
        <w:t>przygotowanie podłoża (ewentualnie wykonanie podsypki),</w:t>
      </w:r>
    </w:p>
    <w:p w14:paraId="443B46A7" w14:textId="77777777" w:rsidR="00E16B8B" w:rsidRDefault="00E16B8B" w:rsidP="00EE45E3">
      <w:pPr>
        <w:pStyle w:val="Akapitzlist"/>
        <w:numPr>
          <w:ilvl w:val="0"/>
          <w:numId w:val="25"/>
        </w:numPr>
        <w:jc w:val="both"/>
      </w:pPr>
      <w:r>
        <w:t>ułożenie płyt z wypełnieniem spoin,</w:t>
      </w:r>
    </w:p>
    <w:p w14:paraId="31125819" w14:textId="77777777" w:rsidR="00E16B8B" w:rsidRDefault="00E16B8B" w:rsidP="00EE45E3">
      <w:pPr>
        <w:pStyle w:val="Akapitzlist"/>
        <w:numPr>
          <w:ilvl w:val="0"/>
          <w:numId w:val="25"/>
        </w:numPr>
        <w:jc w:val="both"/>
      </w:pPr>
      <w:r>
        <w:t>wykonanie robót wykończeniowych,</w:t>
      </w:r>
    </w:p>
    <w:p w14:paraId="27CA9259" w14:textId="77777777" w:rsidR="00E16B8B" w:rsidRDefault="00E16B8B" w:rsidP="00EE45E3">
      <w:pPr>
        <w:pStyle w:val="Akapitzlist"/>
        <w:numPr>
          <w:ilvl w:val="0"/>
          <w:numId w:val="25"/>
        </w:numPr>
        <w:jc w:val="both"/>
      </w:pPr>
      <w:r>
        <w:t>przep</w:t>
      </w:r>
      <w:r w:rsidR="00EE45E3">
        <w:t>r</w:t>
      </w:r>
      <w:r>
        <w:t>owadzenie pomiarów i badań laboratoryjnych wymaganych w specyfikacji t</w:t>
      </w:r>
      <w:r w:rsidR="00EE45E3">
        <w:t>e</w:t>
      </w:r>
      <w:r>
        <w:t>chnicznej</w:t>
      </w:r>
      <w:r w:rsidR="00EE45E3">
        <w:t>.</w:t>
      </w:r>
    </w:p>
    <w:p w14:paraId="215D1CF4" w14:textId="77777777" w:rsidR="00EE45E3" w:rsidRPr="0048259D" w:rsidRDefault="00EE45E3" w:rsidP="00EE45E3">
      <w:pPr>
        <w:jc w:val="both"/>
        <w:rPr>
          <w:b/>
          <w:bCs/>
          <w:sz w:val="28"/>
          <w:szCs w:val="28"/>
        </w:rPr>
      </w:pPr>
      <w:r w:rsidRPr="0048259D">
        <w:rPr>
          <w:b/>
          <w:bCs/>
          <w:sz w:val="28"/>
          <w:szCs w:val="28"/>
        </w:rPr>
        <w:t>10. Przepisy związane</w:t>
      </w:r>
    </w:p>
    <w:p w14:paraId="0C2C6E19" w14:textId="77777777" w:rsidR="00EE45E3" w:rsidRDefault="00EE45E3" w:rsidP="00EE45E3">
      <w:pPr>
        <w:pStyle w:val="Akapitzlist"/>
        <w:numPr>
          <w:ilvl w:val="0"/>
          <w:numId w:val="26"/>
        </w:numPr>
        <w:jc w:val="both"/>
      </w:pPr>
      <w:r>
        <w:t>Normy</w:t>
      </w:r>
    </w:p>
    <w:p w14:paraId="1F886410" w14:textId="77777777" w:rsidR="00EE45E3" w:rsidRDefault="00EE45E3" w:rsidP="00EE45E3">
      <w:pPr>
        <w:pStyle w:val="Akapitzlist"/>
        <w:ind w:left="2832" w:hanging="2112"/>
        <w:jc w:val="both"/>
      </w:pPr>
      <w:r>
        <w:lastRenderedPageBreak/>
        <w:t>PN-B-11113</w:t>
      </w:r>
      <w:r>
        <w:tab/>
        <w:t>Kruszywo mineralne. Kruszywo naturalne do nawierzchni drogowych: piasek</w:t>
      </w:r>
    </w:p>
    <w:p w14:paraId="4E738F61" w14:textId="77777777" w:rsidR="00EE45E3" w:rsidRDefault="00EE45E3" w:rsidP="00EE45E3">
      <w:pPr>
        <w:pStyle w:val="Akapitzlist"/>
        <w:ind w:left="2832" w:hanging="2112"/>
        <w:jc w:val="both"/>
      </w:pPr>
      <w:r>
        <w:t>BN-80/6775-03/01</w:t>
      </w:r>
      <w:r>
        <w:tab/>
        <w:t>Prefabrykaty budowlane z betonu. Elementy nawierzchni dróg, ulic, parkingów i torowisk tramwajowych. Wspólne wymagania i badania.</w:t>
      </w:r>
    </w:p>
    <w:p w14:paraId="425066B6" w14:textId="77777777" w:rsidR="00EE45E3" w:rsidRDefault="00EE45E3" w:rsidP="00EE45E3">
      <w:pPr>
        <w:pStyle w:val="Akapitzlist"/>
        <w:ind w:left="2832" w:hanging="2112"/>
        <w:jc w:val="both"/>
      </w:pPr>
      <w:r>
        <w:t>B N-80/6775-03/02</w:t>
      </w:r>
      <w:r>
        <w:tab/>
        <w:t>Prefabrykaty budowlane z betonu. Elementy nawierzchni dróg, ulic, parkingów i torowisk tramwajowych. Płyty drogowe.</w:t>
      </w:r>
    </w:p>
    <w:p w14:paraId="2181323B" w14:textId="77777777" w:rsidR="00EE45E3" w:rsidRDefault="00EE45E3" w:rsidP="00EE45E3">
      <w:pPr>
        <w:jc w:val="both"/>
      </w:pPr>
    </w:p>
    <w:p w14:paraId="7470BA4D" w14:textId="77777777" w:rsidR="00EE45E3" w:rsidRDefault="00EE45E3" w:rsidP="00EE45E3">
      <w:pPr>
        <w:jc w:val="both"/>
      </w:pPr>
    </w:p>
    <w:p w14:paraId="23A81702" w14:textId="77777777" w:rsidR="00EE45E3" w:rsidRDefault="00EE45E3" w:rsidP="00EE45E3">
      <w:pPr>
        <w:jc w:val="both"/>
      </w:pPr>
    </w:p>
    <w:p w14:paraId="02876519" w14:textId="77777777" w:rsidR="00EE45E3" w:rsidRDefault="00EE45E3" w:rsidP="00EE45E3">
      <w:pPr>
        <w:jc w:val="both"/>
      </w:pPr>
    </w:p>
    <w:p w14:paraId="1F3E1A7E" w14:textId="77777777" w:rsidR="00EE45E3" w:rsidRDefault="00EE45E3" w:rsidP="00EE45E3">
      <w:pPr>
        <w:jc w:val="both"/>
      </w:pPr>
    </w:p>
    <w:p w14:paraId="2C8B2646" w14:textId="77777777" w:rsidR="00EE45E3" w:rsidRPr="00EE45E3" w:rsidRDefault="00EE45E3" w:rsidP="00EE45E3">
      <w:pPr>
        <w:jc w:val="both"/>
        <w:rPr>
          <w:sz w:val="18"/>
          <w:szCs w:val="18"/>
        </w:rPr>
      </w:pPr>
      <w:proofErr w:type="spellStart"/>
      <w:r w:rsidRPr="00EE45E3">
        <w:rPr>
          <w:sz w:val="18"/>
          <w:szCs w:val="18"/>
        </w:rPr>
        <w:t>STWiOR</w:t>
      </w:r>
      <w:proofErr w:type="spellEnd"/>
      <w:r w:rsidRPr="00EE45E3">
        <w:rPr>
          <w:sz w:val="18"/>
          <w:szCs w:val="18"/>
        </w:rPr>
        <w:t xml:space="preserve"> wykonała: J.</w:t>
      </w:r>
      <w:r>
        <w:rPr>
          <w:sz w:val="18"/>
          <w:szCs w:val="18"/>
        </w:rPr>
        <w:t xml:space="preserve"> </w:t>
      </w:r>
      <w:r w:rsidRPr="00EE45E3">
        <w:rPr>
          <w:sz w:val="18"/>
          <w:szCs w:val="18"/>
        </w:rPr>
        <w:t>Byczkowska</w:t>
      </w:r>
    </w:p>
    <w:p w14:paraId="71481562" w14:textId="77777777" w:rsidR="00EE45E3" w:rsidRDefault="00EE45E3" w:rsidP="00EE45E3">
      <w:pPr>
        <w:jc w:val="both"/>
      </w:pPr>
    </w:p>
    <w:p w14:paraId="75693527" w14:textId="77777777" w:rsidR="00E16B8B" w:rsidRDefault="00E16B8B" w:rsidP="00EE45E3">
      <w:pPr>
        <w:jc w:val="both"/>
      </w:pPr>
    </w:p>
    <w:p w14:paraId="60291061" w14:textId="77777777" w:rsidR="002E5125" w:rsidRDefault="002E5125" w:rsidP="00EE45E3">
      <w:pPr>
        <w:jc w:val="both"/>
      </w:pPr>
    </w:p>
    <w:sectPr w:rsidR="002E5125" w:rsidSect="00A4206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77A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740499"/>
    <w:multiLevelType w:val="hybridMultilevel"/>
    <w:tmpl w:val="0690F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E6F81"/>
    <w:multiLevelType w:val="hybridMultilevel"/>
    <w:tmpl w:val="0FB4B9AC"/>
    <w:lvl w:ilvl="0" w:tplc="0D864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B75A8"/>
    <w:multiLevelType w:val="multilevel"/>
    <w:tmpl w:val="0B8A2E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53E2913"/>
    <w:multiLevelType w:val="hybridMultilevel"/>
    <w:tmpl w:val="FD9E18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A4FEF"/>
    <w:multiLevelType w:val="hybridMultilevel"/>
    <w:tmpl w:val="70F268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B96156"/>
    <w:multiLevelType w:val="hybridMultilevel"/>
    <w:tmpl w:val="D09A38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02AE4"/>
    <w:multiLevelType w:val="hybridMultilevel"/>
    <w:tmpl w:val="3BAC8FDE"/>
    <w:lvl w:ilvl="0" w:tplc="FB3AAC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21B74"/>
    <w:multiLevelType w:val="hybridMultilevel"/>
    <w:tmpl w:val="FADEBECE"/>
    <w:lvl w:ilvl="0" w:tplc="BE8EE9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0648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E85DEF"/>
    <w:multiLevelType w:val="hybridMultilevel"/>
    <w:tmpl w:val="97FC2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A0D81"/>
    <w:multiLevelType w:val="hybridMultilevel"/>
    <w:tmpl w:val="8BD86DE0"/>
    <w:lvl w:ilvl="0" w:tplc="BE8EE9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D49B3"/>
    <w:multiLevelType w:val="hybridMultilevel"/>
    <w:tmpl w:val="1D849F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0FB0EBC"/>
    <w:multiLevelType w:val="hybridMultilevel"/>
    <w:tmpl w:val="79B47684"/>
    <w:lvl w:ilvl="0" w:tplc="CF2099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DA4C530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7D013D"/>
    <w:multiLevelType w:val="hybridMultilevel"/>
    <w:tmpl w:val="8138C4B4"/>
    <w:lvl w:ilvl="0" w:tplc="6A107F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F4E4C"/>
    <w:multiLevelType w:val="hybridMultilevel"/>
    <w:tmpl w:val="E1A29532"/>
    <w:lvl w:ilvl="0" w:tplc="8BE65E00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843C5"/>
    <w:multiLevelType w:val="hybridMultilevel"/>
    <w:tmpl w:val="2786A5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F9A51C8"/>
    <w:multiLevelType w:val="hybridMultilevel"/>
    <w:tmpl w:val="62863B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1E57F2"/>
    <w:multiLevelType w:val="hybridMultilevel"/>
    <w:tmpl w:val="39D29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4C530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92125D"/>
    <w:multiLevelType w:val="hybridMultilevel"/>
    <w:tmpl w:val="70AE41F6"/>
    <w:lvl w:ilvl="0" w:tplc="91D63F0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A0435B"/>
    <w:multiLevelType w:val="hybridMultilevel"/>
    <w:tmpl w:val="702CA4C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647E13F2"/>
    <w:multiLevelType w:val="hybridMultilevel"/>
    <w:tmpl w:val="B00E7A76"/>
    <w:lvl w:ilvl="0" w:tplc="91D63F0A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B7D61"/>
    <w:multiLevelType w:val="hybridMultilevel"/>
    <w:tmpl w:val="85601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52D6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25C061E"/>
    <w:multiLevelType w:val="hybridMultilevel"/>
    <w:tmpl w:val="AACA7D2C"/>
    <w:lvl w:ilvl="0" w:tplc="FAC02F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D2B16"/>
    <w:multiLevelType w:val="hybridMultilevel"/>
    <w:tmpl w:val="26923470"/>
    <w:lvl w:ilvl="0" w:tplc="BE8EE9E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8797A16"/>
    <w:multiLevelType w:val="hybridMultilevel"/>
    <w:tmpl w:val="E0524842"/>
    <w:lvl w:ilvl="0" w:tplc="BE8EE9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7832D8"/>
    <w:multiLevelType w:val="hybridMultilevel"/>
    <w:tmpl w:val="AE6628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AC34BFF"/>
    <w:multiLevelType w:val="hybridMultilevel"/>
    <w:tmpl w:val="83F6E8AE"/>
    <w:lvl w:ilvl="0" w:tplc="BE8EE9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33354">
    <w:abstractNumId w:val="22"/>
  </w:num>
  <w:num w:numId="2" w16cid:durableId="2061591469">
    <w:abstractNumId w:val="0"/>
  </w:num>
  <w:num w:numId="3" w16cid:durableId="1881547151">
    <w:abstractNumId w:val="17"/>
  </w:num>
  <w:num w:numId="4" w16cid:durableId="367923611">
    <w:abstractNumId w:val="18"/>
  </w:num>
  <w:num w:numId="5" w16cid:durableId="718405985">
    <w:abstractNumId w:val="1"/>
  </w:num>
  <w:num w:numId="6" w16cid:durableId="243728517">
    <w:abstractNumId w:val="15"/>
  </w:num>
  <w:num w:numId="7" w16cid:durableId="71239857">
    <w:abstractNumId w:val="13"/>
  </w:num>
  <w:num w:numId="8" w16cid:durableId="29767361">
    <w:abstractNumId w:val="9"/>
  </w:num>
  <w:num w:numId="9" w16cid:durableId="94178379">
    <w:abstractNumId w:val="23"/>
  </w:num>
  <w:num w:numId="10" w16cid:durableId="1530992259">
    <w:abstractNumId w:val="3"/>
  </w:num>
  <w:num w:numId="11" w16cid:durableId="1422338089">
    <w:abstractNumId w:val="6"/>
  </w:num>
  <w:num w:numId="12" w16cid:durableId="1636984975">
    <w:abstractNumId w:val="10"/>
  </w:num>
  <w:num w:numId="13" w16cid:durableId="491144844">
    <w:abstractNumId w:val="4"/>
  </w:num>
  <w:num w:numId="14" w16cid:durableId="2076706455">
    <w:abstractNumId w:val="24"/>
  </w:num>
  <w:num w:numId="15" w16cid:durableId="2109500745">
    <w:abstractNumId w:val="5"/>
  </w:num>
  <w:num w:numId="16" w16cid:durableId="112091999">
    <w:abstractNumId w:val="20"/>
  </w:num>
  <w:num w:numId="17" w16cid:durableId="1189829465">
    <w:abstractNumId w:val="21"/>
  </w:num>
  <w:num w:numId="18" w16cid:durableId="413015949">
    <w:abstractNumId w:val="2"/>
  </w:num>
  <w:num w:numId="19" w16cid:durableId="268002338">
    <w:abstractNumId w:val="19"/>
  </w:num>
  <w:num w:numId="20" w16cid:durableId="1663124672">
    <w:abstractNumId w:val="16"/>
  </w:num>
  <w:num w:numId="21" w16cid:durableId="1782215287">
    <w:abstractNumId w:val="14"/>
  </w:num>
  <w:num w:numId="22" w16cid:durableId="94399433">
    <w:abstractNumId w:val="28"/>
  </w:num>
  <w:num w:numId="23" w16cid:durableId="329718239">
    <w:abstractNumId w:val="7"/>
  </w:num>
  <w:num w:numId="24" w16cid:durableId="839658604">
    <w:abstractNumId w:val="27"/>
  </w:num>
  <w:num w:numId="25" w16cid:durableId="1460033204">
    <w:abstractNumId w:val="12"/>
  </w:num>
  <w:num w:numId="26" w16cid:durableId="962227245">
    <w:abstractNumId w:val="11"/>
  </w:num>
  <w:num w:numId="27" w16cid:durableId="42408056">
    <w:abstractNumId w:val="8"/>
  </w:num>
  <w:num w:numId="28" w16cid:durableId="1774470866">
    <w:abstractNumId w:val="25"/>
  </w:num>
  <w:num w:numId="29" w16cid:durableId="9244114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125"/>
    <w:rsid w:val="00005F3D"/>
    <w:rsid w:val="000377CC"/>
    <w:rsid w:val="00081881"/>
    <w:rsid w:val="000E1D9F"/>
    <w:rsid w:val="000F3FBA"/>
    <w:rsid w:val="00116A54"/>
    <w:rsid w:val="00133FAA"/>
    <w:rsid w:val="001B10DF"/>
    <w:rsid w:val="001C6928"/>
    <w:rsid w:val="002170FA"/>
    <w:rsid w:val="00285FC9"/>
    <w:rsid w:val="002A7E59"/>
    <w:rsid w:val="002D2883"/>
    <w:rsid w:val="002E5125"/>
    <w:rsid w:val="002F725A"/>
    <w:rsid w:val="00375A9C"/>
    <w:rsid w:val="003B36B1"/>
    <w:rsid w:val="003B61BF"/>
    <w:rsid w:val="003F7EC6"/>
    <w:rsid w:val="0048259D"/>
    <w:rsid w:val="00486569"/>
    <w:rsid w:val="0049222D"/>
    <w:rsid w:val="00514E24"/>
    <w:rsid w:val="00534612"/>
    <w:rsid w:val="005359F6"/>
    <w:rsid w:val="00541E0C"/>
    <w:rsid w:val="0054369A"/>
    <w:rsid w:val="00556494"/>
    <w:rsid w:val="005706B4"/>
    <w:rsid w:val="00574352"/>
    <w:rsid w:val="00595FFA"/>
    <w:rsid w:val="005A05A2"/>
    <w:rsid w:val="005B777D"/>
    <w:rsid w:val="005E37A8"/>
    <w:rsid w:val="005E5F81"/>
    <w:rsid w:val="005F2B39"/>
    <w:rsid w:val="00607ADF"/>
    <w:rsid w:val="006116EB"/>
    <w:rsid w:val="00614AE7"/>
    <w:rsid w:val="006916A0"/>
    <w:rsid w:val="006C2B78"/>
    <w:rsid w:val="006C7DDD"/>
    <w:rsid w:val="00700CAA"/>
    <w:rsid w:val="00701AA1"/>
    <w:rsid w:val="0071029D"/>
    <w:rsid w:val="00781AE3"/>
    <w:rsid w:val="007B5F0E"/>
    <w:rsid w:val="007B62FD"/>
    <w:rsid w:val="007C7859"/>
    <w:rsid w:val="00836C7C"/>
    <w:rsid w:val="008403A7"/>
    <w:rsid w:val="00880428"/>
    <w:rsid w:val="0088308E"/>
    <w:rsid w:val="008B0B66"/>
    <w:rsid w:val="008D0307"/>
    <w:rsid w:val="00916446"/>
    <w:rsid w:val="00922E67"/>
    <w:rsid w:val="00927226"/>
    <w:rsid w:val="00967ED5"/>
    <w:rsid w:val="009A1A45"/>
    <w:rsid w:val="009F155D"/>
    <w:rsid w:val="00A136D0"/>
    <w:rsid w:val="00A27077"/>
    <w:rsid w:val="00A351A8"/>
    <w:rsid w:val="00A42069"/>
    <w:rsid w:val="00A503B9"/>
    <w:rsid w:val="00A85183"/>
    <w:rsid w:val="00AE545E"/>
    <w:rsid w:val="00B17083"/>
    <w:rsid w:val="00B17FF8"/>
    <w:rsid w:val="00B6372F"/>
    <w:rsid w:val="00B6579C"/>
    <w:rsid w:val="00B86957"/>
    <w:rsid w:val="00BA4ACC"/>
    <w:rsid w:val="00BC2AB7"/>
    <w:rsid w:val="00BD042D"/>
    <w:rsid w:val="00BE6CE1"/>
    <w:rsid w:val="00C2363C"/>
    <w:rsid w:val="00CD5DF3"/>
    <w:rsid w:val="00D11B94"/>
    <w:rsid w:val="00D34004"/>
    <w:rsid w:val="00D55682"/>
    <w:rsid w:val="00D812B1"/>
    <w:rsid w:val="00DE1627"/>
    <w:rsid w:val="00E11149"/>
    <w:rsid w:val="00E16B8B"/>
    <w:rsid w:val="00E23CCC"/>
    <w:rsid w:val="00EB758C"/>
    <w:rsid w:val="00EE45E3"/>
    <w:rsid w:val="00EF20C0"/>
    <w:rsid w:val="00F30722"/>
    <w:rsid w:val="00F95E4C"/>
    <w:rsid w:val="00FC3AC9"/>
    <w:rsid w:val="00FD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6D874"/>
  <w15:docId w15:val="{5CE38D15-2BA1-41B3-9F1C-67907EA2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722"/>
  </w:style>
  <w:style w:type="paragraph" w:styleId="Nagwek1">
    <w:name w:val="heading 1"/>
    <w:basedOn w:val="Normalny"/>
    <w:next w:val="Normalny"/>
    <w:link w:val="Nagwek1Znak"/>
    <w:uiPriority w:val="9"/>
    <w:qFormat/>
    <w:rsid w:val="00F30722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0722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072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072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072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072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072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072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072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2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30722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0722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0722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0722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0722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0722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0722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0722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0722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3072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30722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F30722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0722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0722"/>
    <w:rPr>
      <w:caps/>
      <w:color w:val="404040" w:themeColor="text1" w:themeTint="BF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F30722"/>
    <w:rPr>
      <w:b/>
      <w:bCs/>
    </w:rPr>
  </w:style>
  <w:style w:type="character" w:styleId="Uwydatnienie">
    <w:name w:val="Emphasis"/>
    <w:basedOn w:val="Domylnaczcionkaakapitu"/>
    <w:uiPriority w:val="20"/>
    <w:qFormat/>
    <w:rsid w:val="00F30722"/>
    <w:rPr>
      <w:i/>
      <w:iCs/>
      <w:color w:val="000000" w:themeColor="text1"/>
    </w:rPr>
  </w:style>
  <w:style w:type="paragraph" w:styleId="Bezodstpw">
    <w:name w:val="No Spacing"/>
    <w:uiPriority w:val="1"/>
    <w:qFormat/>
    <w:rsid w:val="00F3072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30722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3072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0722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0722"/>
    <w:rPr>
      <w:rFonts w:asciiTheme="majorHAnsi" w:eastAsiaTheme="majorEastAsia" w:hAnsiTheme="majorHAnsi" w:cstheme="majorBidi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3072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F30722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woaniedelikatne">
    <w:name w:val="Subtle Reference"/>
    <w:basedOn w:val="Domylnaczcionkaakapitu"/>
    <w:uiPriority w:val="31"/>
    <w:qFormat/>
    <w:rsid w:val="00F3072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30722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F30722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30722"/>
    <w:pPr>
      <w:outlineLvl w:val="9"/>
    </w:pPr>
  </w:style>
  <w:style w:type="table" w:styleId="Tabela-Siatka">
    <w:name w:val="Table Grid"/>
    <w:basedOn w:val="Standardowy"/>
    <w:uiPriority w:val="39"/>
    <w:rsid w:val="001C6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5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C1D-5BA3-4F0E-8B77-1B9DBBC15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</Pages>
  <Words>2035</Words>
  <Characters>12214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j.byczkowska</dc:creator>
  <cp:keywords/>
  <dc:description/>
  <cp:lastModifiedBy>j.byczkowska</cp:lastModifiedBy>
  <cp:revision>46</cp:revision>
  <cp:lastPrinted>2025-02-11T11:21:00Z</cp:lastPrinted>
  <dcterms:created xsi:type="dcterms:W3CDTF">2021-01-19T09:04:00Z</dcterms:created>
  <dcterms:modified xsi:type="dcterms:W3CDTF">2025-02-11T11:22:00Z</dcterms:modified>
</cp:coreProperties>
</file>