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086E" w14:textId="77777777" w:rsidR="00403673" w:rsidRDefault="00000000">
      <w:pPr>
        <w:spacing w:before="0" w:after="120" w:line="240" w:lineRule="auto"/>
        <w:jc w:val="right"/>
        <w:rPr>
          <w:rFonts w:cstheme="minorHAnsi"/>
          <w:sz w:val="24"/>
          <w:szCs w:val="24"/>
        </w:rPr>
      </w:pPr>
      <w:r>
        <w:rPr>
          <w:rFonts w:cstheme="minorHAnsi"/>
          <w:sz w:val="24"/>
          <w:szCs w:val="24"/>
        </w:rPr>
        <w:t>Załącznik nr 1 b</w:t>
      </w:r>
    </w:p>
    <w:p w14:paraId="3FC564C3" w14:textId="77777777" w:rsidR="00403673" w:rsidRDefault="00000000">
      <w:pPr>
        <w:spacing w:before="0" w:after="120" w:line="240" w:lineRule="auto"/>
        <w:rPr>
          <w:rFonts w:cstheme="minorHAnsi"/>
          <w:sz w:val="24"/>
          <w:szCs w:val="24"/>
        </w:rPr>
      </w:pPr>
      <w:r>
        <w:rPr>
          <w:rFonts w:cstheme="minorHAnsi"/>
          <w:sz w:val="24"/>
          <w:szCs w:val="24"/>
        </w:rPr>
        <w:t>ZP.272.3.2025</w:t>
      </w:r>
    </w:p>
    <w:p w14:paraId="12B76FF9" w14:textId="77777777" w:rsidR="00403673" w:rsidRDefault="00403673">
      <w:pPr>
        <w:spacing w:before="0" w:after="120" w:line="240" w:lineRule="auto"/>
        <w:rPr>
          <w:rFonts w:cstheme="minorHAnsi"/>
          <w:sz w:val="24"/>
          <w:szCs w:val="24"/>
        </w:rPr>
      </w:pPr>
    </w:p>
    <w:p w14:paraId="224F62D9" w14:textId="77777777" w:rsidR="00403673" w:rsidRDefault="00000000">
      <w:pPr>
        <w:spacing w:before="0" w:after="120" w:line="240" w:lineRule="auto"/>
        <w:jc w:val="center"/>
        <w:rPr>
          <w:rFonts w:cstheme="minorHAnsi"/>
          <w:sz w:val="24"/>
          <w:szCs w:val="24"/>
        </w:rPr>
      </w:pPr>
      <w:r>
        <w:rPr>
          <w:rFonts w:cstheme="minorHAnsi"/>
          <w:sz w:val="24"/>
          <w:szCs w:val="24"/>
        </w:rPr>
        <w:t>Opis Przedmiotu Zamówienia</w:t>
      </w:r>
    </w:p>
    <w:p w14:paraId="5A8FEBEF" w14:textId="77777777" w:rsidR="00403673" w:rsidRDefault="00403673">
      <w:pPr>
        <w:spacing w:before="0" w:after="120" w:line="240" w:lineRule="auto"/>
        <w:rPr>
          <w:rFonts w:cstheme="minorHAnsi"/>
          <w:sz w:val="24"/>
          <w:szCs w:val="24"/>
        </w:rPr>
      </w:pPr>
    </w:p>
    <w:p w14:paraId="5E5B0624" w14:textId="77777777" w:rsidR="00403673" w:rsidRDefault="00000000">
      <w:pPr>
        <w:spacing w:before="0" w:after="120" w:line="240" w:lineRule="auto"/>
        <w:rPr>
          <w:rFonts w:cstheme="minorHAnsi"/>
          <w:sz w:val="24"/>
          <w:szCs w:val="24"/>
        </w:rPr>
      </w:pPr>
      <w:r>
        <w:rPr>
          <w:rFonts w:cstheme="minorHAnsi"/>
          <w:sz w:val="24"/>
          <w:szCs w:val="24"/>
        </w:rPr>
        <w:t xml:space="preserve">dla postępowania pn. </w:t>
      </w:r>
      <w:r>
        <w:rPr>
          <w:rFonts w:cstheme="minorHAnsi"/>
          <w:b/>
          <w:bCs/>
          <w:sz w:val="24"/>
          <w:szCs w:val="24"/>
        </w:rPr>
        <w:t xml:space="preserve">Realizacja usług rehabilitanta i dietetyka w ramach projektu Pomocna Dłoń dla powiatu lwóweckiego – usługi opiekuńcze dla osób wymagających wsparcia </w:t>
      </w:r>
      <w:r>
        <w:rPr>
          <w:rFonts w:cstheme="minorHAnsi"/>
          <w:sz w:val="24"/>
          <w:szCs w:val="24"/>
        </w:rPr>
        <w:t xml:space="preserve">Części 2 Usługi dietetyka </w:t>
      </w:r>
    </w:p>
    <w:p w14:paraId="65077682" w14:textId="77777777" w:rsidR="00403673" w:rsidRDefault="00403673">
      <w:pPr>
        <w:spacing w:before="0" w:after="120" w:line="240" w:lineRule="auto"/>
        <w:rPr>
          <w:rFonts w:cstheme="minorHAnsi"/>
          <w:sz w:val="24"/>
          <w:szCs w:val="24"/>
        </w:rPr>
      </w:pPr>
    </w:p>
    <w:p w14:paraId="6A5A347D"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Przedmiotem zamówienia jest świadczenie usług opieki dietetycznej na rzecz osób wymagających wsparcia z terenu Powiatu Lwóweckiego. </w:t>
      </w:r>
    </w:p>
    <w:p w14:paraId="219C8265"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Zamawiający informuje, że osoby objęte wsparciem zamieszkują na obszarze całego powiatu w tym również na obszarach wiejskich o utrudnionej komunikacji.</w:t>
      </w:r>
    </w:p>
    <w:p w14:paraId="0C430E26"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Przez usługi opieki dietetycznej należy rozumieć usługi dostosowane do szczególnych potrzeb osób, które z powodu wieku, choroby lub innych przyczyn wymagają pomocy świadczone przez osoby z wykształceniem kierunkowym. </w:t>
      </w:r>
    </w:p>
    <w:p w14:paraId="038276CA"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Miejscem wykonywania usług jest miejsce zamieszkania świadczeniobiorcy.</w:t>
      </w:r>
    </w:p>
    <w:p w14:paraId="3F13D297"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Przewidywana ilość godzin usług w okresie wykonywania zamówienia wyniesie około:</w:t>
      </w:r>
    </w:p>
    <w:p w14:paraId="7682AEF6" w14:textId="77777777" w:rsidR="00403673" w:rsidRDefault="00000000">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1210 godzin rocznie w roku 2025,</w:t>
      </w:r>
    </w:p>
    <w:p w14:paraId="0E7F17D8" w14:textId="77777777" w:rsidR="00403673" w:rsidRDefault="00000000">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660 godzin rocznie w roku 2026</w:t>
      </w:r>
    </w:p>
    <w:p w14:paraId="3CC27257"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Przewidywana liczba świadczeniobiorców: do 55 osób, </w:t>
      </w:r>
      <w:bookmarkStart w:id="0" w:name="_Hlk189054020"/>
      <w:r>
        <w:rPr>
          <w:rFonts w:eastAsiaTheme="majorEastAsia" w:cstheme="minorHAnsi"/>
          <w:bCs/>
          <w:sz w:val="24"/>
          <w:szCs w:val="24"/>
          <w:lang w:eastAsia="en-US"/>
        </w:rPr>
        <w:t>w tym dzieci i młodzieży</w:t>
      </w:r>
      <w:bookmarkEnd w:id="0"/>
      <w:r>
        <w:rPr>
          <w:rFonts w:eastAsiaTheme="majorEastAsia" w:cstheme="minorHAnsi"/>
          <w:bCs/>
          <w:sz w:val="24"/>
          <w:szCs w:val="24"/>
          <w:lang w:eastAsia="en-US"/>
        </w:rPr>
        <w:t>.</w:t>
      </w:r>
    </w:p>
    <w:p w14:paraId="0AA94847" w14:textId="1C88C128"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bookmarkStart w:id="1" w:name="_Hlk189054158"/>
      <w:r>
        <w:rPr>
          <w:rFonts w:eastAsiaTheme="majorEastAsia" w:cstheme="minorHAnsi"/>
          <w:bCs/>
          <w:sz w:val="24"/>
          <w:szCs w:val="24"/>
          <w:lang w:eastAsia="en-US"/>
        </w:rPr>
        <w:t xml:space="preserve">Wymiar czasu świadczenia usługi nad jedną osobą objętą wsparciem wynosi </w:t>
      </w:r>
      <w:r w:rsidR="00CD738E">
        <w:rPr>
          <w:rFonts w:eastAsiaTheme="majorEastAsia" w:cstheme="minorHAnsi"/>
          <w:bCs/>
          <w:sz w:val="24"/>
          <w:szCs w:val="24"/>
          <w:lang w:eastAsia="en-US"/>
        </w:rPr>
        <w:t xml:space="preserve">około </w:t>
      </w:r>
      <w:r>
        <w:rPr>
          <w:rFonts w:eastAsiaTheme="majorEastAsia" w:cstheme="minorHAnsi"/>
          <w:bCs/>
          <w:sz w:val="24"/>
          <w:szCs w:val="24"/>
          <w:lang w:eastAsia="en-US"/>
        </w:rPr>
        <w:t xml:space="preserve">2 godzin miesięcznie. </w:t>
      </w:r>
      <w:bookmarkEnd w:id="1"/>
    </w:p>
    <w:p w14:paraId="1B468903"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Ze względu na specyfikę przedmiotu zamówienia Zamawiający zastrzega sobie możliwość zmiany ilości osób korzystających z usług opiekuńczych w okresie obowiązywania umowy.</w:t>
      </w:r>
    </w:p>
    <w:p w14:paraId="7C02FAEC" w14:textId="308667A1"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Liczba godzin może ulec zmianie w zależności od kształtowania się liczby świadczeniobiorców lub rzeczywistych potrzeb, a także w sytuacjach wynikających z przyczyn nie leżących po stronie Zamawiającego, których nie jest w stanie przewidzieć, a zatem Zamawiający zastrzega sobie możliwość znacznej zmiany ilości osób </w:t>
      </w:r>
      <w:r w:rsidR="00917BED">
        <w:rPr>
          <w:rFonts w:eastAsiaTheme="majorEastAsia" w:cstheme="minorHAnsi"/>
          <w:bCs/>
          <w:sz w:val="24"/>
          <w:szCs w:val="24"/>
          <w:lang w:eastAsia="en-US"/>
        </w:rPr>
        <w:t>objętych wsparciem</w:t>
      </w:r>
      <w:r>
        <w:rPr>
          <w:rFonts w:eastAsiaTheme="majorEastAsia" w:cstheme="minorHAnsi"/>
          <w:bCs/>
          <w:sz w:val="24"/>
          <w:szCs w:val="24"/>
          <w:lang w:eastAsia="en-US"/>
        </w:rPr>
        <w:t xml:space="preserve"> w okresie obowiązywania umowy.</w:t>
      </w:r>
    </w:p>
    <w:p w14:paraId="196130D7"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Usługi opieki dietetycznej obejmują w szczególności:</w:t>
      </w:r>
    </w:p>
    <w:p w14:paraId="409B5A62" w14:textId="77777777" w:rsidR="00403673" w:rsidRDefault="00000000">
      <w:pPr>
        <w:pStyle w:val="Akapitzlist"/>
        <w:numPr>
          <w:ilvl w:val="5"/>
          <w:numId w:val="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Przeprowadzenie wywiadu żywieniowego i analizy dotychczasowych nawyków żywieniowych:</w:t>
      </w:r>
    </w:p>
    <w:p w14:paraId="22E736DF"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analiza masy i składu ciała,</w:t>
      </w:r>
    </w:p>
    <w:p w14:paraId="1B30D79D"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szczegółowy wywiad medyczny i żywieniowy,</w:t>
      </w:r>
    </w:p>
    <w:p w14:paraId="3BCC6A44"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analiza wyników badań laboratoryjnych,</w:t>
      </w:r>
    </w:p>
    <w:p w14:paraId="2C159071"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wstępnym omówieniem problemu,</w:t>
      </w:r>
    </w:p>
    <w:p w14:paraId="5252FB71" w14:textId="77777777" w:rsidR="00403673" w:rsidRDefault="00000000">
      <w:pPr>
        <w:pStyle w:val="Akapitzlist"/>
        <w:numPr>
          <w:ilvl w:val="5"/>
          <w:numId w:val="5"/>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wstępnym ustaleniem celów dietetycznych,</w:t>
      </w:r>
    </w:p>
    <w:p w14:paraId="711987CB" w14:textId="77777777" w:rsidR="00305B44" w:rsidRPr="00305B44" w:rsidRDefault="00305B44" w:rsidP="00305B44">
      <w:pPr>
        <w:rPr>
          <w:lang w:eastAsia="en-US"/>
        </w:rPr>
      </w:pPr>
    </w:p>
    <w:p w14:paraId="54850753" w14:textId="77777777" w:rsidR="00403673" w:rsidRDefault="00000000">
      <w:pPr>
        <w:pStyle w:val="Akapitzlist"/>
        <w:numPr>
          <w:ilvl w:val="5"/>
          <w:numId w:val="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Opracowanie zaleceń dietetycznych, dostosowanych do stanu zdrowia pacjenta</w:t>
      </w:r>
    </w:p>
    <w:p w14:paraId="0E76DCDD" w14:textId="77777777" w:rsidR="00403673" w:rsidRDefault="00000000">
      <w:pPr>
        <w:pStyle w:val="Akapitzlist"/>
        <w:numPr>
          <w:ilvl w:val="5"/>
          <w:numId w:val="6"/>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wyznaczeniem priorytetów w pracy nad nawykami,</w:t>
      </w:r>
    </w:p>
    <w:p w14:paraId="0103B85F" w14:textId="77777777" w:rsidR="00403673" w:rsidRDefault="00000000">
      <w:pPr>
        <w:pStyle w:val="Akapitzlist"/>
        <w:numPr>
          <w:ilvl w:val="5"/>
          <w:numId w:val="6"/>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 xml:space="preserve">opracowanie okresowych jadłospisów uwzględniających indywidualne nawyki świadczeniobiorcy, </w:t>
      </w:r>
    </w:p>
    <w:p w14:paraId="06C4BCD4" w14:textId="77777777" w:rsidR="00403673" w:rsidRDefault="00000000">
      <w:pPr>
        <w:pStyle w:val="Akapitzlist"/>
        <w:numPr>
          <w:ilvl w:val="5"/>
          <w:numId w:val="6"/>
        </w:numPr>
        <w:spacing w:before="120" w:after="120" w:line="268" w:lineRule="auto"/>
        <w:ind w:left="1418"/>
        <w:jc w:val="both"/>
        <w:rPr>
          <w:rFonts w:eastAsiaTheme="majorEastAsia" w:cstheme="minorHAnsi"/>
          <w:bCs/>
          <w:sz w:val="24"/>
          <w:szCs w:val="24"/>
          <w:lang w:eastAsia="en-US"/>
        </w:rPr>
      </w:pPr>
      <w:r>
        <w:rPr>
          <w:rFonts w:eastAsiaTheme="majorEastAsia" w:cstheme="minorHAnsi"/>
          <w:bCs/>
          <w:sz w:val="24"/>
          <w:szCs w:val="24"/>
          <w:lang w:eastAsia="en-US"/>
        </w:rPr>
        <w:t xml:space="preserve">okres na jaki będzie ustalany jadłospis musi obejmować czas między wizytami, </w:t>
      </w:r>
    </w:p>
    <w:p w14:paraId="448CB9DA" w14:textId="77777777" w:rsidR="00403673" w:rsidRDefault="00000000">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inne wynikające z indywidualnych potrzeb osoby korzystającej z usług.</w:t>
      </w:r>
    </w:p>
    <w:p w14:paraId="65C2C54F"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Zasady realizacji usług dietetycznych:</w:t>
      </w:r>
    </w:p>
    <w:p w14:paraId="7C185970" w14:textId="77777777"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usługi dietetyka świadczone będą przez Wykonawcę w stosunku do osób zgłaszanych na podstawie rekrutacji przeprowadzonej przez Zamawiającego, wraz ze wskazaniem terminu wykonywania oraz zakresu,</w:t>
      </w:r>
    </w:p>
    <w:p w14:paraId="4D2C138D" w14:textId="77777777"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Wykonawca organizuje usługi u wskazanej osoby w terminie określonym w zgłoszeniu, </w:t>
      </w:r>
    </w:p>
    <w:p w14:paraId="2EF6D76C" w14:textId="77777777"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Wykonawca jest zobowiązany świadczyć usługi dietetyka przy pomocy co najmniej 1 zatrudnionych </w:t>
      </w:r>
      <w:proofErr w:type="spellStart"/>
      <w:r>
        <w:rPr>
          <w:rFonts w:eastAsiaTheme="majorEastAsia" w:cstheme="minorHAnsi"/>
          <w:bCs/>
          <w:sz w:val="24"/>
          <w:szCs w:val="24"/>
          <w:lang w:eastAsia="en-US"/>
        </w:rPr>
        <w:t>dieteyka</w:t>
      </w:r>
      <w:proofErr w:type="spellEnd"/>
      <w:r>
        <w:rPr>
          <w:rFonts w:eastAsiaTheme="majorEastAsia" w:cstheme="minorHAnsi"/>
          <w:bCs/>
          <w:sz w:val="24"/>
          <w:szCs w:val="24"/>
          <w:lang w:eastAsia="en-US"/>
        </w:rPr>
        <w:t xml:space="preserve">, Zamawiający dopuszcza możliwość zatrudnienia w formie umowy cywilno-prawnej, </w:t>
      </w:r>
    </w:p>
    <w:p w14:paraId="4EB323D9" w14:textId="31085723" w:rsidR="00403673" w:rsidRDefault="00000000">
      <w:pPr>
        <w:pStyle w:val="Akapitzlist"/>
        <w:numPr>
          <w:ilvl w:val="5"/>
          <w:numId w:val="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Każdy z dietetyków może świadczyć maksymalnie 110 godzin opieki w miesiącu, </w:t>
      </w:r>
      <w:bookmarkStart w:id="2" w:name="_Hlk189138815"/>
      <w:r w:rsidR="00917BED">
        <w:rPr>
          <w:rFonts w:eastAsiaTheme="majorEastAsia" w:cstheme="minorHAnsi"/>
          <w:bCs/>
          <w:sz w:val="24"/>
          <w:szCs w:val="24"/>
          <w:lang w:eastAsia="en-US"/>
        </w:rPr>
        <w:t>z zastrzeżeniem punktu 16 i 17,</w:t>
      </w:r>
      <w:bookmarkEnd w:id="2"/>
    </w:p>
    <w:p w14:paraId="49731EF6"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Wykonawca zobowiązany jest przez cały okres, na jaki zostanie zawarta Umowa, posiadać ubezpieczenie od odpowiedzialności cywilnej w zakresie prowadzonej działalności związanej z przedmiotem zamówienia na sumę gwarancyjną nie mniejszą niż 100 000,00 zł (słownie: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6077A91E"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Ze względu na specyfikę przedmiotu zamówienia Zamawiający zastrzega sobie możliwość zmiany ilości osób korzystających z usług dietetyka w okresie obowiązywania umowy.</w:t>
      </w:r>
    </w:p>
    <w:p w14:paraId="699FD75C"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Zamawiający dopuszcza możliwość powierzenia realizacji przedmiotu zamówienia podwykonawcom. W takim przypadku Wykonawca odpowiada za ich działanie jak za swoje własne.</w:t>
      </w:r>
    </w:p>
    <w:p w14:paraId="3415E11B" w14:textId="77777777" w:rsidR="00403673" w:rsidRDefault="00000000">
      <w:pPr>
        <w:pStyle w:val="Akapitzlist"/>
        <w:numPr>
          <w:ilvl w:val="1"/>
          <w:numId w:val="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1Rozliczenie między stronami będzie prowadzone w trybie miesięcznym po zrealizowaniu usług na podstawie przedstawionej przez Wykonawcę faktury oraz załączonej wypełnionej karty wizyt opiekuna, której wzór znajduje się w Załączniku nr 7 do </w:t>
      </w:r>
      <w:proofErr w:type="spellStart"/>
      <w:r>
        <w:rPr>
          <w:rFonts w:eastAsiaTheme="majorEastAsia" w:cstheme="minorHAnsi"/>
          <w:bCs/>
          <w:sz w:val="24"/>
          <w:szCs w:val="24"/>
          <w:lang w:eastAsia="en-US"/>
        </w:rPr>
        <w:t>SWZ</w:t>
      </w:r>
      <w:proofErr w:type="spellEnd"/>
      <w:r>
        <w:rPr>
          <w:rFonts w:eastAsiaTheme="majorEastAsia" w:cstheme="minorHAnsi"/>
          <w:bCs/>
          <w:sz w:val="24"/>
          <w:szCs w:val="24"/>
          <w:lang w:eastAsia="en-US"/>
        </w:rPr>
        <w:t>.</w:t>
      </w:r>
    </w:p>
    <w:p w14:paraId="273E413D" w14:textId="77777777" w:rsidR="0058460D" w:rsidRPr="0058460D" w:rsidRDefault="0058460D" w:rsidP="0058460D">
      <w:pPr>
        <w:pStyle w:val="Akapitzlist"/>
        <w:numPr>
          <w:ilvl w:val="1"/>
          <w:numId w:val="2"/>
        </w:numPr>
        <w:rPr>
          <w:rFonts w:eastAsiaTheme="majorEastAsia" w:cstheme="minorHAnsi"/>
          <w:bCs/>
          <w:sz w:val="24"/>
          <w:szCs w:val="24"/>
          <w:lang w:eastAsia="en-US"/>
        </w:rPr>
      </w:pPr>
      <w:r w:rsidRPr="0058460D">
        <w:rPr>
          <w:rFonts w:eastAsiaTheme="majorEastAsia" w:cstheme="minorHAnsi"/>
          <w:bCs/>
          <w:sz w:val="24"/>
          <w:szCs w:val="24"/>
          <w:lang w:eastAsia="en-US"/>
        </w:rPr>
        <w:t>Zamawiający przewiduje możliwość wprowadzenia zmian obejmujących między innymi: wydłużenie okresu realizacji projektu, zwiększenia ilości osób objętych wsparciem, zmiana ilości godzin wsparcia itp. Po uprzednim wyrażeniu zgody przez Instytucję Zarządzającą.</w:t>
      </w:r>
    </w:p>
    <w:p w14:paraId="21A8CAFB" w14:textId="5393E6EC" w:rsidR="00403673" w:rsidRPr="00312D5D" w:rsidRDefault="00000000" w:rsidP="00312D5D">
      <w:pPr>
        <w:pStyle w:val="Akapitzlist"/>
        <w:numPr>
          <w:ilvl w:val="1"/>
          <w:numId w:val="2"/>
        </w:numPr>
        <w:spacing w:before="0" w:after="120" w:line="240" w:lineRule="auto"/>
        <w:ind w:left="426"/>
        <w:jc w:val="both"/>
        <w:rPr>
          <w:rFonts w:cstheme="minorHAnsi"/>
          <w:sz w:val="24"/>
          <w:szCs w:val="24"/>
        </w:rPr>
      </w:pPr>
      <w:r w:rsidRPr="00312D5D">
        <w:rPr>
          <w:rFonts w:eastAsiaTheme="majorEastAsia" w:cstheme="minorHAnsi"/>
          <w:bCs/>
          <w:sz w:val="24"/>
          <w:szCs w:val="24"/>
          <w:lang w:eastAsia="en-US"/>
        </w:rPr>
        <w:t>W przypadku zaistnienia sytuacji określonej w powyżej Zamawiający dopuszcza możliwość zawarcia aneksu Wydłużającego okres realizacji umowy.</w:t>
      </w:r>
    </w:p>
    <w:sectPr w:rsidR="00403673" w:rsidRPr="00312D5D">
      <w:headerReference w:type="default" r:id="rId8"/>
      <w:footerReference w:type="default" r:id="rId9"/>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980B" w14:textId="77777777" w:rsidR="0079177C" w:rsidRDefault="0079177C">
      <w:pPr>
        <w:spacing w:before="0" w:after="0" w:line="240" w:lineRule="auto"/>
      </w:pPr>
      <w:r>
        <w:separator/>
      </w:r>
    </w:p>
  </w:endnote>
  <w:endnote w:type="continuationSeparator" w:id="0">
    <w:p w14:paraId="3947EB67" w14:textId="77777777" w:rsidR="0079177C" w:rsidRDefault="007917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126170"/>
      <w:docPartObj>
        <w:docPartGallery w:val="Page Numbers (Top of Page)"/>
        <w:docPartUnique/>
      </w:docPartObj>
    </w:sdtPr>
    <w:sdtContent>
      <w:p w14:paraId="6F155183" w14:textId="77777777" w:rsidR="00403673"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w:t>
        </w:r>
        <w:r>
          <w:rPr>
            <w:b/>
            <w:bCs/>
            <w:sz w:val="16"/>
            <w:szCs w:val="16"/>
          </w:rPr>
          <w:fldChar w:fldCharType="end"/>
        </w:r>
      </w:p>
    </w:sdtContent>
  </w:sdt>
  <w:sdt>
    <w:sdtPr>
      <w:id w:val="1334954026"/>
      <w:docPartObj>
        <w:docPartGallery w:val="Page Numbers (Top of Page)"/>
        <w:docPartUnique/>
      </w:docPartObj>
    </w:sdtPr>
    <w:sdtContent>
      <w:p w14:paraId="1FE506A1" w14:textId="7D1D1023" w:rsidR="00403673" w:rsidRDefault="00000000">
        <w:pPr>
          <w:spacing w:before="0" w:after="0"/>
          <w:ind w:left="-142"/>
          <w:rPr>
            <w:sz w:val="16"/>
            <w:szCs w:val="16"/>
          </w:rPr>
        </w:pPr>
        <w:r>
          <w:rPr>
            <w:sz w:val="16"/>
            <w:szCs w:val="16"/>
          </w:rPr>
          <w:t xml:space="preserve">Sprawę prowadzi: Michał Mruk, e-mail: </w:t>
        </w:r>
        <w:hyperlink r:id="rId1">
          <w:r w:rsidR="00403673">
            <w:rPr>
              <w:rStyle w:val="czeinternetowe"/>
              <w:sz w:val="16"/>
              <w:szCs w:val="16"/>
            </w:rPr>
            <w:t>m.mruk@powiatlwowecki.pl</w:t>
          </w:r>
        </w:hyperlink>
        <w:r>
          <w:rPr>
            <w:sz w:val="16"/>
            <w:szCs w:val="16"/>
          </w:rPr>
          <w:t xml:space="preserve">  </w:t>
        </w:r>
      </w:p>
      <w:p w14:paraId="303C0D0E" w14:textId="77777777" w:rsidR="00403673"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7" behindDoc="1" locked="0" layoutInCell="0" allowOverlap="1" wp14:anchorId="2AA3DB60" wp14:editId="6B23C7E4">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71ED1591">
                  <v:stroke color="gray" weight="9360" joinstyle="round" endcap="flat"/>
                  <v:fill o:detectmouseclick="t" on="false"/>
                  <w10:wrap type="none"/>
                </v:line>
              </w:pict>
            </mc:Fallback>
          </mc:AlternateContent>
        </w:r>
      </w:p>
      <w:p w14:paraId="0ACD9F44" w14:textId="77777777" w:rsidR="00403673" w:rsidRDefault="00000000">
        <w:pPr>
          <w:pStyle w:val="Stopka"/>
          <w:spacing w:before="0" w:after="0"/>
          <w:ind w:left="-360" w:right="-337"/>
          <w:jc w:val="center"/>
          <w:rPr>
            <w:b/>
            <w:bCs/>
            <w:color w:val="000000"/>
            <w:sz w:val="16"/>
            <w:szCs w:val="16"/>
          </w:rPr>
        </w:pPr>
        <w:r>
          <w:rPr>
            <w:b/>
            <w:bCs/>
            <w:color w:val="000000"/>
            <w:sz w:val="16"/>
            <w:szCs w:val="16"/>
          </w:rPr>
          <w:t>Powiat Lwówecki</w:t>
        </w:r>
      </w:p>
      <w:p w14:paraId="0D63AAA1" w14:textId="77777777" w:rsidR="00403673"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43959B6F" w14:textId="77777777" w:rsidR="00403673" w:rsidRDefault="00000000">
        <w:pPr>
          <w:pStyle w:val="Stopka"/>
          <w:spacing w:before="0" w:after="0"/>
          <w:ind w:left="-360" w:right="-337"/>
          <w:jc w:val="center"/>
          <w:rPr>
            <w:color w:val="000000"/>
            <w:sz w:val="16"/>
            <w:szCs w:val="16"/>
            <w:lang w:val="de-DE"/>
          </w:rPr>
        </w:pPr>
        <w:proofErr w:type="spellStart"/>
        <w:r>
          <w:rPr>
            <w:color w:val="000000"/>
            <w:sz w:val="16"/>
            <w:szCs w:val="16"/>
            <w:lang w:val="en-US"/>
          </w:rPr>
          <w:t>tel</w:t>
        </w:r>
        <w:proofErr w:type="spellEnd"/>
        <w:r>
          <w:rPr>
            <w:color w:val="000000"/>
            <w:sz w:val="16"/>
            <w:szCs w:val="16"/>
            <w:lang w:val="de-DE"/>
          </w:rPr>
          <w:t xml:space="preserve">. +48 75 782 36 </w:t>
        </w:r>
        <w:proofErr w:type="gramStart"/>
        <w:r>
          <w:rPr>
            <w:color w:val="000000"/>
            <w:sz w:val="16"/>
            <w:szCs w:val="16"/>
            <w:lang w:val="de-DE"/>
          </w:rPr>
          <w:t xml:space="preserve">50,   </w:t>
        </w:r>
        <w:proofErr w:type="gramEnd"/>
        <w:r>
          <w:rPr>
            <w:color w:val="000000"/>
            <w:sz w:val="16"/>
            <w:szCs w:val="16"/>
            <w:lang w:val="de-DE"/>
          </w:rPr>
          <w:t xml:space="preserve">  </w:t>
        </w:r>
        <w:proofErr w:type="spellStart"/>
        <w:r>
          <w:rPr>
            <w:color w:val="000000"/>
            <w:sz w:val="16"/>
            <w:szCs w:val="16"/>
            <w:lang w:val="de-DE"/>
          </w:rPr>
          <w:t>fax</w:t>
        </w:r>
        <w:proofErr w:type="spellEnd"/>
        <w:r>
          <w:rPr>
            <w:color w:val="000000"/>
            <w:sz w:val="16"/>
            <w:szCs w:val="16"/>
            <w:lang w:val="de-DE"/>
          </w:rPr>
          <w:t xml:space="preserve"> +48 75 782 36 54</w:t>
        </w:r>
      </w:p>
      <w:p w14:paraId="5D78CCF6" w14:textId="77777777" w:rsidR="00403673"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sidR="00403673">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FE79B" w14:textId="77777777" w:rsidR="0079177C" w:rsidRDefault="0079177C">
      <w:pPr>
        <w:spacing w:before="0" w:after="0" w:line="240" w:lineRule="auto"/>
      </w:pPr>
      <w:r>
        <w:separator/>
      </w:r>
    </w:p>
  </w:footnote>
  <w:footnote w:type="continuationSeparator" w:id="0">
    <w:p w14:paraId="79B8DBDE" w14:textId="77777777" w:rsidR="0079177C" w:rsidRDefault="007917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8CC2" w14:textId="77777777" w:rsidR="00403673" w:rsidRDefault="00000000">
    <w:pPr>
      <w:pStyle w:val="Nagwek"/>
      <w:spacing w:before="0" w:after="0" w:line="240" w:lineRule="auto"/>
      <w:jc w:val="center"/>
      <w:rPr>
        <w:b/>
        <w:bCs/>
      </w:rPr>
    </w:pPr>
    <w:r>
      <w:rPr>
        <w:noProof/>
      </w:rPr>
      <mc:AlternateContent>
        <mc:Choice Requires="wps">
          <w:drawing>
            <wp:anchor distT="4445" distB="4445" distL="4445" distR="4445" simplePos="0" relativeHeight="4" behindDoc="1" locked="0" layoutInCell="0" allowOverlap="1" wp14:anchorId="4307885D" wp14:editId="130722B7">
              <wp:simplePos x="0" y="0"/>
              <wp:positionH relativeFrom="column">
                <wp:posOffset>-308610</wp:posOffset>
              </wp:positionH>
              <wp:positionV relativeFrom="paragraph">
                <wp:posOffset>1034415</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81.45pt" to="477pt,81.45pt" ID="Line 2" stroked="t" style="position:absolute" wp14:anchorId="758D79AC">
              <v:stroke color="gray" weight="9360" joinstyle="round" endcap="flat"/>
              <v:fill o:detectmouseclick="t" on="false"/>
              <w10:wrap type="none"/>
            </v:line>
          </w:pict>
        </mc:Fallback>
      </mc:AlternateContent>
    </w:r>
    <w:r>
      <w:rPr>
        <w:noProof/>
      </w:rPr>
      <w:drawing>
        <wp:anchor distT="0" distB="0" distL="114300" distR="114300" simplePos="0" relativeHeight="10" behindDoc="1" locked="0" layoutInCell="0" allowOverlap="1" wp14:anchorId="13CB9289" wp14:editId="03C15343">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proofErr w:type="gramStart"/>
    <w:r>
      <w:t>:</w:t>
    </w:r>
    <w:r>
      <w:rPr>
        <w:b/>
        <w:bCs/>
      </w:rPr>
      <w:t xml:space="preserve"> ,</w:t>
    </w:r>
    <w:proofErr w:type="gramEnd"/>
    <w:r>
      <w:rPr>
        <w:b/>
        <w:bCs/>
      </w:rPr>
      <w:t>,</w:t>
    </w:r>
    <w:r>
      <w:t xml:space="preserve"> </w:t>
    </w:r>
    <w:r>
      <w:rPr>
        <w:b/>
        <w:bCs/>
      </w:rPr>
      <w:t>Pomocna Dłoń dla powiatu lwóweckiego – usługi opiekuńcze dla osób wymagających wsparcia” 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C44"/>
    <w:multiLevelType w:val="multilevel"/>
    <w:tmpl w:val="037AC664"/>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C10B7B"/>
    <w:multiLevelType w:val="multilevel"/>
    <w:tmpl w:val="43AC8D94"/>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2" w15:restartNumberingAfterBreak="0">
    <w:nsid w:val="2C254DC8"/>
    <w:multiLevelType w:val="multilevel"/>
    <w:tmpl w:val="94C031A2"/>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3" w15:restartNumberingAfterBreak="0">
    <w:nsid w:val="56EC6C7A"/>
    <w:multiLevelType w:val="multilevel"/>
    <w:tmpl w:val="A73AC8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CAC6E1C"/>
    <w:multiLevelType w:val="multilevel"/>
    <w:tmpl w:val="C986A84C"/>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5" w15:restartNumberingAfterBreak="0">
    <w:nsid w:val="6C7A4B21"/>
    <w:multiLevelType w:val="multilevel"/>
    <w:tmpl w:val="FAF0589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71F16DA5"/>
    <w:multiLevelType w:val="multilevel"/>
    <w:tmpl w:val="381CEF46"/>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num w:numId="1" w16cid:durableId="898787672">
    <w:abstractNumId w:val="0"/>
  </w:num>
  <w:num w:numId="2" w16cid:durableId="1715158783">
    <w:abstractNumId w:val="2"/>
  </w:num>
  <w:num w:numId="3" w16cid:durableId="2103253877">
    <w:abstractNumId w:val="5"/>
  </w:num>
  <w:num w:numId="4" w16cid:durableId="558588108">
    <w:abstractNumId w:val="4"/>
  </w:num>
  <w:num w:numId="5" w16cid:durableId="1428423791">
    <w:abstractNumId w:val="6"/>
  </w:num>
  <w:num w:numId="6" w16cid:durableId="168838964">
    <w:abstractNumId w:val="1"/>
  </w:num>
  <w:num w:numId="7" w16cid:durableId="147286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73"/>
    <w:rsid w:val="00013D38"/>
    <w:rsid w:val="00305B44"/>
    <w:rsid w:val="00312D5D"/>
    <w:rsid w:val="00403673"/>
    <w:rsid w:val="0058460D"/>
    <w:rsid w:val="006A63E4"/>
    <w:rsid w:val="0079177C"/>
    <w:rsid w:val="00917BED"/>
    <w:rsid w:val="00A767EE"/>
    <w:rsid w:val="00B42E06"/>
    <w:rsid w:val="00CD738E"/>
    <w:rsid w:val="00D34CA7"/>
    <w:rsid w:val="00D74AFA"/>
    <w:rsid w:val="00E81A1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8235"/>
  <w15:docId w15:val="{34D705BC-E015-4882-BADD-2CD3DB4F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customStyle="1" w:styleId="AkapitzlistZnak">
    <w:name w:val="Akapit z listą Znak"/>
    <w:link w:val="Akapitzlist"/>
    <w:uiPriority w:val="34"/>
    <w:qFormat/>
    <w:locked/>
    <w:rsid w:val="00763645"/>
  </w:style>
  <w:style w:type="character" w:styleId="Odwoaniedokomentarza">
    <w:name w:val="annotation reference"/>
    <w:basedOn w:val="Domylnaczcionkaakapitu"/>
    <w:semiHidden/>
    <w:unhideWhenUsed/>
    <w:qFormat/>
    <w:rsid w:val="00E20455"/>
    <w:rPr>
      <w:sz w:val="16"/>
      <w:szCs w:val="16"/>
    </w:rPr>
  </w:style>
  <w:style w:type="character" w:customStyle="1" w:styleId="TekstkomentarzaZnak">
    <w:name w:val="Tekst komentarza Znak"/>
    <w:basedOn w:val="Domylnaczcionkaakapitu"/>
    <w:link w:val="Tekstkomentarza"/>
    <w:semiHidden/>
    <w:qFormat/>
    <w:rsid w:val="00E20455"/>
  </w:style>
  <w:style w:type="character" w:customStyle="1" w:styleId="TematkomentarzaZnak">
    <w:name w:val="Temat komentarza Znak"/>
    <w:basedOn w:val="TekstkomentarzaZnak"/>
    <w:link w:val="Tematkomentarza"/>
    <w:semiHidden/>
    <w:qFormat/>
    <w:rsid w:val="00E20455"/>
    <w:rPr>
      <w:b/>
      <w:bCs/>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paragraph" w:styleId="Tekstkomentarza">
    <w:name w:val="annotation text"/>
    <w:basedOn w:val="Normalny"/>
    <w:link w:val="TekstkomentarzaZnak"/>
    <w:semiHidden/>
    <w:unhideWhenUsed/>
    <w:qFormat/>
    <w:rsid w:val="00E20455"/>
    <w:pPr>
      <w:spacing w:line="240" w:lineRule="auto"/>
    </w:pPr>
  </w:style>
  <w:style w:type="paragraph" w:styleId="Tematkomentarza">
    <w:name w:val="annotation subject"/>
    <w:basedOn w:val="Tekstkomentarza"/>
    <w:next w:val="Tekstkomentarza"/>
    <w:link w:val="TematkomentarzaZnak"/>
    <w:semiHidden/>
    <w:unhideWhenUsed/>
    <w:qFormat/>
    <w:rsid w:val="00E20455"/>
    <w:rPr>
      <w:b/>
      <w:bCs/>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698</Words>
  <Characters>4191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5</cp:revision>
  <cp:lastPrinted>2024-08-27T07:13:00Z</cp:lastPrinted>
  <dcterms:created xsi:type="dcterms:W3CDTF">2025-01-30T11:55:00Z</dcterms:created>
  <dcterms:modified xsi:type="dcterms:W3CDTF">2025-01-30T13:26:00Z</dcterms:modified>
  <dc:language>pl-PL</dc:language>
</cp:coreProperties>
</file>