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892D97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9E36C7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1CE06849" w:rsidR="00E93A1D" w:rsidRPr="000F3E9B" w:rsidRDefault="00BE3C4D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Gołdap</w:t>
      </w:r>
    </w:p>
    <w:p w14:paraId="3B31B19A" w14:textId="4C9F438D" w:rsidR="00C63100" w:rsidRDefault="00BE3C4D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Plac Zwycięstwa 14</w:t>
      </w:r>
    </w:p>
    <w:p w14:paraId="14EF5789" w14:textId="1B236805" w:rsidR="00BE3C4D" w:rsidRPr="000F3E9B" w:rsidRDefault="00BE3C4D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19- 500 Gołdap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73C9229A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41143B46" w:rsidR="00C63100" w:rsidRPr="000F3E9B" w:rsidRDefault="00BE3C4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INSTYTUCHU KULTURY ORAZ SPÓŁEK KOMUNALNYCH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5DA656C5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>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okres </w:t>
      </w:r>
      <w:r w:rsidR="00BE3C4D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C83544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BE3C4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BE3C4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BE3C4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7D017EB8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BE3C4D">
        <w:rPr>
          <w:rFonts w:asciiTheme="majorHAnsi" w:hAnsiTheme="majorHAnsi" w:cs="Calibri"/>
          <w:sz w:val="22"/>
          <w:szCs w:val="22"/>
        </w:rPr>
        <w:t xml:space="preserve">oferty – </w:t>
      </w:r>
      <w:r w:rsidR="003905A7" w:rsidRPr="00BE3C4D">
        <w:rPr>
          <w:rFonts w:asciiTheme="majorHAnsi" w:hAnsiTheme="majorHAnsi" w:cs="Calibri"/>
          <w:sz w:val="22"/>
          <w:szCs w:val="22"/>
        </w:rPr>
        <w:t>8</w:t>
      </w:r>
      <w:r w:rsidRPr="00BE3C4D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929"/>
        <w:gridCol w:w="13"/>
        <w:gridCol w:w="917"/>
        <w:gridCol w:w="1691"/>
      </w:tblGrid>
      <w:tr w:rsidR="00A55A80" w:rsidRPr="000F3E9B" w14:paraId="6B9492DA" w14:textId="77777777" w:rsidTr="003453D4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309665E" w14:textId="08E9DC39" w:rsidR="00A55A80" w:rsidRPr="000F3E9B" w:rsidRDefault="00A55A80" w:rsidP="0086752F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A915E4" w14:textId="3C268814" w:rsidR="00A55A80" w:rsidRPr="000F3E9B" w:rsidRDefault="00A55A80" w:rsidP="00043C9A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</w:p>
          <w:p w14:paraId="33B99B54" w14:textId="0EB21954" w:rsidR="00A55A80" w:rsidRPr="000F3E9B" w:rsidRDefault="00A55A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0CDD4C8A" w14:textId="7288B4A3" w:rsidR="00A55A80" w:rsidRPr="000F3E9B" w:rsidRDefault="00A55A8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3"/>
            <w:shd w:val="clear" w:color="auto" w:fill="002060"/>
            <w:vAlign w:val="center"/>
          </w:tcPr>
          <w:p w14:paraId="20CDF2F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3D2990FD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c</w:t>
            </w:r>
            <w:r w:rsidR="0006757C">
              <w:rPr>
                <w:rFonts w:asciiTheme="majorHAnsi" w:hAnsiTheme="majorHAnsi" w:cs="Calibri"/>
                <w:b/>
                <w:sz w:val="20"/>
                <w:szCs w:val="20"/>
              </w:rPr>
              <w:t>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06757C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06757C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76" w:type="pct"/>
            <w:gridSpan w:val="2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366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06757C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3D4021AB" w:rsidR="00A55A80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6757C">
              <w:rPr>
                <w:rFonts w:ascii="Cambria" w:hAnsi="Cambria" w:cs="Arial CE"/>
                <w:sz w:val="20"/>
                <w:szCs w:val="20"/>
              </w:rPr>
              <w:t>258 816 280,93 zł</w:t>
            </w:r>
            <w:r w:rsidR="00A55A80" w:rsidRPr="0006757C"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  <w:t xml:space="preserve"> </w:t>
            </w:r>
            <w:r w:rsidR="00A55A80" w:rsidRPr="0006757C">
              <w:rPr>
                <w:rFonts w:asciiTheme="majorHAnsi" w:hAnsiTheme="majorHAnsi" w:cs="Calibri"/>
                <w:bCs/>
                <w:sz w:val="20"/>
                <w:szCs w:val="20"/>
              </w:rPr>
              <w:t>+ limity w systemie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vAlign w:val="center"/>
          </w:tcPr>
          <w:p w14:paraId="77CB98BB" w14:textId="471CEDA0" w:rsidR="00A55A80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06757C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06757C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7F20F4BE" w:rsidR="00A55A80" w:rsidRPr="0006757C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6757C">
              <w:rPr>
                <w:rFonts w:ascii="Cambria" w:hAnsi="Cambria" w:cs="Arial CE"/>
                <w:sz w:val="20"/>
                <w:szCs w:val="20"/>
              </w:rPr>
              <w:t>6 284 443,19 zł</w:t>
            </w:r>
            <w:r w:rsidR="00A55A80" w:rsidRPr="0006757C">
              <w:rPr>
                <w:rFonts w:asciiTheme="majorHAnsi" w:hAnsiTheme="majorHAnsi" w:cs="Calibri"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 w:val="restart"/>
            <w:vAlign w:val="center"/>
          </w:tcPr>
          <w:p w14:paraId="703C19B2" w14:textId="459204EB" w:rsidR="00A55A80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66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06757C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06757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6757C" w:rsidRPr="000F3E9B" w14:paraId="65C1FD05" w14:textId="77777777" w:rsidTr="0006757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54286C5A" w14:textId="4D235BD1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2DD1A2DF" w14:textId="24D077D6" w:rsidR="0006757C" w:rsidRPr="000F3E9B" w:rsidRDefault="0006757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Ubezpieczenie odpowiedzialności cywilnej zarządcy nieruchomości</w:t>
            </w:r>
          </w:p>
        </w:tc>
        <w:tc>
          <w:tcPr>
            <w:tcW w:w="851" w:type="pct"/>
            <w:vAlign w:val="center"/>
          </w:tcPr>
          <w:p w14:paraId="5E62073F" w14:textId="12755FD5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50 000 Euro</w:t>
            </w:r>
          </w:p>
        </w:tc>
        <w:tc>
          <w:tcPr>
            <w:tcW w:w="677" w:type="pct"/>
            <w:vAlign w:val="center"/>
          </w:tcPr>
          <w:p w14:paraId="71BCEB9A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77A76C7A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6CF97622" w14:textId="4CF403B0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3935F342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6757C" w:rsidRPr="000F3E9B" w14:paraId="416B0C81" w14:textId="77777777" w:rsidTr="0006757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70EA8C3" w14:textId="60862F4D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113" w:type="pct"/>
            <w:vAlign w:val="center"/>
          </w:tcPr>
          <w:p w14:paraId="486D1F2D" w14:textId="248E214C" w:rsidR="0006757C" w:rsidRPr="000F3E9B" w:rsidRDefault="0006757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Ubezpieczenie odpowiedzialności cywilnej przedsiębiorców wykonujących działalność z zakresu usługowego prowadzenia ksiąg rachunkowych</w:t>
            </w:r>
          </w:p>
        </w:tc>
        <w:tc>
          <w:tcPr>
            <w:tcW w:w="851" w:type="pct"/>
            <w:vAlign w:val="center"/>
          </w:tcPr>
          <w:p w14:paraId="1D51CF20" w14:textId="123DB3BE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10 000 Euro</w:t>
            </w:r>
          </w:p>
        </w:tc>
        <w:tc>
          <w:tcPr>
            <w:tcW w:w="677" w:type="pct"/>
            <w:vAlign w:val="center"/>
          </w:tcPr>
          <w:p w14:paraId="6683C6EE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68737D2A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319592E5" w14:textId="483E64C8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52311E7A" w14:textId="77777777" w:rsidR="0006757C" w:rsidRPr="000F3E9B" w:rsidRDefault="000675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6757C" w:rsidRPr="000F3E9B" w14:paraId="0DC9A0A8" w14:textId="77777777" w:rsidTr="0006757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38A8E7C" w14:textId="16D176AA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F</w:t>
            </w:r>
          </w:p>
        </w:tc>
        <w:tc>
          <w:tcPr>
            <w:tcW w:w="1113" w:type="pct"/>
            <w:vAlign w:val="center"/>
          </w:tcPr>
          <w:p w14:paraId="6588FC44" w14:textId="263F69AB" w:rsidR="0006757C" w:rsidRPr="000F3E9B" w:rsidRDefault="0006757C" w:rsidP="0006757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Ubezpieczenie następstw nieszczęśliwych wypadów sołtysów</w:t>
            </w:r>
          </w:p>
        </w:tc>
        <w:tc>
          <w:tcPr>
            <w:tcW w:w="851" w:type="pct"/>
            <w:vAlign w:val="center"/>
          </w:tcPr>
          <w:p w14:paraId="5342B902" w14:textId="64B2BACC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5 000,00 zł/ osobę</w:t>
            </w:r>
          </w:p>
        </w:tc>
        <w:tc>
          <w:tcPr>
            <w:tcW w:w="677" w:type="pct"/>
            <w:vAlign w:val="center"/>
          </w:tcPr>
          <w:p w14:paraId="41C068AE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D7CA4B8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8AA11FE" w14:textId="4C6F1164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  <w:vAlign w:val="center"/>
          </w:tcPr>
          <w:p w14:paraId="01C7E197" w14:textId="7E7EFC82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C2620EA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6757C" w:rsidRPr="000F3E9B" w14:paraId="7E8FF7AA" w14:textId="77777777" w:rsidTr="0006757C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3D87262" w14:textId="7CC21B7D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G</w:t>
            </w:r>
          </w:p>
        </w:tc>
        <w:tc>
          <w:tcPr>
            <w:tcW w:w="1113" w:type="pct"/>
            <w:vAlign w:val="center"/>
          </w:tcPr>
          <w:p w14:paraId="11A8E0B6" w14:textId="6779E458" w:rsidR="0006757C" w:rsidRPr="0006757C" w:rsidRDefault="0006757C" w:rsidP="0006757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6757C">
              <w:rPr>
                <w:rFonts w:asciiTheme="majorHAnsi" w:hAnsiTheme="majorHAnsi" w:cs="Calibri"/>
                <w:sz w:val="20"/>
                <w:szCs w:val="20"/>
              </w:rPr>
              <w:t xml:space="preserve">Ubezpieczenie następstw nieszczęśliwych wypadków </w:t>
            </w:r>
            <w:r w:rsidRPr="0006757C">
              <w:rPr>
                <w:rFonts w:ascii="Cambria" w:hAnsi="Cambria" w:cstheme="minorHAnsi"/>
                <w:sz w:val="20"/>
                <w:szCs w:val="20"/>
                <w:lang w:eastAsia="en-US"/>
              </w:rPr>
              <w:lastRenderedPageBreak/>
              <w:t>osób skierowanych do robót publicznych, prac społecznie użytecznych, prac interwencyjnych z urzędu pracy, osób skierowanych do prac decyzją sądu, wolontariuszy, praktykantów, stażystów, przewodników, więźniów i aresztantów</w:t>
            </w:r>
          </w:p>
        </w:tc>
        <w:tc>
          <w:tcPr>
            <w:tcW w:w="851" w:type="pct"/>
            <w:vAlign w:val="center"/>
          </w:tcPr>
          <w:p w14:paraId="16C1680F" w14:textId="1AC584E5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lastRenderedPageBreak/>
              <w:t>10 000,00 zł/ osobę</w:t>
            </w:r>
          </w:p>
        </w:tc>
        <w:tc>
          <w:tcPr>
            <w:tcW w:w="677" w:type="pct"/>
            <w:vAlign w:val="center"/>
          </w:tcPr>
          <w:p w14:paraId="14C1B4EF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6646F21D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81C49DE" w14:textId="5A9E1435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  <w:vAlign w:val="center"/>
          </w:tcPr>
          <w:p w14:paraId="4AC332B4" w14:textId="475161A8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D7CFA02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06757C" w:rsidRPr="000F3E9B" w14:paraId="6A1BB932" w14:textId="77777777" w:rsidTr="0006757C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gridSpan w:val="2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06757C" w:rsidRPr="000F3E9B" w:rsidRDefault="0006757C" w:rsidP="0006757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7BD35866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06AC72B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E1EE2" w:rsidRPr="000F3E9B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5EC38BF5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06757C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D58F564" w14:textId="0EDD21D4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06757C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SWZ i konieczne </w:t>
      </w:r>
      <w:r w:rsidRPr="0006757C">
        <w:rPr>
          <w:rFonts w:asciiTheme="majorHAnsi" w:hAnsiTheme="majorHAnsi" w:cs="Calibri"/>
          <w:bCs/>
          <w:sz w:val="22"/>
          <w:szCs w:val="22"/>
        </w:rPr>
        <w:t>dla</w:t>
      </w:r>
      <w:r w:rsidR="00C63100" w:rsidRPr="0006757C">
        <w:rPr>
          <w:rFonts w:asciiTheme="majorHAnsi" w:hAnsiTheme="majorHAnsi" w:cs="Calibri"/>
          <w:bCs/>
          <w:sz w:val="22"/>
          <w:szCs w:val="22"/>
        </w:rPr>
        <w:t> </w:t>
      </w:r>
      <w:r w:rsidRPr="0006757C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06757C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6757C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06757C">
        <w:rPr>
          <w:rFonts w:asciiTheme="majorHAnsi" w:hAnsiTheme="majorHAnsi" w:cs="Calibri"/>
          <w:b/>
          <w:sz w:val="22"/>
          <w:szCs w:val="22"/>
        </w:rPr>
        <w:t>20</w:t>
      </w:r>
      <w:r w:rsidRPr="0006757C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06757C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06757C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6633"/>
        <w:gridCol w:w="811"/>
        <w:gridCol w:w="1003"/>
      </w:tblGrid>
      <w:tr w:rsidR="00053EB4" w:rsidRPr="000F3E9B" w14:paraId="1BC53AB2" w14:textId="77777777" w:rsidTr="00DA1EFE">
        <w:trPr>
          <w:trHeight w:val="549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574FDC1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625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2DBBE176" w14:textId="6A90B96A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UBEZPIECZENIE MIENIA OD WSZYSTSKICH RYZYK – waga (znaczenie): </w:t>
            </w:r>
            <w:r w:rsidR="00BF7B71"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8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053EB4" w:rsidRPr="000F3E9B" w14:paraId="1208DD9C" w14:textId="77777777" w:rsidTr="00BB6025">
        <w:trPr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7869756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0CB1B1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AD9F27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6381EF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Wybór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053EB4" w:rsidRPr="000F3E9B" w14:paraId="36BDC29B" w14:textId="77777777" w:rsidTr="00BB6025">
        <w:trPr>
          <w:cantSplit/>
          <w:trHeight w:hRule="exact" w:val="150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2A6CC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B9D1172" w14:textId="0F75149E" w:rsidR="00053EB4" w:rsidRPr="000F3E9B" w:rsidRDefault="00053EB4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Zalania w wyniku nieszczelności oraz złego stanu technicznego: 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="00E51B97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1 000 000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B330F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0C6917A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3EB4" w:rsidRPr="000F3E9B" w14:paraId="5ED4BCAB" w14:textId="77777777" w:rsidTr="00BB6025">
        <w:trPr>
          <w:cantSplit/>
          <w:trHeight w:val="300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8DF72BA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F4108D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BD2B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03D0082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2B96EDF" w14:textId="77777777" w:rsidTr="00BB6025">
        <w:trPr>
          <w:cantSplit/>
          <w:trHeight w:hRule="exact" w:val="733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256CE6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73A116C" w14:textId="77777777" w:rsidR="00053EB4" w:rsidRPr="000F3E9B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Dewastacja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200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000 zł</w:t>
            </w:r>
          </w:p>
          <w:p w14:paraId="09BB56AC" w14:textId="5F277696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Graffiti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="00E51B97" w:rsidRPr="00E51B9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0 000 zł</w:t>
            </w:r>
          </w:p>
          <w:p w14:paraId="72F8B07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B6F9" w14:textId="369D3302" w:rsidR="00053EB4" w:rsidRPr="000F3E9B" w:rsidRDefault="00BB6025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5F63E1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813C2A9" w14:textId="77777777" w:rsidTr="00BB6025">
        <w:trPr>
          <w:cantSplit/>
          <w:trHeight w:val="365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EDF2B6A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91698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897E9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C9281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60EF742" w14:textId="77777777" w:rsidTr="00E51B97">
        <w:trPr>
          <w:cantSplit/>
          <w:trHeight w:hRule="exact" w:val="1085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91FB21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A.3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49B6A5" w14:textId="2636227D" w:rsidR="00043C9A" w:rsidRDefault="00043C9A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bookmarkStart w:id="2" w:name="_Hlk65753140"/>
            <w:r w:rsidRPr="00324D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027B09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kosztów stałych działalności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 – w treści zgodnie z  lit. A pkt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7</w:t>
            </w:r>
            <w:r w:rsidR="00E51B97">
              <w:rPr>
                <w:rFonts w:asciiTheme="majorHAnsi" w:hAnsiTheme="majorHAnsi" w:cs="Arial"/>
                <w:color w:val="000000"/>
                <w:sz w:val="22"/>
                <w:szCs w:val="22"/>
              </w:rPr>
              <w:t>.</w:t>
            </w:r>
            <w:r w:rsidR="00027B09">
              <w:rPr>
                <w:rFonts w:asciiTheme="majorHAnsi" w:hAnsiTheme="majorHAnsi" w:cs="Arial"/>
                <w:color w:val="000000"/>
                <w:sz w:val="22"/>
                <w:szCs w:val="22"/>
              </w:rPr>
              <w:t>25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(załącznik nr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6A 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– opis przedmiotu zamówienia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część I zamówienia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) – włączenie do ochrony ubezpieczeniowej</w:t>
            </w:r>
          </w:p>
          <w:bookmarkEnd w:id="2"/>
          <w:p w14:paraId="100047B8" w14:textId="5C673C65" w:rsidR="00053EB4" w:rsidRPr="000F3E9B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2120" w14:textId="200F1313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  <w:r w:rsid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31FCD2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053EB4" w:rsidRPr="000F3E9B" w14:paraId="6E57B0D0" w14:textId="77777777" w:rsidTr="00BB6025">
        <w:trPr>
          <w:cantSplit/>
          <w:trHeight w:val="45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7309CDB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EFE5D6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51AB6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B28913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053EB4" w:rsidRPr="000F3E9B" w14:paraId="1287EB9B" w14:textId="77777777" w:rsidTr="00BB6025">
        <w:trPr>
          <w:cantSplit/>
          <w:trHeight w:hRule="exact" w:val="733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527007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4AAF07" w14:textId="2282807B" w:rsidR="00053EB4" w:rsidRPr="000F3E9B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Katastrofa budowlana 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– zwiększenie limitu odpowiedzialności do </w:t>
            </w:r>
            <w:r w:rsidR="00BB6025" w:rsidRPr="00BB6025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 000 000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95D6F" w14:textId="6E404D4C" w:rsidR="00053EB4" w:rsidRPr="000F3E9B" w:rsidRDefault="00BB254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DF2468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1EF56C21" w14:textId="77777777" w:rsidTr="00BB6025">
        <w:trPr>
          <w:cantSplit/>
          <w:trHeight w:hRule="exact" w:val="41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3664EE3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ED0913" w14:textId="77777777" w:rsidR="00053EB4" w:rsidRPr="000F3E9B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81D0A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52D893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06E962D" w14:textId="77777777" w:rsidTr="00E51B97">
        <w:trPr>
          <w:cantSplit/>
          <w:trHeight w:hRule="exact" w:val="1351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841F87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E3D6ABD" w14:textId="10D1E355" w:rsidR="00053EB4" w:rsidRPr="000F3E9B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Zamieszki i niepokoje społeczne, rozruchy, strajki, lokauty, protesty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</w:t>
            </w: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1 000 000,00  zł</w:t>
            </w:r>
          </w:p>
          <w:p w14:paraId="1534C92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Ataki terrorystyczne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1 000 000,00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zł 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68835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7430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14CB771E" w14:textId="77777777" w:rsidTr="00BB6025">
        <w:trPr>
          <w:cantSplit/>
          <w:trHeight w:val="24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D8414D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20436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7F68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94986F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FBBB872" w14:textId="77777777" w:rsidTr="00BB6025">
        <w:trPr>
          <w:cantSplit/>
          <w:trHeight w:hRule="exact" w:val="677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CA5752A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28CC019" w14:textId="77777777" w:rsidR="00053EB4" w:rsidRPr="00BB6025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BB6025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0 zł dla szyb i innych przedmiotów szklanych oraz </w:t>
            </w:r>
            <w:r w:rsidRPr="00BB6025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0 zł dla pozostałych zdarzeń.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B251E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FFBF39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040CDFE" w14:textId="77777777" w:rsidTr="00BB6025">
        <w:trPr>
          <w:cantSplit/>
          <w:trHeight w:val="550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F9FE52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6C6AE" w14:textId="77777777" w:rsidR="00053EB4" w:rsidRPr="00BB6025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BB6025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50 zł dla szyb i innych przedmiotów szklanych oraz </w:t>
            </w:r>
            <w:r w:rsidRPr="00BB6025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franszyza integralna</w:t>
            </w:r>
            <w:r w:rsidRP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200 zł dla pozostałych zdarzeń.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1064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AE8C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A8FE91A" w14:textId="77777777" w:rsidTr="00BB6025">
        <w:trPr>
          <w:cantSplit/>
          <w:trHeight w:hRule="exact" w:val="686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12B6FD9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6ECB3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40 000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190E" w14:textId="69B257F9" w:rsidR="00053EB4" w:rsidRPr="000F3E9B" w:rsidRDefault="00BB6025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F0915A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2E62248C" w14:textId="77777777" w:rsidTr="00BB6025">
        <w:trPr>
          <w:cantSplit/>
          <w:trHeight w:val="26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DEE70F2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F6FE05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E16C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BBD0B2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51D4D96" w14:textId="77777777" w:rsidTr="00BB6025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620E3FB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6D6D4D9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Osuwanie się i zapadanie się ziemi związane z działalnością człowieka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B0594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A5EE25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9A82180" w14:textId="77777777" w:rsidTr="00BB6025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0365F9E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FEE812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9D2C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0FB9100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B5F76A2" w14:textId="77777777" w:rsidTr="00BB6025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21A003E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A.9</w:t>
            </w:r>
          </w:p>
        </w:tc>
        <w:tc>
          <w:tcPr>
            <w:tcW w:w="363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A88351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Wad konstrukcyjnych lub projektowych –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włączenie do ochrony ubezpieczeniowej szkód powstałych w  wyniku wad konstrukcyjnych lub projektowych – limit 1 000 000,00 zł</w:t>
            </w:r>
          </w:p>
        </w:tc>
        <w:tc>
          <w:tcPr>
            <w:tcW w:w="44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68D89E" w14:textId="29AD9734" w:rsidR="00053EB4" w:rsidRPr="000F3E9B" w:rsidRDefault="00BB254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F4B008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ADFB1B8" w14:textId="77777777" w:rsidTr="00BB6025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85704E8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64333D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0E87D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07E5DC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92098DA" w14:textId="77777777" w:rsidTr="00BB6025">
        <w:trPr>
          <w:trHeight w:val="817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B1BC62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794BB97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 w:bidi="pl-PL"/>
              </w:rPr>
            </w:pP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Doubezpieczenie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ED6E57" w14:textId="0622BA34" w:rsidR="00053EB4" w:rsidRPr="000F3E9B" w:rsidRDefault="00BB254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2AEDB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4D3A83E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294C8A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0E25FE5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 w:bidi="pl-PL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5BAF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63843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8CDF148" w14:textId="77777777" w:rsidTr="00BB6025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6F4A11" w14:textId="247D27B3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</w:t>
            </w:r>
            <w:r w:rsidR="00E51B9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72A85" w14:textId="67171C73" w:rsidR="00053EB4" w:rsidRPr="000F3E9B" w:rsidRDefault="00BB2540" w:rsidP="00BB2540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324DFB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 – w treści zgodnie z  lit. A pkt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7.2</w:t>
            </w:r>
            <w:r w:rsidR="001D18E8">
              <w:rPr>
                <w:rFonts w:asciiTheme="majorHAnsi" w:hAnsiTheme="majorHAnsi" w:cs="Arial"/>
                <w:color w:val="000000"/>
                <w:sz w:val="22"/>
                <w:szCs w:val="22"/>
              </w:rPr>
              <w:t>4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(załącznik nr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6A 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– opis przedmiotu zamówienia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część I zamówienia</w:t>
            </w:r>
            <w:r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) – włączenie do ochrony ubezpieczeniowej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6EE0F" w14:textId="24B013B8" w:rsidR="00053EB4" w:rsidRPr="000F3E9B" w:rsidRDefault="00BB254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A2782B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1F00C86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AE3258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E35FB" w14:textId="77777777" w:rsidR="00053EB4" w:rsidRPr="000F3E9B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9F9BA1F" w14:textId="618935DB" w:rsidR="00053EB4" w:rsidRPr="000F3E9B" w:rsidRDefault="00BB6025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C660C3C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1F30BF1" w14:textId="77777777" w:rsidTr="00DA1EFE">
        <w:trPr>
          <w:trHeight w:val="561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311D4965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B.</w:t>
            </w:r>
          </w:p>
        </w:tc>
        <w:tc>
          <w:tcPr>
            <w:tcW w:w="4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B9583EE" w14:textId="3754F3D6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UBEZPIECZENIE SPRZĘTU ELEKTRONICZNEGO OD WSZYSTKICH RYZYK – 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br/>
              <w:t xml:space="preserve">waga (znaczenie): </w:t>
            </w:r>
            <w:r w:rsidR="00BF7B71"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2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053EB4" w:rsidRPr="000F3E9B" w14:paraId="14EB3379" w14:textId="77777777" w:rsidTr="00BB6025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241DE52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29ED09B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hideMark/>
          </w:tcPr>
          <w:p w14:paraId="059BB28A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411D1CE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Wybór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053EB4" w:rsidRPr="000F3E9B" w14:paraId="2A4D8E57" w14:textId="77777777" w:rsidTr="00BB6025">
        <w:trPr>
          <w:trHeight w:val="561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3A82FD" w14:textId="35572376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B.</w:t>
            </w:r>
            <w:r w:rsid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9BFE18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Ataki </w:t>
            </w:r>
            <w:proofErr w:type="spellStart"/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hakerskie</w:t>
            </w:r>
            <w:proofErr w:type="spellEnd"/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hakerskiego</w:t>
            </w:r>
            <w:proofErr w:type="spellEnd"/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, wirusów, cyberataku, cyberprzestępstwa w limicie  odpowiedzialności 50 000,00 zł</w:t>
            </w:r>
          </w:p>
          <w:p w14:paraId="213AD12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797D7" w14:textId="31CE09E9" w:rsidR="00053EB4" w:rsidRPr="000F3E9B" w:rsidRDefault="00371EC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F0913E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18171C59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C5A580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30EFD5C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Brak włączenia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E89624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D4F065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65AB9B1E" w14:textId="77777777" w:rsidTr="00BB6025">
        <w:trPr>
          <w:trHeight w:val="1007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9A74B03" w14:textId="4DAB973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B.</w:t>
            </w:r>
            <w:r w:rsid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1F5934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Zwiększone koszty działalności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podwyższenie limitu do 200 000 zł dla kosztów proporcjonalnych i 200 000 zł dla kosztów nieproporcjonalnych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1FAE76" w14:textId="731090EB" w:rsidR="00053EB4" w:rsidRPr="000F3E9B" w:rsidRDefault="00371EC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1B74AA0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52D68D4A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36AC02B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315AE52C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 podwyższenia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6A1A1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434C6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6E8FD6F1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BF73E7B" w14:textId="65CD7B76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B.</w:t>
            </w:r>
            <w:r w:rsid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724AC0F" w14:textId="16FDADA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Włączenie 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klauzuli szybkiej likwidacji szkód</w:t>
            </w:r>
            <w:r w:rsidR="00B31B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31B9B"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– w treści zgodnie z  lit. </w:t>
            </w:r>
            <w:r w:rsidR="00B31B9B">
              <w:rPr>
                <w:rFonts w:asciiTheme="majorHAnsi" w:hAnsiTheme="majorHAnsi" w:cs="Arial"/>
                <w:color w:val="000000"/>
                <w:sz w:val="22"/>
                <w:szCs w:val="22"/>
              </w:rPr>
              <w:t>B</w:t>
            </w:r>
            <w:r w:rsidR="00B31B9B"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pkt </w:t>
            </w:r>
            <w:r w:rsidR="00B31B9B">
              <w:rPr>
                <w:rFonts w:asciiTheme="majorHAnsi" w:hAnsiTheme="majorHAnsi" w:cs="Arial"/>
                <w:color w:val="000000"/>
                <w:sz w:val="22"/>
                <w:szCs w:val="22"/>
              </w:rPr>
              <w:t>7.15</w:t>
            </w:r>
            <w:r w:rsidR="00B31B9B"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(załącznik nr </w:t>
            </w:r>
            <w:r w:rsidR="00B31B9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6A </w:t>
            </w:r>
            <w:r w:rsidR="00B31B9B"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– opis przedmiotu zamówienia</w:t>
            </w:r>
            <w:r w:rsidR="00B31B9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część I zamówienia</w:t>
            </w:r>
            <w:r w:rsidR="00B31B9B" w:rsidRPr="00324DFB">
              <w:rPr>
                <w:rFonts w:asciiTheme="majorHAnsi" w:hAnsiTheme="majorHAnsi" w:cs="Arial"/>
                <w:color w:val="000000"/>
                <w:sz w:val="22"/>
                <w:szCs w:val="22"/>
              </w:rPr>
              <w:t>) – włączenie do ochrony ubezpieczeniowej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977D7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BA75C6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5D6CDBA4" w14:textId="77777777" w:rsidTr="00BB6025">
        <w:trPr>
          <w:trHeight w:val="29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F35D65C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F6D562B" w14:textId="1CFBAA4D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FAC27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2CC29D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53EB4" w:rsidRPr="000F3E9B" w14:paraId="19A51DCB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432FC91" w14:textId="65D5DDF0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B.</w:t>
            </w:r>
            <w:r w:rsidR="00BB6025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310264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Kradzież zwykła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zwiększenie limitu odpowiedzialności do </w:t>
            </w: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40 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000  zł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998FAB" w14:textId="241F5B3A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</w:t>
            </w:r>
            <w:r w:rsidR="00371EC8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729621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053EB4" w:rsidRPr="000F3E9B" w14:paraId="22BA1FC4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E74BDE0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0FA51F0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3411B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E05772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053EB4" w:rsidRPr="000F3E9B" w14:paraId="3D5AD2D3" w14:textId="77777777" w:rsidTr="00BB6025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6165F0" w14:textId="480DACD5" w:rsidR="00053EB4" w:rsidRPr="000F3E9B" w:rsidRDefault="00053EB4" w:rsidP="0088774C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B.</w:t>
            </w:r>
            <w:r w:rsidR="00371EC8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089089D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Zwrot kosztów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wymiany zniszczonych zabezpieczeń przeciwprzepięciowych (m.in. bezpieczniki, wyłączniki nadprądowe) - limit odpowiedzialności 10 000,00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40AC4" w14:textId="71AABFDC" w:rsidR="00053EB4" w:rsidRPr="000F3E9B" w:rsidRDefault="00371EC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21DD40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053EB4" w:rsidRPr="000F3E9B" w14:paraId="31D1ADAC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056C5C9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BEEA7C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DA67AFF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6C9410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053EB4" w:rsidRPr="000F3E9B" w14:paraId="616593BA" w14:textId="77777777" w:rsidTr="00DA1EFE">
        <w:trPr>
          <w:trHeight w:val="392"/>
          <w:jc w:val="right"/>
        </w:trPr>
        <w:tc>
          <w:tcPr>
            <w:tcW w:w="375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5400756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4625" w:type="pct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30A5BD8D" w14:textId="182055F4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UBEZPIECZENIE ODPOWIEDZIALNOŚCI CYWILNEJ – waga (znaczenie): </w:t>
            </w:r>
            <w:r w:rsidR="00BF7B71"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8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053EB4" w:rsidRPr="000F3E9B" w14:paraId="18BB9E37" w14:textId="77777777" w:rsidTr="00BB6025">
        <w:trPr>
          <w:trHeight w:val="418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0E127A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28BC014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89A3B5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E5A49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Wybór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053EB4" w:rsidRPr="000F3E9B" w14:paraId="1E61CDD8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70B16C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18E517B" w14:textId="77777777" w:rsidR="00053EB4" w:rsidRPr="00BA1A9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BA1A9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Franszyza integralna – brak </w:t>
            </w:r>
            <w:r w:rsidRPr="00BA1A9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– szkody rzeczowe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8C2B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5B2909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26824DDE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9229AE8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F9D7C0A" w14:textId="77777777" w:rsidR="00053EB4" w:rsidRPr="00BA1A9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BA1A9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Franszyza integralna – 200 zł szkody rzeczowe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AC699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C5BBD8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08CFD1E3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FF1FA1D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C.2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1151AC7" w14:textId="0C9E1BF4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Wina umyślna </w:t>
            </w:r>
            <w:r w:rsidRPr="000F3E9B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– </w:t>
            </w:r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zwiększenie </w:t>
            </w:r>
            <w:proofErr w:type="spellStart"/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podlimitu</w:t>
            </w:r>
            <w:proofErr w:type="spellEnd"/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 do </w:t>
            </w:r>
            <w:r w:rsidR="00BA1A94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1 0</w:t>
            </w:r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00 000,00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1220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5373494C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7F34432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7B3ACCF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F955A5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podwyższenia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7699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E7BA19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406D445" w14:textId="77777777" w:rsidTr="00BB6025">
        <w:trPr>
          <w:trHeight w:val="297"/>
          <w:jc w:val="right"/>
        </w:trPr>
        <w:tc>
          <w:tcPr>
            <w:tcW w:w="375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A8C154C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C.3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B19C400" w14:textId="687A0B2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OC  dane osobowe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BA1A9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–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947741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o</w:t>
            </w:r>
            <w:r w:rsidR="00947741" w:rsidRPr="00792812">
              <w:rPr>
                <w:rFonts w:ascii="Cambria" w:hAnsi="Cambria" w:cs="Calibri"/>
                <w:sz w:val="22"/>
                <w:szCs w:val="22"/>
                <w:lang w:eastAsia="zh-CN"/>
              </w:rPr>
              <w:t>dpowiedzialność cywilna za szkody wynikające z błędów podczas i w związku z przetwarzaniem danych osobowych, ich utratą i nielegalnym wykorzystaniem danych wskutek nieprawidłowego ich przetwarzania, administrowania oraz gromadzenia i przechowywania, w tym polegające na naruszeniu dóbr osobistych i/lub wynikające z naruszenia przepisów o ochronie danych osobowych</w:t>
            </w:r>
            <w:r w:rsidR="00947741"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="00947741"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podlimitem</w:t>
            </w:r>
            <w:proofErr w:type="spellEnd"/>
            <w:r w:rsidR="00947741"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 100 000,00 zł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1011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1418C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B107F43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50A3667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3D5F75E" w14:textId="6CBCA8B1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Brak </w:t>
            </w:r>
            <w:r w:rsidR="00875639"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włączenia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7FA4F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5E987E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2CCFD0D" w14:textId="77777777" w:rsidTr="00BB6025">
        <w:trPr>
          <w:trHeight w:val="1013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2EF2A52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C.4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C3764B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Zasada słuszności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włączenie do ochrony ryzyka szkód osobowych do naprawienia których Ubezpieczony zobowiązany jest w oparciu o zasadę słuszności na</w:t>
            </w:r>
            <w:r w:rsidRPr="000F3E9B">
              <w:rPr>
                <w:rFonts w:asciiTheme="majorHAnsi" w:hAnsiTheme="majorHAnsi"/>
              </w:rPr>
              <w:t xml:space="preserve"> 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podstawie wyroku Sądu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024B7" w14:textId="20F895DE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  <w:r w:rsidR="00432C7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02D3EC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9A56858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D14C97E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182D2F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4590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2D38085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E474BA1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A0D747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C.5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F9A6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eastAsia="en-US"/>
              </w:rPr>
              <w:t>OC stopniowe oddziaływanie</w:t>
            </w:r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 - odpowiedzialność za szkody powstałe wskutek stopniowego lub długotrwałego oddziaływania temperatury, gazów, par lub wilgoci, osadów oraz wibracji - włączenie do ochrony ubezpieczeniowej z </w:t>
            </w:r>
            <w:proofErr w:type="spellStart"/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podlimitem</w:t>
            </w:r>
            <w:proofErr w:type="spellEnd"/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 xml:space="preserve"> 100 000,00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44D6B" w14:textId="65352A98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  <w:r w:rsidR="00432C7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9AEB7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E09FD74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2D49D0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7580B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D893C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A9E6D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FDCB661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4D3730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C.6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4B0395" w14:textId="77777777" w:rsidR="00053EB4" w:rsidRPr="000F3E9B" w:rsidRDefault="00053EB4" w:rsidP="0088774C">
            <w:pPr>
              <w:suppressAutoHyphens/>
              <w:spacing w:line="256" w:lineRule="auto"/>
              <w:jc w:val="both"/>
              <w:rPr>
                <w:rFonts w:asciiTheme="majorHAnsi" w:hAnsiTheme="majorHAnsi" w:cs="Calibri"/>
                <w:b/>
                <w:bCs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Calibri"/>
                <w:b/>
                <w:bCs/>
                <w:sz w:val="22"/>
                <w:szCs w:val="22"/>
                <w:lang w:eastAsia="en-US"/>
              </w:rPr>
              <w:t>Klauzula interwencji ubocznej</w:t>
            </w:r>
          </w:p>
          <w:p w14:paraId="11D5282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Calibri"/>
                <w:color w:val="000000"/>
                <w:sz w:val="22"/>
                <w:szCs w:val="22"/>
                <w:lang w:eastAsia="en-US"/>
              </w:rPr>
              <w:t>W przypadku sporu sądowego pomiędzy Ubezpieczonym a poszkodowanym lub jego następcami prawnymi, Ubezpieczyciel przystąpi do toczącego się procesu sądowego jako interwenient uboczny.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71018F" w14:textId="1E6761FF" w:rsidR="00053EB4" w:rsidRPr="000F3E9B" w:rsidRDefault="00432C7B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558BB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5DECC3A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4D801A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84F9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3490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244E5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AE70D01" w14:textId="77777777" w:rsidTr="00BB6025">
        <w:trPr>
          <w:trHeight w:val="302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ABDFA5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C.7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F790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Czyste straty finansowe</w:t>
            </w:r>
            <w:r w:rsidRPr="000F3E9B">
              <w:rPr>
                <w:rFonts w:asciiTheme="majorHAnsi" w:hAnsiTheme="majorHAnsi" w:cs="Tahoma"/>
                <w:sz w:val="22"/>
                <w:szCs w:val="22"/>
              </w:rPr>
              <w:t xml:space="preserve"> – zwiększenie limitu odpowiedzialności do 1 000 000,00 zł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31BAB" w14:textId="0CBC9CBB" w:rsidR="00053EB4" w:rsidRPr="000F3E9B" w:rsidRDefault="00BA1A9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0961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7C19AE0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EAE27D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FFAA75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Tahoma"/>
                <w:sz w:val="22"/>
                <w:szCs w:val="22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3B0434" w14:textId="3AD55EF7" w:rsidR="00053EB4" w:rsidRPr="000F3E9B" w:rsidRDefault="00BA1A9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1CED1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0C5803E" w14:textId="77777777" w:rsidTr="00E67BC5">
        <w:trPr>
          <w:trHeight w:val="507"/>
          <w:jc w:val="right"/>
        </w:trPr>
        <w:tc>
          <w:tcPr>
            <w:tcW w:w="375" w:type="pct"/>
            <w:vMerge w:val="restart"/>
            <w:tcBorders>
              <w:top w:val="double" w:sz="4" w:space="0" w:color="auto"/>
              <w:left w:val="double" w:sz="2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E292BC" w14:textId="074596E9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</w:t>
            </w:r>
            <w:r w:rsidR="00BA1A9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42428DE" w14:textId="77777777" w:rsidR="00053EB4" w:rsidRPr="000F3E9B" w:rsidRDefault="00053EB4" w:rsidP="0088774C">
            <w:pPr>
              <w:suppressAutoHyphens/>
              <w:snapToGrid w:val="0"/>
              <w:spacing w:after="120"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Klauzula odtworzenia sumy</w:t>
            </w:r>
          </w:p>
          <w:p w14:paraId="7A4075C8" w14:textId="77777777" w:rsidR="00053EB4" w:rsidRPr="000F3E9B" w:rsidRDefault="00053EB4" w:rsidP="0088774C">
            <w:pPr>
              <w:suppressAutoHyphens/>
              <w:snapToGrid w:val="0"/>
              <w:spacing w:after="120"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Niniejszym postanowieniem strony uzgadniają, że suma ubezpieczenia/gwarancyjna/limit odpowiedzialności będzie odtworzony na wniosek Ubezpieczonego w przypadku szkody do maksymalnej wysokości 100% limitów wyznaczonych w wymaganych warunkach ubezpieczenia.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36F26" w14:textId="451BF0D9" w:rsidR="00053EB4" w:rsidRPr="000F3E9B" w:rsidRDefault="00BA1A9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6FBB11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090EC8A8" w14:textId="77777777" w:rsidTr="00432C7B">
        <w:trPr>
          <w:trHeight w:val="302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3D5AFE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hideMark/>
          </w:tcPr>
          <w:p w14:paraId="17CA019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CD5E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7097C28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32C7B" w:rsidRPr="000F3E9B" w14:paraId="43333030" w14:textId="77777777" w:rsidTr="00432C7B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2618C" w14:textId="465A2CF8" w:rsidR="00432C7B" w:rsidRPr="000F3E9B" w:rsidRDefault="00432C7B" w:rsidP="00432C7B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C.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851F0A" w14:textId="7D81206B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F10455">
              <w:rPr>
                <w:rFonts w:ascii="Cambria" w:hAnsi="Cambria" w:cs="Calibri"/>
                <w:sz w:val="22"/>
                <w:szCs w:val="22"/>
                <w:lang w:eastAsia="zh-CN"/>
              </w:rPr>
              <w:t>Odpowiedzialność cywilna za szkody wynikłe z przeniesienia chorób zakaźnych, z włączeniem HIV, WZW, zakażeniami bakteryjnymi (w tym min gronkowiec złocisty), zakażeniami wirusowymi</w:t>
            </w:r>
            <w:r w:rsidR="00E67BC5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 </w:t>
            </w:r>
            <w:r w:rsidRPr="000F3E9B">
              <w:rPr>
                <w:rFonts w:asciiTheme="majorHAnsi" w:hAnsiTheme="majorHAnsi" w:cs="Tahoma"/>
                <w:sz w:val="22"/>
                <w:szCs w:val="22"/>
              </w:rPr>
              <w:t>– zwiększenie limitu odpowiedzialności do 1 000 000,00 zł</w:t>
            </w:r>
            <w:r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47AAE" w14:textId="0787BF69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E339F4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32C7B" w:rsidRPr="000F3E9B" w14:paraId="6EC5D9E6" w14:textId="77777777" w:rsidTr="00432C7B">
        <w:trPr>
          <w:trHeight w:val="3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CB603" w14:textId="77777777" w:rsidR="00432C7B" w:rsidRPr="000F3E9B" w:rsidRDefault="00432C7B" w:rsidP="00432C7B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14:paraId="5B5F6DB3" w14:textId="2B41147B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="Tahoma"/>
                <w:sz w:val="22"/>
                <w:szCs w:val="22"/>
              </w:rPr>
              <w:t>Brak zwiększenia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05958" w14:textId="515C7B1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085B2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32C7B" w:rsidRPr="000F3E9B" w14:paraId="0ABEF622" w14:textId="77777777" w:rsidTr="00432C7B">
        <w:trPr>
          <w:trHeight w:val="302"/>
          <w:jc w:val="right"/>
        </w:trPr>
        <w:tc>
          <w:tcPr>
            <w:tcW w:w="375" w:type="pc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17348237" w14:textId="4DFB48CC" w:rsidR="00432C7B" w:rsidRPr="000F3E9B" w:rsidRDefault="00432C7B" w:rsidP="00432C7B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D</w:t>
            </w: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25" w:type="pct"/>
            <w:gridSpan w:val="3"/>
            <w:tcBorders>
              <w:top w:val="doub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4743FC3" w14:textId="2B8E3F1E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Klauzula funduszu prewencyjnego – waga (znaczenie): 2%</w:t>
            </w:r>
          </w:p>
        </w:tc>
      </w:tr>
      <w:tr w:rsidR="00432C7B" w:rsidRPr="000F3E9B" w14:paraId="693AC09A" w14:textId="77777777" w:rsidTr="00BB6025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5AF5251B" w14:textId="77777777" w:rsidR="00432C7B" w:rsidRPr="000F3E9B" w:rsidRDefault="00432C7B" w:rsidP="00432C7B">
            <w:pPr>
              <w:suppressAutoHyphens/>
              <w:spacing w:line="27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99D63D7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60BD936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3F98EFF8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Wybór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432C7B" w:rsidRPr="000F3E9B" w14:paraId="7D149225" w14:textId="77777777" w:rsidTr="00BB6025">
        <w:trPr>
          <w:trHeight w:val="3292"/>
          <w:jc w:val="right"/>
        </w:trPr>
        <w:tc>
          <w:tcPr>
            <w:tcW w:w="375" w:type="pct"/>
            <w:vMerge w:val="restar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DFBC70A" w14:textId="77777777" w:rsidR="00432C7B" w:rsidRPr="000F3E9B" w:rsidRDefault="00432C7B" w:rsidP="00432C7B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D.1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F0F7E1D" w14:textId="54C6CEB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Klauzula funduszu prewencyjnego - Z zastrzeżeniem pozostałych, nie zmienionych niniejszą klauzulą postanowień umowy ubezpieczenia oraz ogólnych warunków ubezpieczenia, uzgadnia się, że: ubezpieczyciel stawia do dyspozycji ubezpieczającego fundusz prewencyjny w wysokości 5% płaconych składek z całości ubezpieczeń zawartych w wyniku niniejszej części postępowania na cel prewencyjny zaakceptowany przez ubezpieczyciela. Czynności, które zostaną podjęte w związku z realizacją niniejszej klauzuli zostaną rozliczone w oparciu o uregulowania wewnętrzne ubezpieczyciela dotyczące przyznawania i rozliczania środków na cele prewencyjne.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5C9D8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BFD3CDC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32C7B" w:rsidRPr="000F3E9B" w14:paraId="38391B3D" w14:textId="77777777" w:rsidTr="00BB6025">
        <w:trPr>
          <w:trHeight w:val="3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937878F" w14:textId="77777777" w:rsidR="00432C7B" w:rsidRPr="000F3E9B" w:rsidRDefault="00432C7B" w:rsidP="00432C7B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2584501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5BF8DB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6669398" w14:textId="77777777" w:rsidR="00432C7B" w:rsidRPr="000F3E9B" w:rsidRDefault="00432C7B" w:rsidP="00432C7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10A0E6D" w14:textId="5C8B06AA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# - zaznacz wybór X – w przypadku braku oznaczenia wyboru</w:t>
      </w:r>
      <w:r w:rsidR="00BF7B71" w:rsidRPr="000F3E9B">
        <w:rPr>
          <w:rFonts w:asciiTheme="majorHAnsi" w:hAnsiTheme="majorHAnsi" w:cs="Calibri"/>
          <w:bCs/>
          <w:sz w:val="22"/>
          <w:szCs w:val="22"/>
        </w:rPr>
        <w:t xml:space="preserve"> przez Wykonawcę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Zamawiający przyj</w:t>
      </w:r>
      <w:r w:rsidR="00EB7D27" w:rsidRPr="000F3E9B">
        <w:rPr>
          <w:rFonts w:asciiTheme="majorHAnsi" w:hAnsiTheme="majorHAnsi" w:cs="Calibri"/>
          <w:bCs/>
          <w:sz w:val="22"/>
          <w:szCs w:val="22"/>
        </w:rPr>
        <w:t xml:space="preserve">muje brak akceptacji </w:t>
      </w:r>
      <w:r w:rsidRPr="000F3E9B">
        <w:rPr>
          <w:rFonts w:asciiTheme="majorHAnsi" w:hAnsiTheme="majorHAnsi" w:cs="Calibri"/>
          <w:bCs/>
          <w:sz w:val="22"/>
          <w:szCs w:val="22"/>
        </w:rPr>
        <w:t>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6894B6E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 xml:space="preserve">2020, </w:t>
      </w:r>
      <w:r w:rsidR="003905A7" w:rsidRPr="000F3E9B">
        <w:rPr>
          <w:rFonts w:asciiTheme="majorHAnsi" w:hAnsiTheme="majorHAnsi"/>
          <w:sz w:val="22"/>
          <w:szCs w:val="22"/>
        </w:rPr>
        <w:t xml:space="preserve">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="003905A7"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="003905A7"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="003905A7" w:rsidRPr="000F3E9B">
        <w:rPr>
          <w:rFonts w:asciiTheme="majorHAnsi" w:hAnsiTheme="majorHAnsi"/>
          <w:sz w:val="22"/>
          <w:szCs w:val="22"/>
        </w:rPr>
        <w:t>. zm</w:t>
      </w:r>
      <w:r w:rsidR="00FC3EAB" w:rsidRPr="000F3E9B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4FDD8974" w14:textId="004B5CBD" w:rsidR="00FC3EAB" w:rsidRPr="00432C7B" w:rsidRDefault="00FC3EAB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32C7B">
        <w:rPr>
          <w:rFonts w:asciiTheme="majorHAnsi" w:hAnsiTheme="majorHAnsi" w:cs="Calibri"/>
          <w:sz w:val="22"/>
          <w:szCs w:val="22"/>
        </w:rPr>
        <w:t xml:space="preserve">uważamy się za związanych niniejszą ofertą od dnia upływu terminu składania ofert do dnia </w:t>
      </w:r>
      <w:r w:rsidR="00432C7B" w:rsidRPr="00432C7B">
        <w:rPr>
          <w:rFonts w:asciiTheme="majorHAnsi" w:hAnsiTheme="majorHAnsi" w:cs="Calibri"/>
          <w:sz w:val="22"/>
          <w:szCs w:val="22"/>
        </w:rPr>
        <w:t>13.04.2021 r.</w:t>
      </w:r>
    </w:p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C70A5AA" w14:textId="77777777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E51B97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3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79F9552D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8905A87" w14:textId="28B5E9D7" w:rsidR="00053EB4" w:rsidRPr="000F3E9B" w:rsidRDefault="00F90E26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Gołdap</w:t>
      </w:r>
    </w:p>
    <w:p w14:paraId="24EDAFA8" w14:textId="5DB65DF3" w:rsidR="00053EB4" w:rsidRDefault="00F90E26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Plac Zwycięstwa 14</w:t>
      </w:r>
    </w:p>
    <w:p w14:paraId="383F1E6D" w14:textId="3389453D" w:rsidR="00F90E26" w:rsidRPr="000F3E9B" w:rsidRDefault="00F90E26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19- 500 Gołdap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5E3585F8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5F029448" w:rsidR="00053EB4" w:rsidRPr="000F3E9B" w:rsidRDefault="00F90E26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INSTYTUCHU KULTURY ORAZ SPÓŁEK KOMUNALNYCH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3F99811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prawem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opcji</w:t>
      </w:r>
      <w:r w:rsidR="00F90E26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515BA1FA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90E2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</w:t>
            </w:r>
            <w:r w:rsidR="00F90E2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F90E2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45BBECD4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B2E2214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F90E26">
        <w:rPr>
          <w:rFonts w:asciiTheme="majorHAnsi" w:hAnsiTheme="majorHAnsi" w:cs="Calibri"/>
          <w:sz w:val="22"/>
          <w:szCs w:val="22"/>
        </w:rPr>
        <w:t xml:space="preserve">– </w:t>
      </w:r>
      <w:r w:rsidR="00774BA7" w:rsidRPr="00F90E26">
        <w:rPr>
          <w:rFonts w:asciiTheme="majorHAnsi" w:hAnsiTheme="majorHAnsi" w:cs="Calibri"/>
          <w:sz w:val="22"/>
          <w:szCs w:val="22"/>
        </w:rPr>
        <w:t>85</w:t>
      </w:r>
      <w:r w:rsidRPr="00F90E26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63BB4102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F90E26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F90E26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3A382DB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D830FC">
              <w:rPr>
                <w:rFonts w:asciiTheme="majorHAnsi" w:hAnsiTheme="majorHAnsi" w:cs="Calibri"/>
                <w:b/>
                <w:sz w:val="22"/>
                <w:szCs w:val="22"/>
              </w:rPr>
              <w:t>e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7C490493" w:rsidR="00480046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F90E26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F90E26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prawem opcji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0B39B652" w:rsidR="00480046" w:rsidRPr="00F90E26" w:rsidRDefault="00F90E2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F90E26">
              <w:rPr>
                <w:rFonts w:asciiTheme="majorHAnsi" w:hAnsiTheme="majorHAnsi" w:cs="Calibri"/>
                <w:bCs/>
                <w:sz w:val="22"/>
                <w:szCs w:val="22"/>
              </w:rPr>
              <w:t>2 029 272,00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4BAE981B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244E375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F90E26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9A4F8A" w14:textId="30BB26D4" w:rsidR="00CD172C" w:rsidRPr="000F3E9B" w:rsidRDefault="008B1E3E" w:rsidP="00EE1083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EE108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EE1083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EE1083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prawa opcji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8EC43E5" w14:textId="03DE202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1A82BDE8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Przyjmujemy fakultatywne warunki ubezpieczenia- 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15% z </w:t>
      </w:r>
      <w:proofErr w:type="spellStart"/>
      <w:r w:rsidR="002657AF" w:rsidRPr="000F3E9B">
        <w:rPr>
          <w:rFonts w:asciiTheme="majorHAnsi" w:hAnsiTheme="majorHAnsi" w:cs="Calibri"/>
          <w:bCs/>
          <w:sz w:val="22"/>
          <w:szCs w:val="22"/>
        </w:rPr>
        <w:t>podkryteriami</w:t>
      </w:r>
      <w:proofErr w:type="spellEnd"/>
      <w:r w:rsidR="002657AF" w:rsidRPr="000F3E9B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"/>
        <w:gridCol w:w="6922"/>
        <w:gridCol w:w="788"/>
        <w:gridCol w:w="969"/>
      </w:tblGrid>
      <w:tr w:rsidR="00F01106" w:rsidRPr="000F3E9B" w14:paraId="3892B503" w14:textId="77777777" w:rsidTr="00D830FC">
        <w:trPr>
          <w:trHeight w:val="295"/>
          <w:jc w:val="right"/>
        </w:trPr>
        <w:tc>
          <w:tcPr>
            <w:tcW w:w="306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30C9D47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694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45FA90D2" w14:textId="295DE99E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UBEZPIECZENIE KOMUNIKACYJNE –  waga (znaczenie): </w:t>
            </w:r>
            <w:r w:rsidR="00721DA7" w:rsidRPr="000F3E9B">
              <w:rPr>
                <w:rFonts w:asciiTheme="majorHAnsi" w:hAnsiTheme="majorHAnsi" w:cs="Calibri"/>
                <w:b/>
                <w:sz w:val="22"/>
                <w:szCs w:val="22"/>
              </w:rPr>
              <w:t>1</w:t>
            </w:r>
            <w:r w:rsidR="00D830FC"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</w:tr>
      <w:tr w:rsidR="00F01106" w:rsidRPr="000F3E9B" w14:paraId="328A8FDF" w14:textId="77777777" w:rsidTr="00D830FC">
        <w:trPr>
          <w:jc w:val="right"/>
        </w:trPr>
        <w:tc>
          <w:tcPr>
            <w:tcW w:w="306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6F36FD11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2B97723C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C06216A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423CD37F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F01106" w:rsidRPr="000F3E9B" w14:paraId="7CE0734E" w14:textId="77777777" w:rsidTr="00DE1D26">
        <w:trPr>
          <w:cantSplit/>
          <w:trHeight w:hRule="exact" w:val="615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8BE2499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18EB91C" w14:textId="09FAD7FB" w:rsidR="00F01106" w:rsidRPr="00DE1D26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prolongacyjna 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6.</w:t>
            </w:r>
            <w:r w:rsidR="00F23492" w:rsidRPr="00DE1D26">
              <w:rPr>
                <w:rFonts w:asciiTheme="majorHAnsi" w:hAnsiTheme="majorHAnsi" w:cs="Calibri"/>
                <w:sz w:val="22"/>
                <w:szCs w:val="22"/>
              </w:rPr>
              <w:t>2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/7.</w:t>
            </w:r>
            <w:r w:rsidR="00F23492" w:rsidRPr="00DE1D26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3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B600B23" w14:textId="360B1C0B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CC25D8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E981EC0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01106" w:rsidRPr="000F3E9B" w14:paraId="04156109" w14:textId="77777777" w:rsidTr="00D830FC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9B46315" w14:textId="77777777" w:rsidR="00F01106" w:rsidRPr="000F3E9B" w:rsidRDefault="00F011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849FE43" w14:textId="77777777" w:rsidR="00F01106" w:rsidRPr="00DE1D26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9AC1DD1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B00ADB9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01106" w:rsidRPr="000F3E9B" w14:paraId="49F960DE" w14:textId="77777777" w:rsidTr="00D830FC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3384D0B" w14:textId="77777777" w:rsidR="00F01106" w:rsidRPr="000F3E9B" w:rsidRDefault="00F011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61F0705E" w14:textId="0CDFB0E9" w:rsidR="00F01106" w:rsidRPr="00DE1D26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gwarantowanej (stałej) sumy ubezpieczenia 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</w:t>
            </w:r>
            <w:r w:rsidR="00F23492" w:rsidRPr="00DE1D26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D830FC" w:rsidRPr="00DE1D26">
              <w:rPr>
                <w:rFonts w:asciiTheme="majorHAnsi" w:hAnsiTheme="majorHAnsi" w:cs="Calibri"/>
                <w:sz w:val="22"/>
                <w:szCs w:val="22"/>
              </w:rPr>
              <w:t>2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3AA07" w14:textId="1B2BD075" w:rsidR="00F01106" w:rsidRPr="000F3E9B" w:rsidRDefault="00CC25D8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D6EAD40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F01106" w:rsidRPr="000F3E9B" w14:paraId="7ACD8F01" w14:textId="77777777" w:rsidTr="00D830FC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F05FEC9" w14:textId="77777777" w:rsidR="00F01106" w:rsidRPr="000F3E9B" w:rsidRDefault="00F0110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240C5291" w14:textId="77777777" w:rsidR="00F01106" w:rsidRPr="00DE1D26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7C84DBC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A5ADC98" w14:textId="77777777" w:rsidR="00F01106" w:rsidRPr="000F3E9B" w:rsidRDefault="00F01106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6E18DF34" w14:textId="77777777" w:rsidTr="00D830FC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CC8F2D" w14:textId="095C4D0F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3</w:t>
            </w:r>
          </w:p>
        </w:tc>
        <w:tc>
          <w:tcPr>
            <w:tcW w:w="374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9D71F0" w14:textId="1D350F01" w:rsidR="00CC25D8" w:rsidRPr="00DE1D26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koszów naprawy przez dostawcę–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</w:t>
            </w:r>
            <w:r w:rsidR="00D830FC" w:rsidRPr="00DE1D26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28CDB2" w14:textId="145F3F9A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12</w:t>
            </w:r>
          </w:p>
        </w:tc>
        <w:tc>
          <w:tcPr>
            <w:tcW w:w="52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67E069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1037D973" w14:textId="77777777" w:rsidTr="00D830FC">
        <w:trPr>
          <w:cantSplit/>
          <w:trHeight w:val="257"/>
          <w:jc w:val="right"/>
        </w:trPr>
        <w:tc>
          <w:tcPr>
            <w:tcW w:w="306" w:type="pct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7B94FD" w14:textId="77777777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0D0F8A60" w14:textId="0D65E028" w:rsidR="00CC25D8" w:rsidRPr="00DE1D26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3C3DE6" w14:textId="70D25BA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A1F5CCC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0AD35B76" w14:textId="77777777" w:rsidTr="00D830FC">
        <w:trPr>
          <w:cantSplit/>
          <w:trHeight w:val="257"/>
          <w:jc w:val="right"/>
        </w:trPr>
        <w:tc>
          <w:tcPr>
            <w:tcW w:w="306" w:type="pct"/>
            <w:vMerge w:val="restart"/>
            <w:tcBorders>
              <w:top w:val="double" w:sz="4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AF406C2" w14:textId="1AF25CB8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3744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3EB421CF" w14:textId="26DFF6B4" w:rsidR="00CC25D8" w:rsidRPr="00DE1D26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Klauzula koszów dodatkowych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7.1</w:t>
            </w:r>
            <w:r w:rsidR="00D830FC" w:rsidRPr="00DE1D26">
              <w:rPr>
                <w:rFonts w:asciiTheme="majorHAnsi" w:hAnsiTheme="majorHAnsi" w:cs="Calibri"/>
                <w:sz w:val="22"/>
                <w:szCs w:val="22"/>
              </w:rPr>
              <w:t>4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1DA2B" w14:textId="02E08E48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39B6089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4CF66D26" w14:textId="77777777" w:rsidTr="00D830FC">
        <w:trPr>
          <w:cantSplit/>
          <w:trHeight w:val="257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96882B9" w14:textId="77777777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96BF0A3" w14:textId="77777777" w:rsidR="00CC25D8" w:rsidRPr="00DE1D26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FB7999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674E15D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7CE8AE6A" w14:textId="77777777" w:rsidTr="00D830FC">
        <w:trPr>
          <w:cantSplit/>
          <w:trHeight w:hRule="exact" w:val="1005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4C625C5" w14:textId="2D6044F2" w:rsidR="00CC25D8" w:rsidRPr="00CC25D8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C25D8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37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C248DDC" w14:textId="1AAE1BDB" w:rsidR="00CC25D8" w:rsidRPr="00DE1D26" w:rsidRDefault="00CC25D8" w:rsidP="00CC25D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Klauzula reprezentantów 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7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633AF1" w14:textId="7C29A957" w:rsidR="00CC25D8" w:rsidRPr="00CC25D8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6D8F981" w14:textId="77777777" w:rsidR="00CC25D8" w:rsidRPr="00F23492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52F91135" w14:textId="77777777" w:rsidTr="00D830FC">
        <w:trPr>
          <w:cantSplit/>
          <w:trHeight w:val="65"/>
          <w:jc w:val="right"/>
        </w:trPr>
        <w:tc>
          <w:tcPr>
            <w:tcW w:w="306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5780FB9" w14:textId="77777777" w:rsidR="00CC25D8" w:rsidRPr="00CC25D8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9FFDF61" w14:textId="7777777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298EC4" w14:textId="77777777" w:rsidR="00CC25D8" w:rsidRPr="00CC25D8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C25D8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D56B8B8" w14:textId="77777777" w:rsidR="00CC25D8" w:rsidRPr="00F23492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65880B84" w14:textId="77777777" w:rsidTr="00D830FC">
        <w:trPr>
          <w:cantSplit/>
          <w:trHeight w:val="818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815F818" w14:textId="328F0804" w:rsidR="00CC25D8" w:rsidRPr="00CC25D8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CC25D8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6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434433A" w14:textId="6113EB1E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Klauzuli pojazdu bez nadzoru 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7.1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3C298" w14:textId="0F7183FF" w:rsidR="00CC25D8" w:rsidRPr="00CC25D8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F4CEF60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16E042BD" w14:textId="77777777" w:rsidTr="00D830FC">
        <w:trPr>
          <w:cantSplit/>
          <w:trHeight w:val="70"/>
          <w:jc w:val="right"/>
        </w:trPr>
        <w:tc>
          <w:tcPr>
            <w:tcW w:w="306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F2EB865" w14:textId="77777777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E64D4AF" w14:textId="7777777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D3FF6D1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9ECA770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178439C1" w14:textId="77777777" w:rsidTr="00D830FC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top w:val="double" w:sz="2" w:space="0" w:color="000000"/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95B9363" w14:textId="2D094E8C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7</w:t>
            </w:r>
          </w:p>
        </w:tc>
        <w:tc>
          <w:tcPr>
            <w:tcW w:w="374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932214A" w14:textId="46FEAFF1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>Klauzula ważnego prawa jazdy</w:t>
            </w:r>
            <w:r w:rsidRPr="00DE1D26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7.1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0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41C68" w14:textId="54331C53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1327375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125E17FD" w14:textId="77777777" w:rsidTr="00D830FC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6A86A51" w14:textId="77777777" w:rsidR="00CC25D8" w:rsidRPr="000F3E9B" w:rsidRDefault="00CC25D8" w:rsidP="00CC25D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6039106" w14:textId="7777777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zwiększenia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DF66BA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274B55A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7243EC46" w14:textId="77777777" w:rsidTr="00D830FC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ECAF3AA" w14:textId="42A0B130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8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F2A7CA" w14:textId="439BAC3C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Tahoma"/>
                <w:b/>
                <w:sz w:val="22"/>
                <w:szCs w:val="22"/>
              </w:rPr>
              <w:t xml:space="preserve">Klauzula kosztów dojazdu serwisu naprawczego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7.1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6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B9A7F" w14:textId="5F1BFA41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002B0C3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0C6A6345" w14:textId="77777777" w:rsidTr="00D830FC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2CC258D" w14:textId="77777777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CC97042" w14:textId="7777777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6E46C3E" w14:textId="63D9860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4195F50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11C77F2B" w14:textId="77777777" w:rsidTr="00D830FC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686F146C" w14:textId="64CCD478" w:rsidR="00CC25D8" w:rsidRPr="000F3E9B" w:rsidRDefault="00CC25D8" w:rsidP="00CC25D8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9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6F6295" w14:textId="5F76F4D8" w:rsidR="00CC25D8" w:rsidRPr="00DE1D26" w:rsidRDefault="00CC25D8" w:rsidP="00CC25D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DE1D26">
              <w:rPr>
                <w:rFonts w:asciiTheme="majorHAnsi" w:hAnsiTheme="majorHAnsi" w:cs="Tahoma"/>
                <w:b/>
                <w:sz w:val="22"/>
                <w:szCs w:val="22"/>
              </w:rPr>
              <w:t xml:space="preserve">Klauzula pojazdu zastępczego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7.1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5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59E75" w14:textId="117F34C6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223CCE6A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0DD2E55B" w14:textId="77777777" w:rsidTr="00D830FC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D66531D" w14:textId="77777777" w:rsidR="00CC25D8" w:rsidRPr="000F3E9B" w:rsidRDefault="00CC25D8" w:rsidP="00CC25D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98F45BE" w14:textId="7777777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736B6F" w14:textId="0C55E9BE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EED39E6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3BB10E8E" w14:textId="77777777" w:rsidTr="00D830FC">
        <w:trPr>
          <w:cantSplit/>
          <w:trHeight w:val="391"/>
          <w:jc w:val="right"/>
        </w:trPr>
        <w:tc>
          <w:tcPr>
            <w:tcW w:w="306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77A71357" w14:textId="160B1D8C" w:rsidR="00CC25D8" w:rsidRPr="000F3E9B" w:rsidRDefault="00CC25D8" w:rsidP="00CC25D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lastRenderedPageBreak/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DE1D26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F9DF946" w14:textId="39F89C4E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>Klauzula osoby w stanie nietrzeźwości lub innych środków odurzających</w:t>
            </w:r>
            <w:r w:rsidRPr="00DE1D26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>w treści zgodnie z pkt 7.</w:t>
            </w:r>
            <w:r w:rsidR="00DE1D26" w:rsidRPr="00DE1D26">
              <w:rPr>
                <w:rFonts w:asciiTheme="majorHAnsi" w:hAnsiTheme="majorHAnsi" w:cs="Calibri"/>
                <w:sz w:val="22"/>
                <w:szCs w:val="22"/>
              </w:rPr>
              <w:t>9</w:t>
            </w:r>
            <w:r w:rsidRPr="00DE1D26">
              <w:rPr>
                <w:rFonts w:asciiTheme="majorHAnsi" w:hAnsiTheme="majorHAnsi" w:cs="Calibri"/>
                <w:sz w:val="22"/>
                <w:szCs w:val="22"/>
              </w:rPr>
              <w:t xml:space="preserve"> (załącznik nr 6B – opis przedmiotu zamówienia Część II, podpunkt B – ubezpieczenia autocasco) </w:t>
            </w:r>
            <w:r w:rsidRPr="00DE1D26">
              <w:rPr>
                <w:rFonts w:asciiTheme="majorHAnsi" w:hAnsiTheme="majorHAnsi" w:cs="Calibri"/>
                <w:b/>
                <w:sz w:val="22"/>
                <w:szCs w:val="22"/>
              </w:rPr>
              <w:t>– włączenie do ochrony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0D842" w14:textId="62CAAB6E" w:rsidR="00CC25D8" w:rsidRPr="000F3E9B" w:rsidRDefault="00DE1D26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625300B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CC25D8" w:rsidRPr="000F3E9B" w14:paraId="5D864DC3" w14:textId="77777777" w:rsidTr="00D830FC">
        <w:trPr>
          <w:cantSplit/>
          <w:trHeight w:val="391"/>
          <w:jc w:val="right"/>
        </w:trPr>
        <w:tc>
          <w:tcPr>
            <w:tcW w:w="306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2884165" w14:textId="77777777" w:rsidR="00CC25D8" w:rsidRPr="000F3E9B" w:rsidRDefault="00CC25D8" w:rsidP="00CC25D8">
            <w:pPr>
              <w:suppressAutoHyphens/>
              <w:spacing w:line="276" w:lineRule="auto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0417113" w14:textId="4CF40187" w:rsidR="00CC25D8" w:rsidRPr="00DE1D26" w:rsidRDefault="00CC25D8" w:rsidP="00CC25D8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DE1D26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99B8DEA" w14:textId="08669510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FA023B3" w14:textId="77777777" w:rsidR="00CC25D8" w:rsidRPr="000F3E9B" w:rsidRDefault="00CC25D8" w:rsidP="00CC25D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62347287" w14:textId="77777777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# - </w:t>
      </w:r>
      <w:r w:rsidRPr="000F3E9B">
        <w:rPr>
          <w:rFonts w:asciiTheme="majorHAnsi" w:hAnsiTheme="majorHAnsi" w:cs="Calibri"/>
          <w:b/>
          <w:sz w:val="22"/>
          <w:szCs w:val="20"/>
          <w:lang w:eastAsia="en-US"/>
        </w:rPr>
        <w:t>zaznacz wybór X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 – w przypadku braku oznaczenia wyboru Zamawiający przyj</w:t>
      </w:r>
      <w:r w:rsidR="00F31DFD" w:rsidRPr="000F3E9B">
        <w:rPr>
          <w:rFonts w:asciiTheme="majorHAnsi" w:hAnsiTheme="majorHAnsi" w:cs="Calibri"/>
          <w:sz w:val="22"/>
          <w:szCs w:val="20"/>
          <w:lang w:eastAsia="en-US"/>
        </w:rPr>
        <w:t xml:space="preserve">muje brak akceptacji 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>(i tym samym nie nalicza punktów)</w:t>
      </w:r>
      <w:r w:rsidR="00FB11E1" w:rsidRPr="000F3E9B">
        <w:rPr>
          <w:rFonts w:asciiTheme="majorHAnsi" w:hAnsiTheme="majorHAnsi" w:cs="Calibri"/>
          <w:sz w:val="22"/>
          <w:szCs w:val="20"/>
          <w:lang w:eastAsia="en-US"/>
        </w:rPr>
        <w:t xml:space="preserve">. 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W przypadku oznaczenia wyboru przez Wykonawcę równocześnie dwóch wierszy w ramach jednego warunku fakultatywnego to Zamawiający przyjmuje brak akceptacji (i tym samym nie nalicza punktów).</w:t>
      </w:r>
    </w:p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4E253868" w:rsidR="00721DA7" w:rsidRPr="000F3E9B" w:rsidRDefault="00721DA7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Pr="000F3E9B">
        <w:rPr>
          <w:rFonts w:asciiTheme="majorHAnsi" w:hAnsiTheme="majorHAnsi"/>
          <w:sz w:val="22"/>
          <w:szCs w:val="22"/>
        </w:rPr>
        <w:t>.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6A72DC9" w14:textId="77777777" w:rsidR="00721DA7" w:rsidRPr="00342E2E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SWZ, </w:t>
      </w:r>
      <w:r w:rsidRPr="00342E2E">
        <w:rPr>
          <w:rFonts w:asciiTheme="majorHAnsi" w:hAnsiTheme="majorHAnsi" w:cs="Calibri"/>
          <w:bCs/>
          <w:sz w:val="22"/>
          <w:szCs w:val="22"/>
        </w:rPr>
        <w:t>wyjaśnień oraz zmian do SWZ,</w:t>
      </w:r>
    </w:p>
    <w:p w14:paraId="73D92B26" w14:textId="63AD937C" w:rsidR="00721DA7" w:rsidRPr="00342E2E" w:rsidRDefault="00721DA7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342E2E">
        <w:rPr>
          <w:rFonts w:asciiTheme="majorHAnsi" w:hAnsiTheme="majorHAnsi"/>
          <w:sz w:val="22"/>
          <w:szCs w:val="22"/>
        </w:rPr>
        <w:t xml:space="preserve">uważamy się za związanych niniejszą ofertą od dnia upływu terminu składania ofert do dnia </w:t>
      </w:r>
      <w:r w:rsidR="00CC25D8" w:rsidRPr="00342E2E">
        <w:rPr>
          <w:rFonts w:asciiTheme="majorHAnsi" w:hAnsiTheme="majorHAnsi"/>
          <w:sz w:val="22"/>
          <w:szCs w:val="22"/>
        </w:rPr>
        <w:t>13.04.2021 r.</w:t>
      </w:r>
    </w:p>
    <w:p w14:paraId="18EF4152" w14:textId="36947394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42E2E">
        <w:rPr>
          <w:rFonts w:asciiTheme="majorHAnsi" w:hAnsiTheme="majorHAnsi" w:cs="Calibri"/>
          <w:bCs/>
          <w:sz w:val="22"/>
          <w:szCs w:val="22"/>
        </w:rPr>
        <w:t>zapewniamy wykonanie zamówienia w terminie określonym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w SWZ,</w:t>
      </w:r>
    </w:p>
    <w:p w14:paraId="2DA9A9C7" w14:textId="7822BC6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8481AEE" w14:textId="0EAD02E5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średnim przedsiębiorstwem.</w:t>
      </w:r>
    </w:p>
    <w:p w14:paraId="713DF134" w14:textId="7114228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3BAB780F" w14:textId="77777777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7135CDDB" w14:textId="1746F1A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lastRenderedPageBreak/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</w:t>
      </w:r>
      <w:r w:rsidR="00096FE1" w:rsidRPr="000F3E9B">
        <w:rPr>
          <w:rFonts w:asciiTheme="majorHAnsi" w:hAnsiTheme="majorHAnsi" w:cs="Calibri"/>
          <w:sz w:val="20"/>
          <w:szCs w:val="20"/>
        </w:rPr>
        <w:t xml:space="preserve">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</w:t>
      </w:r>
      <w:r w:rsidR="00096FE1" w:rsidRPr="000F3E9B">
        <w:rPr>
          <w:rFonts w:asciiTheme="majorHAnsi" w:hAnsiTheme="majorHAnsi" w:cs="Calibri"/>
          <w:sz w:val="20"/>
          <w:szCs w:val="20"/>
        </w:rPr>
        <w:t>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3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23938F8F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67878724" w14:textId="786F5A89" w:rsidR="00AB4080" w:rsidRPr="000F3E9B" w:rsidRDefault="00342E2E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Gołdap</w:t>
      </w:r>
    </w:p>
    <w:p w14:paraId="55586CAF" w14:textId="398F7E31" w:rsidR="00AB4080" w:rsidRDefault="00342E2E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Plac Zwycięstwa 14</w:t>
      </w:r>
    </w:p>
    <w:p w14:paraId="50E8DEFD" w14:textId="483D3010" w:rsidR="00342E2E" w:rsidRPr="000F3E9B" w:rsidRDefault="00342E2E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19- 500 Gołdap 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1CEAD005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2BF2B14D" w:rsidR="00AB4080" w:rsidRPr="000F3E9B" w:rsidRDefault="00342E2E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GOŁDAP I JEJ JEDNOSTEK ORGANIZACYJNYCH, INSTYTUCHU KULTURY ORAZ SPÓŁEK KOMUNALNYCH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2915B27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prawem opcji</w:t>
      </w:r>
      <w:r w:rsidR="002657AF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0DA94C0E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5A46F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 w:rsidR="005A46F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</w:t>
            </w:r>
            <w:r w:rsidR="005A46FF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743DB3" w14:textId="0F00D4E6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2ED7" w:rsidRPr="000F3E9B" w14:paraId="621472B4" w14:textId="77777777" w:rsidTr="00AB4080">
        <w:trPr>
          <w:trHeight w:val="464"/>
        </w:trPr>
        <w:tc>
          <w:tcPr>
            <w:tcW w:w="1088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AB4080">
        <w:trPr>
          <w:trHeight w:val="697"/>
        </w:trPr>
        <w:tc>
          <w:tcPr>
            <w:tcW w:w="1088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39FA0DC9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</w:t>
      </w:r>
      <w:r w:rsidRPr="005A46FF">
        <w:rPr>
          <w:rFonts w:asciiTheme="majorHAnsi" w:hAnsiTheme="majorHAnsi" w:cs="Calibri"/>
          <w:bCs/>
          <w:sz w:val="22"/>
          <w:szCs w:val="22"/>
        </w:rPr>
        <w:t xml:space="preserve">– </w:t>
      </w:r>
      <w:r w:rsidR="00721DA7" w:rsidRPr="005A46FF">
        <w:rPr>
          <w:rFonts w:asciiTheme="majorHAnsi" w:hAnsiTheme="majorHAnsi" w:cs="Calibri"/>
          <w:bCs/>
          <w:sz w:val="22"/>
          <w:szCs w:val="22"/>
        </w:rPr>
        <w:t>8</w:t>
      </w:r>
      <w:r w:rsidR="005A46FF" w:rsidRPr="005A46FF">
        <w:rPr>
          <w:rFonts w:asciiTheme="majorHAnsi" w:hAnsiTheme="majorHAnsi" w:cs="Calibri"/>
          <w:bCs/>
          <w:sz w:val="22"/>
          <w:szCs w:val="22"/>
        </w:rPr>
        <w:t>5</w:t>
      </w:r>
      <w:r w:rsidRPr="005A46FF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5"/>
        <w:gridCol w:w="1380"/>
        <w:gridCol w:w="1380"/>
        <w:gridCol w:w="691"/>
        <w:gridCol w:w="1005"/>
        <w:gridCol w:w="1613"/>
      </w:tblGrid>
      <w:tr w:rsidR="00852ED7" w:rsidRPr="000F3E9B" w14:paraId="438F2A53" w14:textId="77777777" w:rsidTr="003766A3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543F8E7B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5A46F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</w:t>
            </w:r>
            <w:r w:rsidR="005A46FF">
              <w:rPr>
                <w:rFonts w:asciiTheme="majorHAnsi" w:hAnsiTheme="majorHAnsi" w:cs="Calibri"/>
                <w:b/>
                <w:sz w:val="20"/>
                <w:szCs w:val="20"/>
              </w:rPr>
              <w:t>iące</w:t>
            </w:r>
          </w:p>
        </w:tc>
        <w:tc>
          <w:tcPr>
            <w:tcW w:w="876" w:type="pct"/>
            <w:gridSpan w:val="2"/>
            <w:shd w:val="clear" w:color="auto" w:fill="002060"/>
            <w:vAlign w:val="center"/>
          </w:tcPr>
          <w:p w14:paraId="265EFD9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833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5466BF34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5A46F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="005A46FF">
              <w:rPr>
                <w:rFonts w:asciiTheme="majorHAnsi" w:hAnsiTheme="majorHAnsi" w:cs="Calibri"/>
                <w:b/>
                <w:sz w:val="20"/>
                <w:szCs w:val="20"/>
              </w:rPr>
              <w:t>miesiące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prawem opcji</w:t>
            </w:r>
          </w:p>
        </w:tc>
      </w:tr>
      <w:tr w:rsidR="00852ED7" w:rsidRPr="000F3E9B" w14:paraId="069D7286" w14:textId="77777777" w:rsidTr="003766A3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3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3766A3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3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3766A3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713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76EFE1FE" w14:textId="020B450F" w:rsidR="00852ED7" w:rsidRPr="000F3E9B" w:rsidRDefault="005A46F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="00852ED7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3766A3">
        <w:trPr>
          <w:trHeight w:val="416"/>
          <w:jc w:val="center"/>
        </w:trPr>
        <w:tc>
          <w:tcPr>
            <w:tcW w:w="1865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4D4A6CD2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590E1726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ą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6B1EFCAE" w14:textId="3C70E086" w:rsidR="002A5250" w:rsidRPr="005A46FF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2A5250" w:rsidRPr="005A46FF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ą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c</w:t>
      </w:r>
      <w:r w:rsidR="005A46FF">
        <w:rPr>
          <w:rFonts w:asciiTheme="majorHAnsi" w:hAnsiTheme="majorHAnsi" w:cs="Calibri"/>
          <w:i/>
          <w:iCs/>
          <w:sz w:val="22"/>
          <w:szCs w:val="22"/>
        </w:rPr>
        <w:t>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5C7D0102" w14:textId="6BC8FAAE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4784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6716"/>
        <w:gridCol w:w="811"/>
        <w:gridCol w:w="944"/>
      </w:tblGrid>
      <w:tr w:rsidR="00AB4080" w:rsidRPr="000F3E9B" w14:paraId="07CFEA43" w14:textId="77777777" w:rsidTr="00DA1EFE">
        <w:trPr>
          <w:trHeight w:val="295"/>
          <w:jc w:val="right"/>
        </w:trPr>
        <w:tc>
          <w:tcPr>
            <w:tcW w:w="260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FADCEE4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740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59E6D6EB" w14:textId="4412995A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UBEZPIECZENIE NNW CZŁONKÓW OSP –  waga (znaczenie): </w:t>
            </w:r>
            <w:r w:rsidR="003766A3">
              <w:rPr>
                <w:rFonts w:asciiTheme="majorHAnsi" w:hAnsiTheme="majorHAnsi" w:cs="Calibri"/>
                <w:b/>
                <w:sz w:val="22"/>
                <w:szCs w:val="22"/>
              </w:rPr>
              <w:t>15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</w:tr>
      <w:tr w:rsidR="00AB4080" w:rsidRPr="000F3E9B" w14:paraId="59D2CB38" w14:textId="77777777" w:rsidTr="003766A3">
        <w:trPr>
          <w:jc w:val="right"/>
        </w:trPr>
        <w:tc>
          <w:tcPr>
            <w:tcW w:w="260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E5ACD9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C8E6ECE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F3D90D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07EAE7FF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Wybór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  <w:vertAlign w:val="superscript"/>
              </w:rPr>
              <w:t>#</w:t>
            </w:r>
          </w:p>
        </w:tc>
      </w:tr>
      <w:tr w:rsidR="00AB4080" w:rsidRPr="000F3E9B" w14:paraId="378E22C5" w14:textId="77777777" w:rsidTr="003766A3">
        <w:trPr>
          <w:cantSplit/>
          <w:trHeight w:hRule="exact" w:val="2067"/>
          <w:jc w:val="right"/>
        </w:trPr>
        <w:tc>
          <w:tcPr>
            <w:tcW w:w="260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5E09AA" w14:textId="382E7FD5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1</w:t>
            </w:r>
          </w:p>
        </w:tc>
        <w:tc>
          <w:tcPr>
            <w:tcW w:w="375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BA58AD0" w14:textId="7FE3AE1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Podwyższenie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do 50%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sumy ubezpieczenia limitów wskazanych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 pkt 6.</w:t>
            </w:r>
            <w:r w:rsidR="003766A3">
              <w:rPr>
                <w:rFonts w:asciiTheme="majorHAnsi" w:hAnsiTheme="majorHAnsi" w:cs="Calibri"/>
                <w:b/>
                <w:sz w:val="22"/>
                <w:szCs w:val="22"/>
              </w:rPr>
              <w:t>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, 6.</w:t>
            </w:r>
            <w:r w:rsidR="003766A3"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, 6.</w:t>
            </w:r>
            <w:r w:rsidR="003766A3">
              <w:rPr>
                <w:rFonts w:asciiTheme="majorHAnsi" w:hAnsiTheme="majorHAnsi" w:cs="Calibri"/>
                <w:b/>
                <w:sz w:val="22"/>
                <w:szCs w:val="22"/>
              </w:rPr>
              <w:t>6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tj. </w:t>
            </w:r>
          </w:p>
          <w:p w14:paraId="08CB0F0E" w14:textId="349D438F" w:rsidR="00AB4080" w:rsidRPr="000F3E9B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6.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4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koszty nabycia przedmiotów ortopedycznych i środków pomocniczych,</w:t>
            </w:r>
          </w:p>
          <w:p w14:paraId="710D361E" w14:textId="728FAEC5" w:rsidR="00AB4080" w:rsidRPr="000F3E9B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6.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koszty przeszkolenia zawodowego inwalidów ,</w:t>
            </w:r>
          </w:p>
          <w:p w14:paraId="22E21948" w14:textId="1FEE39C5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6.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6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koszty leczenia 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F0A6B6" w14:textId="735CAC20" w:rsidR="00AB4080" w:rsidRPr="000F3E9B" w:rsidRDefault="003766A3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387FDD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10553A17" w14:textId="77777777" w:rsidTr="003766A3">
        <w:trPr>
          <w:cantSplit/>
          <w:trHeight w:val="255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2D89F1B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5CA9D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Brak podwyższenia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ECB7E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058237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23214197" w14:textId="77777777" w:rsidTr="003766A3">
        <w:trPr>
          <w:cantSplit/>
          <w:trHeight w:val="255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0A23E20" w14:textId="4DF2FF83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2</w:t>
            </w: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B362D30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Świadczenie dodatkowe z tytułu pobytu ubezpieczonego w szpitalu,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7062ED" w14:textId="40F5FF40" w:rsidR="00AB4080" w:rsidRPr="000F3E9B" w:rsidRDefault="003766A3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30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1A900BC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580279D" w14:textId="77777777" w:rsidTr="003766A3">
        <w:trPr>
          <w:cantSplit/>
          <w:trHeight w:val="255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DE0556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597F9905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1E3A6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15B40067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2C6CE61E" w14:textId="77777777" w:rsidTr="003766A3">
        <w:trPr>
          <w:cantSplit/>
          <w:trHeight w:val="255"/>
          <w:jc w:val="right"/>
        </w:trPr>
        <w:tc>
          <w:tcPr>
            <w:tcW w:w="260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07C94B8" w14:textId="2225400D" w:rsidR="00AB4080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3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166212C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Zasiłek dzienny</w:t>
            </w: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78ED9" w14:textId="24B09BB0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2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4AFEEE7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7FEBE125" w14:textId="77777777" w:rsidTr="003766A3">
        <w:trPr>
          <w:cantSplit/>
          <w:trHeight w:val="255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C4CA56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0934358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8B7BB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E15A871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906CEFC" w14:textId="77777777" w:rsidTr="003766A3">
        <w:trPr>
          <w:cantSplit/>
          <w:trHeight w:hRule="exact" w:val="1017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7295070" w14:textId="2D4A700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375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6FFA63D" w14:textId="77777777" w:rsidR="00AB4080" w:rsidRPr="000F3E9B" w:rsidRDefault="00AB4080" w:rsidP="0088774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Włączenie odpowiedzialności w przypadku szkody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45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994BED" w14:textId="1D0AF93B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</w:t>
            </w:r>
            <w:r w:rsidR="003766A3"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28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028DCC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01EA9C5C" w14:textId="77777777" w:rsidTr="003766A3">
        <w:trPr>
          <w:cantSplit/>
          <w:trHeight w:val="65"/>
          <w:jc w:val="right"/>
        </w:trPr>
        <w:tc>
          <w:tcPr>
            <w:tcW w:w="260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53F6765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7C6E8353" w14:textId="77777777" w:rsidR="00AB4080" w:rsidRPr="000F3E9B" w:rsidRDefault="00AB4080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6B10E1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176B42B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</w:tbl>
    <w:p w14:paraId="152E2188" w14:textId="77777777" w:rsidR="00FB11E1" w:rsidRPr="000F3E9B" w:rsidRDefault="00852ED7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# - zaznacz wybór X – w przypadku braku oznaczenia wyboru Zamawiający przyjmuje brak akceptacji 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4883EA43" w:rsidR="00721DA7" w:rsidRPr="000F3E9B" w:rsidRDefault="00721DA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0F3E9B">
        <w:rPr>
          <w:rFonts w:asciiTheme="majorHAnsi" w:hAnsiTheme="majorHAnsi"/>
          <w:sz w:val="22"/>
          <w:szCs w:val="22"/>
        </w:rPr>
        <w:t>późn</w:t>
      </w:r>
      <w:proofErr w:type="spellEnd"/>
      <w:r w:rsidRPr="000F3E9B">
        <w:rPr>
          <w:rFonts w:asciiTheme="majorHAnsi" w:hAnsiTheme="majorHAnsi"/>
          <w:sz w:val="22"/>
          <w:szCs w:val="22"/>
        </w:rPr>
        <w:t>.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390C0D59" w14:textId="77777777" w:rsidR="00DB11A9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644E5E5F" w14:textId="77E670FB" w:rsidR="00DB11A9" w:rsidRPr="003766A3" w:rsidRDefault="00DB11A9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3766A3">
        <w:rPr>
          <w:rFonts w:asciiTheme="majorHAnsi" w:hAnsiTheme="majorHAnsi"/>
          <w:sz w:val="22"/>
          <w:szCs w:val="22"/>
        </w:rPr>
        <w:t xml:space="preserve">uważamy się za związanych niniejszą ofertą od dnia upływu terminu składania ofert do dnia </w:t>
      </w:r>
      <w:r w:rsidR="003766A3" w:rsidRPr="003766A3">
        <w:rPr>
          <w:rFonts w:asciiTheme="majorHAnsi" w:hAnsiTheme="majorHAnsi"/>
          <w:sz w:val="22"/>
          <w:szCs w:val="22"/>
        </w:rPr>
        <w:t>13.04.2021 r.</w:t>
      </w:r>
    </w:p>
    <w:p w14:paraId="79134683" w14:textId="1E68DEFC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A23B917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Oświadczamy, że jesteśmy/ nie jesteśmy ****) mikroprzedsiębiorstwem bądź małym lub średnim przedsiębiorstwem.</w:t>
      </w:r>
    </w:p>
    <w:p w14:paraId="5E9D6FE7" w14:textId="77777777" w:rsidR="00FA4B58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9324302" w14:textId="77777777" w:rsidR="00852ED7" w:rsidRPr="000F3E9B" w:rsidRDefault="00852ED7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0DBBDF82" w14:textId="32573357" w:rsidR="00852ED7" w:rsidRPr="000F3E9B" w:rsidRDefault="00852ED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przedsiębiorstwem.</w:t>
      </w:r>
    </w:p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C63100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154F5BB5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78DCA23A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34892B1" w14:textId="1C96B634" w:rsidR="005B45D0" w:rsidRDefault="005B45D0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Gołdap</w:t>
      </w:r>
    </w:p>
    <w:p w14:paraId="419B9322" w14:textId="35D4101B" w:rsidR="005B45D0" w:rsidRDefault="005B45D0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Plac Zwycięstwa 14</w:t>
      </w:r>
    </w:p>
    <w:p w14:paraId="237A9D86" w14:textId="29983501" w:rsidR="005B45D0" w:rsidRPr="000F3E9B" w:rsidRDefault="005B45D0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19- 500 Gołdap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9056E46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6243AB">
        <w:rPr>
          <w:rFonts w:asciiTheme="majorHAnsi" w:hAnsiTheme="majorHAnsi" w:cstheme="minorHAnsi"/>
          <w:sz w:val="22"/>
          <w:szCs w:val="22"/>
        </w:rPr>
        <w:t>Gminy Gołdap i jej jednostek organizacyjnych, instytucji kultury oraz spółek komunalnych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33D92BC4" w14:textId="304ABE59" w:rsidR="00792DA0" w:rsidRPr="000F3E9B" w:rsidRDefault="00792DA0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="Arial"/>
          <w:sz w:val="22"/>
          <w:szCs w:val="22"/>
        </w:rPr>
        <w:t xml:space="preserve">art. 109 ust. 1 pkt. 4, 6, 9  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>., tj</w:t>
      </w:r>
      <w:r w:rsidR="00E7239D" w:rsidRPr="000F3E9B">
        <w:rPr>
          <w:rFonts w:asciiTheme="majorHAnsi" w:hAnsiTheme="majorHAnsi" w:cs="Arial"/>
          <w:sz w:val="22"/>
          <w:szCs w:val="22"/>
        </w:rPr>
        <w:t>. nie podlegam wykluczeniu z postępowaniu</w:t>
      </w:r>
      <w:r w:rsidR="00D00E8F" w:rsidRPr="000F3E9B">
        <w:rPr>
          <w:rFonts w:asciiTheme="majorHAnsi" w:hAnsiTheme="majorHAnsi" w:cs="Arial"/>
          <w:sz w:val="22"/>
          <w:szCs w:val="22"/>
        </w:rPr>
        <w:t>*</w:t>
      </w:r>
      <w:r w:rsidR="00E7239D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Arial"/>
          <w:sz w:val="22"/>
          <w:szCs w:val="22"/>
        </w:rPr>
        <w:t>.</w:t>
      </w:r>
    </w:p>
    <w:p w14:paraId="13652066" w14:textId="77777777" w:rsidR="00D27180" w:rsidRPr="000F3E9B" w:rsidRDefault="00D27180" w:rsidP="0088774C">
      <w:pPr>
        <w:pStyle w:val="Akapitzlist"/>
        <w:suppressAutoHyphens/>
        <w:overflowPunct w:val="0"/>
        <w:spacing w:line="276" w:lineRule="auto"/>
        <w:ind w:left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</w:p>
    <w:p w14:paraId="7AA0B45D" w14:textId="14894DBD" w:rsidR="00D00E8F" w:rsidRPr="000F3E9B" w:rsidRDefault="00D00E8F" w:rsidP="0088774C">
      <w:pPr>
        <w:pStyle w:val="Akapitzlist"/>
        <w:suppressAutoHyphens/>
        <w:overflowPunct w:val="0"/>
        <w:spacing w:line="276" w:lineRule="auto"/>
        <w:ind w:left="425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 w:cstheme="minorHAnsi"/>
          <w:i/>
          <w:sz w:val="22"/>
          <w:szCs w:val="22"/>
        </w:rPr>
        <w:t>*</w:t>
      </w:r>
      <w:r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vertAlign w:val="superscript"/>
        </w:rPr>
        <w:t>Zgodnie z SWZ (jako fakultatywną przesłankę) przewidziano również wykluczen</w:t>
      </w:r>
      <w:r w:rsidR="003826F1" w:rsidRPr="000F3E9B">
        <w:rPr>
          <w:rFonts w:asciiTheme="majorHAnsi" w:hAnsiTheme="majorHAnsi" w:cs="Calibri"/>
          <w:i/>
          <w:iCs/>
          <w:vertAlign w:val="superscript"/>
        </w:rPr>
        <w:t>ie</w:t>
      </w:r>
      <w:r w:rsidRPr="000F3E9B">
        <w:rPr>
          <w:rFonts w:asciiTheme="majorHAnsi" w:hAnsiTheme="majorHAnsi" w:cs="Calibri"/>
          <w:i/>
          <w:iCs/>
          <w:vertAlign w:val="superscript"/>
        </w:rPr>
        <w:t xml:space="preserve"> z postępowania Wykonawc</w:t>
      </w:r>
      <w:r w:rsidR="00D27180" w:rsidRPr="000F3E9B">
        <w:rPr>
          <w:rFonts w:asciiTheme="majorHAnsi" w:hAnsiTheme="majorHAnsi" w:cs="Calibri"/>
          <w:i/>
          <w:iCs/>
          <w:vertAlign w:val="superscript"/>
        </w:rPr>
        <w:t>y</w:t>
      </w:r>
      <w:r w:rsidRPr="000F3E9B">
        <w:rPr>
          <w:rFonts w:asciiTheme="majorHAnsi" w:hAnsiTheme="majorHAnsi" w:cs="Calibri"/>
          <w:i/>
          <w:iCs/>
          <w:vertAlign w:val="superscript"/>
        </w:rPr>
        <w:t xml:space="preserve"> na podstawie  </w:t>
      </w:r>
      <w:r w:rsidRPr="000F3E9B">
        <w:rPr>
          <w:rFonts w:asciiTheme="majorHAnsi" w:hAnsiTheme="majorHAnsi" w:cs="Arial"/>
          <w:i/>
          <w:iCs/>
          <w:vertAlign w:val="superscript"/>
        </w:rPr>
        <w:t xml:space="preserve">art. 109 ust. 1 pkt. 4, 6, 9  Ustawy </w:t>
      </w:r>
      <w:proofErr w:type="spellStart"/>
      <w:r w:rsidR="00FF62FC" w:rsidRPr="000F3E9B">
        <w:rPr>
          <w:rFonts w:asciiTheme="majorHAnsi" w:hAnsiTheme="majorHAnsi" w:cs="Arial"/>
          <w:i/>
          <w:iCs/>
          <w:vertAlign w:val="superscript"/>
        </w:rPr>
        <w:t>Pzp</w:t>
      </w:r>
      <w:proofErr w:type="spellEnd"/>
      <w:r w:rsidRPr="000F3E9B">
        <w:rPr>
          <w:rFonts w:asciiTheme="majorHAnsi" w:hAnsiTheme="majorHAnsi" w:cs="Arial"/>
          <w:i/>
          <w:iCs/>
          <w:vertAlign w:val="superscript"/>
        </w:rPr>
        <w:t>., tj.:</w:t>
      </w:r>
    </w:p>
    <w:p w14:paraId="6BFE4B9B" w14:textId="77777777" w:rsidR="00D27180" w:rsidRPr="000F3E9B" w:rsidRDefault="00D00E8F" w:rsidP="0088774C">
      <w:pPr>
        <w:pStyle w:val="Akapitzlist"/>
        <w:numPr>
          <w:ilvl w:val="4"/>
          <w:numId w:val="126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/>
          <w:i/>
          <w:iCs/>
          <w:vertAlign w:val="superscript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pkt. 4);</w:t>
      </w:r>
    </w:p>
    <w:p w14:paraId="59E02F74" w14:textId="67E1ACCC" w:rsidR="00D27180" w:rsidRPr="000F3E9B" w:rsidRDefault="00D00E8F" w:rsidP="0088774C">
      <w:pPr>
        <w:pStyle w:val="Akapitzlist"/>
        <w:numPr>
          <w:ilvl w:val="4"/>
          <w:numId w:val="126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/>
          <w:i/>
          <w:iCs/>
          <w:vertAlign w:val="superscript"/>
        </w:rPr>
        <w:t xml:space="preserve">jeżeli występuje konflikt interesów w rozumieniu art. 56 ust. 2 ustawy </w:t>
      </w:r>
      <w:proofErr w:type="spellStart"/>
      <w:r w:rsidR="00FF62FC" w:rsidRPr="000F3E9B">
        <w:rPr>
          <w:rFonts w:asciiTheme="majorHAnsi" w:hAnsiTheme="majorHAnsi"/>
          <w:i/>
          <w:iCs/>
          <w:vertAlign w:val="superscript"/>
        </w:rPr>
        <w:t>Pzp</w:t>
      </w:r>
      <w:proofErr w:type="spellEnd"/>
      <w:r w:rsidRPr="000F3E9B">
        <w:rPr>
          <w:rFonts w:asciiTheme="majorHAnsi" w:hAnsiTheme="majorHAnsi"/>
          <w:i/>
          <w:iCs/>
          <w:vertAlign w:val="superscript"/>
        </w:rPr>
        <w:t>., którego nie można skutecznie wyeliminować w inny sposób niż przez wykluczenie wykonawcy(art. 109 ust. 1 pkt. 6);</w:t>
      </w:r>
    </w:p>
    <w:p w14:paraId="4E0C9ED7" w14:textId="1C1E84FA" w:rsidR="00D00E8F" w:rsidRPr="000F3E9B" w:rsidRDefault="00D00E8F" w:rsidP="0088774C">
      <w:pPr>
        <w:pStyle w:val="Akapitzlist"/>
        <w:numPr>
          <w:ilvl w:val="4"/>
          <w:numId w:val="126"/>
        </w:numPr>
        <w:suppressAutoHyphens/>
        <w:overflowPunct w:val="0"/>
        <w:spacing w:line="276" w:lineRule="auto"/>
        <w:ind w:left="851" w:hanging="339"/>
        <w:jc w:val="both"/>
        <w:outlineLvl w:val="1"/>
        <w:rPr>
          <w:rFonts w:asciiTheme="majorHAnsi" w:hAnsiTheme="majorHAnsi" w:cs="Calibri"/>
          <w:i/>
          <w:iCs/>
          <w:vertAlign w:val="superscript"/>
        </w:rPr>
      </w:pPr>
      <w:r w:rsidRPr="000F3E9B">
        <w:rPr>
          <w:rFonts w:asciiTheme="majorHAnsi" w:hAnsiTheme="majorHAnsi"/>
          <w:i/>
          <w:iCs/>
          <w:vertAlign w:val="superscript"/>
        </w:rPr>
        <w:t>który bezprawnie wpływał lub próbował wpływać na czynności zamawiającego lub próbował pozyskać lub pozyskał informacje poufne, mogące dać mu przewagę w postępowaniu o udzielenie zamówienia (art. 109 ust. 1 pkt. 9)</w:t>
      </w:r>
    </w:p>
    <w:p w14:paraId="100D81B1" w14:textId="5536870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4502C8AE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, art. 109 ust. 4, 6 i 9</w:t>
      </w:r>
      <w:r w:rsidR="00951E4C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1D0179D" w14:textId="1C91039F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244BE63" w14:textId="2E28E56B" w:rsidR="00E7239D" w:rsidRPr="000F3E9B" w:rsidRDefault="00E7239D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p w14:paraId="0E504CEC" w14:textId="36E10A43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2C061498" w14:textId="77777777" w:rsidR="00146287" w:rsidRPr="000F3E9B" w:rsidRDefault="00146287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21735024" w14:textId="72538DD2" w:rsidR="00D00E8F" w:rsidRDefault="00D00E8F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0F3E9B">
        <w:rPr>
          <w:rFonts w:asciiTheme="majorHAnsi" w:hAnsiTheme="majorHAnsi"/>
          <w:i/>
          <w:iCs/>
          <w:color w:val="000000"/>
          <w:sz w:val="22"/>
          <w:szCs w:val="22"/>
        </w:rPr>
        <w:t>* jeżeli nie dotyczy proszę przekreślić</w:t>
      </w:r>
    </w:p>
    <w:p w14:paraId="0A749732" w14:textId="35D90DD7" w:rsidR="007D5E5C" w:rsidRDefault="007D5E5C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62F4BF2E" w14:textId="1B2B127F" w:rsidR="007D5E5C" w:rsidRDefault="007D5E5C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5E714756" w14:textId="35087455" w:rsidR="007D5E5C" w:rsidRDefault="007D5E5C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2063A85D" w14:textId="3F9EDF84" w:rsidR="007D5E5C" w:rsidRDefault="007D5E5C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4CF1A983" w14:textId="77777777" w:rsidR="007D5E5C" w:rsidRPr="000F3E9B" w:rsidRDefault="007D5E5C" w:rsidP="0088774C">
      <w:pP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</w:p>
    <w:p w14:paraId="05A5FFDE" w14:textId="77777777" w:rsidR="00106185" w:rsidRPr="000F3E9B" w:rsidRDefault="00106185" w:rsidP="00332B58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4" w:name="_Hlk64822106"/>
      <w:r w:rsidRPr="000F3E9B">
        <w:rPr>
          <w:rStyle w:val="Odwoanieintensywne"/>
          <w:b/>
          <w:bCs w:val="0"/>
          <w:color w:val="002060"/>
        </w:rPr>
        <w:lastRenderedPageBreak/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77777777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62E1528D" w14:textId="77777777" w:rsidR="00106185" w:rsidRPr="000F3E9B" w:rsidRDefault="00106185" w:rsidP="00106185">
      <w:pPr>
        <w:jc w:val="both"/>
        <w:rPr>
          <w:rFonts w:asciiTheme="majorHAnsi" w:hAnsiTheme="majorHAnsi" w:cs="Calibri Light"/>
          <w:sz w:val="22"/>
          <w:szCs w:val="22"/>
        </w:rPr>
      </w:pPr>
    </w:p>
    <w:p w14:paraId="7928D924" w14:textId="665D7A73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0F3E9B">
        <w:rPr>
          <w:rFonts w:asciiTheme="majorHAnsi" w:hAnsiTheme="majorHAnsi" w:cs="Calibri Light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4"/>
    <w:p w14:paraId="4F9AAC65" w14:textId="77777777" w:rsidR="00D27180" w:rsidRPr="000F3E9B" w:rsidRDefault="00D27180" w:rsidP="0088774C">
      <w:pPr>
        <w:suppressAutoHyphens/>
        <w:ind w:firstLine="4962"/>
        <w:contextualSpacing/>
        <w:jc w:val="center"/>
        <w:rPr>
          <w:rFonts w:asciiTheme="majorHAnsi" w:hAnsiTheme="majorHAnsi" w:cstheme="minorHAnsi"/>
          <w:i/>
          <w:iCs/>
          <w:sz w:val="20"/>
          <w:szCs w:val="20"/>
        </w:rPr>
      </w:pPr>
    </w:p>
    <w:p w14:paraId="51B228A8" w14:textId="3252C42C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E359CD" w14:textId="1CF8E537" w:rsidR="007D5E5C" w:rsidRDefault="007D5E5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37E3D5C" w14:textId="77777777" w:rsidR="007D5E5C" w:rsidRPr="000F3E9B" w:rsidRDefault="007D5E5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A469E19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0F3E9B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0F3E9B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0F3E9B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22BD988" w14:textId="6D04A5BF" w:rsidR="00645119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6577A7C" w14:textId="77777777" w:rsidR="007D5E5C" w:rsidRPr="000F3E9B" w:rsidRDefault="007D5E5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D253FB" w14:textId="782FCEA4" w:rsidR="00AA5B3C" w:rsidRPr="000F3E9B" w:rsidRDefault="00D00E8F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AA5B3C" w:rsidRPr="000F3E9B" w:rsidSect="002E781A">
          <w:pgSz w:w="11906" w:h="16838"/>
          <w:pgMar w:top="1247" w:right="1134" w:bottom="1247" w:left="1418" w:header="284" w:footer="586" w:gutter="0"/>
          <w:cols w:space="708"/>
          <w:formProt w:val="0"/>
          <w:docGrid w:linePitch="360" w:charSpace="-6145"/>
        </w:sect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osoby uprawnionej. </w:t>
      </w:r>
    </w:p>
    <w:p w14:paraId="2CECAEF5" w14:textId="0050E4D6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lub braku przynależności do tej samej grupy kapitałowej</w:t>
      </w:r>
    </w:p>
    <w:p w14:paraId="0F00C0B4" w14:textId="77777777" w:rsidR="00645119" w:rsidRPr="000F3E9B" w:rsidRDefault="00645119" w:rsidP="0088774C">
      <w:pPr>
        <w:suppressAutoHyphens/>
        <w:jc w:val="center"/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</w:pPr>
    </w:p>
    <w:p w14:paraId="70D8396E" w14:textId="77777777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212EFC64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32202D31" w14:textId="23F62321" w:rsidR="00645119" w:rsidRPr="000F3E9B" w:rsidRDefault="00792D5E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77290F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E6259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2953A7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1F061D6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642E66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513CB2F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0AADF3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1E71089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5F8DBC9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5B887EB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6067AA7D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716477B4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6511A3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9ED951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045694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357A2516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17A8CC2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1A7E1E07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352B7A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5B611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685D0ED9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1ADE13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6A5F96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50F8A6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="Calibri"/>
          <w:b/>
          <w:sz w:val="22"/>
          <w:szCs w:val="22"/>
        </w:rPr>
      </w:pPr>
    </w:p>
    <w:p w14:paraId="503D56A7" w14:textId="77777777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="Calibri"/>
          <w:b/>
          <w:sz w:val="22"/>
          <w:szCs w:val="22"/>
          <w:u w:val="single"/>
        </w:rPr>
      </w:pPr>
      <w:r w:rsidRPr="000F3E9B">
        <w:rPr>
          <w:rFonts w:asciiTheme="majorHAnsi" w:hAnsiTheme="majorHAnsi" w:cs="Calibri"/>
          <w:b/>
          <w:sz w:val="22"/>
          <w:szCs w:val="22"/>
          <w:u w:val="single"/>
        </w:rPr>
        <w:t xml:space="preserve">OŚWIADCZENIE WYKONAWCY </w:t>
      </w:r>
    </w:p>
    <w:p w14:paraId="23FED9D6" w14:textId="381B410F" w:rsidR="00645119" w:rsidRPr="000F3E9B" w:rsidRDefault="00645119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o przynależności lub braku przynależności do tej samej grupy kapitałowej</w:t>
      </w:r>
      <w:r w:rsidR="00146287" w:rsidRPr="000F3E9B">
        <w:rPr>
          <w:rFonts w:asciiTheme="majorHAnsi" w:hAnsiTheme="majorHAnsi" w:cs="Calibri"/>
          <w:b/>
          <w:sz w:val="22"/>
          <w:szCs w:val="22"/>
        </w:rPr>
        <w:t xml:space="preserve">. </w:t>
      </w:r>
    </w:p>
    <w:p w14:paraId="089BA0F0" w14:textId="77777777" w:rsidR="00146287" w:rsidRPr="000F3E9B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32AA5142" w14:textId="786F7D94" w:rsidR="00146287" w:rsidRPr="000F3E9B" w:rsidRDefault="00146287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Na potrzeby postępowania o udzielenie zamówienia publicznego pn. Kompleksowe ubezpieczenie mienia i odpowiedzialności cywilnej</w:t>
      </w:r>
      <w:r w:rsidR="005B45D0">
        <w:rPr>
          <w:rFonts w:asciiTheme="majorHAnsi" w:hAnsiTheme="majorHAnsi" w:cstheme="minorHAnsi"/>
          <w:sz w:val="22"/>
          <w:szCs w:val="22"/>
        </w:rPr>
        <w:t xml:space="preserve"> Gminy Gołdap i jej jednostek organizacyjnych, instytucji kultury oraz spółek komunalnych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</w:t>
      </w:r>
      <w:r w:rsidR="00791373">
        <w:rPr>
          <w:rFonts w:asciiTheme="majorHAnsi" w:hAnsiTheme="majorHAnsi" w:cstheme="minorHAnsi"/>
          <w:sz w:val="22"/>
          <w:szCs w:val="22"/>
        </w:rPr>
        <w:t> </w:t>
      </w:r>
      <w:r w:rsidRPr="000F3E9B">
        <w:rPr>
          <w:rFonts w:asciiTheme="majorHAnsi" w:hAnsiTheme="majorHAnsi" w:cstheme="minorHAnsi"/>
          <w:sz w:val="22"/>
          <w:szCs w:val="22"/>
        </w:rPr>
        <w:t>następuje:</w:t>
      </w:r>
    </w:p>
    <w:p w14:paraId="45D5932D" w14:textId="77777777" w:rsidR="00146287" w:rsidRPr="000F3E9B" w:rsidRDefault="00146287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198786C" w14:textId="78373A0E" w:rsidR="00645119" w:rsidRPr="000F3E9B" w:rsidRDefault="00645119" w:rsidP="0088774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="00146287"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 w:rsidR="00791373">
        <w:rPr>
          <w:rFonts w:asciiTheme="majorHAnsi" w:hAnsiTheme="majorHAnsi" w:cs="Arial"/>
          <w:sz w:val="22"/>
          <w:szCs w:val="22"/>
        </w:rPr>
        <w:t> 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ochronie konkurencji i konsumentów (Dz. U. </w:t>
      </w:r>
      <w:r w:rsidR="00791373">
        <w:rPr>
          <w:rFonts w:asciiTheme="majorHAnsi" w:hAnsiTheme="majorHAnsi" w:cs="Arial"/>
          <w:sz w:val="22"/>
          <w:szCs w:val="22"/>
        </w:rPr>
        <w:t>2021,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791373">
        <w:rPr>
          <w:rFonts w:asciiTheme="majorHAnsi" w:hAnsiTheme="majorHAnsi" w:cs="Arial"/>
          <w:sz w:val="22"/>
          <w:szCs w:val="22"/>
        </w:rPr>
        <w:t>275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="00146287"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="00146287" w:rsidRPr="000F3E9B">
        <w:rPr>
          <w:rFonts w:asciiTheme="majorHAnsi" w:hAnsiTheme="majorHAnsi" w:cs="Arial"/>
          <w:sz w:val="22"/>
          <w:szCs w:val="22"/>
        </w:rPr>
        <w:t xml:space="preserve">. zm. ), </w:t>
      </w:r>
      <w:r w:rsidRPr="000F3E9B">
        <w:rPr>
          <w:rFonts w:asciiTheme="majorHAnsi" w:hAnsiTheme="majorHAnsi" w:cs="Calibri"/>
          <w:sz w:val="22"/>
          <w:szCs w:val="22"/>
        </w:rPr>
        <w:t>z Wykonawcami, którzy złożyli oferty w przedmiotowym postępowaniu o udzielenie zamówienia</w:t>
      </w:r>
      <w:r w:rsidR="00146287" w:rsidRPr="000F3E9B">
        <w:rPr>
          <w:rFonts w:asciiTheme="majorHAnsi" w:hAnsiTheme="majorHAnsi" w:cs="Calibri"/>
          <w:sz w:val="22"/>
          <w:szCs w:val="22"/>
        </w:rPr>
        <w:t>.</w:t>
      </w:r>
    </w:p>
    <w:p w14:paraId="5DBEA1E2" w14:textId="35E59E29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(Dz. U. </w:t>
      </w:r>
      <w:r w:rsidR="00791373">
        <w:rPr>
          <w:rFonts w:asciiTheme="majorHAnsi" w:hAnsiTheme="majorHAnsi" w:cs="Arial"/>
          <w:sz w:val="22"/>
          <w:szCs w:val="22"/>
        </w:rPr>
        <w:t>2021,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791373">
        <w:rPr>
          <w:rFonts w:asciiTheme="majorHAnsi" w:hAnsiTheme="majorHAnsi" w:cs="Arial"/>
          <w:sz w:val="22"/>
          <w:szCs w:val="22"/>
        </w:rPr>
        <w:t>275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="00146287"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="00146287" w:rsidRPr="000F3E9B">
        <w:rPr>
          <w:rFonts w:asciiTheme="majorHAnsi" w:hAnsiTheme="majorHAnsi" w:cs="Arial"/>
          <w:sz w:val="22"/>
          <w:szCs w:val="22"/>
        </w:rPr>
        <w:t xml:space="preserve">. zm. ) </w:t>
      </w:r>
      <w:r w:rsidRPr="000F3E9B">
        <w:rPr>
          <w:rFonts w:asciiTheme="majorHAnsi" w:hAnsiTheme="majorHAnsi" w:cs="Calibri"/>
          <w:sz w:val="22"/>
          <w:szCs w:val="22"/>
        </w:rPr>
        <w:t>z następującymi Wykonawcami, którzy złożyli oferty w przedmiotowym postępowaniu o udzielenia zamówienia:</w:t>
      </w:r>
    </w:p>
    <w:p w14:paraId="75553EFA" w14:textId="77777777" w:rsidR="00645119" w:rsidRPr="000F3E9B" w:rsidRDefault="00645119" w:rsidP="0088774C">
      <w:pPr>
        <w:pStyle w:val="Akapitzlist"/>
        <w:numPr>
          <w:ilvl w:val="0"/>
          <w:numId w:val="9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25E01E4" w14:textId="77777777" w:rsidR="00645119" w:rsidRPr="000F3E9B" w:rsidRDefault="00645119" w:rsidP="0088774C">
      <w:pPr>
        <w:pStyle w:val="Akapitzlist"/>
        <w:numPr>
          <w:ilvl w:val="0"/>
          <w:numId w:val="9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B7B7872" w14:textId="01093027" w:rsidR="00645119" w:rsidRPr="000F3E9B" w:rsidRDefault="00645119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AC8877A" w14:textId="77777777" w:rsidR="00645119" w:rsidRPr="000F3E9B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0F3E9B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0F3E9B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0F3E9B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0F3E9B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0F3E9B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0F3E9B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0F3E9B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74BD479" w14:textId="77777777" w:rsidR="0011702A" w:rsidRPr="000F3E9B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30E21F90" w14:textId="599F5FCD" w:rsidR="00645119" w:rsidRPr="000F3E9B" w:rsidRDefault="009D2170" w:rsidP="0088774C">
      <w:pPr>
        <w:suppressAutoHyphens/>
        <w:spacing w:line="276" w:lineRule="auto"/>
        <w:rPr>
          <w:rFonts w:asciiTheme="majorHAnsi" w:hAnsiTheme="majorHAnsi" w:cs="Tahoma"/>
          <w:i/>
          <w:sz w:val="20"/>
          <w:szCs w:val="20"/>
        </w:rPr>
      </w:pPr>
      <w:r w:rsidRPr="000F3E9B">
        <w:rPr>
          <w:rFonts w:asciiTheme="majorHAnsi" w:hAnsiTheme="majorHAnsi" w:cs="Segoe UI"/>
          <w:i/>
          <w:sz w:val="22"/>
          <w:szCs w:val="22"/>
          <w:u w:val="single"/>
        </w:rPr>
        <w:t>UWAGA!</w:t>
      </w:r>
      <w:r w:rsidRPr="000F3E9B">
        <w:rPr>
          <w:rFonts w:asciiTheme="majorHAnsi" w:hAnsiTheme="majorHAnsi" w:cs="Segoe UI"/>
          <w:i/>
          <w:sz w:val="22"/>
          <w:szCs w:val="22"/>
        </w:rPr>
        <w:t xml:space="preserve"> </w:t>
      </w:r>
      <w:r w:rsidR="00645119" w:rsidRPr="000F3E9B">
        <w:rPr>
          <w:rFonts w:asciiTheme="majorHAnsi" w:hAnsiTheme="majorHAnsi" w:cs="Tahoma"/>
          <w:i/>
          <w:sz w:val="20"/>
          <w:szCs w:val="20"/>
        </w:rPr>
        <w:t>W przypadku gdy Wykonawca należy do grupy kapitałowej</w:t>
      </w:r>
      <w:r w:rsidR="00146287" w:rsidRPr="000F3E9B">
        <w:rPr>
          <w:rFonts w:asciiTheme="majorHAnsi" w:hAnsiTheme="majorHAnsi" w:cs="Tahoma"/>
          <w:i/>
          <w:sz w:val="20"/>
          <w:szCs w:val="20"/>
        </w:rPr>
        <w:t xml:space="preserve"> wraz z niniejszym oświadczeniem składa </w:t>
      </w:r>
      <w:r w:rsidR="00645119" w:rsidRPr="000F3E9B">
        <w:rPr>
          <w:rFonts w:asciiTheme="majorHAnsi" w:hAnsiTheme="majorHAnsi" w:cs="Tahoma"/>
          <w:i/>
          <w:sz w:val="20"/>
          <w:szCs w:val="20"/>
        </w:rPr>
        <w:t xml:space="preserve"> dokumenty bądź informacje potwierdzające</w:t>
      </w:r>
      <w:r w:rsidR="00146287" w:rsidRPr="000F3E9B">
        <w:rPr>
          <w:rFonts w:asciiTheme="majorHAnsi" w:hAnsiTheme="majorHAnsi" w:cs="Tahoma"/>
          <w:i/>
          <w:sz w:val="20"/>
          <w:szCs w:val="20"/>
        </w:rPr>
        <w:t xml:space="preserve"> przygotowanie oferty niezależnie od innego wykonawcy należącego do tej samej grupy </w:t>
      </w:r>
      <w:r w:rsidRPr="000F3E9B">
        <w:rPr>
          <w:rFonts w:asciiTheme="majorHAnsi" w:hAnsiTheme="majorHAnsi" w:cs="Tahoma"/>
          <w:i/>
          <w:sz w:val="20"/>
          <w:szCs w:val="20"/>
        </w:rPr>
        <w:t>kapitałowej.</w:t>
      </w:r>
    </w:p>
    <w:p w14:paraId="11812806" w14:textId="085D9ED7" w:rsidR="00E93A1D" w:rsidRPr="000F3E9B" w:rsidRDefault="00E93A1D" w:rsidP="00C05BFE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BAB5" w14:textId="77777777" w:rsidR="00F00816" w:rsidRDefault="00F00816">
      <w:r>
        <w:separator/>
      </w:r>
    </w:p>
  </w:endnote>
  <w:endnote w:type="continuationSeparator" w:id="0">
    <w:p w14:paraId="656F7971" w14:textId="77777777" w:rsidR="00F00816" w:rsidRDefault="00F00816">
      <w:r>
        <w:continuationSeparator/>
      </w:r>
    </w:p>
  </w:endnote>
  <w:endnote w:type="continuationNotice" w:id="1">
    <w:p w14:paraId="1D400F51" w14:textId="77777777" w:rsidR="00F00816" w:rsidRDefault="00F00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1664" w14:textId="6D1BF596" w:rsidR="00186AA8" w:rsidRPr="00645119" w:rsidRDefault="00186AA8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AE6F0" w14:textId="77777777" w:rsidR="00F00816" w:rsidRDefault="00F00816">
      <w:r>
        <w:separator/>
      </w:r>
    </w:p>
  </w:footnote>
  <w:footnote w:type="continuationSeparator" w:id="0">
    <w:p w14:paraId="49BE88A5" w14:textId="77777777" w:rsidR="00F00816" w:rsidRDefault="00F00816">
      <w:r>
        <w:continuationSeparator/>
      </w:r>
    </w:p>
  </w:footnote>
  <w:footnote w:type="continuationNotice" w:id="1">
    <w:p w14:paraId="12371544" w14:textId="77777777" w:rsidR="00F00816" w:rsidRDefault="00F00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3F95" w14:textId="77777777" w:rsidR="00C05BFE" w:rsidRPr="009D29A0" w:rsidRDefault="00C05BFE" w:rsidP="00CE738B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r w:rsidRPr="009D29A0">
      <w:rPr>
        <w:rFonts w:ascii="Cambria" w:hAnsi="Cambria"/>
        <w:i/>
        <w:iCs/>
        <w:noProof/>
      </w:rPr>
      <w:drawing>
        <wp:anchor distT="0" distB="0" distL="114300" distR="114300" simplePos="0" relativeHeight="251661312" behindDoc="0" locked="0" layoutInCell="1" allowOverlap="1" wp14:anchorId="7B245CF2" wp14:editId="3D0EB403">
          <wp:simplePos x="0" y="0"/>
          <wp:positionH relativeFrom="margin">
            <wp:posOffset>-681355</wp:posOffset>
          </wp:positionH>
          <wp:positionV relativeFrom="margin">
            <wp:posOffset>-687070</wp:posOffset>
          </wp:positionV>
          <wp:extent cx="952500" cy="495935"/>
          <wp:effectExtent l="0" t="0" r="0" b="0"/>
          <wp:wrapSquare wrapText="bothSides"/>
          <wp:docPr id="1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9A0">
      <w:rPr>
        <w:rFonts w:asciiTheme="majorHAnsi" w:hAnsiTheme="majorHAnsi" w:cs="Arial"/>
        <w:i/>
        <w:iCs/>
        <w:sz w:val="20"/>
        <w:szCs w:val="20"/>
      </w:rPr>
      <w:t xml:space="preserve">KOMPLEKSOWE UBEZPIECZENIE MIENIA I ODPOWIEDZIALNOŚCI CYWILNEJ </w:t>
    </w:r>
  </w:p>
  <w:p w14:paraId="2FAC2C18" w14:textId="77777777" w:rsidR="00C05BFE" w:rsidRPr="009D29A0" w:rsidRDefault="00C05BFE" w:rsidP="00CE738B">
    <w:pPr>
      <w:pStyle w:val="WW-Tekstpodstawowy3"/>
      <w:spacing w:line="40" w:lineRule="atLeast"/>
      <w:jc w:val="center"/>
      <w:rPr>
        <w:i/>
        <w:iCs/>
        <w:sz w:val="22"/>
        <w:szCs w:val="22"/>
      </w:rPr>
    </w:pPr>
    <w:r w:rsidRPr="009D29A0">
      <w:rPr>
        <w:rFonts w:asciiTheme="majorHAnsi" w:hAnsiTheme="majorHAnsi" w:cs="Arial"/>
        <w:i/>
        <w:iCs/>
        <w:sz w:val="20"/>
        <w:szCs w:val="20"/>
      </w:rPr>
      <w:t xml:space="preserve"> GMINY</w:t>
    </w:r>
    <w:r w:rsidRPr="009D29A0">
      <w:rPr>
        <w:rFonts w:asciiTheme="majorHAnsi" w:hAnsiTheme="majorHAnsi" w:cs="Calibri"/>
        <w:i/>
        <w:iCs/>
        <w:sz w:val="20"/>
        <w:szCs w:val="20"/>
      </w:rPr>
      <w:t xml:space="preserve"> GOŁDAP I JEJ JEDNOSTEK ORGANIZACYJNYCH, INSTYTUCJI KULTURY ORAZ SPÓŁEK KOMUNALNYCH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8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CC60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7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1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2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2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3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9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1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0"/>
  </w:num>
  <w:num w:numId="2">
    <w:abstractNumId w:val="132"/>
  </w:num>
  <w:num w:numId="3">
    <w:abstractNumId w:val="92"/>
  </w:num>
  <w:num w:numId="4">
    <w:abstractNumId w:val="124"/>
  </w:num>
  <w:num w:numId="5">
    <w:abstractNumId w:val="85"/>
  </w:num>
  <w:num w:numId="6">
    <w:abstractNumId w:val="62"/>
  </w:num>
  <w:num w:numId="7">
    <w:abstractNumId w:val="180"/>
  </w:num>
  <w:num w:numId="8">
    <w:abstractNumId w:val="167"/>
  </w:num>
  <w:num w:numId="9">
    <w:abstractNumId w:val="140"/>
  </w:num>
  <w:num w:numId="10">
    <w:abstractNumId w:val="64"/>
  </w:num>
  <w:num w:numId="11">
    <w:abstractNumId w:val="57"/>
  </w:num>
  <w:num w:numId="12">
    <w:abstractNumId w:val="196"/>
  </w:num>
  <w:num w:numId="13">
    <w:abstractNumId w:val="120"/>
  </w:num>
  <w:num w:numId="14">
    <w:abstractNumId w:val="190"/>
  </w:num>
  <w:num w:numId="15">
    <w:abstractNumId w:val="59"/>
  </w:num>
  <w:num w:numId="16">
    <w:abstractNumId w:val="1"/>
  </w:num>
  <w:num w:numId="17">
    <w:abstractNumId w:val="0"/>
  </w:num>
  <w:num w:numId="18">
    <w:abstractNumId w:val="178"/>
  </w:num>
  <w:num w:numId="19">
    <w:abstractNumId w:val="73"/>
  </w:num>
  <w:num w:numId="20">
    <w:abstractNumId w:val="113"/>
  </w:num>
  <w:num w:numId="21">
    <w:abstractNumId w:val="184"/>
  </w:num>
  <w:num w:numId="22">
    <w:abstractNumId w:val="105"/>
  </w:num>
  <w:num w:numId="23">
    <w:abstractNumId w:val="16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5"/>
  </w:num>
  <w:num w:numId="26">
    <w:abstractNumId w:val="130"/>
  </w:num>
  <w:num w:numId="27">
    <w:abstractNumId w:val="159"/>
  </w:num>
  <w:num w:numId="28">
    <w:abstractNumId w:val="129"/>
  </w:num>
  <w:num w:numId="29">
    <w:abstractNumId w:val="86"/>
  </w:num>
  <w:num w:numId="30">
    <w:abstractNumId w:val="121"/>
  </w:num>
  <w:num w:numId="31">
    <w:abstractNumId w:val="179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</w:num>
  <w:num w:numId="35">
    <w:abstractNumId w:val="100"/>
  </w:num>
  <w:num w:numId="36">
    <w:abstractNumId w:val="72"/>
  </w:num>
  <w:num w:numId="37">
    <w:abstractNumId w:val="134"/>
  </w:num>
  <w:num w:numId="38">
    <w:abstractNumId w:val="81"/>
  </w:num>
  <w:num w:numId="39">
    <w:abstractNumId w:val="40"/>
  </w:num>
  <w:num w:numId="40">
    <w:abstractNumId w:val="143"/>
  </w:num>
  <w:num w:numId="41">
    <w:abstractNumId w:val="169"/>
  </w:num>
  <w:num w:numId="42">
    <w:abstractNumId w:val="200"/>
  </w:num>
  <w:num w:numId="43">
    <w:abstractNumId w:val="127"/>
  </w:num>
  <w:num w:numId="44">
    <w:abstractNumId w:val="185"/>
  </w:num>
  <w:num w:numId="45">
    <w:abstractNumId w:val="67"/>
  </w:num>
  <w:num w:numId="46">
    <w:abstractNumId w:val="114"/>
  </w:num>
  <w:num w:numId="47">
    <w:abstractNumId w:val="162"/>
  </w:num>
  <w:num w:numId="48">
    <w:abstractNumId w:val="176"/>
  </w:num>
  <w:num w:numId="49">
    <w:abstractNumId w:val="126"/>
  </w:num>
  <w:num w:numId="50">
    <w:abstractNumId w:val="108"/>
  </w:num>
  <w:num w:numId="51">
    <w:abstractNumId w:val="147"/>
  </w:num>
  <w:num w:numId="52">
    <w:abstractNumId w:val="135"/>
  </w:num>
  <w:num w:numId="53">
    <w:abstractNumId w:val="79"/>
  </w:num>
  <w:num w:numId="54">
    <w:abstractNumId w:val="175"/>
  </w:num>
  <w:num w:numId="55">
    <w:abstractNumId w:val="43"/>
  </w:num>
  <w:num w:numId="56">
    <w:abstractNumId w:val="55"/>
  </w:num>
  <w:num w:numId="57">
    <w:abstractNumId w:val="151"/>
  </w:num>
  <w:num w:numId="58">
    <w:abstractNumId w:val="117"/>
  </w:num>
  <w:num w:numId="59">
    <w:abstractNumId w:val="141"/>
  </w:num>
  <w:num w:numId="60">
    <w:abstractNumId w:val="166"/>
  </w:num>
  <w:num w:numId="61">
    <w:abstractNumId w:val="83"/>
  </w:num>
  <w:num w:numId="62">
    <w:abstractNumId w:val="160"/>
  </w:num>
  <w:num w:numId="63">
    <w:abstractNumId w:val="89"/>
  </w:num>
  <w:num w:numId="64">
    <w:abstractNumId w:val="155"/>
  </w:num>
  <w:num w:numId="65">
    <w:abstractNumId w:val="131"/>
  </w:num>
  <w:num w:numId="66">
    <w:abstractNumId w:val="66"/>
  </w:num>
  <w:num w:numId="67">
    <w:abstractNumId w:val="39"/>
  </w:num>
  <w:num w:numId="68">
    <w:abstractNumId w:val="50"/>
  </w:num>
  <w:num w:numId="6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88"/>
  </w:num>
  <w:num w:numId="72">
    <w:abstractNumId w:val="44"/>
  </w:num>
  <w:num w:numId="73">
    <w:abstractNumId w:val="145"/>
  </w:num>
  <w:num w:numId="74">
    <w:abstractNumId w:val="137"/>
  </w:num>
  <w:num w:numId="75">
    <w:abstractNumId w:val="201"/>
  </w:num>
  <w:num w:numId="76">
    <w:abstractNumId w:val="78"/>
  </w:num>
  <w:num w:numId="77">
    <w:abstractNumId w:val="193"/>
  </w:num>
  <w:num w:numId="78">
    <w:abstractNumId w:val="60"/>
  </w:num>
  <w:num w:numId="79">
    <w:abstractNumId w:val="68"/>
  </w:num>
  <w:num w:numId="80">
    <w:abstractNumId w:val="71"/>
  </w:num>
  <w:num w:numId="81">
    <w:abstractNumId w:val="152"/>
  </w:num>
  <w:num w:numId="82">
    <w:abstractNumId w:val="158"/>
  </w:num>
  <w:num w:numId="83">
    <w:abstractNumId w:val="163"/>
  </w:num>
  <w:num w:numId="84">
    <w:abstractNumId w:val="110"/>
  </w:num>
  <w:num w:numId="85">
    <w:abstractNumId w:val="194"/>
  </w:num>
  <w:num w:numId="86">
    <w:abstractNumId w:val="106"/>
  </w:num>
  <w:num w:numId="87">
    <w:abstractNumId w:val="97"/>
  </w:num>
  <w:num w:numId="88">
    <w:abstractNumId w:val="164"/>
  </w:num>
  <w:num w:numId="89">
    <w:abstractNumId w:val="198"/>
  </w:num>
  <w:num w:numId="90">
    <w:abstractNumId w:val="65"/>
  </w:num>
  <w:num w:numId="91">
    <w:abstractNumId w:val="42"/>
  </w:num>
  <w:num w:numId="92">
    <w:abstractNumId w:val="195"/>
  </w:num>
  <w:num w:numId="93">
    <w:abstractNumId w:val="93"/>
  </w:num>
  <w:num w:numId="94">
    <w:abstractNumId w:val="171"/>
  </w:num>
  <w:num w:numId="95">
    <w:abstractNumId w:val="136"/>
  </w:num>
  <w:num w:numId="96">
    <w:abstractNumId w:val="177"/>
  </w:num>
  <w:num w:numId="97">
    <w:abstractNumId w:val="139"/>
  </w:num>
  <w:num w:numId="98">
    <w:abstractNumId w:val="47"/>
  </w:num>
  <w:num w:numId="99">
    <w:abstractNumId w:val="187"/>
  </w:num>
  <w:num w:numId="100">
    <w:abstractNumId w:val="168"/>
  </w:num>
  <w:num w:numId="101">
    <w:abstractNumId w:val="75"/>
  </w:num>
  <w:num w:numId="102">
    <w:abstractNumId w:val="183"/>
  </w:num>
  <w:num w:numId="103">
    <w:abstractNumId w:val="70"/>
  </w:num>
  <w:num w:numId="104">
    <w:abstractNumId w:val="161"/>
  </w:num>
  <w:num w:numId="105">
    <w:abstractNumId w:val="45"/>
  </w:num>
  <w:num w:numId="106">
    <w:abstractNumId w:val="197"/>
  </w:num>
  <w:num w:numId="107">
    <w:abstractNumId w:val="53"/>
  </w:num>
  <w:num w:numId="108">
    <w:abstractNumId w:val="133"/>
  </w:num>
  <w:num w:numId="109">
    <w:abstractNumId w:val="54"/>
  </w:num>
  <w:num w:numId="110">
    <w:abstractNumId w:val="52"/>
  </w:num>
  <w:num w:numId="111">
    <w:abstractNumId w:val="96"/>
  </w:num>
  <w:num w:numId="112">
    <w:abstractNumId w:val="199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3"/>
  </w:num>
  <w:num w:numId="119">
    <w:abstractNumId w:val="122"/>
  </w:num>
  <w:num w:numId="120">
    <w:abstractNumId w:val="103"/>
  </w:num>
  <w:num w:numId="121">
    <w:abstractNumId w:val="128"/>
  </w:num>
  <w:num w:numId="122">
    <w:abstractNumId w:val="138"/>
  </w:num>
  <w:num w:numId="1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1"/>
  </w:num>
  <w:num w:numId="126">
    <w:abstractNumId w:val="58"/>
  </w:num>
  <w:num w:numId="127">
    <w:abstractNumId w:val="192"/>
  </w:num>
  <w:num w:numId="128">
    <w:abstractNumId w:val="87"/>
  </w:num>
  <w:num w:numId="129">
    <w:abstractNumId w:val="182"/>
  </w:num>
  <w:num w:numId="130">
    <w:abstractNumId w:val="90"/>
  </w:num>
  <w:num w:numId="131">
    <w:abstractNumId w:val="116"/>
  </w:num>
  <w:num w:numId="132">
    <w:abstractNumId w:val="172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5"/>
  </w:num>
  <w:num w:numId="142">
    <w:abstractNumId w:val="112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7"/>
  </w:num>
  <w:num w:numId="148">
    <w:abstractNumId w:val="98"/>
  </w:num>
  <w:num w:numId="149">
    <w:abstractNumId w:val="111"/>
  </w:num>
  <w:num w:numId="150">
    <w:abstractNumId w:val="104"/>
  </w:num>
  <w:num w:numId="151">
    <w:abstractNumId w:val="118"/>
  </w:num>
  <w:num w:numId="152">
    <w:abstractNumId w:val="181"/>
  </w:num>
  <w:num w:numId="153">
    <w:abstractNumId w:val="148"/>
  </w:num>
  <w:num w:numId="154">
    <w:abstractNumId w:val="174"/>
  </w:num>
  <w:num w:numId="155">
    <w:abstractNumId w:val="150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B09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C9A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26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7C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867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AA8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2BB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58A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8E8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0FB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2A0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6D0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2D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2E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3D4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1EC8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6A3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664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2C7B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EDB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29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5F33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8D0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6FF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5D0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1BBC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6CCE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AB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A98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20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68D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FC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4EB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52F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FB6"/>
    <w:rsid w:val="00875039"/>
    <w:rsid w:val="008752F7"/>
    <w:rsid w:val="00875639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9A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B16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2FC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47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741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2A7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2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583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9A0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3AF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0BF"/>
    <w:rsid w:val="00A63312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B9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A94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540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025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C4D"/>
    <w:rsid w:val="00BE3F51"/>
    <w:rsid w:val="00BE413A"/>
    <w:rsid w:val="00BE466A"/>
    <w:rsid w:val="00BE46A2"/>
    <w:rsid w:val="00BE472F"/>
    <w:rsid w:val="00BE48A7"/>
    <w:rsid w:val="00BE4A2B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BFE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8C1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7AC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5D8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19F"/>
    <w:rsid w:val="00CE738B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A8D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4B3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0FC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526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D26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668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42F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B9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C56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2E44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BC5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C23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083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BD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816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0F"/>
    <w:rsid w:val="00F2333E"/>
    <w:rsid w:val="00F23492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0E26"/>
    <w:rsid w:val="00F915CD"/>
    <w:rsid w:val="00F9162E"/>
    <w:rsid w:val="00F916F6"/>
    <w:rsid w:val="00F91799"/>
    <w:rsid w:val="00F91DA2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0F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396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6553</Words>
  <Characters>39320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2</cp:revision>
  <cp:lastPrinted>2020-02-04T07:31:00Z</cp:lastPrinted>
  <dcterms:created xsi:type="dcterms:W3CDTF">2021-03-10T11:43:00Z</dcterms:created>
  <dcterms:modified xsi:type="dcterms:W3CDTF">2021-03-10T11:43:00Z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