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74A9" w14:textId="4A4F76C0" w:rsidR="005A533C" w:rsidRPr="00416EDA" w:rsidRDefault="008E38C5" w:rsidP="00416EDA">
      <w:pPr>
        <w:jc w:val="right"/>
        <w:rPr>
          <w:rFonts w:asciiTheme="majorHAnsi" w:hAnsiTheme="majorHAnsi"/>
          <w:b/>
          <w:bCs/>
          <w:color w:val="548DD4" w:themeColor="text2" w:themeTint="99"/>
          <w:sz w:val="26"/>
          <w:szCs w:val="26"/>
        </w:rPr>
      </w:pPr>
      <w:r w:rsidRPr="00416EDA">
        <w:rPr>
          <w:rFonts w:asciiTheme="majorHAnsi" w:hAnsiTheme="majorHAnsi"/>
          <w:b/>
          <w:bCs/>
          <w:color w:val="548DD4" w:themeColor="text2" w:themeTint="99"/>
          <w:sz w:val="26"/>
          <w:szCs w:val="26"/>
        </w:rPr>
        <w:t>Załącznik nr 1</w:t>
      </w:r>
      <w:r w:rsidR="006832FE">
        <w:rPr>
          <w:rFonts w:asciiTheme="majorHAnsi" w:hAnsiTheme="majorHAnsi"/>
          <w:b/>
          <w:bCs/>
          <w:color w:val="548DD4" w:themeColor="text2" w:themeTint="99"/>
          <w:sz w:val="26"/>
          <w:szCs w:val="26"/>
        </w:rPr>
        <w:t xml:space="preserve"> do Instrukcji</w:t>
      </w:r>
    </w:p>
    <w:p w14:paraId="0CAE4985" w14:textId="77777777" w:rsidR="008E38C5" w:rsidRPr="00416EDA" w:rsidRDefault="008E38C5" w:rsidP="00416EDA">
      <w:pPr>
        <w:jc w:val="right"/>
        <w:rPr>
          <w:rFonts w:asciiTheme="majorHAnsi" w:hAnsiTheme="majorHAnsi"/>
          <w:b/>
          <w:bCs/>
          <w:color w:val="548DD4" w:themeColor="text2" w:themeTint="99"/>
          <w:sz w:val="26"/>
          <w:szCs w:val="26"/>
        </w:rPr>
      </w:pPr>
      <w:r w:rsidRPr="00416EDA">
        <w:rPr>
          <w:rFonts w:asciiTheme="majorHAnsi" w:hAnsiTheme="majorHAnsi"/>
          <w:b/>
          <w:bCs/>
          <w:color w:val="548DD4" w:themeColor="text2" w:themeTint="99"/>
          <w:sz w:val="26"/>
          <w:szCs w:val="26"/>
        </w:rPr>
        <w:t>Opis przedmiotu zamówienia – warunki i zakres ubezpieczenia</w:t>
      </w:r>
    </w:p>
    <w:p w14:paraId="0BEA8683" w14:textId="12A46E0E" w:rsidR="00A83F86" w:rsidRPr="00A83F86" w:rsidRDefault="00A83F86" w:rsidP="00A83F86">
      <w:pPr>
        <w:jc w:val="center"/>
        <w:rPr>
          <w:b/>
          <w:bCs/>
          <w:sz w:val="24"/>
          <w:szCs w:val="24"/>
          <w:u w:val="single"/>
        </w:rPr>
      </w:pPr>
      <w:r w:rsidRPr="00A83F86">
        <w:rPr>
          <w:b/>
          <w:bCs/>
          <w:sz w:val="24"/>
          <w:szCs w:val="24"/>
          <w:u w:val="single"/>
        </w:rPr>
        <w:t xml:space="preserve">Numer postępowania: </w:t>
      </w:r>
      <w:r w:rsidR="002B02C3" w:rsidRPr="0070656C">
        <w:rPr>
          <w:b/>
          <w:bCs/>
          <w:sz w:val="24"/>
          <w:szCs w:val="24"/>
          <w:highlight w:val="yellow"/>
          <w:u w:val="single"/>
        </w:rPr>
        <w:t>24</w:t>
      </w:r>
      <w:r w:rsidRPr="0070656C">
        <w:rPr>
          <w:b/>
          <w:bCs/>
          <w:sz w:val="24"/>
          <w:szCs w:val="24"/>
          <w:highlight w:val="yellow"/>
          <w:u w:val="single"/>
        </w:rPr>
        <w:t>/</w:t>
      </w:r>
      <w:r w:rsidR="002B02C3" w:rsidRPr="0070656C">
        <w:rPr>
          <w:b/>
          <w:bCs/>
          <w:sz w:val="24"/>
          <w:szCs w:val="24"/>
          <w:highlight w:val="yellow"/>
          <w:u w:val="single"/>
        </w:rPr>
        <w:t>W</w:t>
      </w:r>
      <w:r w:rsidRPr="0070656C">
        <w:rPr>
          <w:b/>
          <w:bCs/>
          <w:sz w:val="24"/>
          <w:szCs w:val="24"/>
          <w:highlight w:val="yellow"/>
          <w:u w:val="single"/>
        </w:rPr>
        <w:t>/23</w:t>
      </w:r>
      <w:r w:rsidRPr="00A83F86">
        <w:rPr>
          <w:b/>
          <w:bCs/>
          <w:sz w:val="24"/>
          <w:szCs w:val="24"/>
          <w:u w:val="single"/>
        </w:rPr>
        <w:t xml:space="preserve"> </w:t>
      </w:r>
    </w:p>
    <w:p w14:paraId="5796ADC2" w14:textId="21F9EC4A" w:rsidR="00170B04" w:rsidRPr="00A83F86" w:rsidRDefault="00A83F86" w:rsidP="00A83F86">
      <w:pPr>
        <w:jc w:val="center"/>
        <w:rPr>
          <w:sz w:val="24"/>
          <w:szCs w:val="24"/>
          <w:u w:val="single"/>
        </w:rPr>
      </w:pPr>
      <w:r w:rsidRPr="00A83F86">
        <w:rPr>
          <w:b/>
          <w:bCs/>
          <w:sz w:val="24"/>
          <w:szCs w:val="24"/>
          <w:u w:val="single"/>
        </w:rPr>
        <w:t>Kompleksowe ubezpieczenie mienia, odpowiedzialności cywilnej i floty Sieć Badawcza Łukasiewicz – Górnośląskiego Instytutu Technologicznego</w:t>
      </w:r>
    </w:p>
    <w:sdt>
      <w:sdtPr>
        <w:rPr>
          <w:rFonts w:asciiTheme="minorHAnsi" w:eastAsiaTheme="minorHAnsi" w:hAnsiTheme="minorHAnsi" w:cstheme="minorBidi"/>
          <w:color w:val="auto"/>
          <w:sz w:val="22"/>
          <w:szCs w:val="22"/>
          <w:lang w:eastAsia="en-US"/>
        </w:rPr>
        <w:id w:val="881214693"/>
        <w:docPartObj>
          <w:docPartGallery w:val="Table of Contents"/>
          <w:docPartUnique/>
        </w:docPartObj>
      </w:sdtPr>
      <w:sdtEndPr>
        <w:rPr>
          <w:b/>
          <w:bCs/>
        </w:rPr>
      </w:sdtEndPr>
      <w:sdtContent>
        <w:p w14:paraId="6A55DAFF" w14:textId="10B5F7FC" w:rsidR="00170B04" w:rsidRDefault="00170B04">
          <w:pPr>
            <w:pStyle w:val="Nagwekspisutreci"/>
          </w:pPr>
          <w:r>
            <w:t>Spis treści</w:t>
          </w:r>
        </w:p>
        <w:p w14:paraId="6FAC585C" w14:textId="1D573A20" w:rsidR="006900F4" w:rsidRDefault="00170B04">
          <w:pPr>
            <w:pStyle w:val="Spistreci2"/>
            <w:tabs>
              <w:tab w:val="right" w:leader="dot" w:pos="10052"/>
            </w:tabs>
            <w:rPr>
              <w:rFonts w:eastAsiaTheme="minorEastAsia"/>
              <w:noProof/>
              <w:kern w:val="2"/>
              <w:lang w:eastAsia="pl-PL"/>
              <w14:ligatures w14:val="standardContextual"/>
            </w:rPr>
          </w:pPr>
          <w:r>
            <w:fldChar w:fldCharType="begin"/>
          </w:r>
          <w:r>
            <w:instrText xml:space="preserve"> TOC \o "1-3" \h \z \u </w:instrText>
          </w:r>
          <w:r>
            <w:fldChar w:fldCharType="separate"/>
          </w:r>
          <w:hyperlink w:anchor="_Toc141097848" w:history="1">
            <w:r w:rsidR="006900F4" w:rsidRPr="00441A76">
              <w:rPr>
                <w:rStyle w:val="Hipercze"/>
                <w:noProof/>
              </w:rPr>
              <w:t>Rozdział 1 – Przedmiot zamówienia obejmuje</w:t>
            </w:r>
            <w:r w:rsidR="006900F4">
              <w:rPr>
                <w:noProof/>
                <w:webHidden/>
              </w:rPr>
              <w:tab/>
            </w:r>
            <w:r w:rsidR="006900F4">
              <w:rPr>
                <w:noProof/>
                <w:webHidden/>
              </w:rPr>
              <w:fldChar w:fldCharType="begin"/>
            </w:r>
            <w:r w:rsidR="006900F4">
              <w:rPr>
                <w:noProof/>
                <w:webHidden/>
              </w:rPr>
              <w:instrText xml:space="preserve"> PAGEREF _Toc141097848 \h </w:instrText>
            </w:r>
            <w:r w:rsidR="006900F4">
              <w:rPr>
                <w:noProof/>
                <w:webHidden/>
              </w:rPr>
            </w:r>
            <w:r w:rsidR="006900F4">
              <w:rPr>
                <w:noProof/>
                <w:webHidden/>
              </w:rPr>
              <w:fldChar w:fldCharType="separate"/>
            </w:r>
            <w:r w:rsidR="00392029">
              <w:rPr>
                <w:noProof/>
                <w:webHidden/>
              </w:rPr>
              <w:t>3</w:t>
            </w:r>
            <w:r w:rsidR="006900F4">
              <w:rPr>
                <w:noProof/>
                <w:webHidden/>
              </w:rPr>
              <w:fldChar w:fldCharType="end"/>
            </w:r>
          </w:hyperlink>
        </w:p>
        <w:p w14:paraId="41C6ACA5" w14:textId="0DA9E465" w:rsidR="006900F4" w:rsidRDefault="006832FE">
          <w:pPr>
            <w:pStyle w:val="Spistreci2"/>
            <w:tabs>
              <w:tab w:val="right" w:leader="dot" w:pos="10052"/>
            </w:tabs>
            <w:rPr>
              <w:rFonts w:eastAsiaTheme="minorEastAsia"/>
              <w:noProof/>
              <w:kern w:val="2"/>
              <w:lang w:eastAsia="pl-PL"/>
              <w14:ligatures w14:val="standardContextual"/>
            </w:rPr>
          </w:pPr>
          <w:hyperlink w:anchor="_Toc141097849" w:history="1">
            <w:r w:rsidR="006900F4" w:rsidRPr="00441A76">
              <w:rPr>
                <w:rStyle w:val="Hipercze"/>
                <w:noProof/>
              </w:rPr>
              <w:t>Rozdział 2 – Informacje ogólne o zamawiającym oraz informacje niezbędne do złożenia oferty</w:t>
            </w:r>
            <w:r w:rsidR="006900F4">
              <w:rPr>
                <w:noProof/>
                <w:webHidden/>
              </w:rPr>
              <w:tab/>
            </w:r>
            <w:r w:rsidR="006900F4">
              <w:rPr>
                <w:noProof/>
                <w:webHidden/>
              </w:rPr>
              <w:fldChar w:fldCharType="begin"/>
            </w:r>
            <w:r w:rsidR="006900F4">
              <w:rPr>
                <w:noProof/>
                <w:webHidden/>
              </w:rPr>
              <w:instrText xml:space="preserve"> PAGEREF _Toc141097849 \h </w:instrText>
            </w:r>
            <w:r w:rsidR="006900F4">
              <w:rPr>
                <w:noProof/>
                <w:webHidden/>
              </w:rPr>
            </w:r>
            <w:r w:rsidR="006900F4">
              <w:rPr>
                <w:noProof/>
                <w:webHidden/>
              </w:rPr>
              <w:fldChar w:fldCharType="separate"/>
            </w:r>
            <w:r w:rsidR="00392029">
              <w:rPr>
                <w:noProof/>
                <w:webHidden/>
              </w:rPr>
              <w:t>4</w:t>
            </w:r>
            <w:r w:rsidR="006900F4">
              <w:rPr>
                <w:noProof/>
                <w:webHidden/>
              </w:rPr>
              <w:fldChar w:fldCharType="end"/>
            </w:r>
          </w:hyperlink>
        </w:p>
        <w:p w14:paraId="7DDA0D14" w14:textId="57B7DBCB" w:rsidR="006900F4" w:rsidRDefault="006832FE">
          <w:pPr>
            <w:pStyle w:val="Spistreci3"/>
            <w:tabs>
              <w:tab w:val="left" w:pos="880"/>
              <w:tab w:val="right" w:leader="dot" w:pos="10052"/>
            </w:tabs>
            <w:rPr>
              <w:rFonts w:eastAsiaTheme="minorEastAsia"/>
              <w:noProof/>
              <w:kern w:val="2"/>
              <w:lang w:eastAsia="pl-PL"/>
              <w14:ligatures w14:val="standardContextual"/>
            </w:rPr>
          </w:pPr>
          <w:hyperlink w:anchor="_Toc141097850" w:history="1">
            <w:r w:rsidR="006900F4" w:rsidRPr="00441A76">
              <w:rPr>
                <w:rStyle w:val="Hipercze"/>
                <w:b/>
                <w:noProof/>
              </w:rPr>
              <w:t>1.</w:t>
            </w:r>
            <w:r w:rsidR="006900F4">
              <w:rPr>
                <w:rFonts w:eastAsiaTheme="minorEastAsia"/>
                <w:noProof/>
                <w:kern w:val="2"/>
                <w:lang w:eastAsia="pl-PL"/>
                <w14:ligatures w14:val="standardContextual"/>
              </w:rPr>
              <w:tab/>
            </w:r>
            <w:r w:rsidR="006900F4" w:rsidRPr="00441A76">
              <w:rPr>
                <w:rStyle w:val="Hipercze"/>
                <w:b/>
                <w:noProof/>
              </w:rPr>
              <w:t>Zamawiający:</w:t>
            </w:r>
            <w:r w:rsidR="006900F4">
              <w:rPr>
                <w:noProof/>
                <w:webHidden/>
              </w:rPr>
              <w:tab/>
            </w:r>
            <w:r w:rsidR="006900F4">
              <w:rPr>
                <w:noProof/>
                <w:webHidden/>
              </w:rPr>
              <w:fldChar w:fldCharType="begin"/>
            </w:r>
            <w:r w:rsidR="006900F4">
              <w:rPr>
                <w:noProof/>
                <w:webHidden/>
              </w:rPr>
              <w:instrText xml:space="preserve"> PAGEREF _Toc141097850 \h </w:instrText>
            </w:r>
            <w:r w:rsidR="006900F4">
              <w:rPr>
                <w:noProof/>
                <w:webHidden/>
              </w:rPr>
            </w:r>
            <w:r w:rsidR="006900F4">
              <w:rPr>
                <w:noProof/>
                <w:webHidden/>
              </w:rPr>
              <w:fldChar w:fldCharType="separate"/>
            </w:r>
            <w:r w:rsidR="00392029">
              <w:rPr>
                <w:noProof/>
                <w:webHidden/>
              </w:rPr>
              <w:t>4</w:t>
            </w:r>
            <w:r w:rsidR="006900F4">
              <w:rPr>
                <w:noProof/>
                <w:webHidden/>
              </w:rPr>
              <w:fldChar w:fldCharType="end"/>
            </w:r>
          </w:hyperlink>
        </w:p>
        <w:p w14:paraId="3134C1FC" w14:textId="6B0BA328" w:rsidR="006900F4" w:rsidRDefault="006832FE">
          <w:pPr>
            <w:pStyle w:val="Spistreci3"/>
            <w:tabs>
              <w:tab w:val="left" w:pos="880"/>
              <w:tab w:val="right" w:leader="dot" w:pos="10052"/>
            </w:tabs>
            <w:rPr>
              <w:rFonts w:eastAsiaTheme="minorEastAsia"/>
              <w:noProof/>
              <w:kern w:val="2"/>
              <w:lang w:eastAsia="pl-PL"/>
              <w14:ligatures w14:val="standardContextual"/>
            </w:rPr>
          </w:pPr>
          <w:hyperlink w:anchor="_Toc141097851" w:history="1">
            <w:r w:rsidR="006900F4" w:rsidRPr="00441A76">
              <w:rPr>
                <w:rStyle w:val="Hipercze"/>
                <w:b/>
                <w:noProof/>
              </w:rPr>
              <w:t>2.</w:t>
            </w:r>
            <w:r w:rsidR="006900F4">
              <w:rPr>
                <w:rFonts w:eastAsiaTheme="minorEastAsia"/>
                <w:noProof/>
                <w:kern w:val="2"/>
                <w:lang w:eastAsia="pl-PL"/>
                <w14:ligatures w14:val="standardContextual"/>
              </w:rPr>
              <w:tab/>
            </w:r>
            <w:r w:rsidR="006900F4" w:rsidRPr="00441A76">
              <w:rPr>
                <w:rStyle w:val="Hipercze"/>
                <w:b/>
                <w:noProof/>
              </w:rPr>
              <w:t>Jednostki organizacyjne. Powstanie Sieci Badawczej Łukasiewicz – Górnośląski Instytut Technologiczny</w:t>
            </w:r>
            <w:r w:rsidR="006900F4">
              <w:rPr>
                <w:noProof/>
                <w:webHidden/>
              </w:rPr>
              <w:tab/>
            </w:r>
            <w:r w:rsidR="006900F4">
              <w:rPr>
                <w:noProof/>
                <w:webHidden/>
              </w:rPr>
              <w:fldChar w:fldCharType="begin"/>
            </w:r>
            <w:r w:rsidR="006900F4">
              <w:rPr>
                <w:noProof/>
                <w:webHidden/>
              </w:rPr>
              <w:instrText xml:space="preserve"> PAGEREF _Toc141097851 \h </w:instrText>
            </w:r>
            <w:r w:rsidR="006900F4">
              <w:rPr>
                <w:noProof/>
                <w:webHidden/>
              </w:rPr>
            </w:r>
            <w:r w:rsidR="006900F4">
              <w:rPr>
                <w:noProof/>
                <w:webHidden/>
              </w:rPr>
              <w:fldChar w:fldCharType="separate"/>
            </w:r>
            <w:r w:rsidR="00392029">
              <w:rPr>
                <w:noProof/>
                <w:webHidden/>
              </w:rPr>
              <w:t>4</w:t>
            </w:r>
            <w:r w:rsidR="006900F4">
              <w:rPr>
                <w:noProof/>
                <w:webHidden/>
              </w:rPr>
              <w:fldChar w:fldCharType="end"/>
            </w:r>
          </w:hyperlink>
        </w:p>
        <w:p w14:paraId="5002B4FE" w14:textId="00F8992C" w:rsidR="006900F4" w:rsidRDefault="006832FE">
          <w:pPr>
            <w:pStyle w:val="Spistreci3"/>
            <w:tabs>
              <w:tab w:val="left" w:pos="880"/>
              <w:tab w:val="right" w:leader="dot" w:pos="10052"/>
            </w:tabs>
            <w:rPr>
              <w:rFonts w:eastAsiaTheme="minorEastAsia"/>
              <w:noProof/>
              <w:kern w:val="2"/>
              <w:lang w:eastAsia="pl-PL"/>
              <w14:ligatures w14:val="standardContextual"/>
            </w:rPr>
          </w:pPr>
          <w:hyperlink w:anchor="_Toc141097852" w:history="1">
            <w:r w:rsidR="006900F4" w:rsidRPr="00441A76">
              <w:rPr>
                <w:rStyle w:val="Hipercze"/>
                <w:b/>
                <w:noProof/>
              </w:rPr>
              <w:t>3.</w:t>
            </w:r>
            <w:r w:rsidR="006900F4">
              <w:rPr>
                <w:rFonts w:eastAsiaTheme="minorEastAsia"/>
                <w:noProof/>
                <w:kern w:val="2"/>
                <w:lang w:eastAsia="pl-PL"/>
                <w14:ligatures w14:val="standardContextual"/>
              </w:rPr>
              <w:tab/>
            </w:r>
            <w:r w:rsidR="006900F4" w:rsidRPr="00441A76">
              <w:rPr>
                <w:rStyle w:val="Hipercze"/>
                <w:b/>
                <w:noProof/>
              </w:rPr>
              <w:t>Okres ubezpieczenia</w:t>
            </w:r>
            <w:r w:rsidR="006900F4">
              <w:rPr>
                <w:noProof/>
                <w:webHidden/>
              </w:rPr>
              <w:tab/>
            </w:r>
            <w:r w:rsidR="006900F4">
              <w:rPr>
                <w:noProof/>
                <w:webHidden/>
              </w:rPr>
              <w:fldChar w:fldCharType="begin"/>
            </w:r>
            <w:r w:rsidR="006900F4">
              <w:rPr>
                <w:noProof/>
                <w:webHidden/>
              </w:rPr>
              <w:instrText xml:space="preserve"> PAGEREF _Toc141097852 \h </w:instrText>
            </w:r>
            <w:r w:rsidR="006900F4">
              <w:rPr>
                <w:noProof/>
                <w:webHidden/>
              </w:rPr>
            </w:r>
            <w:r w:rsidR="006900F4">
              <w:rPr>
                <w:noProof/>
                <w:webHidden/>
              </w:rPr>
              <w:fldChar w:fldCharType="separate"/>
            </w:r>
            <w:r w:rsidR="00392029">
              <w:rPr>
                <w:noProof/>
                <w:webHidden/>
              </w:rPr>
              <w:t>4</w:t>
            </w:r>
            <w:r w:rsidR="006900F4">
              <w:rPr>
                <w:noProof/>
                <w:webHidden/>
              </w:rPr>
              <w:fldChar w:fldCharType="end"/>
            </w:r>
          </w:hyperlink>
        </w:p>
        <w:p w14:paraId="12E642F4" w14:textId="40A74935" w:rsidR="006900F4" w:rsidRDefault="006832FE">
          <w:pPr>
            <w:pStyle w:val="Spistreci3"/>
            <w:tabs>
              <w:tab w:val="left" w:pos="880"/>
              <w:tab w:val="right" w:leader="dot" w:pos="10052"/>
            </w:tabs>
            <w:rPr>
              <w:rFonts w:eastAsiaTheme="minorEastAsia"/>
              <w:noProof/>
              <w:kern w:val="2"/>
              <w:lang w:eastAsia="pl-PL"/>
              <w14:ligatures w14:val="standardContextual"/>
            </w:rPr>
          </w:pPr>
          <w:hyperlink w:anchor="_Toc141097853" w:history="1">
            <w:r w:rsidR="006900F4" w:rsidRPr="00441A76">
              <w:rPr>
                <w:rStyle w:val="Hipercze"/>
                <w:b/>
                <w:noProof/>
              </w:rPr>
              <w:t>4.</w:t>
            </w:r>
            <w:r w:rsidR="006900F4">
              <w:rPr>
                <w:rFonts w:eastAsiaTheme="minorEastAsia"/>
                <w:noProof/>
                <w:kern w:val="2"/>
                <w:lang w:eastAsia="pl-PL"/>
                <w14:ligatures w14:val="standardContextual"/>
              </w:rPr>
              <w:tab/>
            </w:r>
            <w:r w:rsidR="006900F4" w:rsidRPr="00441A76">
              <w:rPr>
                <w:rStyle w:val="Hipercze"/>
                <w:b/>
                <w:noProof/>
              </w:rPr>
              <w:t>Szkodowość w latach 2020-2023</w:t>
            </w:r>
            <w:r w:rsidR="006900F4">
              <w:rPr>
                <w:noProof/>
                <w:webHidden/>
              </w:rPr>
              <w:tab/>
            </w:r>
            <w:r w:rsidR="006900F4">
              <w:rPr>
                <w:noProof/>
                <w:webHidden/>
              </w:rPr>
              <w:fldChar w:fldCharType="begin"/>
            </w:r>
            <w:r w:rsidR="006900F4">
              <w:rPr>
                <w:noProof/>
                <w:webHidden/>
              </w:rPr>
              <w:instrText xml:space="preserve"> PAGEREF _Toc141097853 \h </w:instrText>
            </w:r>
            <w:r w:rsidR="006900F4">
              <w:rPr>
                <w:noProof/>
                <w:webHidden/>
              </w:rPr>
            </w:r>
            <w:r w:rsidR="006900F4">
              <w:rPr>
                <w:noProof/>
                <w:webHidden/>
              </w:rPr>
              <w:fldChar w:fldCharType="separate"/>
            </w:r>
            <w:r w:rsidR="00392029">
              <w:rPr>
                <w:noProof/>
                <w:webHidden/>
              </w:rPr>
              <w:t>4</w:t>
            </w:r>
            <w:r w:rsidR="006900F4">
              <w:rPr>
                <w:noProof/>
                <w:webHidden/>
              </w:rPr>
              <w:fldChar w:fldCharType="end"/>
            </w:r>
          </w:hyperlink>
        </w:p>
        <w:p w14:paraId="26A3337A" w14:textId="40069C88" w:rsidR="006900F4" w:rsidRDefault="006832FE">
          <w:pPr>
            <w:pStyle w:val="Spistreci3"/>
            <w:tabs>
              <w:tab w:val="left" w:pos="880"/>
              <w:tab w:val="right" w:leader="dot" w:pos="10052"/>
            </w:tabs>
            <w:rPr>
              <w:rFonts w:eastAsiaTheme="minorEastAsia"/>
              <w:noProof/>
              <w:kern w:val="2"/>
              <w:lang w:eastAsia="pl-PL"/>
              <w14:ligatures w14:val="standardContextual"/>
            </w:rPr>
          </w:pPr>
          <w:hyperlink w:anchor="_Toc141097854" w:history="1">
            <w:r w:rsidR="006900F4" w:rsidRPr="00441A76">
              <w:rPr>
                <w:rStyle w:val="Hipercze"/>
                <w:b/>
                <w:noProof/>
              </w:rPr>
              <w:t>5.</w:t>
            </w:r>
            <w:r w:rsidR="006900F4">
              <w:rPr>
                <w:rFonts w:eastAsiaTheme="minorEastAsia"/>
                <w:noProof/>
                <w:kern w:val="2"/>
                <w:lang w:eastAsia="pl-PL"/>
                <w14:ligatures w14:val="standardContextual"/>
              </w:rPr>
              <w:tab/>
            </w:r>
            <w:r w:rsidR="006900F4" w:rsidRPr="00441A76">
              <w:rPr>
                <w:rStyle w:val="Hipercze"/>
                <w:b/>
                <w:noProof/>
              </w:rPr>
              <w:t>Szczegółowy opis prowadzonej działalności</w:t>
            </w:r>
            <w:r w:rsidR="006900F4">
              <w:rPr>
                <w:noProof/>
                <w:webHidden/>
              </w:rPr>
              <w:tab/>
            </w:r>
            <w:r w:rsidR="006900F4">
              <w:rPr>
                <w:noProof/>
                <w:webHidden/>
              </w:rPr>
              <w:fldChar w:fldCharType="begin"/>
            </w:r>
            <w:r w:rsidR="006900F4">
              <w:rPr>
                <w:noProof/>
                <w:webHidden/>
              </w:rPr>
              <w:instrText xml:space="preserve"> PAGEREF _Toc141097854 \h </w:instrText>
            </w:r>
            <w:r w:rsidR="006900F4">
              <w:rPr>
                <w:noProof/>
                <w:webHidden/>
              </w:rPr>
            </w:r>
            <w:r w:rsidR="006900F4">
              <w:rPr>
                <w:noProof/>
                <w:webHidden/>
              </w:rPr>
              <w:fldChar w:fldCharType="separate"/>
            </w:r>
            <w:r w:rsidR="00392029">
              <w:rPr>
                <w:noProof/>
                <w:webHidden/>
              </w:rPr>
              <w:t>4</w:t>
            </w:r>
            <w:r w:rsidR="006900F4">
              <w:rPr>
                <w:noProof/>
                <w:webHidden/>
              </w:rPr>
              <w:fldChar w:fldCharType="end"/>
            </w:r>
          </w:hyperlink>
        </w:p>
        <w:p w14:paraId="5DFAA8EF" w14:textId="714C9647" w:rsidR="006900F4" w:rsidRDefault="006832FE">
          <w:pPr>
            <w:pStyle w:val="Spistreci3"/>
            <w:tabs>
              <w:tab w:val="left" w:pos="880"/>
              <w:tab w:val="right" w:leader="dot" w:pos="10052"/>
            </w:tabs>
            <w:rPr>
              <w:rFonts w:eastAsiaTheme="minorEastAsia"/>
              <w:noProof/>
              <w:kern w:val="2"/>
              <w:lang w:eastAsia="pl-PL"/>
              <w14:ligatures w14:val="standardContextual"/>
            </w:rPr>
          </w:pPr>
          <w:hyperlink w:anchor="_Toc141097855" w:history="1">
            <w:r w:rsidR="006900F4" w:rsidRPr="00441A76">
              <w:rPr>
                <w:rStyle w:val="Hipercze"/>
                <w:b/>
                <w:noProof/>
              </w:rPr>
              <w:t>6.</w:t>
            </w:r>
            <w:r w:rsidR="006900F4">
              <w:rPr>
                <w:rFonts w:eastAsiaTheme="minorEastAsia"/>
                <w:noProof/>
                <w:kern w:val="2"/>
                <w:lang w:eastAsia="pl-PL"/>
                <w14:ligatures w14:val="standardContextual"/>
              </w:rPr>
              <w:tab/>
            </w:r>
            <w:r w:rsidR="006900F4" w:rsidRPr="00441A76">
              <w:rPr>
                <w:rStyle w:val="Hipercze"/>
                <w:b/>
                <w:noProof/>
              </w:rPr>
              <w:t>Rodzaj prowadzonej działalności</w:t>
            </w:r>
            <w:r w:rsidR="006900F4">
              <w:rPr>
                <w:noProof/>
                <w:webHidden/>
              </w:rPr>
              <w:tab/>
            </w:r>
            <w:r w:rsidR="006900F4">
              <w:rPr>
                <w:noProof/>
                <w:webHidden/>
              </w:rPr>
              <w:fldChar w:fldCharType="begin"/>
            </w:r>
            <w:r w:rsidR="006900F4">
              <w:rPr>
                <w:noProof/>
                <w:webHidden/>
              </w:rPr>
              <w:instrText xml:space="preserve"> PAGEREF _Toc141097855 \h </w:instrText>
            </w:r>
            <w:r w:rsidR="006900F4">
              <w:rPr>
                <w:noProof/>
                <w:webHidden/>
              </w:rPr>
            </w:r>
            <w:r w:rsidR="006900F4">
              <w:rPr>
                <w:noProof/>
                <w:webHidden/>
              </w:rPr>
              <w:fldChar w:fldCharType="separate"/>
            </w:r>
            <w:r w:rsidR="00392029">
              <w:rPr>
                <w:noProof/>
                <w:webHidden/>
              </w:rPr>
              <w:t>7</w:t>
            </w:r>
            <w:r w:rsidR="006900F4">
              <w:rPr>
                <w:noProof/>
                <w:webHidden/>
              </w:rPr>
              <w:fldChar w:fldCharType="end"/>
            </w:r>
          </w:hyperlink>
        </w:p>
        <w:p w14:paraId="742FBBF4" w14:textId="5CDB5C67" w:rsidR="006900F4" w:rsidRDefault="006832FE">
          <w:pPr>
            <w:pStyle w:val="Spistreci3"/>
            <w:tabs>
              <w:tab w:val="left" w:pos="880"/>
              <w:tab w:val="right" w:leader="dot" w:pos="10052"/>
            </w:tabs>
            <w:rPr>
              <w:rFonts w:eastAsiaTheme="minorEastAsia"/>
              <w:noProof/>
              <w:kern w:val="2"/>
              <w:lang w:eastAsia="pl-PL"/>
              <w14:ligatures w14:val="standardContextual"/>
            </w:rPr>
          </w:pPr>
          <w:hyperlink w:anchor="_Toc141097856" w:history="1">
            <w:r w:rsidR="006900F4" w:rsidRPr="00441A76">
              <w:rPr>
                <w:rStyle w:val="Hipercze"/>
                <w:b/>
                <w:noProof/>
              </w:rPr>
              <w:t>7.</w:t>
            </w:r>
            <w:r w:rsidR="006900F4">
              <w:rPr>
                <w:rFonts w:eastAsiaTheme="minorEastAsia"/>
                <w:noProof/>
                <w:kern w:val="2"/>
                <w:lang w:eastAsia="pl-PL"/>
                <w14:ligatures w14:val="standardContextual"/>
              </w:rPr>
              <w:tab/>
            </w:r>
            <w:r w:rsidR="006900F4" w:rsidRPr="00441A76">
              <w:rPr>
                <w:rStyle w:val="Hipercze"/>
                <w:b/>
                <w:noProof/>
              </w:rPr>
              <w:t>Miejsca prowadzenia działalności</w:t>
            </w:r>
            <w:r w:rsidR="006900F4">
              <w:rPr>
                <w:noProof/>
                <w:webHidden/>
              </w:rPr>
              <w:tab/>
            </w:r>
            <w:r w:rsidR="006900F4">
              <w:rPr>
                <w:noProof/>
                <w:webHidden/>
              </w:rPr>
              <w:fldChar w:fldCharType="begin"/>
            </w:r>
            <w:r w:rsidR="006900F4">
              <w:rPr>
                <w:noProof/>
                <w:webHidden/>
              </w:rPr>
              <w:instrText xml:space="preserve"> PAGEREF _Toc141097856 \h </w:instrText>
            </w:r>
            <w:r w:rsidR="006900F4">
              <w:rPr>
                <w:noProof/>
                <w:webHidden/>
              </w:rPr>
            </w:r>
            <w:r w:rsidR="006900F4">
              <w:rPr>
                <w:noProof/>
                <w:webHidden/>
              </w:rPr>
              <w:fldChar w:fldCharType="separate"/>
            </w:r>
            <w:r w:rsidR="00392029">
              <w:rPr>
                <w:noProof/>
                <w:webHidden/>
              </w:rPr>
              <w:t>7</w:t>
            </w:r>
            <w:r w:rsidR="006900F4">
              <w:rPr>
                <w:noProof/>
                <w:webHidden/>
              </w:rPr>
              <w:fldChar w:fldCharType="end"/>
            </w:r>
          </w:hyperlink>
        </w:p>
        <w:p w14:paraId="664A6564" w14:textId="2806C361" w:rsidR="006900F4" w:rsidRDefault="006832FE">
          <w:pPr>
            <w:pStyle w:val="Spistreci3"/>
            <w:tabs>
              <w:tab w:val="left" w:pos="880"/>
              <w:tab w:val="right" w:leader="dot" w:pos="10052"/>
            </w:tabs>
            <w:rPr>
              <w:rFonts w:eastAsiaTheme="minorEastAsia"/>
              <w:noProof/>
              <w:kern w:val="2"/>
              <w:lang w:eastAsia="pl-PL"/>
              <w14:ligatures w14:val="standardContextual"/>
            </w:rPr>
          </w:pPr>
          <w:hyperlink w:anchor="_Toc141097857" w:history="1">
            <w:r w:rsidR="006900F4" w:rsidRPr="00441A76">
              <w:rPr>
                <w:rStyle w:val="Hipercze"/>
                <w:b/>
                <w:noProof/>
              </w:rPr>
              <w:t>8.</w:t>
            </w:r>
            <w:r w:rsidR="006900F4">
              <w:rPr>
                <w:rFonts w:eastAsiaTheme="minorEastAsia"/>
                <w:noProof/>
                <w:kern w:val="2"/>
                <w:lang w:eastAsia="pl-PL"/>
                <w14:ligatures w14:val="standardContextual"/>
              </w:rPr>
              <w:tab/>
            </w:r>
            <w:r w:rsidR="006900F4" w:rsidRPr="00441A76">
              <w:rPr>
                <w:rStyle w:val="Hipercze"/>
                <w:b/>
                <w:noProof/>
              </w:rPr>
              <w:t>Wysokość obrotu przedsiębiorstwa</w:t>
            </w:r>
            <w:r w:rsidR="006900F4">
              <w:rPr>
                <w:noProof/>
                <w:webHidden/>
              </w:rPr>
              <w:tab/>
            </w:r>
            <w:r w:rsidR="006900F4">
              <w:rPr>
                <w:noProof/>
                <w:webHidden/>
              </w:rPr>
              <w:fldChar w:fldCharType="begin"/>
            </w:r>
            <w:r w:rsidR="006900F4">
              <w:rPr>
                <w:noProof/>
                <w:webHidden/>
              </w:rPr>
              <w:instrText xml:space="preserve"> PAGEREF _Toc141097857 \h </w:instrText>
            </w:r>
            <w:r w:rsidR="006900F4">
              <w:rPr>
                <w:noProof/>
                <w:webHidden/>
              </w:rPr>
            </w:r>
            <w:r w:rsidR="006900F4">
              <w:rPr>
                <w:noProof/>
                <w:webHidden/>
              </w:rPr>
              <w:fldChar w:fldCharType="separate"/>
            </w:r>
            <w:r w:rsidR="00392029">
              <w:rPr>
                <w:noProof/>
                <w:webHidden/>
              </w:rPr>
              <w:t>8</w:t>
            </w:r>
            <w:r w:rsidR="006900F4">
              <w:rPr>
                <w:noProof/>
                <w:webHidden/>
              </w:rPr>
              <w:fldChar w:fldCharType="end"/>
            </w:r>
          </w:hyperlink>
        </w:p>
        <w:p w14:paraId="4F20A0F1" w14:textId="6CE10419" w:rsidR="006900F4" w:rsidRDefault="006832FE">
          <w:pPr>
            <w:pStyle w:val="Spistreci3"/>
            <w:tabs>
              <w:tab w:val="left" w:pos="880"/>
              <w:tab w:val="right" w:leader="dot" w:pos="10052"/>
            </w:tabs>
            <w:rPr>
              <w:rFonts w:eastAsiaTheme="minorEastAsia"/>
              <w:noProof/>
              <w:kern w:val="2"/>
              <w:lang w:eastAsia="pl-PL"/>
              <w14:ligatures w14:val="standardContextual"/>
            </w:rPr>
          </w:pPr>
          <w:hyperlink w:anchor="_Toc141097858" w:history="1">
            <w:r w:rsidR="006900F4" w:rsidRPr="00441A76">
              <w:rPr>
                <w:rStyle w:val="Hipercze"/>
                <w:b/>
                <w:noProof/>
              </w:rPr>
              <w:t>9.</w:t>
            </w:r>
            <w:r w:rsidR="006900F4">
              <w:rPr>
                <w:rFonts w:eastAsiaTheme="minorEastAsia"/>
                <w:noProof/>
                <w:kern w:val="2"/>
                <w:lang w:eastAsia="pl-PL"/>
                <w14:ligatures w14:val="standardContextual"/>
              </w:rPr>
              <w:tab/>
            </w:r>
            <w:r w:rsidR="006900F4" w:rsidRPr="00441A76">
              <w:rPr>
                <w:rStyle w:val="Hipercze"/>
                <w:b/>
                <w:noProof/>
              </w:rPr>
              <w:t>Zatrudnienie (zgodnie z danymi z dnia 30.06.2023 r.)</w:t>
            </w:r>
            <w:r w:rsidR="006900F4">
              <w:rPr>
                <w:noProof/>
                <w:webHidden/>
              </w:rPr>
              <w:tab/>
            </w:r>
            <w:r w:rsidR="006900F4">
              <w:rPr>
                <w:noProof/>
                <w:webHidden/>
              </w:rPr>
              <w:fldChar w:fldCharType="begin"/>
            </w:r>
            <w:r w:rsidR="006900F4">
              <w:rPr>
                <w:noProof/>
                <w:webHidden/>
              </w:rPr>
              <w:instrText xml:space="preserve"> PAGEREF _Toc141097858 \h </w:instrText>
            </w:r>
            <w:r w:rsidR="006900F4">
              <w:rPr>
                <w:noProof/>
                <w:webHidden/>
              </w:rPr>
            </w:r>
            <w:r w:rsidR="006900F4">
              <w:rPr>
                <w:noProof/>
                <w:webHidden/>
              </w:rPr>
              <w:fldChar w:fldCharType="separate"/>
            </w:r>
            <w:r w:rsidR="00392029">
              <w:rPr>
                <w:noProof/>
                <w:webHidden/>
              </w:rPr>
              <w:t>8</w:t>
            </w:r>
            <w:r w:rsidR="006900F4">
              <w:rPr>
                <w:noProof/>
                <w:webHidden/>
              </w:rPr>
              <w:fldChar w:fldCharType="end"/>
            </w:r>
          </w:hyperlink>
        </w:p>
        <w:p w14:paraId="31CB21CE" w14:textId="04E52C2B"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59" w:history="1">
            <w:r w:rsidR="006900F4" w:rsidRPr="00441A76">
              <w:rPr>
                <w:rStyle w:val="Hipercze"/>
                <w:b/>
                <w:noProof/>
              </w:rPr>
              <w:t>10.</w:t>
            </w:r>
            <w:r w:rsidR="006900F4">
              <w:rPr>
                <w:rFonts w:eastAsiaTheme="minorEastAsia"/>
                <w:noProof/>
                <w:kern w:val="2"/>
                <w:lang w:eastAsia="pl-PL"/>
                <w14:ligatures w14:val="standardContextual"/>
              </w:rPr>
              <w:tab/>
            </w:r>
            <w:r w:rsidR="006900F4" w:rsidRPr="00441A76">
              <w:rPr>
                <w:rStyle w:val="Hipercze"/>
                <w:b/>
                <w:noProof/>
              </w:rPr>
              <w:t>Certyfikaty</w:t>
            </w:r>
            <w:r w:rsidR="006900F4">
              <w:rPr>
                <w:noProof/>
                <w:webHidden/>
              </w:rPr>
              <w:tab/>
            </w:r>
            <w:r w:rsidR="006900F4">
              <w:rPr>
                <w:noProof/>
                <w:webHidden/>
              </w:rPr>
              <w:fldChar w:fldCharType="begin"/>
            </w:r>
            <w:r w:rsidR="006900F4">
              <w:rPr>
                <w:noProof/>
                <w:webHidden/>
              </w:rPr>
              <w:instrText xml:space="preserve"> PAGEREF _Toc141097859 \h </w:instrText>
            </w:r>
            <w:r w:rsidR="006900F4">
              <w:rPr>
                <w:noProof/>
                <w:webHidden/>
              </w:rPr>
            </w:r>
            <w:r w:rsidR="006900F4">
              <w:rPr>
                <w:noProof/>
                <w:webHidden/>
              </w:rPr>
              <w:fldChar w:fldCharType="separate"/>
            </w:r>
            <w:r w:rsidR="00392029">
              <w:rPr>
                <w:noProof/>
                <w:webHidden/>
              </w:rPr>
              <w:t>8</w:t>
            </w:r>
            <w:r w:rsidR="006900F4">
              <w:rPr>
                <w:noProof/>
                <w:webHidden/>
              </w:rPr>
              <w:fldChar w:fldCharType="end"/>
            </w:r>
          </w:hyperlink>
        </w:p>
        <w:p w14:paraId="58DCB706" w14:textId="28920F5D" w:rsidR="006900F4" w:rsidRDefault="006832FE">
          <w:pPr>
            <w:pStyle w:val="Spistreci2"/>
            <w:tabs>
              <w:tab w:val="right" w:leader="dot" w:pos="10052"/>
            </w:tabs>
            <w:rPr>
              <w:rFonts w:eastAsiaTheme="minorEastAsia"/>
              <w:noProof/>
              <w:kern w:val="2"/>
              <w:lang w:eastAsia="pl-PL"/>
              <w14:ligatures w14:val="standardContextual"/>
            </w:rPr>
          </w:pPr>
          <w:hyperlink w:anchor="_Toc141097860" w:history="1">
            <w:r w:rsidR="006900F4" w:rsidRPr="00441A76">
              <w:rPr>
                <w:rStyle w:val="Hipercze"/>
                <w:noProof/>
              </w:rPr>
              <w:t>Rozdział 3 – Postanowienia wspólne dotyczące wszystkich rodzajów mienia</w:t>
            </w:r>
            <w:r w:rsidR="006900F4">
              <w:rPr>
                <w:noProof/>
                <w:webHidden/>
              </w:rPr>
              <w:tab/>
            </w:r>
            <w:r w:rsidR="006900F4">
              <w:rPr>
                <w:noProof/>
                <w:webHidden/>
              </w:rPr>
              <w:fldChar w:fldCharType="begin"/>
            </w:r>
            <w:r w:rsidR="006900F4">
              <w:rPr>
                <w:noProof/>
                <w:webHidden/>
              </w:rPr>
              <w:instrText xml:space="preserve"> PAGEREF _Toc141097860 \h </w:instrText>
            </w:r>
            <w:r w:rsidR="006900F4">
              <w:rPr>
                <w:noProof/>
                <w:webHidden/>
              </w:rPr>
            </w:r>
            <w:r w:rsidR="006900F4">
              <w:rPr>
                <w:noProof/>
                <w:webHidden/>
              </w:rPr>
              <w:fldChar w:fldCharType="separate"/>
            </w:r>
            <w:r w:rsidR="00392029">
              <w:rPr>
                <w:noProof/>
                <w:webHidden/>
              </w:rPr>
              <w:t>10</w:t>
            </w:r>
            <w:r w:rsidR="006900F4">
              <w:rPr>
                <w:noProof/>
                <w:webHidden/>
              </w:rPr>
              <w:fldChar w:fldCharType="end"/>
            </w:r>
          </w:hyperlink>
        </w:p>
        <w:p w14:paraId="26663D32" w14:textId="4CFE08BD" w:rsidR="006900F4" w:rsidRDefault="006832FE">
          <w:pPr>
            <w:pStyle w:val="Spistreci3"/>
            <w:tabs>
              <w:tab w:val="left" w:pos="880"/>
              <w:tab w:val="right" w:leader="dot" w:pos="10052"/>
            </w:tabs>
            <w:rPr>
              <w:rFonts w:eastAsiaTheme="minorEastAsia"/>
              <w:noProof/>
              <w:kern w:val="2"/>
              <w:lang w:eastAsia="pl-PL"/>
              <w14:ligatures w14:val="standardContextual"/>
            </w:rPr>
          </w:pPr>
          <w:hyperlink w:anchor="_Toc141097861" w:history="1">
            <w:r w:rsidR="006900F4" w:rsidRPr="00441A76">
              <w:rPr>
                <w:rStyle w:val="Hipercze"/>
                <w:b/>
                <w:noProof/>
              </w:rPr>
              <w:t>1.</w:t>
            </w:r>
            <w:r w:rsidR="006900F4">
              <w:rPr>
                <w:rFonts w:eastAsiaTheme="minorEastAsia"/>
                <w:noProof/>
                <w:kern w:val="2"/>
                <w:lang w:eastAsia="pl-PL"/>
                <w14:ligatures w14:val="standardContextual"/>
              </w:rPr>
              <w:tab/>
            </w:r>
            <w:r w:rsidR="006900F4" w:rsidRPr="00441A76">
              <w:rPr>
                <w:rStyle w:val="Hipercze"/>
                <w:b/>
                <w:noProof/>
              </w:rPr>
              <w:t>Płatność składek/rat składek dla wszystkich rodzajów ubezpieczeń</w:t>
            </w:r>
            <w:r w:rsidR="006900F4">
              <w:rPr>
                <w:noProof/>
                <w:webHidden/>
              </w:rPr>
              <w:tab/>
            </w:r>
            <w:r w:rsidR="006900F4">
              <w:rPr>
                <w:noProof/>
                <w:webHidden/>
              </w:rPr>
              <w:fldChar w:fldCharType="begin"/>
            </w:r>
            <w:r w:rsidR="006900F4">
              <w:rPr>
                <w:noProof/>
                <w:webHidden/>
              </w:rPr>
              <w:instrText xml:space="preserve"> PAGEREF _Toc141097861 \h </w:instrText>
            </w:r>
            <w:r w:rsidR="006900F4">
              <w:rPr>
                <w:noProof/>
                <w:webHidden/>
              </w:rPr>
            </w:r>
            <w:r w:rsidR="006900F4">
              <w:rPr>
                <w:noProof/>
                <w:webHidden/>
              </w:rPr>
              <w:fldChar w:fldCharType="separate"/>
            </w:r>
            <w:r w:rsidR="00392029">
              <w:rPr>
                <w:noProof/>
                <w:webHidden/>
              </w:rPr>
              <w:t>10</w:t>
            </w:r>
            <w:r w:rsidR="006900F4">
              <w:rPr>
                <w:noProof/>
                <w:webHidden/>
              </w:rPr>
              <w:fldChar w:fldCharType="end"/>
            </w:r>
          </w:hyperlink>
        </w:p>
        <w:p w14:paraId="3B465CBD" w14:textId="0D52602B" w:rsidR="006900F4" w:rsidRDefault="006832FE">
          <w:pPr>
            <w:pStyle w:val="Spistreci3"/>
            <w:tabs>
              <w:tab w:val="left" w:pos="880"/>
              <w:tab w:val="right" w:leader="dot" w:pos="10052"/>
            </w:tabs>
            <w:rPr>
              <w:rFonts w:eastAsiaTheme="minorEastAsia"/>
              <w:noProof/>
              <w:kern w:val="2"/>
              <w:lang w:eastAsia="pl-PL"/>
              <w14:ligatures w14:val="standardContextual"/>
            </w:rPr>
          </w:pPr>
          <w:hyperlink w:anchor="_Toc141097862" w:history="1">
            <w:r w:rsidR="006900F4" w:rsidRPr="00441A76">
              <w:rPr>
                <w:rStyle w:val="Hipercze"/>
                <w:b/>
                <w:noProof/>
              </w:rPr>
              <w:t>2.</w:t>
            </w:r>
            <w:r w:rsidR="006900F4">
              <w:rPr>
                <w:rFonts w:eastAsiaTheme="minorEastAsia"/>
                <w:noProof/>
                <w:kern w:val="2"/>
                <w:lang w:eastAsia="pl-PL"/>
                <w14:ligatures w14:val="standardContextual"/>
              </w:rPr>
              <w:tab/>
            </w:r>
            <w:r w:rsidR="006900F4" w:rsidRPr="00441A76">
              <w:rPr>
                <w:rStyle w:val="Hipercze"/>
                <w:b/>
                <w:noProof/>
              </w:rPr>
              <w:t>Podatek VAT</w:t>
            </w:r>
            <w:r w:rsidR="006900F4">
              <w:rPr>
                <w:noProof/>
                <w:webHidden/>
              </w:rPr>
              <w:tab/>
            </w:r>
            <w:r w:rsidR="006900F4">
              <w:rPr>
                <w:noProof/>
                <w:webHidden/>
              </w:rPr>
              <w:fldChar w:fldCharType="begin"/>
            </w:r>
            <w:r w:rsidR="006900F4">
              <w:rPr>
                <w:noProof/>
                <w:webHidden/>
              </w:rPr>
              <w:instrText xml:space="preserve"> PAGEREF _Toc141097862 \h </w:instrText>
            </w:r>
            <w:r w:rsidR="006900F4">
              <w:rPr>
                <w:noProof/>
                <w:webHidden/>
              </w:rPr>
            </w:r>
            <w:r w:rsidR="006900F4">
              <w:rPr>
                <w:noProof/>
                <w:webHidden/>
              </w:rPr>
              <w:fldChar w:fldCharType="separate"/>
            </w:r>
            <w:r w:rsidR="00392029">
              <w:rPr>
                <w:noProof/>
                <w:webHidden/>
              </w:rPr>
              <w:t>10</w:t>
            </w:r>
            <w:r w:rsidR="006900F4">
              <w:rPr>
                <w:noProof/>
                <w:webHidden/>
              </w:rPr>
              <w:fldChar w:fldCharType="end"/>
            </w:r>
          </w:hyperlink>
        </w:p>
        <w:p w14:paraId="156093A2" w14:textId="2D195863" w:rsidR="006900F4" w:rsidRDefault="006832FE">
          <w:pPr>
            <w:pStyle w:val="Spistreci3"/>
            <w:tabs>
              <w:tab w:val="left" w:pos="880"/>
              <w:tab w:val="right" w:leader="dot" w:pos="10052"/>
            </w:tabs>
            <w:rPr>
              <w:rFonts w:eastAsiaTheme="minorEastAsia"/>
              <w:noProof/>
              <w:kern w:val="2"/>
              <w:lang w:eastAsia="pl-PL"/>
              <w14:ligatures w14:val="standardContextual"/>
            </w:rPr>
          </w:pPr>
          <w:hyperlink w:anchor="_Toc141097863" w:history="1">
            <w:r w:rsidR="006900F4" w:rsidRPr="00441A76">
              <w:rPr>
                <w:rStyle w:val="Hipercze"/>
                <w:b/>
                <w:noProof/>
              </w:rPr>
              <w:t>3.</w:t>
            </w:r>
            <w:r w:rsidR="006900F4">
              <w:rPr>
                <w:rFonts w:eastAsiaTheme="minorEastAsia"/>
                <w:noProof/>
                <w:kern w:val="2"/>
                <w:lang w:eastAsia="pl-PL"/>
                <w14:ligatures w14:val="standardContextual"/>
              </w:rPr>
              <w:tab/>
            </w:r>
            <w:r w:rsidR="006900F4" w:rsidRPr="00441A76">
              <w:rPr>
                <w:rStyle w:val="Hipercze"/>
                <w:b/>
                <w:noProof/>
              </w:rPr>
              <w:t>Postanowienia wspólne dotyczące wszystkich rodzajów ubezpieczeń</w:t>
            </w:r>
            <w:r w:rsidR="006900F4">
              <w:rPr>
                <w:noProof/>
                <w:webHidden/>
              </w:rPr>
              <w:tab/>
            </w:r>
            <w:r w:rsidR="006900F4">
              <w:rPr>
                <w:noProof/>
                <w:webHidden/>
              </w:rPr>
              <w:fldChar w:fldCharType="begin"/>
            </w:r>
            <w:r w:rsidR="006900F4">
              <w:rPr>
                <w:noProof/>
                <w:webHidden/>
              </w:rPr>
              <w:instrText xml:space="preserve"> PAGEREF _Toc141097863 \h </w:instrText>
            </w:r>
            <w:r w:rsidR="006900F4">
              <w:rPr>
                <w:noProof/>
                <w:webHidden/>
              </w:rPr>
            </w:r>
            <w:r w:rsidR="006900F4">
              <w:rPr>
                <w:noProof/>
                <w:webHidden/>
              </w:rPr>
              <w:fldChar w:fldCharType="separate"/>
            </w:r>
            <w:r w:rsidR="00392029">
              <w:rPr>
                <w:noProof/>
                <w:webHidden/>
              </w:rPr>
              <w:t>10</w:t>
            </w:r>
            <w:r w:rsidR="006900F4">
              <w:rPr>
                <w:noProof/>
                <w:webHidden/>
              </w:rPr>
              <w:fldChar w:fldCharType="end"/>
            </w:r>
          </w:hyperlink>
        </w:p>
        <w:p w14:paraId="350C6094" w14:textId="55D9099A" w:rsidR="006900F4" w:rsidRDefault="006832FE">
          <w:pPr>
            <w:pStyle w:val="Spistreci3"/>
            <w:tabs>
              <w:tab w:val="left" w:pos="880"/>
              <w:tab w:val="right" w:leader="dot" w:pos="10052"/>
            </w:tabs>
            <w:rPr>
              <w:rFonts w:eastAsiaTheme="minorEastAsia"/>
              <w:noProof/>
              <w:kern w:val="2"/>
              <w:lang w:eastAsia="pl-PL"/>
              <w14:ligatures w14:val="standardContextual"/>
            </w:rPr>
          </w:pPr>
          <w:hyperlink w:anchor="_Toc141097864" w:history="1">
            <w:r w:rsidR="006900F4" w:rsidRPr="00441A76">
              <w:rPr>
                <w:rStyle w:val="Hipercze"/>
                <w:b/>
                <w:noProof/>
              </w:rPr>
              <w:t>4.</w:t>
            </w:r>
            <w:r w:rsidR="006900F4">
              <w:rPr>
                <w:rFonts w:eastAsiaTheme="minorEastAsia"/>
                <w:noProof/>
                <w:kern w:val="2"/>
                <w:lang w:eastAsia="pl-PL"/>
                <w14:ligatures w14:val="standardContextual"/>
              </w:rPr>
              <w:tab/>
            </w:r>
            <w:r w:rsidR="006900F4" w:rsidRPr="00441A76">
              <w:rPr>
                <w:rStyle w:val="Hipercze"/>
                <w:b/>
                <w:noProof/>
              </w:rPr>
              <w:t>Postanowienia dotyczące wysokości wypłaty odszkodowania</w:t>
            </w:r>
            <w:r w:rsidR="006900F4">
              <w:rPr>
                <w:noProof/>
                <w:webHidden/>
              </w:rPr>
              <w:tab/>
            </w:r>
            <w:r w:rsidR="006900F4">
              <w:rPr>
                <w:noProof/>
                <w:webHidden/>
              </w:rPr>
              <w:fldChar w:fldCharType="begin"/>
            </w:r>
            <w:r w:rsidR="006900F4">
              <w:rPr>
                <w:noProof/>
                <w:webHidden/>
              </w:rPr>
              <w:instrText xml:space="preserve"> PAGEREF _Toc141097864 \h </w:instrText>
            </w:r>
            <w:r w:rsidR="006900F4">
              <w:rPr>
                <w:noProof/>
                <w:webHidden/>
              </w:rPr>
            </w:r>
            <w:r w:rsidR="006900F4">
              <w:rPr>
                <w:noProof/>
                <w:webHidden/>
              </w:rPr>
              <w:fldChar w:fldCharType="separate"/>
            </w:r>
            <w:r w:rsidR="00392029">
              <w:rPr>
                <w:noProof/>
                <w:webHidden/>
              </w:rPr>
              <w:t>11</w:t>
            </w:r>
            <w:r w:rsidR="006900F4">
              <w:rPr>
                <w:noProof/>
                <w:webHidden/>
              </w:rPr>
              <w:fldChar w:fldCharType="end"/>
            </w:r>
          </w:hyperlink>
        </w:p>
        <w:p w14:paraId="36E1E67B" w14:textId="2A754C86" w:rsidR="006900F4" w:rsidRDefault="006832FE">
          <w:pPr>
            <w:pStyle w:val="Spistreci2"/>
            <w:tabs>
              <w:tab w:val="right" w:leader="dot" w:pos="10052"/>
            </w:tabs>
            <w:rPr>
              <w:rFonts w:eastAsiaTheme="minorEastAsia"/>
              <w:noProof/>
              <w:kern w:val="2"/>
              <w:lang w:eastAsia="pl-PL"/>
              <w14:ligatures w14:val="standardContextual"/>
            </w:rPr>
          </w:pPr>
          <w:hyperlink w:anchor="_Toc141097865" w:history="1">
            <w:r w:rsidR="006900F4" w:rsidRPr="00441A76">
              <w:rPr>
                <w:rStyle w:val="Hipercze"/>
                <w:noProof/>
              </w:rPr>
              <w:t>Zadanie 2  - Ubezpieczenie odpowiedzialności cywilnej z tytułu prowadzonej działalności i posiadanego mienia</w:t>
            </w:r>
            <w:r w:rsidR="006900F4">
              <w:rPr>
                <w:noProof/>
                <w:webHidden/>
              </w:rPr>
              <w:tab/>
            </w:r>
            <w:r w:rsidR="006900F4">
              <w:rPr>
                <w:noProof/>
                <w:webHidden/>
              </w:rPr>
              <w:fldChar w:fldCharType="begin"/>
            </w:r>
            <w:r w:rsidR="006900F4">
              <w:rPr>
                <w:noProof/>
                <w:webHidden/>
              </w:rPr>
              <w:instrText xml:space="preserve"> PAGEREF _Toc141097865 \h </w:instrText>
            </w:r>
            <w:r w:rsidR="006900F4">
              <w:rPr>
                <w:noProof/>
                <w:webHidden/>
              </w:rPr>
            </w:r>
            <w:r w:rsidR="006900F4">
              <w:rPr>
                <w:noProof/>
                <w:webHidden/>
              </w:rPr>
              <w:fldChar w:fldCharType="separate"/>
            </w:r>
            <w:r w:rsidR="00392029">
              <w:rPr>
                <w:noProof/>
                <w:webHidden/>
              </w:rPr>
              <w:t>12</w:t>
            </w:r>
            <w:r w:rsidR="006900F4">
              <w:rPr>
                <w:noProof/>
                <w:webHidden/>
              </w:rPr>
              <w:fldChar w:fldCharType="end"/>
            </w:r>
          </w:hyperlink>
        </w:p>
        <w:p w14:paraId="1353D8EC" w14:textId="7A8C30EA"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66" w:history="1">
            <w:r w:rsidR="006900F4" w:rsidRPr="00441A76">
              <w:rPr>
                <w:rStyle w:val="Hipercze"/>
                <w:b/>
                <w:noProof/>
              </w:rPr>
              <w:t>2.1.</w:t>
            </w:r>
            <w:r w:rsidR="006900F4">
              <w:rPr>
                <w:rFonts w:eastAsiaTheme="minorEastAsia"/>
                <w:noProof/>
                <w:kern w:val="2"/>
                <w:lang w:eastAsia="pl-PL"/>
                <w14:ligatures w14:val="standardContextual"/>
              </w:rPr>
              <w:tab/>
            </w:r>
            <w:r w:rsidR="006900F4" w:rsidRPr="00441A76">
              <w:rPr>
                <w:rStyle w:val="Hipercze"/>
                <w:b/>
                <w:noProof/>
              </w:rPr>
              <w:t>Przedmiot i zakres ubezpieczenia</w:t>
            </w:r>
            <w:r w:rsidR="006900F4">
              <w:rPr>
                <w:noProof/>
                <w:webHidden/>
              </w:rPr>
              <w:tab/>
            </w:r>
            <w:r w:rsidR="006900F4">
              <w:rPr>
                <w:noProof/>
                <w:webHidden/>
              </w:rPr>
              <w:fldChar w:fldCharType="begin"/>
            </w:r>
            <w:r w:rsidR="006900F4">
              <w:rPr>
                <w:noProof/>
                <w:webHidden/>
              </w:rPr>
              <w:instrText xml:space="preserve"> PAGEREF _Toc141097866 \h </w:instrText>
            </w:r>
            <w:r w:rsidR="006900F4">
              <w:rPr>
                <w:noProof/>
                <w:webHidden/>
              </w:rPr>
            </w:r>
            <w:r w:rsidR="006900F4">
              <w:rPr>
                <w:noProof/>
                <w:webHidden/>
              </w:rPr>
              <w:fldChar w:fldCharType="separate"/>
            </w:r>
            <w:r w:rsidR="00392029">
              <w:rPr>
                <w:noProof/>
                <w:webHidden/>
              </w:rPr>
              <w:t>12</w:t>
            </w:r>
            <w:r w:rsidR="006900F4">
              <w:rPr>
                <w:noProof/>
                <w:webHidden/>
              </w:rPr>
              <w:fldChar w:fldCharType="end"/>
            </w:r>
          </w:hyperlink>
        </w:p>
        <w:p w14:paraId="12B5A037" w14:textId="236ADF32"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67" w:history="1">
            <w:r w:rsidR="006900F4" w:rsidRPr="00441A76">
              <w:rPr>
                <w:rStyle w:val="Hipercze"/>
                <w:b/>
                <w:noProof/>
              </w:rPr>
              <w:t>2.2.</w:t>
            </w:r>
            <w:r w:rsidR="006900F4">
              <w:rPr>
                <w:rFonts w:eastAsiaTheme="minorEastAsia"/>
                <w:noProof/>
                <w:kern w:val="2"/>
                <w:lang w:eastAsia="pl-PL"/>
                <w14:ligatures w14:val="standardContextual"/>
              </w:rPr>
              <w:tab/>
            </w:r>
            <w:r w:rsidR="006900F4" w:rsidRPr="00441A76">
              <w:rPr>
                <w:rStyle w:val="Hipercze"/>
                <w:b/>
                <w:noProof/>
              </w:rPr>
              <w:t>Zakres czasowy – triger</w:t>
            </w:r>
            <w:r w:rsidR="006900F4">
              <w:rPr>
                <w:noProof/>
                <w:webHidden/>
              </w:rPr>
              <w:tab/>
            </w:r>
            <w:r w:rsidR="006900F4">
              <w:rPr>
                <w:noProof/>
                <w:webHidden/>
              </w:rPr>
              <w:fldChar w:fldCharType="begin"/>
            </w:r>
            <w:r w:rsidR="006900F4">
              <w:rPr>
                <w:noProof/>
                <w:webHidden/>
              </w:rPr>
              <w:instrText xml:space="preserve"> PAGEREF _Toc141097867 \h </w:instrText>
            </w:r>
            <w:r w:rsidR="006900F4">
              <w:rPr>
                <w:noProof/>
                <w:webHidden/>
              </w:rPr>
            </w:r>
            <w:r w:rsidR="006900F4">
              <w:rPr>
                <w:noProof/>
                <w:webHidden/>
              </w:rPr>
              <w:fldChar w:fldCharType="separate"/>
            </w:r>
            <w:r w:rsidR="00392029">
              <w:rPr>
                <w:noProof/>
                <w:webHidden/>
              </w:rPr>
              <w:t>12</w:t>
            </w:r>
            <w:r w:rsidR="006900F4">
              <w:rPr>
                <w:noProof/>
                <w:webHidden/>
              </w:rPr>
              <w:fldChar w:fldCharType="end"/>
            </w:r>
          </w:hyperlink>
        </w:p>
        <w:p w14:paraId="5CD02696" w14:textId="0BE2147D"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68" w:history="1">
            <w:r w:rsidR="006900F4" w:rsidRPr="00441A76">
              <w:rPr>
                <w:rStyle w:val="Hipercze"/>
                <w:b/>
                <w:noProof/>
              </w:rPr>
              <w:t>2.3.</w:t>
            </w:r>
            <w:r w:rsidR="006900F4">
              <w:rPr>
                <w:rFonts w:eastAsiaTheme="minorEastAsia"/>
                <w:noProof/>
                <w:kern w:val="2"/>
                <w:lang w:eastAsia="pl-PL"/>
                <w14:ligatures w14:val="standardContextual"/>
              </w:rPr>
              <w:tab/>
            </w:r>
            <w:r w:rsidR="006900F4" w:rsidRPr="00441A76">
              <w:rPr>
                <w:rStyle w:val="Hipercze"/>
                <w:b/>
                <w:noProof/>
              </w:rPr>
              <w:t>Podstawowe definicje</w:t>
            </w:r>
            <w:r w:rsidR="006900F4">
              <w:rPr>
                <w:noProof/>
                <w:webHidden/>
              </w:rPr>
              <w:tab/>
            </w:r>
            <w:r w:rsidR="006900F4">
              <w:rPr>
                <w:noProof/>
                <w:webHidden/>
              </w:rPr>
              <w:fldChar w:fldCharType="begin"/>
            </w:r>
            <w:r w:rsidR="006900F4">
              <w:rPr>
                <w:noProof/>
                <w:webHidden/>
              </w:rPr>
              <w:instrText xml:space="preserve"> PAGEREF _Toc141097868 \h </w:instrText>
            </w:r>
            <w:r w:rsidR="006900F4">
              <w:rPr>
                <w:noProof/>
                <w:webHidden/>
              </w:rPr>
            </w:r>
            <w:r w:rsidR="006900F4">
              <w:rPr>
                <w:noProof/>
                <w:webHidden/>
              </w:rPr>
              <w:fldChar w:fldCharType="separate"/>
            </w:r>
            <w:r w:rsidR="00392029">
              <w:rPr>
                <w:noProof/>
                <w:webHidden/>
              </w:rPr>
              <w:t>12</w:t>
            </w:r>
            <w:r w:rsidR="006900F4">
              <w:rPr>
                <w:noProof/>
                <w:webHidden/>
              </w:rPr>
              <w:fldChar w:fldCharType="end"/>
            </w:r>
          </w:hyperlink>
        </w:p>
        <w:p w14:paraId="386522B5" w14:textId="4A1F3588"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69" w:history="1">
            <w:r w:rsidR="006900F4" w:rsidRPr="00441A76">
              <w:rPr>
                <w:rStyle w:val="Hipercze"/>
                <w:b/>
                <w:noProof/>
              </w:rPr>
              <w:t>2.4.</w:t>
            </w:r>
            <w:r w:rsidR="006900F4">
              <w:rPr>
                <w:rFonts w:eastAsiaTheme="minorEastAsia"/>
                <w:noProof/>
                <w:kern w:val="2"/>
                <w:lang w:eastAsia="pl-PL"/>
                <w14:ligatures w14:val="standardContextual"/>
              </w:rPr>
              <w:tab/>
            </w:r>
            <w:r w:rsidR="006900F4" w:rsidRPr="00441A76">
              <w:rPr>
                <w:rStyle w:val="Hipercze"/>
                <w:b/>
                <w:noProof/>
              </w:rPr>
              <w:t>Suma gwarancyjna</w:t>
            </w:r>
            <w:r w:rsidR="006900F4">
              <w:rPr>
                <w:noProof/>
                <w:webHidden/>
              </w:rPr>
              <w:tab/>
            </w:r>
            <w:r w:rsidR="006900F4">
              <w:rPr>
                <w:noProof/>
                <w:webHidden/>
              </w:rPr>
              <w:fldChar w:fldCharType="begin"/>
            </w:r>
            <w:r w:rsidR="006900F4">
              <w:rPr>
                <w:noProof/>
                <w:webHidden/>
              </w:rPr>
              <w:instrText xml:space="preserve"> PAGEREF _Toc141097869 \h </w:instrText>
            </w:r>
            <w:r w:rsidR="006900F4">
              <w:rPr>
                <w:noProof/>
                <w:webHidden/>
              </w:rPr>
            </w:r>
            <w:r w:rsidR="006900F4">
              <w:rPr>
                <w:noProof/>
                <w:webHidden/>
              </w:rPr>
              <w:fldChar w:fldCharType="separate"/>
            </w:r>
            <w:r w:rsidR="00392029">
              <w:rPr>
                <w:noProof/>
                <w:webHidden/>
              </w:rPr>
              <w:t>13</w:t>
            </w:r>
            <w:r w:rsidR="006900F4">
              <w:rPr>
                <w:noProof/>
                <w:webHidden/>
              </w:rPr>
              <w:fldChar w:fldCharType="end"/>
            </w:r>
          </w:hyperlink>
        </w:p>
        <w:p w14:paraId="1AF147E8" w14:textId="2D94C2A9"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70" w:history="1">
            <w:r w:rsidR="006900F4" w:rsidRPr="00441A76">
              <w:rPr>
                <w:rStyle w:val="Hipercze"/>
                <w:b/>
                <w:noProof/>
              </w:rPr>
              <w:t>2.5.</w:t>
            </w:r>
            <w:r w:rsidR="006900F4">
              <w:rPr>
                <w:rFonts w:eastAsiaTheme="minorEastAsia"/>
                <w:noProof/>
                <w:kern w:val="2"/>
                <w:lang w:eastAsia="pl-PL"/>
                <w14:ligatures w14:val="standardContextual"/>
              </w:rPr>
              <w:tab/>
            </w:r>
            <w:r w:rsidR="006900F4" w:rsidRPr="00441A76">
              <w:rPr>
                <w:rStyle w:val="Hipercze"/>
                <w:b/>
                <w:noProof/>
              </w:rPr>
              <w:t>Zakres terytorialny</w:t>
            </w:r>
            <w:r w:rsidR="006900F4">
              <w:rPr>
                <w:noProof/>
                <w:webHidden/>
              </w:rPr>
              <w:tab/>
            </w:r>
            <w:r w:rsidR="006900F4">
              <w:rPr>
                <w:noProof/>
                <w:webHidden/>
              </w:rPr>
              <w:fldChar w:fldCharType="begin"/>
            </w:r>
            <w:r w:rsidR="006900F4">
              <w:rPr>
                <w:noProof/>
                <w:webHidden/>
              </w:rPr>
              <w:instrText xml:space="preserve"> PAGEREF _Toc141097870 \h </w:instrText>
            </w:r>
            <w:r w:rsidR="006900F4">
              <w:rPr>
                <w:noProof/>
                <w:webHidden/>
              </w:rPr>
            </w:r>
            <w:r w:rsidR="006900F4">
              <w:rPr>
                <w:noProof/>
                <w:webHidden/>
              </w:rPr>
              <w:fldChar w:fldCharType="separate"/>
            </w:r>
            <w:r w:rsidR="00392029">
              <w:rPr>
                <w:noProof/>
                <w:webHidden/>
              </w:rPr>
              <w:t>13</w:t>
            </w:r>
            <w:r w:rsidR="006900F4">
              <w:rPr>
                <w:noProof/>
                <w:webHidden/>
              </w:rPr>
              <w:fldChar w:fldCharType="end"/>
            </w:r>
          </w:hyperlink>
        </w:p>
        <w:p w14:paraId="35605411" w14:textId="7E43B37B"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71" w:history="1">
            <w:r w:rsidR="006900F4" w:rsidRPr="00441A76">
              <w:rPr>
                <w:rStyle w:val="Hipercze"/>
                <w:b/>
                <w:noProof/>
              </w:rPr>
              <w:t>2.6.</w:t>
            </w:r>
            <w:r w:rsidR="006900F4">
              <w:rPr>
                <w:rFonts w:eastAsiaTheme="minorEastAsia"/>
                <w:noProof/>
                <w:kern w:val="2"/>
                <w:lang w:eastAsia="pl-PL"/>
                <w14:ligatures w14:val="standardContextual"/>
              </w:rPr>
              <w:tab/>
            </w:r>
            <w:r w:rsidR="006900F4" w:rsidRPr="00441A76">
              <w:rPr>
                <w:rStyle w:val="Hipercze"/>
                <w:b/>
                <w:noProof/>
              </w:rPr>
              <w:t>Rozszerzenie zakresu ubezpieczenia</w:t>
            </w:r>
            <w:r w:rsidR="006900F4">
              <w:rPr>
                <w:noProof/>
                <w:webHidden/>
              </w:rPr>
              <w:tab/>
            </w:r>
            <w:r w:rsidR="006900F4">
              <w:rPr>
                <w:noProof/>
                <w:webHidden/>
              </w:rPr>
              <w:fldChar w:fldCharType="begin"/>
            </w:r>
            <w:r w:rsidR="006900F4">
              <w:rPr>
                <w:noProof/>
                <w:webHidden/>
              </w:rPr>
              <w:instrText xml:space="preserve"> PAGEREF _Toc141097871 \h </w:instrText>
            </w:r>
            <w:r w:rsidR="006900F4">
              <w:rPr>
                <w:noProof/>
                <w:webHidden/>
              </w:rPr>
            </w:r>
            <w:r w:rsidR="006900F4">
              <w:rPr>
                <w:noProof/>
                <w:webHidden/>
              </w:rPr>
              <w:fldChar w:fldCharType="separate"/>
            </w:r>
            <w:r w:rsidR="00392029">
              <w:rPr>
                <w:noProof/>
                <w:webHidden/>
              </w:rPr>
              <w:t>13</w:t>
            </w:r>
            <w:r w:rsidR="006900F4">
              <w:rPr>
                <w:noProof/>
                <w:webHidden/>
              </w:rPr>
              <w:fldChar w:fldCharType="end"/>
            </w:r>
          </w:hyperlink>
        </w:p>
        <w:p w14:paraId="4B85E046" w14:textId="4C504ACC"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72" w:history="1">
            <w:r w:rsidR="006900F4" w:rsidRPr="00441A76">
              <w:rPr>
                <w:rStyle w:val="Hipercze"/>
                <w:b/>
                <w:noProof/>
              </w:rPr>
              <w:t>2.7.</w:t>
            </w:r>
            <w:r w:rsidR="006900F4">
              <w:rPr>
                <w:rFonts w:eastAsiaTheme="minorEastAsia"/>
                <w:noProof/>
                <w:kern w:val="2"/>
                <w:lang w:eastAsia="pl-PL"/>
                <w14:ligatures w14:val="standardContextual"/>
              </w:rPr>
              <w:tab/>
            </w:r>
            <w:r w:rsidR="006900F4" w:rsidRPr="00441A76">
              <w:rPr>
                <w:rStyle w:val="Hipercze"/>
                <w:b/>
                <w:noProof/>
              </w:rPr>
              <w:t>Franszyzy i udziały własne</w:t>
            </w:r>
            <w:r w:rsidR="006900F4">
              <w:rPr>
                <w:noProof/>
                <w:webHidden/>
              </w:rPr>
              <w:tab/>
            </w:r>
            <w:r w:rsidR="006900F4">
              <w:rPr>
                <w:noProof/>
                <w:webHidden/>
              </w:rPr>
              <w:fldChar w:fldCharType="begin"/>
            </w:r>
            <w:r w:rsidR="006900F4">
              <w:rPr>
                <w:noProof/>
                <w:webHidden/>
              </w:rPr>
              <w:instrText xml:space="preserve"> PAGEREF _Toc141097872 \h </w:instrText>
            </w:r>
            <w:r w:rsidR="006900F4">
              <w:rPr>
                <w:noProof/>
                <w:webHidden/>
              </w:rPr>
            </w:r>
            <w:r w:rsidR="006900F4">
              <w:rPr>
                <w:noProof/>
                <w:webHidden/>
              </w:rPr>
              <w:fldChar w:fldCharType="separate"/>
            </w:r>
            <w:r w:rsidR="00392029">
              <w:rPr>
                <w:noProof/>
                <w:webHidden/>
              </w:rPr>
              <w:t>15</w:t>
            </w:r>
            <w:r w:rsidR="006900F4">
              <w:rPr>
                <w:noProof/>
                <w:webHidden/>
              </w:rPr>
              <w:fldChar w:fldCharType="end"/>
            </w:r>
          </w:hyperlink>
        </w:p>
        <w:p w14:paraId="69F9BDEF" w14:textId="52B35E64"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73" w:history="1">
            <w:r w:rsidR="006900F4" w:rsidRPr="00441A76">
              <w:rPr>
                <w:rStyle w:val="Hipercze"/>
                <w:b/>
                <w:noProof/>
              </w:rPr>
              <w:t>2.8.</w:t>
            </w:r>
            <w:r w:rsidR="006900F4">
              <w:rPr>
                <w:rFonts w:eastAsiaTheme="minorEastAsia"/>
                <w:noProof/>
                <w:kern w:val="2"/>
                <w:lang w:eastAsia="pl-PL"/>
                <w14:ligatures w14:val="standardContextual"/>
              </w:rPr>
              <w:tab/>
            </w:r>
            <w:r w:rsidR="006900F4" w:rsidRPr="00441A76">
              <w:rPr>
                <w:rStyle w:val="Hipercze"/>
                <w:b/>
                <w:bCs/>
                <w:noProof/>
              </w:rPr>
              <w:t>Dodatkowe koszty/ świadczenia</w:t>
            </w:r>
            <w:r w:rsidR="006900F4">
              <w:rPr>
                <w:noProof/>
                <w:webHidden/>
              </w:rPr>
              <w:tab/>
            </w:r>
            <w:r w:rsidR="006900F4">
              <w:rPr>
                <w:noProof/>
                <w:webHidden/>
              </w:rPr>
              <w:fldChar w:fldCharType="begin"/>
            </w:r>
            <w:r w:rsidR="006900F4">
              <w:rPr>
                <w:noProof/>
                <w:webHidden/>
              </w:rPr>
              <w:instrText xml:space="preserve"> PAGEREF _Toc141097873 \h </w:instrText>
            </w:r>
            <w:r w:rsidR="006900F4">
              <w:rPr>
                <w:noProof/>
                <w:webHidden/>
              </w:rPr>
            </w:r>
            <w:r w:rsidR="006900F4">
              <w:rPr>
                <w:noProof/>
                <w:webHidden/>
              </w:rPr>
              <w:fldChar w:fldCharType="separate"/>
            </w:r>
            <w:r w:rsidR="00392029">
              <w:rPr>
                <w:noProof/>
                <w:webHidden/>
              </w:rPr>
              <w:t>15</w:t>
            </w:r>
            <w:r w:rsidR="006900F4">
              <w:rPr>
                <w:noProof/>
                <w:webHidden/>
              </w:rPr>
              <w:fldChar w:fldCharType="end"/>
            </w:r>
          </w:hyperlink>
        </w:p>
        <w:p w14:paraId="2CF8783B" w14:textId="1234BA8C" w:rsidR="006900F4" w:rsidRDefault="006832FE">
          <w:pPr>
            <w:pStyle w:val="Spistreci3"/>
            <w:tabs>
              <w:tab w:val="left" w:pos="880"/>
              <w:tab w:val="right" w:leader="dot" w:pos="10052"/>
            </w:tabs>
            <w:rPr>
              <w:rFonts w:eastAsiaTheme="minorEastAsia"/>
              <w:noProof/>
              <w:kern w:val="2"/>
              <w:lang w:eastAsia="pl-PL"/>
              <w14:ligatures w14:val="standardContextual"/>
            </w:rPr>
          </w:pPr>
          <w:hyperlink w:anchor="_Toc141097874" w:history="1">
            <w:r w:rsidR="006900F4" w:rsidRPr="00441A76">
              <w:rPr>
                <w:rStyle w:val="Hipercze"/>
                <w:b/>
                <w:noProof/>
              </w:rPr>
              <w:t>3.</w:t>
            </w:r>
            <w:r w:rsidR="006900F4">
              <w:rPr>
                <w:rFonts w:eastAsiaTheme="minorEastAsia"/>
                <w:noProof/>
                <w:kern w:val="2"/>
                <w:lang w:eastAsia="pl-PL"/>
                <w14:ligatures w14:val="standardContextual"/>
              </w:rPr>
              <w:tab/>
            </w:r>
            <w:r w:rsidR="006900F4" w:rsidRPr="00441A76">
              <w:rPr>
                <w:rStyle w:val="Hipercze"/>
                <w:b/>
                <w:noProof/>
              </w:rPr>
              <w:t>Klauzule dodatkowe – dotyczące poszczególnych rodzajów ryzyk</w:t>
            </w:r>
            <w:r w:rsidR="006900F4">
              <w:rPr>
                <w:noProof/>
                <w:webHidden/>
              </w:rPr>
              <w:tab/>
            </w:r>
            <w:r w:rsidR="006900F4">
              <w:rPr>
                <w:noProof/>
                <w:webHidden/>
              </w:rPr>
              <w:fldChar w:fldCharType="begin"/>
            </w:r>
            <w:r w:rsidR="006900F4">
              <w:rPr>
                <w:noProof/>
                <w:webHidden/>
              </w:rPr>
              <w:instrText xml:space="preserve"> PAGEREF _Toc141097874 \h </w:instrText>
            </w:r>
            <w:r w:rsidR="006900F4">
              <w:rPr>
                <w:noProof/>
                <w:webHidden/>
              </w:rPr>
            </w:r>
            <w:r w:rsidR="006900F4">
              <w:rPr>
                <w:noProof/>
                <w:webHidden/>
              </w:rPr>
              <w:fldChar w:fldCharType="separate"/>
            </w:r>
            <w:r w:rsidR="00392029">
              <w:rPr>
                <w:noProof/>
                <w:webHidden/>
              </w:rPr>
              <w:t>16</w:t>
            </w:r>
            <w:r w:rsidR="006900F4">
              <w:rPr>
                <w:noProof/>
                <w:webHidden/>
              </w:rPr>
              <w:fldChar w:fldCharType="end"/>
            </w:r>
          </w:hyperlink>
        </w:p>
        <w:p w14:paraId="53293351" w14:textId="76CD7ECC"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75" w:history="1">
            <w:r w:rsidR="006900F4" w:rsidRPr="00441A76">
              <w:rPr>
                <w:rStyle w:val="Hipercze"/>
                <w:b/>
                <w:noProof/>
              </w:rPr>
              <w:t>3.1.</w:t>
            </w:r>
            <w:r w:rsidR="006900F4">
              <w:rPr>
                <w:rFonts w:eastAsiaTheme="minorEastAsia"/>
                <w:noProof/>
                <w:kern w:val="2"/>
                <w:lang w:eastAsia="pl-PL"/>
                <w14:ligatures w14:val="standardContextual"/>
              </w:rPr>
              <w:tab/>
            </w:r>
            <w:r w:rsidR="006900F4" w:rsidRPr="00441A76">
              <w:rPr>
                <w:rStyle w:val="Hipercze"/>
                <w:b/>
                <w:noProof/>
              </w:rPr>
              <w:t>Klauzule obligatoryjne</w:t>
            </w:r>
            <w:r w:rsidR="006900F4">
              <w:rPr>
                <w:noProof/>
                <w:webHidden/>
              </w:rPr>
              <w:tab/>
            </w:r>
            <w:r w:rsidR="006900F4">
              <w:rPr>
                <w:noProof/>
                <w:webHidden/>
              </w:rPr>
              <w:fldChar w:fldCharType="begin"/>
            </w:r>
            <w:r w:rsidR="006900F4">
              <w:rPr>
                <w:noProof/>
                <w:webHidden/>
              </w:rPr>
              <w:instrText xml:space="preserve"> PAGEREF _Toc141097875 \h </w:instrText>
            </w:r>
            <w:r w:rsidR="006900F4">
              <w:rPr>
                <w:noProof/>
                <w:webHidden/>
              </w:rPr>
            </w:r>
            <w:r w:rsidR="006900F4">
              <w:rPr>
                <w:noProof/>
                <w:webHidden/>
              </w:rPr>
              <w:fldChar w:fldCharType="separate"/>
            </w:r>
            <w:r w:rsidR="00392029">
              <w:rPr>
                <w:noProof/>
                <w:webHidden/>
              </w:rPr>
              <w:t>16</w:t>
            </w:r>
            <w:r w:rsidR="006900F4">
              <w:rPr>
                <w:noProof/>
                <w:webHidden/>
              </w:rPr>
              <w:fldChar w:fldCharType="end"/>
            </w:r>
          </w:hyperlink>
        </w:p>
        <w:p w14:paraId="6EA299FE" w14:textId="6EC63FF3"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76" w:history="1">
            <w:r w:rsidR="006900F4" w:rsidRPr="00441A76">
              <w:rPr>
                <w:rStyle w:val="Hipercze"/>
                <w:b/>
                <w:noProof/>
              </w:rPr>
              <w:t>3.2.</w:t>
            </w:r>
            <w:r w:rsidR="006900F4">
              <w:rPr>
                <w:rFonts w:eastAsiaTheme="minorEastAsia"/>
                <w:noProof/>
                <w:kern w:val="2"/>
                <w:lang w:eastAsia="pl-PL"/>
                <w14:ligatures w14:val="standardContextual"/>
              </w:rPr>
              <w:tab/>
            </w:r>
            <w:r w:rsidR="006900F4" w:rsidRPr="00441A76">
              <w:rPr>
                <w:rStyle w:val="Hipercze"/>
                <w:b/>
                <w:noProof/>
              </w:rPr>
              <w:t>Klauzule fakultatywne</w:t>
            </w:r>
            <w:r w:rsidR="006900F4">
              <w:rPr>
                <w:noProof/>
                <w:webHidden/>
              </w:rPr>
              <w:tab/>
            </w:r>
            <w:r w:rsidR="006900F4">
              <w:rPr>
                <w:noProof/>
                <w:webHidden/>
              </w:rPr>
              <w:fldChar w:fldCharType="begin"/>
            </w:r>
            <w:r w:rsidR="006900F4">
              <w:rPr>
                <w:noProof/>
                <w:webHidden/>
              </w:rPr>
              <w:instrText xml:space="preserve"> PAGEREF _Toc141097876 \h </w:instrText>
            </w:r>
            <w:r w:rsidR="006900F4">
              <w:rPr>
                <w:noProof/>
                <w:webHidden/>
              </w:rPr>
            </w:r>
            <w:r w:rsidR="006900F4">
              <w:rPr>
                <w:noProof/>
                <w:webHidden/>
              </w:rPr>
              <w:fldChar w:fldCharType="separate"/>
            </w:r>
            <w:r w:rsidR="00392029">
              <w:rPr>
                <w:noProof/>
                <w:webHidden/>
              </w:rPr>
              <w:t>17</w:t>
            </w:r>
            <w:r w:rsidR="006900F4">
              <w:rPr>
                <w:noProof/>
                <w:webHidden/>
              </w:rPr>
              <w:fldChar w:fldCharType="end"/>
            </w:r>
          </w:hyperlink>
        </w:p>
        <w:p w14:paraId="6EFA90DE" w14:textId="289A5DC6" w:rsidR="006900F4" w:rsidRDefault="006832FE">
          <w:pPr>
            <w:pStyle w:val="Spistreci2"/>
            <w:tabs>
              <w:tab w:val="right" w:leader="dot" w:pos="10052"/>
            </w:tabs>
            <w:rPr>
              <w:rFonts w:eastAsiaTheme="minorEastAsia"/>
              <w:noProof/>
              <w:kern w:val="2"/>
              <w:lang w:eastAsia="pl-PL"/>
              <w14:ligatures w14:val="standardContextual"/>
            </w:rPr>
          </w:pPr>
          <w:hyperlink w:anchor="_Toc141097877" w:history="1">
            <w:r w:rsidR="006900F4" w:rsidRPr="00441A76">
              <w:rPr>
                <w:rStyle w:val="Hipercze"/>
                <w:noProof/>
              </w:rPr>
              <w:t>Zadanie 3  - Ubezpieczenia komunikacyjne</w:t>
            </w:r>
            <w:r w:rsidR="006900F4">
              <w:rPr>
                <w:noProof/>
                <w:webHidden/>
              </w:rPr>
              <w:tab/>
            </w:r>
            <w:r w:rsidR="006900F4">
              <w:rPr>
                <w:noProof/>
                <w:webHidden/>
              </w:rPr>
              <w:fldChar w:fldCharType="begin"/>
            </w:r>
            <w:r w:rsidR="006900F4">
              <w:rPr>
                <w:noProof/>
                <w:webHidden/>
              </w:rPr>
              <w:instrText xml:space="preserve"> PAGEREF _Toc141097877 \h </w:instrText>
            </w:r>
            <w:r w:rsidR="006900F4">
              <w:rPr>
                <w:noProof/>
                <w:webHidden/>
              </w:rPr>
            </w:r>
            <w:r w:rsidR="006900F4">
              <w:rPr>
                <w:noProof/>
                <w:webHidden/>
              </w:rPr>
              <w:fldChar w:fldCharType="separate"/>
            </w:r>
            <w:r w:rsidR="00392029">
              <w:rPr>
                <w:noProof/>
                <w:webHidden/>
              </w:rPr>
              <w:t>18</w:t>
            </w:r>
            <w:r w:rsidR="006900F4">
              <w:rPr>
                <w:noProof/>
                <w:webHidden/>
              </w:rPr>
              <w:fldChar w:fldCharType="end"/>
            </w:r>
          </w:hyperlink>
        </w:p>
        <w:p w14:paraId="1D948E8F" w14:textId="039E5419" w:rsidR="006900F4" w:rsidRDefault="006832FE">
          <w:pPr>
            <w:pStyle w:val="Spistreci3"/>
            <w:tabs>
              <w:tab w:val="left" w:pos="880"/>
              <w:tab w:val="right" w:leader="dot" w:pos="10052"/>
            </w:tabs>
            <w:rPr>
              <w:rFonts w:eastAsiaTheme="minorEastAsia"/>
              <w:noProof/>
              <w:kern w:val="2"/>
              <w:lang w:eastAsia="pl-PL"/>
              <w14:ligatures w14:val="standardContextual"/>
            </w:rPr>
          </w:pPr>
          <w:hyperlink w:anchor="_Toc141097878" w:history="1">
            <w:r w:rsidR="006900F4" w:rsidRPr="00441A76">
              <w:rPr>
                <w:rStyle w:val="Hipercze"/>
                <w:b/>
                <w:noProof/>
              </w:rPr>
              <w:t>1.</w:t>
            </w:r>
            <w:r w:rsidR="006900F4">
              <w:rPr>
                <w:rFonts w:eastAsiaTheme="minorEastAsia"/>
                <w:noProof/>
                <w:kern w:val="2"/>
                <w:lang w:eastAsia="pl-PL"/>
                <w14:ligatures w14:val="standardContextual"/>
              </w:rPr>
              <w:tab/>
            </w:r>
            <w:r w:rsidR="006900F4" w:rsidRPr="00441A76">
              <w:rPr>
                <w:rStyle w:val="Hipercze"/>
                <w:b/>
                <w:noProof/>
              </w:rPr>
              <w:t>Przedmiot ubezpieczenia</w:t>
            </w:r>
            <w:r w:rsidR="006900F4">
              <w:rPr>
                <w:noProof/>
                <w:webHidden/>
              </w:rPr>
              <w:tab/>
            </w:r>
            <w:r w:rsidR="006900F4">
              <w:rPr>
                <w:noProof/>
                <w:webHidden/>
              </w:rPr>
              <w:fldChar w:fldCharType="begin"/>
            </w:r>
            <w:r w:rsidR="006900F4">
              <w:rPr>
                <w:noProof/>
                <w:webHidden/>
              </w:rPr>
              <w:instrText xml:space="preserve"> PAGEREF _Toc141097878 \h </w:instrText>
            </w:r>
            <w:r w:rsidR="006900F4">
              <w:rPr>
                <w:noProof/>
                <w:webHidden/>
              </w:rPr>
            </w:r>
            <w:r w:rsidR="006900F4">
              <w:rPr>
                <w:noProof/>
                <w:webHidden/>
              </w:rPr>
              <w:fldChar w:fldCharType="separate"/>
            </w:r>
            <w:r w:rsidR="00392029">
              <w:rPr>
                <w:noProof/>
                <w:webHidden/>
              </w:rPr>
              <w:t>18</w:t>
            </w:r>
            <w:r w:rsidR="006900F4">
              <w:rPr>
                <w:noProof/>
                <w:webHidden/>
              </w:rPr>
              <w:fldChar w:fldCharType="end"/>
            </w:r>
          </w:hyperlink>
        </w:p>
        <w:p w14:paraId="672DCBCE" w14:textId="468712B3" w:rsidR="006900F4" w:rsidRDefault="006832FE">
          <w:pPr>
            <w:pStyle w:val="Spistreci3"/>
            <w:tabs>
              <w:tab w:val="left" w:pos="880"/>
              <w:tab w:val="right" w:leader="dot" w:pos="10052"/>
            </w:tabs>
            <w:rPr>
              <w:rFonts w:eastAsiaTheme="minorEastAsia"/>
              <w:noProof/>
              <w:kern w:val="2"/>
              <w:lang w:eastAsia="pl-PL"/>
              <w14:ligatures w14:val="standardContextual"/>
            </w:rPr>
          </w:pPr>
          <w:hyperlink w:anchor="_Toc141097879" w:history="1">
            <w:r w:rsidR="006900F4" w:rsidRPr="00441A76">
              <w:rPr>
                <w:rStyle w:val="Hipercze"/>
                <w:b/>
                <w:noProof/>
              </w:rPr>
              <w:t>2.</w:t>
            </w:r>
            <w:r w:rsidR="006900F4">
              <w:rPr>
                <w:rFonts w:eastAsiaTheme="minorEastAsia"/>
                <w:noProof/>
                <w:kern w:val="2"/>
                <w:lang w:eastAsia="pl-PL"/>
                <w14:ligatures w14:val="standardContextual"/>
              </w:rPr>
              <w:tab/>
            </w:r>
            <w:r w:rsidR="006900F4" w:rsidRPr="00441A76">
              <w:rPr>
                <w:rStyle w:val="Hipercze"/>
                <w:b/>
                <w:noProof/>
              </w:rPr>
              <w:t>Założenia wspólne</w:t>
            </w:r>
            <w:r w:rsidR="006900F4">
              <w:rPr>
                <w:noProof/>
                <w:webHidden/>
              </w:rPr>
              <w:tab/>
            </w:r>
            <w:r w:rsidR="006900F4">
              <w:rPr>
                <w:noProof/>
                <w:webHidden/>
              </w:rPr>
              <w:fldChar w:fldCharType="begin"/>
            </w:r>
            <w:r w:rsidR="006900F4">
              <w:rPr>
                <w:noProof/>
                <w:webHidden/>
              </w:rPr>
              <w:instrText xml:space="preserve"> PAGEREF _Toc141097879 \h </w:instrText>
            </w:r>
            <w:r w:rsidR="006900F4">
              <w:rPr>
                <w:noProof/>
                <w:webHidden/>
              </w:rPr>
            </w:r>
            <w:r w:rsidR="006900F4">
              <w:rPr>
                <w:noProof/>
                <w:webHidden/>
              </w:rPr>
              <w:fldChar w:fldCharType="separate"/>
            </w:r>
            <w:r w:rsidR="00392029">
              <w:rPr>
                <w:noProof/>
                <w:webHidden/>
              </w:rPr>
              <w:t>18</w:t>
            </w:r>
            <w:r w:rsidR="006900F4">
              <w:rPr>
                <w:noProof/>
                <w:webHidden/>
              </w:rPr>
              <w:fldChar w:fldCharType="end"/>
            </w:r>
          </w:hyperlink>
        </w:p>
        <w:p w14:paraId="62F07F17" w14:textId="65569336" w:rsidR="006900F4" w:rsidRDefault="006832FE">
          <w:pPr>
            <w:pStyle w:val="Spistreci3"/>
            <w:tabs>
              <w:tab w:val="left" w:pos="880"/>
              <w:tab w:val="right" w:leader="dot" w:pos="10052"/>
            </w:tabs>
            <w:rPr>
              <w:rFonts w:eastAsiaTheme="minorEastAsia"/>
              <w:noProof/>
              <w:kern w:val="2"/>
              <w:lang w:eastAsia="pl-PL"/>
              <w14:ligatures w14:val="standardContextual"/>
            </w:rPr>
          </w:pPr>
          <w:hyperlink w:anchor="_Toc141097880" w:history="1">
            <w:r w:rsidR="006900F4" w:rsidRPr="00441A76">
              <w:rPr>
                <w:rStyle w:val="Hipercze"/>
                <w:b/>
                <w:noProof/>
              </w:rPr>
              <w:t>3.</w:t>
            </w:r>
            <w:r w:rsidR="006900F4">
              <w:rPr>
                <w:rFonts w:eastAsiaTheme="minorEastAsia"/>
                <w:noProof/>
                <w:kern w:val="2"/>
                <w:lang w:eastAsia="pl-PL"/>
                <w14:ligatures w14:val="standardContextual"/>
              </w:rPr>
              <w:tab/>
            </w:r>
            <w:r w:rsidR="006900F4" w:rsidRPr="00441A76">
              <w:rPr>
                <w:rStyle w:val="Hipercze"/>
                <w:b/>
                <w:noProof/>
              </w:rPr>
              <w:t>Obowiązkowe ubezpieczenie odpowiedzialności cywilnej posiadaczy pojazdów mechanicznych za szkody powstałe w związku z ruchem pojazdów.</w:t>
            </w:r>
            <w:r w:rsidR="006900F4">
              <w:rPr>
                <w:noProof/>
                <w:webHidden/>
              </w:rPr>
              <w:tab/>
            </w:r>
            <w:r w:rsidR="006900F4">
              <w:rPr>
                <w:noProof/>
                <w:webHidden/>
              </w:rPr>
              <w:fldChar w:fldCharType="begin"/>
            </w:r>
            <w:r w:rsidR="006900F4">
              <w:rPr>
                <w:noProof/>
                <w:webHidden/>
              </w:rPr>
              <w:instrText xml:space="preserve"> PAGEREF _Toc141097880 \h </w:instrText>
            </w:r>
            <w:r w:rsidR="006900F4">
              <w:rPr>
                <w:noProof/>
                <w:webHidden/>
              </w:rPr>
            </w:r>
            <w:r w:rsidR="006900F4">
              <w:rPr>
                <w:noProof/>
                <w:webHidden/>
              </w:rPr>
              <w:fldChar w:fldCharType="separate"/>
            </w:r>
            <w:r w:rsidR="00392029">
              <w:rPr>
                <w:noProof/>
                <w:webHidden/>
              </w:rPr>
              <w:t>19</w:t>
            </w:r>
            <w:r w:rsidR="006900F4">
              <w:rPr>
                <w:noProof/>
                <w:webHidden/>
              </w:rPr>
              <w:fldChar w:fldCharType="end"/>
            </w:r>
          </w:hyperlink>
        </w:p>
        <w:p w14:paraId="3F488CB7" w14:textId="38CEF1D8" w:rsidR="006900F4" w:rsidRDefault="006832FE">
          <w:pPr>
            <w:pStyle w:val="Spistreci3"/>
            <w:tabs>
              <w:tab w:val="left" w:pos="880"/>
              <w:tab w:val="right" w:leader="dot" w:pos="10052"/>
            </w:tabs>
            <w:rPr>
              <w:rFonts w:eastAsiaTheme="minorEastAsia"/>
              <w:noProof/>
              <w:kern w:val="2"/>
              <w:lang w:eastAsia="pl-PL"/>
              <w14:ligatures w14:val="standardContextual"/>
            </w:rPr>
          </w:pPr>
          <w:hyperlink w:anchor="_Toc141097881" w:history="1">
            <w:r w:rsidR="006900F4" w:rsidRPr="00441A76">
              <w:rPr>
                <w:rStyle w:val="Hipercze"/>
                <w:b/>
                <w:noProof/>
              </w:rPr>
              <w:t>4.</w:t>
            </w:r>
            <w:r w:rsidR="006900F4">
              <w:rPr>
                <w:rFonts w:eastAsiaTheme="minorEastAsia"/>
                <w:noProof/>
                <w:kern w:val="2"/>
                <w:lang w:eastAsia="pl-PL"/>
                <w14:ligatures w14:val="standardContextual"/>
              </w:rPr>
              <w:tab/>
            </w:r>
            <w:r w:rsidR="006900F4" w:rsidRPr="00441A76">
              <w:rPr>
                <w:rStyle w:val="Hipercze"/>
                <w:b/>
                <w:noProof/>
              </w:rPr>
              <w:t>Ubezpieczenie Zielona Karta</w:t>
            </w:r>
            <w:r w:rsidR="006900F4">
              <w:rPr>
                <w:noProof/>
                <w:webHidden/>
              </w:rPr>
              <w:tab/>
            </w:r>
            <w:r w:rsidR="006900F4">
              <w:rPr>
                <w:noProof/>
                <w:webHidden/>
              </w:rPr>
              <w:fldChar w:fldCharType="begin"/>
            </w:r>
            <w:r w:rsidR="006900F4">
              <w:rPr>
                <w:noProof/>
                <w:webHidden/>
              </w:rPr>
              <w:instrText xml:space="preserve"> PAGEREF _Toc141097881 \h </w:instrText>
            </w:r>
            <w:r w:rsidR="006900F4">
              <w:rPr>
                <w:noProof/>
                <w:webHidden/>
              </w:rPr>
            </w:r>
            <w:r w:rsidR="006900F4">
              <w:rPr>
                <w:noProof/>
                <w:webHidden/>
              </w:rPr>
              <w:fldChar w:fldCharType="separate"/>
            </w:r>
            <w:r w:rsidR="00392029">
              <w:rPr>
                <w:noProof/>
                <w:webHidden/>
              </w:rPr>
              <w:t>19</w:t>
            </w:r>
            <w:r w:rsidR="006900F4">
              <w:rPr>
                <w:noProof/>
                <w:webHidden/>
              </w:rPr>
              <w:fldChar w:fldCharType="end"/>
            </w:r>
          </w:hyperlink>
        </w:p>
        <w:p w14:paraId="5D4B2FE1" w14:textId="6301B093" w:rsidR="006900F4" w:rsidRDefault="006832FE">
          <w:pPr>
            <w:pStyle w:val="Spistreci3"/>
            <w:tabs>
              <w:tab w:val="left" w:pos="880"/>
              <w:tab w:val="right" w:leader="dot" w:pos="10052"/>
            </w:tabs>
            <w:rPr>
              <w:rFonts w:eastAsiaTheme="minorEastAsia"/>
              <w:noProof/>
              <w:kern w:val="2"/>
              <w:lang w:eastAsia="pl-PL"/>
              <w14:ligatures w14:val="standardContextual"/>
            </w:rPr>
          </w:pPr>
          <w:hyperlink w:anchor="_Toc141097882" w:history="1">
            <w:r w:rsidR="006900F4" w:rsidRPr="00441A76">
              <w:rPr>
                <w:rStyle w:val="Hipercze"/>
                <w:b/>
                <w:noProof/>
              </w:rPr>
              <w:t>5.</w:t>
            </w:r>
            <w:r w:rsidR="006900F4">
              <w:rPr>
                <w:rFonts w:eastAsiaTheme="minorEastAsia"/>
                <w:noProof/>
                <w:kern w:val="2"/>
                <w:lang w:eastAsia="pl-PL"/>
                <w14:ligatures w14:val="standardContextual"/>
              </w:rPr>
              <w:tab/>
            </w:r>
            <w:r w:rsidR="006900F4" w:rsidRPr="00441A76">
              <w:rPr>
                <w:rStyle w:val="Hipercze"/>
                <w:b/>
                <w:noProof/>
              </w:rPr>
              <w:t>Ubezpieczenie Auto-Casco</w:t>
            </w:r>
            <w:r w:rsidR="006900F4">
              <w:rPr>
                <w:noProof/>
                <w:webHidden/>
              </w:rPr>
              <w:tab/>
            </w:r>
            <w:r w:rsidR="006900F4">
              <w:rPr>
                <w:noProof/>
                <w:webHidden/>
              </w:rPr>
              <w:fldChar w:fldCharType="begin"/>
            </w:r>
            <w:r w:rsidR="006900F4">
              <w:rPr>
                <w:noProof/>
                <w:webHidden/>
              </w:rPr>
              <w:instrText xml:space="preserve"> PAGEREF _Toc141097882 \h </w:instrText>
            </w:r>
            <w:r w:rsidR="006900F4">
              <w:rPr>
                <w:noProof/>
                <w:webHidden/>
              </w:rPr>
            </w:r>
            <w:r w:rsidR="006900F4">
              <w:rPr>
                <w:noProof/>
                <w:webHidden/>
              </w:rPr>
              <w:fldChar w:fldCharType="separate"/>
            </w:r>
            <w:r w:rsidR="00392029">
              <w:rPr>
                <w:noProof/>
                <w:webHidden/>
              </w:rPr>
              <w:t>20</w:t>
            </w:r>
            <w:r w:rsidR="006900F4">
              <w:rPr>
                <w:noProof/>
                <w:webHidden/>
              </w:rPr>
              <w:fldChar w:fldCharType="end"/>
            </w:r>
          </w:hyperlink>
        </w:p>
        <w:p w14:paraId="2878BE0E" w14:textId="735EDBAB"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83" w:history="1">
            <w:r w:rsidR="006900F4" w:rsidRPr="00441A76">
              <w:rPr>
                <w:rStyle w:val="Hipercze"/>
                <w:b/>
                <w:noProof/>
              </w:rPr>
              <w:t>5.1.</w:t>
            </w:r>
            <w:r w:rsidR="006900F4">
              <w:rPr>
                <w:rFonts w:eastAsiaTheme="minorEastAsia"/>
                <w:noProof/>
                <w:kern w:val="2"/>
                <w:lang w:eastAsia="pl-PL"/>
                <w14:ligatures w14:val="standardContextual"/>
              </w:rPr>
              <w:tab/>
            </w:r>
            <w:r w:rsidR="006900F4" w:rsidRPr="00441A76">
              <w:rPr>
                <w:rStyle w:val="Hipercze"/>
                <w:b/>
                <w:noProof/>
              </w:rPr>
              <w:t xml:space="preserve">Zakres terytorialny – </w:t>
            </w:r>
            <w:r w:rsidR="006900F4" w:rsidRPr="00441A76">
              <w:rPr>
                <w:rStyle w:val="Hipercze"/>
                <w:bCs/>
                <w:noProof/>
              </w:rPr>
              <w:t xml:space="preserve">RP </w:t>
            </w:r>
            <w:r w:rsidR="006900F4" w:rsidRPr="00441A76">
              <w:rPr>
                <w:rStyle w:val="Hipercze"/>
                <w:noProof/>
              </w:rPr>
              <w:t>i Europa</w:t>
            </w:r>
            <w:r w:rsidR="006900F4">
              <w:rPr>
                <w:noProof/>
                <w:webHidden/>
              </w:rPr>
              <w:tab/>
            </w:r>
            <w:r w:rsidR="006900F4">
              <w:rPr>
                <w:noProof/>
                <w:webHidden/>
              </w:rPr>
              <w:fldChar w:fldCharType="begin"/>
            </w:r>
            <w:r w:rsidR="006900F4">
              <w:rPr>
                <w:noProof/>
                <w:webHidden/>
              </w:rPr>
              <w:instrText xml:space="preserve"> PAGEREF _Toc141097883 \h </w:instrText>
            </w:r>
            <w:r w:rsidR="006900F4">
              <w:rPr>
                <w:noProof/>
                <w:webHidden/>
              </w:rPr>
            </w:r>
            <w:r w:rsidR="006900F4">
              <w:rPr>
                <w:noProof/>
                <w:webHidden/>
              </w:rPr>
              <w:fldChar w:fldCharType="separate"/>
            </w:r>
            <w:r w:rsidR="00392029">
              <w:rPr>
                <w:noProof/>
                <w:webHidden/>
              </w:rPr>
              <w:t>20</w:t>
            </w:r>
            <w:r w:rsidR="006900F4">
              <w:rPr>
                <w:noProof/>
                <w:webHidden/>
              </w:rPr>
              <w:fldChar w:fldCharType="end"/>
            </w:r>
          </w:hyperlink>
        </w:p>
        <w:p w14:paraId="3B1FE778" w14:textId="370D0943"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84" w:history="1">
            <w:r w:rsidR="006900F4" w:rsidRPr="00441A76">
              <w:rPr>
                <w:rStyle w:val="Hipercze"/>
                <w:b/>
                <w:noProof/>
              </w:rPr>
              <w:t>5.2.</w:t>
            </w:r>
            <w:r w:rsidR="006900F4">
              <w:rPr>
                <w:rFonts w:eastAsiaTheme="minorEastAsia"/>
                <w:noProof/>
                <w:kern w:val="2"/>
                <w:lang w:eastAsia="pl-PL"/>
                <w14:ligatures w14:val="standardContextual"/>
              </w:rPr>
              <w:tab/>
            </w:r>
            <w:r w:rsidR="006900F4" w:rsidRPr="00441A76">
              <w:rPr>
                <w:rStyle w:val="Hipercze"/>
                <w:b/>
                <w:noProof/>
              </w:rPr>
              <w:t xml:space="preserve">Zakres ubezpieczenia – </w:t>
            </w:r>
            <w:r w:rsidR="006900F4" w:rsidRPr="00441A76">
              <w:rPr>
                <w:rStyle w:val="Hipercze"/>
                <w:noProof/>
              </w:rPr>
              <w:t>Ubezpieczyciel ponosi odpowiedzialność w zakresie pełnym, z rozszerzeniem o ryzyko kradzieży i rabunku całego pojazdu lub jego części, w szczególności za:</w:t>
            </w:r>
            <w:r w:rsidR="006900F4">
              <w:rPr>
                <w:noProof/>
                <w:webHidden/>
              </w:rPr>
              <w:tab/>
            </w:r>
            <w:r w:rsidR="006900F4">
              <w:rPr>
                <w:noProof/>
                <w:webHidden/>
              </w:rPr>
              <w:fldChar w:fldCharType="begin"/>
            </w:r>
            <w:r w:rsidR="006900F4">
              <w:rPr>
                <w:noProof/>
                <w:webHidden/>
              </w:rPr>
              <w:instrText xml:space="preserve"> PAGEREF _Toc141097884 \h </w:instrText>
            </w:r>
            <w:r w:rsidR="006900F4">
              <w:rPr>
                <w:noProof/>
                <w:webHidden/>
              </w:rPr>
            </w:r>
            <w:r w:rsidR="006900F4">
              <w:rPr>
                <w:noProof/>
                <w:webHidden/>
              </w:rPr>
              <w:fldChar w:fldCharType="separate"/>
            </w:r>
            <w:r w:rsidR="00392029">
              <w:rPr>
                <w:noProof/>
                <w:webHidden/>
              </w:rPr>
              <w:t>20</w:t>
            </w:r>
            <w:r w:rsidR="006900F4">
              <w:rPr>
                <w:noProof/>
                <w:webHidden/>
              </w:rPr>
              <w:fldChar w:fldCharType="end"/>
            </w:r>
          </w:hyperlink>
        </w:p>
        <w:p w14:paraId="51FFABE7" w14:textId="65409C5C"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85" w:history="1">
            <w:r w:rsidR="006900F4" w:rsidRPr="00441A76">
              <w:rPr>
                <w:rStyle w:val="Hipercze"/>
                <w:b/>
                <w:noProof/>
              </w:rPr>
              <w:t>5.3.</w:t>
            </w:r>
            <w:r w:rsidR="006900F4">
              <w:rPr>
                <w:rFonts w:eastAsiaTheme="minorEastAsia"/>
                <w:noProof/>
                <w:kern w:val="2"/>
                <w:lang w:eastAsia="pl-PL"/>
                <w14:ligatures w14:val="standardContextual"/>
              </w:rPr>
              <w:tab/>
            </w:r>
            <w:r w:rsidR="006900F4" w:rsidRPr="00441A76">
              <w:rPr>
                <w:rStyle w:val="Hipercze"/>
                <w:b/>
                <w:noProof/>
              </w:rPr>
              <w:t>Warunki szczególne</w:t>
            </w:r>
            <w:r w:rsidR="006900F4">
              <w:rPr>
                <w:noProof/>
                <w:webHidden/>
              </w:rPr>
              <w:tab/>
            </w:r>
            <w:r w:rsidR="006900F4">
              <w:rPr>
                <w:noProof/>
                <w:webHidden/>
              </w:rPr>
              <w:fldChar w:fldCharType="begin"/>
            </w:r>
            <w:r w:rsidR="006900F4">
              <w:rPr>
                <w:noProof/>
                <w:webHidden/>
              </w:rPr>
              <w:instrText xml:space="preserve"> PAGEREF _Toc141097885 \h </w:instrText>
            </w:r>
            <w:r w:rsidR="006900F4">
              <w:rPr>
                <w:noProof/>
                <w:webHidden/>
              </w:rPr>
            </w:r>
            <w:r w:rsidR="006900F4">
              <w:rPr>
                <w:noProof/>
                <w:webHidden/>
              </w:rPr>
              <w:fldChar w:fldCharType="separate"/>
            </w:r>
            <w:r w:rsidR="00392029">
              <w:rPr>
                <w:noProof/>
                <w:webHidden/>
              </w:rPr>
              <w:t>21</w:t>
            </w:r>
            <w:r w:rsidR="006900F4">
              <w:rPr>
                <w:noProof/>
                <w:webHidden/>
              </w:rPr>
              <w:fldChar w:fldCharType="end"/>
            </w:r>
          </w:hyperlink>
        </w:p>
        <w:p w14:paraId="5872976E" w14:textId="010D15CC"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86" w:history="1">
            <w:r w:rsidR="006900F4" w:rsidRPr="00441A76">
              <w:rPr>
                <w:rStyle w:val="Hipercze"/>
                <w:b/>
                <w:noProof/>
              </w:rPr>
              <w:t>5.4.</w:t>
            </w:r>
            <w:r w:rsidR="006900F4">
              <w:rPr>
                <w:rFonts w:eastAsiaTheme="minorEastAsia"/>
                <w:noProof/>
                <w:kern w:val="2"/>
                <w:lang w:eastAsia="pl-PL"/>
                <w14:ligatures w14:val="standardContextual"/>
              </w:rPr>
              <w:tab/>
            </w:r>
            <w:r w:rsidR="006900F4" w:rsidRPr="00441A76">
              <w:rPr>
                <w:rStyle w:val="Hipercze"/>
                <w:b/>
                <w:noProof/>
              </w:rPr>
              <w:t>Suma ubezpieczenia</w:t>
            </w:r>
            <w:r w:rsidR="006900F4">
              <w:rPr>
                <w:noProof/>
                <w:webHidden/>
              </w:rPr>
              <w:tab/>
            </w:r>
            <w:r w:rsidR="006900F4">
              <w:rPr>
                <w:noProof/>
                <w:webHidden/>
              </w:rPr>
              <w:fldChar w:fldCharType="begin"/>
            </w:r>
            <w:r w:rsidR="006900F4">
              <w:rPr>
                <w:noProof/>
                <w:webHidden/>
              </w:rPr>
              <w:instrText xml:space="preserve"> PAGEREF _Toc141097886 \h </w:instrText>
            </w:r>
            <w:r w:rsidR="006900F4">
              <w:rPr>
                <w:noProof/>
                <w:webHidden/>
              </w:rPr>
            </w:r>
            <w:r w:rsidR="006900F4">
              <w:rPr>
                <w:noProof/>
                <w:webHidden/>
              </w:rPr>
              <w:fldChar w:fldCharType="separate"/>
            </w:r>
            <w:r w:rsidR="00392029">
              <w:rPr>
                <w:noProof/>
                <w:webHidden/>
              </w:rPr>
              <w:t>22</w:t>
            </w:r>
            <w:r w:rsidR="006900F4">
              <w:rPr>
                <w:noProof/>
                <w:webHidden/>
              </w:rPr>
              <w:fldChar w:fldCharType="end"/>
            </w:r>
          </w:hyperlink>
        </w:p>
        <w:p w14:paraId="3F2840FC" w14:textId="0D1F1753"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87" w:history="1">
            <w:r w:rsidR="006900F4" w:rsidRPr="00441A76">
              <w:rPr>
                <w:rStyle w:val="Hipercze"/>
                <w:b/>
                <w:noProof/>
              </w:rPr>
              <w:t>5.5.</w:t>
            </w:r>
            <w:r w:rsidR="006900F4">
              <w:rPr>
                <w:rFonts w:eastAsiaTheme="minorEastAsia"/>
                <w:noProof/>
                <w:kern w:val="2"/>
                <w:lang w:eastAsia="pl-PL"/>
                <w14:ligatures w14:val="standardContextual"/>
              </w:rPr>
              <w:tab/>
            </w:r>
            <w:r w:rsidR="006900F4" w:rsidRPr="00441A76">
              <w:rPr>
                <w:rStyle w:val="Hipercze"/>
                <w:b/>
                <w:noProof/>
              </w:rPr>
              <w:t>Likwidacja szkód</w:t>
            </w:r>
            <w:r w:rsidR="006900F4">
              <w:rPr>
                <w:noProof/>
                <w:webHidden/>
              </w:rPr>
              <w:tab/>
            </w:r>
            <w:r w:rsidR="006900F4">
              <w:rPr>
                <w:noProof/>
                <w:webHidden/>
              </w:rPr>
              <w:fldChar w:fldCharType="begin"/>
            </w:r>
            <w:r w:rsidR="006900F4">
              <w:rPr>
                <w:noProof/>
                <w:webHidden/>
              </w:rPr>
              <w:instrText xml:space="preserve"> PAGEREF _Toc141097887 \h </w:instrText>
            </w:r>
            <w:r w:rsidR="006900F4">
              <w:rPr>
                <w:noProof/>
                <w:webHidden/>
              </w:rPr>
            </w:r>
            <w:r w:rsidR="006900F4">
              <w:rPr>
                <w:noProof/>
                <w:webHidden/>
              </w:rPr>
              <w:fldChar w:fldCharType="separate"/>
            </w:r>
            <w:r w:rsidR="00392029">
              <w:rPr>
                <w:noProof/>
                <w:webHidden/>
              </w:rPr>
              <w:t>22</w:t>
            </w:r>
            <w:r w:rsidR="006900F4">
              <w:rPr>
                <w:noProof/>
                <w:webHidden/>
              </w:rPr>
              <w:fldChar w:fldCharType="end"/>
            </w:r>
          </w:hyperlink>
        </w:p>
        <w:p w14:paraId="0651DE37" w14:textId="186F7D14" w:rsidR="006900F4" w:rsidRDefault="006832FE">
          <w:pPr>
            <w:pStyle w:val="Spistreci3"/>
            <w:tabs>
              <w:tab w:val="left" w:pos="880"/>
              <w:tab w:val="right" w:leader="dot" w:pos="10052"/>
            </w:tabs>
            <w:rPr>
              <w:rFonts w:eastAsiaTheme="minorEastAsia"/>
              <w:noProof/>
              <w:kern w:val="2"/>
              <w:lang w:eastAsia="pl-PL"/>
              <w14:ligatures w14:val="standardContextual"/>
            </w:rPr>
          </w:pPr>
          <w:hyperlink w:anchor="_Toc141097888" w:history="1">
            <w:r w:rsidR="006900F4" w:rsidRPr="00441A76">
              <w:rPr>
                <w:rStyle w:val="Hipercze"/>
                <w:b/>
                <w:noProof/>
              </w:rPr>
              <w:t>6.</w:t>
            </w:r>
            <w:r w:rsidR="006900F4">
              <w:rPr>
                <w:rFonts w:eastAsiaTheme="minorEastAsia"/>
                <w:noProof/>
                <w:kern w:val="2"/>
                <w:lang w:eastAsia="pl-PL"/>
                <w14:ligatures w14:val="standardContextual"/>
              </w:rPr>
              <w:tab/>
            </w:r>
            <w:r w:rsidR="006900F4" w:rsidRPr="00441A76">
              <w:rPr>
                <w:rStyle w:val="Hipercze"/>
                <w:b/>
                <w:noProof/>
              </w:rPr>
              <w:t>Ubezpieczenie następstw nieszczęśliwych wypadków powstałych w związku z użytkowaniem pojazdów mechanicznych.</w:t>
            </w:r>
            <w:r w:rsidR="006900F4">
              <w:rPr>
                <w:noProof/>
                <w:webHidden/>
              </w:rPr>
              <w:tab/>
            </w:r>
            <w:r w:rsidR="006900F4">
              <w:rPr>
                <w:noProof/>
                <w:webHidden/>
              </w:rPr>
              <w:fldChar w:fldCharType="begin"/>
            </w:r>
            <w:r w:rsidR="006900F4">
              <w:rPr>
                <w:noProof/>
                <w:webHidden/>
              </w:rPr>
              <w:instrText xml:space="preserve"> PAGEREF _Toc141097888 \h </w:instrText>
            </w:r>
            <w:r w:rsidR="006900F4">
              <w:rPr>
                <w:noProof/>
                <w:webHidden/>
              </w:rPr>
            </w:r>
            <w:r w:rsidR="006900F4">
              <w:rPr>
                <w:noProof/>
                <w:webHidden/>
              </w:rPr>
              <w:fldChar w:fldCharType="separate"/>
            </w:r>
            <w:r w:rsidR="00392029">
              <w:rPr>
                <w:noProof/>
                <w:webHidden/>
              </w:rPr>
              <w:t>22</w:t>
            </w:r>
            <w:r w:rsidR="006900F4">
              <w:rPr>
                <w:noProof/>
                <w:webHidden/>
              </w:rPr>
              <w:fldChar w:fldCharType="end"/>
            </w:r>
          </w:hyperlink>
        </w:p>
        <w:p w14:paraId="0DC68F38" w14:textId="0682950B"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89" w:history="1">
            <w:r w:rsidR="006900F4" w:rsidRPr="00441A76">
              <w:rPr>
                <w:rStyle w:val="Hipercze"/>
                <w:b/>
                <w:noProof/>
              </w:rPr>
              <w:t>6.1.</w:t>
            </w:r>
            <w:r w:rsidR="006900F4">
              <w:rPr>
                <w:rFonts w:eastAsiaTheme="minorEastAsia"/>
                <w:noProof/>
                <w:kern w:val="2"/>
                <w:lang w:eastAsia="pl-PL"/>
                <w14:ligatures w14:val="standardContextual"/>
              </w:rPr>
              <w:tab/>
            </w:r>
            <w:r w:rsidR="006900F4" w:rsidRPr="00441A76">
              <w:rPr>
                <w:rStyle w:val="Hipercze"/>
                <w:b/>
                <w:noProof/>
              </w:rPr>
              <w:t>Zakres ubezpieczenia</w:t>
            </w:r>
            <w:r w:rsidR="006900F4">
              <w:rPr>
                <w:noProof/>
                <w:webHidden/>
              </w:rPr>
              <w:tab/>
            </w:r>
            <w:r w:rsidR="006900F4">
              <w:rPr>
                <w:noProof/>
                <w:webHidden/>
              </w:rPr>
              <w:fldChar w:fldCharType="begin"/>
            </w:r>
            <w:r w:rsidR="006900F4">
              <w:rPr>
                <w:noProof/>
                <w:webHidden/>
              </w:rPr>
              <w:instrText xml:space="preserve"> PAGEREF _Toc141097889 \h </w:instrText>
            </w:r>
            <w:r w:rsidR="006900F4">
              <w:rPr>
                <w:noProof/>
                <w:webHidden/>
              </w:rPr>
            </w:r>
            <w:r w:rsidR="006900F4">
              <w:rPr>
                <w:noProof/>
                <w:webHidden/>
              </w:rPr>
              <w:fldChar w:fldCharType="separate"/>
            </w:r>
            <w:r w:rsidR="00392029">
              <w:rPr>
                <w:noProof/>
                <w:webHidden/>
              </w:rPr>
              <w:t>22</w:t>
            </w:r>
            <w:r w:rsidR="006900F4">
              <w:rPr>
                <w:noProof/>
                <w:webHidden/>
              </w:rPr>
              <w:fldChar w:fldCharType="end"/>
            </w:r>
          </w:hyperlink>
        </w:p>
        <w:p w14:paraId="15710368" w14:textId="40C57D9C"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90" w:history="1">
            <w:r w:rsidR="006900F4" w:rsidRPr="00441A76">
              <w:rPr>
                <w:rStyle w:val="Hipercze"/>
                <w:b/>
                <w:noProof/>
              </w:rPr>
              <w:t>6.2.</w:t>
            </w:r>
            <w:r w:rsidR="006900F4">
              <w:rPr>
                <w:rFonts w:eastAsiaTheme="minorEastAsia"/>
                <w:noProof/>
                <w:kern w:val="2"/>
                <w:lang w:eastAsia="pl-PL"/>
                <w14:ligatures w14:val="standardContextual"/>
              </w:rPr>
              <w:tab/>
            </w:r>
            <w:r w:rsidR="006900F4" w:rsidRPr="00441A76">
              <w:rPr>
                <w:rStyle w:val="Hipercze"/>
                <w:b/>
                <w:noProof/>
              </w:rPr>
              <w:t>Suma ubezpieczenia</w:t>
            </w:r>
            <w:r w:rsidR="006900F4">
              <w:rPr>
                <w:noProof/>
                <w:webHidden/>
              </w:rPr>
              <w:tab/>
            </w:r>
            <w:r w:rsidR="006900F4">
              <w:rPr>
                <w:noProof/>
                <w:webHidden/>
              </w:rPr>
              <w:fldChar w:fldCharType="begin"/>
            </w:r>
            <w:r w:rsidR="006900F4">
              <w:rPr>
                <w:noProof/>
                <w:webHidden/>
              </w:rPr>
              <w:instrText xml:space="preserve"> PAGEREF _Toc141097890 \h </w:instrText>
            </w:r>
            <w:r w:rsidR="006900F4">
              <w:rPr>
                <w:noProof/>
                <w:webHidden/>
              </w:rPr>
            </w:r>
            <w:r w:rsidR="006900F4">
              <w:rPr>
                <w:noProof/>
                <w:webHidden/>
              </w:rPr>
              <w:fldChar w:fldCharType="separate"/>
            </w:r>
            <w:r w:rsidR="00392029">
              <w:rPr>
                <w:noProof/>
                <w:webHidden/>
              </w:rPr>
              <w:t>23</w:t>
            </w:r>
            <w:r w:rsidR="006900F4">
              <w:rPr>
                <w:noProof/>
                <w:webHidden/>
              </w:rPr>
              <w:fldChar w:fldCharType="end"/>
            </w:r>
          </w:hyperlink>
        </w:p>
        <w:p w14:paraId="2B9C58C4" w14:textId="45209489"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91" w:history="1">
            <w:r w:rsidR="006900F4" w:rsidRPr="00441A76">
              <w:rPr>
                <w:rStyle w:val="Hipercze"/>
                <w:b/>
                <w:noProof/>
              </w:rPr>
              <w:t>6.3.</w:t>
            </w:r>
            <w:r w:rsidR="006900F4">
              <w:rPr>
                <w:rFonts w:eastAsiaTheme="minorEastAsia"/>
                <w:noProof/>
                <w:kern w:val="2"/>
                <w:lang w:eastAsia="pl-PL"/>
                <w14:ligatures w14:val="standardContextual"/>
              </w:rPr>
              <w:tab/>
            </w:r>
            <w:r w:rsidR="006900F4" w:rsidRPr="00441A76">
              <w:rPr>
                <w:rStyle w:val="Hipercze"/>
                <w:b/>
                <w:noProof/>
              </w:rPr>
              <w:t xml:space="preserve">Zakres terytorialny ubezpieczenia: </w:t>
            </w:r>
            <w:r w:rsidR="006900F4" w:rsidRPr="00441A76">
              <w:rPr>
                <w:rStyle w:val="Hipercze"/>
                <w:bCs/>
                <w:noProof/>
              </w:rPr>
              <w:t xml:space="preserve"> RP i Europa</w:t>
            </w:r>
            <w:r w:rsidR="006900F4">
              <w:rPr>
                <w:noProof/>
                <w:webHidden/>
              </w:rPr>
              <w:tab/>
            </w:r>
            <w:r w:rsidR="006900F4">
              <w:rPr>
                <w:noProof/>
                <w:webHidden/>
              </w:rPr>
              <w:fldChar w:fldCharType="begin"/>
            </w:r>
            <w:r w:rsidR="006900F4">
              <w:rPr>
                <w:noProof/>
                <w:webHidden/>
              </w:rPr>
              <w:instrText xml:space="preserve"> PAGEREF _Toc141097891 \h </w:instrText>
            </w:r>
            <w:r w:rsidR="006900F4">
              <w:rPr>
                <w:noProof/>
                <w:webHidden/>
              </w:rPr>
            </w:r>
            <w:r w:rsidR="006900F4">
              <w:rPr>
                <w:noProof/>
                <w:webHidden/>
              </w:rPr>
              <w:fldChar w:fldCharType="separate"/>
            </w:r>
            <w:r w:rsidR="00392029">
              <w:rPr>
                <w:noProof/>
                <w:webHidden/>
              </w:rPr>
              <w:t>23</w:t>
            </w:r>
            <w:r w:rsidR="006900F4">
              <w:rPr>
                <w:noProof/>
                <w:webHidden/>
              </w:rPr>
              <w:fldChar w:fldCharType="end"/>
            </w:r>
          </w:hyperlink>
        </w:p>
        <w:p w14:paraId="28062295" w14:textId="2A3226F7" w:rsidR="006900F4" w:rsidRDefault="006832FE">
          <w:pPr>
            <w:pStyle w:val="Spistreci3"/>
            <w:tabs>
              <w:tab w:val="left" w:pos="880"/>
              <w:tab w:val="right" w:leader="dot" w:pos="10052"/>
            </w:tabs>
            <w:rPr>
              <w:rFonts w:eastAsiaTheme="minorEastAsia"/>
              <w:noProof/>
              <w:kern w:val="2"/>
              <w:lang w:eastAsia="pl-PL"/>
              <w14:ligatures w14:val="standardContextual"/>
            </w:rPr>
          </w:pPr>
          <w:hyperlink w:anchor="_Toc141097892" w:history="1">
            <w:r w:rsidR="006900F4" w:rsidRPr="00441A76">
              <w:rPr>
                <w:rStyle w:val="Hipercze"/>
                <w:b/>
                <w:noProof/>
              </w:rPr>
              <w:t>7.</w:t>
            </w:r>
            <w:r w:rsidR="006900F4">
              <w:rPr>
                <w:rFonts w:eastAsiaTheme="minorEastAsia"/>
                <w:noProof/>
                <w:kern w:val="2"/>
                <w:lang w:eastAsia="pl-PL"/>
                <w14:ligatures w14:val="standardContextual"/>
              </w:rPr>
              <w:tab/>
            </w:r>
            <w:r w:rsidR="006900F4" w:rsidRPr="00441A76">
              <w:rPr>
                <w:rStyle w:val="Hipercze"/>
                <w:b/>
                <w:noProof/>
              </w:rPr>
              <w:t>Ubezpieczenie Assistance</w:t>
            </w:r>
            <w:r w:rsidR="006900F4">
              <w:rPr>
                <w:noProof/>
                <w:webHidden/>
              </w:rPr>
              <w:tab/>
            </w:r>
            <w:r w:rsidR="006900F4">
              <w:rPr>
                <w:noProof/>
                <w:webHidden/>
              </w:rPr>
              <w:fldChar w:fldCharType="begin"/>
            </w:r>
            <w:r w:rsidR="006900F4">
              <w:rPr>
                <w:noProof/>
                <w:webHidden/>
              </w:rPr>
              <w:instrText xml:space="preserve"> PAGEREF _Toc141097892 \h </w:instrText>
            </w:r>
            <w:r w:rsidR="006900F4">
              <w:rPr>
                <w:noProof/>
                <w:webHidden/>
              </w:rPr>
            </w:r>
            <w:r w:rsidR="006900F4">
              <w:rPr>
                <w:noProof/>
                <w:webHidden/>
              </w:rPr>
              <w:fldChar w:fldCharType="separate"/>
            </w:r>
            <w:r w:rsidR="00392029">
              <w:rPr>
                <w:noProof/>
                <w:webHidden/>
              </w:rPr>
              <w:t>23</w:t>
            </w:r>
            <w:r w:rsidR="006900F4">
              <w:rPr>
                <w:noProof/>
                <w:webHidden/>
              </w:rPr>
              <w:fldChar w:fldCharType="end"/>
            </w:r>
          </w:hyperlink>
        </w:p>
        <w:p w14:paraId="0E697DA2" w14:textId="647611F8"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93" w:history="1">
            <w:r w:rsidR="006900F4" w:rsidRPr="00441A76">
              <w:rPr>
                <w:rStyle w:val="Hipercze"/>
                <w:b/>
                <w:noProof/>
              </w:rPr>
              <w:t>7.1.</w:t>
            </w:r>
            <w:r w:rsidR="006900F4">
              <w:rPr>
                <w:rFonts w:eastAsiaTheme="minorEastAsia"/>
                <w:noProof/>
                <w:kern w:val="2"/>
                <w:lang w:eastAsia="pl-PL"/>
                <w14:ligatures w14:val="standardContextual"/>
              </w:rPr>
              <w:tab/>
            </w:r>
            <w:r w:rsidR="006900F4" w:rsidRPr="00441A76">
              <w:rPr>
                <w:rStyle w:val="Hipercze"/>
                <w:b/>
                <w:noProof/>
              </w:rPr>
              <w:t>Zakres ubezpieczenia obejmuje interwencję w następstwie n/w zdarzeń:</w:t>
            </w:r>
            <w:r w:rsidR="006900F4">
              <w:rPr>
                <w:noProof/>
                <w:webHidden/>
              </w:rPr>
              <w:tab/>
            </w:r>
            <w:r w:rsidR="006900F4">
              <w:rPr>
                <w:noProof/>
                <w:webHidden/>
              </w:rPr>
              <w:fldChar w:fldCharType="begin"/>
            </w:r>
            <w:r w:rsidR="006900F4">
              <w:rPr>
                <w:noProof/>
                <w:webHidden/>
              </w:rPr>
              <w:instrText xml:space="preserve"> PAGEREF _Toc141097893 \h </w:instrText>
            </w:r>
            <w:r w:rsidR="006900F4">
              <w:rPr>
                <w:noProof/>
                <w:webHidden/>
              </w:rPr>
            </w:r>
            <w:r w:rsidR="006900F4">
              <w:rPr>
                <w:noProof/>
                <w:webHidden/>
              </w:rPr>
              <w:fldChar w:fldCharType="separate"/>
            </w:r>
            <w:r w:rsidR="00392029">
              <w:rPr>
                <w:noProof/>
                <w:webHidden/>
              </w:rPr>
              <w:t>23</w:t>
            </w:r>
            <w:r w:rsidR="006900F4">
              <w:rPr>
                <w:noProof/>
                <w:webHidden/>
              </w:rPr>
              <w:fldChar w:fldCharType="end"/>
            </w:r>
          </w:hyperlink>
        </w:p>
        <w:p w14:paraId="0005589E" w14:textId="2439050C"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94" w:history="1">
            <w:r w:rsidR="006900F4" w:rsidRPr="00441A76">
              <w:rPr>
                <w:rStyle w:val="Hipercze"/>
                <w:b/>
                <w:noProof/>
              </w:rPr>
              <w:t>7.2.</w:t>
            </w:r>
            <w:r w:rsidR="006900F4">
              <w:rPr>
                <w:rFonts w:eastAsiaTheme="minorEastAsia"/>
                <w:noProof/>
                <w:kern w:val="2"/>
                <w:lang w:eastAsia="pl-PL"/>
                <w14:ligatures w14:val="standardContextual"/>
              </w:rPr>
              <w:tab/>
            </w:r>
            <w:r w:rsidR="006900F4" w:rsidRPr="00441A76">
              <w:rPr>
                <w:rStyle w:val="Hipercze"/>
                <w:b/>
                <w:noProof/>
              </w:rPr>
              <w:t>Zakres usług</w:t>
            </w:r>
            <w:r w:rsidR="006900F4">
              <w:rPr>
                <w:noProof/>
                <w:webHidden/>
              </w:rPr>
              <w:tab/>
            </w:r>
            <w:r w:rsidR="006900F4">
              <w:rPr>
                <w:noProof/>
                <w:webHidden/>
              </w:rPr>
              <w:fldChar w:fldCharType="begin"/>
            </w:r>
            <w:r w:rsidR="006900F4">
              <w:rPr>
                <w:noProof/>
                <w:webHidden/>
              </w:rPr>
              <w:instrText xml:space="preserve"> PAGEREF _Toc141097894 \h </w:instrText>
            </w:r>
            <w:r w:rsidR="006900F4">
              <w:rPr>
                <w:noProof/>
                <w:webHidden/>
              </w:rPr>
            </w:r>
            <w:r w:rsidR="006900F4">
              <w:rPr>
                <w:noProof/>
                <w:webHidden/>
              </w:rPr>
              <w:fldChar w:fldCharType="separate"/>
            </w:r>
            <w:r w:rsidR="00392029">
              <w:rPr>
                <w:noProof/>
                <w:webHidden/>
              </w:rPr>
              <w:t>23</w:t>
            </w:r>
            <w:r w:rsidR="006900F4">
              <w:rPr>
                <w:noProof/>
                <w:webHidden/>
              </w:rPr>
              <w:fldChar w:fldCharType="end"/>
            </w:r>
          </w:hyperlink>
        </w:p>
        <w:p w14:paraId="682551AE" w14:textId="5F727D5B"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95" w:history="1">
            <w:r w:rsidR="006900F4" w:rsidRPr="00441A76">
              <w:rPr>
                <w:rStyle w:val="Hipercze"/>
                <w:b/>
                <w:noProof/>
              </w:rPr>
              <w:t>7.3.</w:t>
            </w:r>
            <w:r w:rsidR="006900F4">
              <w:rPr>
                <w:rFonts w:eastAsiaTheme="minorEastAsia"/>
                <w:noProof/>
                <w:kern w:val="2"/>
                <w:lang w:eastAsia="pl-PL"/>
                <w14:ligatures w14:val="standardContextual"/>
              </w:rPr>
              <w:tab/>
            </w:r>
            <w:r w:rsidR="006900F4" w:rsidRPr="00441A76">
              <w:rPr>
                <w:rStyle w:val="Hipercze"/>
                <w:b/>
                <w:noProof/>
              </w:rPr>
              <w:t>Zakres terytorialny</w:t>
            </w:r>
            <w:r w:rsidR="006900F4">
              <w:rPr>
                <w:noProof/>
                <w:webHidden/>
              </w:rPr>
              <w:tab/>
            </w:r>
            <w:r w:rsidR="006900F4">
              <w:rPr>
                <w:noProof/>
                <w:webHidden/>
              </w:rPr>
              <w:fldChar w:fldCharType="begin"/>
            </w:r>
            <w:r w:rsidR="006900F4">
              <w:rPr>
                <w:noProof/>
                <w:webHidden/>
              </w:rPr>
              <w:instrText xml:space="preserve"> PAGEREF _Toc141097895 \h </w:instrText>
            </w:r>
            <w:r w:rsidR="006900F4">
              <w:rPr>
                <w:noProof/>
                <w:webHidden/>
              </w:rPr>
            </w:r>
            <w:r w:rsidR="006900F4">
              <w:rPr>
                <w:noProof/>
                <w:webHidden/>
              </w:rPr>
              <w:fldChar w:fldCharType="separate"/>
            </w:r>
            <w:r w:rsidR="00392029">
              <w:rPr>
                <w:noProof/>
                <w:webHidden/>
              </w:rPr>
              <w:t>23</w:t>
            </w:r>
            <w:r w:rsidR="006900F4">
              <w:rPr>
                <w:noProof/>
                <w:webHidden/>
              </w:rPr>
              <w:fldChar w:fldCharType="end"/>
            </w:r>
          </w:hyperlink>
        </w:p>
        <w:p w14:paraId="7ABB6776" w14:textId="1CE1F48A"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96" w:history="1">
            <w:r w:rsidR="006900F4" w:rsidRPr="00441A76">
              <w:rPr>
                <w:rStyle w:val="Hipercze"/>
                <w:b/>
                <w:noProof/>
              </w:rPr>
              <w:t>7.4.</w:t>
            </w:r>
            <w:r w:rsidR="006900F4">
              <w:rPr>
                <w:rFonts w:eastAsiaTheme="minorEastAsia"/>
                <w:noProof/>
                <w:kern w:val="2"/>
                <w:lang w:eastAsia="pl-PL"/>
                <w14:ligatures w14:val="standardContextual"/>
              </w:rPr>
              <w:tab/>
            </w:r>
            <w:r w:rsidR="006900F4" w:rsidRPr="00441A76">
              <w:rPr>
                <w:rStyle w:val="Hipercze"/>
                <w:b/>
                <w:noProof/>
              </w:rPr>
              <w:t>Limit odpowiedzialności</w:t>
            </w:r>
            <w:r w:rsidR="006900F4">
              <w:rPr>
                <w:noProof/>
                <w:webHidden/>
              </w:rPr>
              <w:tab/>
            </w:r>
            <w:r w:rsidR="006900F4">
              <w:rPr>
                <w:noProof/>
                <w:webHidden/>
              </w:rPr>
              <w:fldChar w:fldCharType="begin"/>
            </w:r>
            <w:r w:rsidR="006900F4">
              <w:rPr>
                <w:noProof/>
                <w:webHidden/>
              </w:rPr>
              <w:instrText xml:space="preserve"> PAGEREF _Toc141097896 \h </w:instrText>
            </w:r>
            <w:r w:rsidR="006900F4">
              <w:rPr>
                <w:noProof/>
                <w:webHidden/>
              </w:rPr>
            </w:r>
            <w:r w:rsidR="006900F4">
              <w:rPr>
                <w:noProof/>
                <w:webHidden/>
              </w:rPr>
              <w:fldChar w:fldCharType="separate"/>
            </w:r>
            <w:r w:rsidR="00392029">
              <w:rPr>
                <w:noProof/>
                <w:webHidden/>
              </w:rPr>
              <w:t>24</w:t>
            </w:r>
            <w:r w:rsidR="006900F4">
              <w:rPr>
                <w:noProof/>
                <w:webHidden/>
              </w:rPr>
              <w:fldChar w:fldCharType="end"/>
            </w:r>
          </w:hyperlink>
        </w:p>
        <w:p w14:paraId="027D0D1C" w14:textId="76B83203" w:rsidR="006900F4" w:rsidRDefault="006832FE">
          <w:pPr>
            <w:pStyle w:val="Spistreci3"/>
            <w:tabs>
              <w:tab w:val="left" w:pos="1100"/>
              <w:tab w:val="right" w:leader="dot" w:pos="10052"/>
            </w:tabs>
            <w:rPr>
              <w:rFonts w:eastAsiaTheme="minorEastAsia"/>
              <w:noProof/>
              <w:kern w:val="2"/>
              <w:lang w:eastAsia="pl-PL"/>
              <w14:ligatures w14:val="standardContextual"/>
            </w:rPr>
          </w:pPr>
          <w:hyperlink w:anchor="_Toc141097897" w:history="1">
            <w:r w:rsidR="006900F4" w:rsidRPr="00441A76">
              <w:rPr>
                <w:rStyle w:val="Hipercze"/>
                <w:b/>
                <w:noProof/>
              </w:rPr>
              <w:t>7.5.</w:t>
            </w:r>
            <w:r w:rsidR="006900F4">
              <w:rPr>
                <w:rFonts w:eastAsiaTheme="minorEastAsia"/>
                <w:noProof/>
                <w:kern w:val="2"/>
                <w:lang w:eastAsia="pl-PL"/>
                <w14:ligatures w14:val="standardContextual"/>
              </w:rPr>
              <w:tab/>
            </w:r>
            <w:r w:rsidR="006900F4" w:rsidRPr="00441A76">
              <w:rPr>
                <w:rStyle w:val="Hipercze"/>
                <w:b/>
                <w:noProof/>
              </w:rPr>
              <w:t>Franszyzy i udziały własne</w:t>
            </w:r>
            <w:r w:rsidR="006900F4">
              <w:rPr>
                <w:noProof/>
                <w:webHidden/>
              </w:rPr>
              <w:tab/>
            </w:r>
            <w:r w:rsidR="006900F4">
              <w:rPr>
                <w:noProof/>
                <w:webHidden/>
              </w:rPr>
              <w:fldChar w:fldCharType="begin"/>
            </w:r>
            <w:r w:rsidR="006900F4">
              <w:rPr>
                <w:noProof/>
                <w:webHidden/>
              </w:rPr>
              <w:instrText xml:space="preserve"> PAGEREF _Toc141097897 \h </w:instrText>
            </w:r>
            <w:r w:rsidR="006900F4">
              <w:rPr>
                <w:noProof/>
                <w:webHidden/>
              </w:rPr>
            </w:r>
            <w:r w:rsidR="006900F4">
              <w:rPr>
                <w:noProof/>
                <w:webHidden/>
              </w:rPr>
              <w:fldChar w:fldCharType="separate"/>
            </w:r>
            <w:r w:rsidR="00392029">
              <w:rPr>
                <w:noProof/>
                <w:webHidden/>
              </w:rPr>
              <w:t>24</w:t>
            </w:r>
            <w:r w:rsidR="006900F4">
              <w:rPr>
                <w:noProof/>
                <w:webHidden/>
              </w:rPr>
              <w:fldChar w:fldCharType="end"/>
            </w:r>
          </w:hyperlink>
        </w:p>
        <w:p w14:paraId="126CACBD" w14:textId="6D4032E4" w:rsidR="006900F4" w:rsidRDefault="006832FE">
          <w:pPr>
            <w:pStyle w:val="Spistreci3"/>
            <w:tabs>
              <w:tab w:val="left" w:pos="880"/>
              <w:tab w:val="right" w:leader="dot" w:pos="10052"/>
            </w:tabs>
            <w:rPr>
              <w:rFonts w:eastAsiaTheme="minorEastAsia"/>
              <w:noProof/>
              <w:kern w:val="2"/>
              <w:lang w:eastAsia="pl-PL"/>
              <w14:ligatures w14:val="standardContextual"/>
            </w:rPr>
          </w:pPr>
          <w:hyperlink w:anchor="_Toc141097898" w:history="1">
            <w:r w:rsidR="006900F4" w:rsidRPr="00441A76">
              <w:rPr>
                <w:rStyle w:val="Hipercze"/>
                <w:b/>
                <w:noProof/>
              </w:rPr>
              <w:t>8.</w:t>
            </w:r>
            <w:r w:rsidR="006900F4">
              <w:rPr>
                <w:rFonts w:eastAsiaTheme="minorEastAsia"/>
                <w:noProof/>
                <w:kern w:val="2"/>
                <w:lang w:eastAsia="pl-PL"/>
                <w14:ligatures w14:val="standardContextual"/>
              </w:rPr>
              <w:tab/>
            </w:r>
            <w:r w:rsidR="006900F4" w:rsidRPr="00441A76">
              <w:rPr>
                <w:rStyle w:val="Hipercze"/>
                <w:b/>
                <w:noProof/>
              </w:rPr>
              <w:t>Klauzule dotyczące ubezpieczeń komunikacyjnych</w:t>
            </w:r>
            <w:r w:rsidR="006900F4">
              <w:rPr>
                <w:noProof/>
                <w:webHidden/>
              </w:rPr>
              <w:tab/>
            </w:r>
            <w:r w:rsidR="006900F4">
              <w:rPr>
                <w:noProof/>
                <w:webHidden/>
              </w:rPr>
              <w:fldChar w:fldCharType="begin"/>
            </w:r>
            <w:r w:rsidR="006900F4">
              <w:rPr>
                <w:noProof/>
                <w:webHidden/>
              </w:rPr>
              <w:instrText xml:space="preserve"> PAGEREF _Toc141097898 \h </w:instrText>
            </w:r>
            <w:r w:rsidR="006900F4">
              <w:rPr>
                <w:noProof/>
                <w:webHidden/>
              </w:rPr>
            </w:r>
            <w:r w:rsidR="006900F4">
              <w:rPr>
                <w:noProof/>
                <w:webHidden/>
              </w:rPr>
              <w:fldChar w:fldCharType="separate"/>
            </w:r>
            <w:r w:rsidR="00392029">
              <w:rPr>
                <w:noProof/>
                <w:webHidden/>
              </w:rPr>
              <w:t>24</w:t>
            </w:r>
            <w:r w:rsidR="006900F4">
              <w:rPr>
                <w:noProof/>
                <w:webHidden/>
              </w:rPr>
              <w:fldChar w:fldCharType="end"/>
            </w:r>
          </w:hyperlink>
        </w:p>
        <w:p w14:paraId="6E2B7FAA" w14:textId="731825ED" w:rsidR="006900F4" w:rsidRDefault="006832FE">
          <w:pPr>
            <w:pStyle w:val="Spistreci2"/>
            <w:tabs>
              <w:tab w:val="right" w:leader="dot" w:pos="10052"/>
            </w:tabs>
            <w:rPr>
              <w:rFonts w:eastAsiaTheme="minorEastAsia"/>
              <w:noProof/>
              <w:kern w:val="2"/>
              <w:lang w:eastAsia="pl-PL"/>
              <w14:ligatures w14:val="standardContextual"/>
            </w:rPr>
          </w:pPr>
          <w:hyperlink w:anchor="_Toc141097899" w:history="1">
            <w:r w:rsidR="006900F4" w:rsidRPr="00441A76">
              <w:rPr>
                <w:rStyle w:val="Hipercze"/>
                <w:noProof/>
              </w:rPr>
              <w:t>Wykaz załączników</w:t>
            </w:r>
            <w:r w:rsidR="006900F4">
              <w:rPr>
                <w:noProof/>
                <w:webHidden/>
              </w:rPr>
              <w:tab/>
            </w:r>
            <w:r w:rsidR="006900F4">
              <w:rPr>
                <w:noProof/>
                <w:webHidden/>
              </w:rPr>
              <w:fldChar w:fldCharType="begin"/>
            </w:r>
            <w:r w:rsidR="006900F4">
              <w:rPr>
                <w:noProof/>
                <w:webHidden/>
              </w:rPr>
              <w:instrText xml:space="preserve"> PAGEREF _Toc141097899 \h </w:instrText>
            </w:r>
            <w:r w:rsidR="006900F4">
              <w:rPr>
                <w:noProof/>
                <w:webHidden/>
              </w:rPr>
            </w:r>
            <w:r w:rsidR="006900F4">
              <w:rPr>
                <w:noProof/>
                <w:webHidden/>
              </w:rPr>
              <w:fldChar w:fldCharType="separate"/>
            </w:r>
            <w:r w:rsidR="00392029">
              <w:rPr>
                <w:noProof/>
                <w:webHidden/>
              </w:rPr>
              <w:t>25</w:t>
            </w:r>
            <w:r w:rsidR="006900F4">
              <w:rPr>
                <w:noProof/>
                <w:webHidden/>
              </w:rPr>
              <w:fldChar w:fldCharType="end"/>
            </w:r>
          </w:hyperlink>
        </w:p>
        <w:p w14:paraId="7ABF6BAF" w14:textId="15CD85A9" w:rsidR="00170B04" w:rsidRDefault="00170B04">
          <w:r>
            <w:rPr>
              <w:b/>
              <w:bCs/>
            </w:rPr>
            <w:fldChar w:fldCharType="end"/>
          </w:r>
        </w:p>
      </w:sdtContent>
    </w:sdt>
    <w:p w14:paraId="103D8D1C" w14:textId="245B2492" w:rsidR="00170B04" w:rsidRDefault="00170B04">
      <w:pPr>
        <w:rPr>
          <w:rFonts w:asciiTheme="majorHAnsi" w:eastAsiaTheme="majorEastAsia" w:hAnsiTheme="majorHAnsi" w:cstheme="majorBidi"/>
          <w:b/>
          <w:bCs/>
          <w:color w:val="4F81BD" w:themeColor="accent1"/>
          <w:sz w:val="26"/>
          <w:szCs w:val="26"/>
        </w:rPr>
      </w:pPr>
      <w:r>
        <w:br w:type="page"/>
      </w:r>
    </w:p>
    <w:p w14:paraId="4AF12900" w14:textId="4247DDAB" w:rsidR="00822EC9" w:rsidRPr="00822EC9" w:rsidRDefault="008E38C5" w:rsidP="00093D9A">
      <w:pPr>
        <w:pStyle w:val="Nagwek2"/>
      </w:pPr>
      <w:bookmarkStart w:id="0" w:name="_Toc141097848"/>
      <w:r>
        <w:lastRenderedPageBreak/>
        <w:t xml:space="preserve">Rozdział 1 – </w:t>
      </w:r>
      <w:r w:rsidR="00F937D3">
        <w:t>Przedmiot zamówienia obejmuje</w:t>
      </w:r>
      <w:bookmarkEnd w:id="0"/>
    </w:p>
    <w:p w14:paraId="20BEBC5E" w14:textId="77777777" w:rsidR="008E38C5" w:rsidRPr="000F6903" w:rsidRDefault="00350845" w:rsidP="00093D9A">
      <w:pPr>
        <w:pStyle w:val="2poziomELO"/>
        <w:numPr>
          <w:ilvl w:val="0"/>
          <w:numId w:val="0"/>
        </w:numPr>
        <w:ind w:left="644" w:hanging="360"/>
      </w:pPr>
      <w:r w:rsidRPr="000F6903">
        <w:t>W skład ubezpieczeń będących przedmiotem zamówienia wchodzą:</w:t>
      </w:r>
    </w:p>
    <w:p w14:paraId="7081B75C" w14:textId="0B38961D" w:rsidR="003B3D06" w:rsidRDefault="009A07C2" w:rsidP="00093D9A">
      <w:pPr>
        <w:pStyle w:val="2poziomELO"/>
      </w:pPr>
      <w:r w:rsidRPr="003B3D06">
        <w:rPr>
          <w:b/>
          <w:bCs/>
        </w:rPr>
        <w:t xml:space="preserve">Zadanie (część) </w:t>
      </w:r>
      <w:r w:rsidR="00C45BA6">
        <w:rPr>
          <w:b/>
          <w:bCs/>
        </w:rPr>
        <w:t>1</w:t>
      </w:r>
      <w:r>
        <w:t xml:space="preserve">: </w:t>
      </w:r>
      <w:r w:rsidR="003B3D06" w:rsidRPr="003B3D06">
        <w:rPr>
          <w:b/>
          <w:bCs/>
        </w:rPr>
        <w:t>Ubezpieczenie Odpowiedzialności Cywilnej</w:t>
      </w:r>
      <w:r w:rsidR="003B3D06">
        <w:t xml:space="preserve"> z tytułu prowadzenia działalności i posiadania mienia </w:t>
      </w:r>
    </w:p>
    <w:p w14:paraId="3B6432CB" w14:textId="7674DACE" w:rsidR="001202B8" w:rsidRPr="00093D9A" w:rsidRDefault="003B3D06" w:rsidP="00093D9A">
      <w:pPr>
        <w:pStyle w:val="2poziomELO"/>
        <w:rPr>
          <w:b/>
          <w:bCs/>
        </w:rPr>
      </w:pPr>
      <w:r w:rsidRPr="00093D9A">
        <w:rPr>
          <w:b/>
          <w:bCs/>
        </w:rPr>
        <w:t xml:space="preserve">Zadanie (część) </w:t>
      </w:r>
      <w:r w:rsidR="00C45BA6">
        <w:rPr>
          <w:b/>
          <w:bCs/>
        </w:rPr>
        <w:t>2</w:t>
      </w:r>
      <w:r w:rsidRPr="00093D9A">
        <w:rPr>
          <w:b/>
          <w:bCs/>
        </w:rPr>
        <w:t xml:space="preserve">: </w:t>
      </w:r>
      <w:r w:rsidR="009A07C2" w:rsidRPr="00093D9A">
        <w:rPr>
          <w:b/>
          <w:bCs/>
        </w:rPr>
        <w:t>Ubezpieczenie komunikacyjne obejmujące:</w:t>
      </w:r>
    </w:p>
    <w:p w14:paraId="0DFD5EA8" w14:textId="77777777" w:rsidR="000A60EF" w:rsidRPr="00AF4AD8" w:rsidRDefault="000A60EF" w:rsidP="002A2BE7">
      <w:pPr>
        <w:pStyle w:val="3poziomELO"/>
        <w:numPr>
          <w:ilvl w:val="0"/>
          <w:numId w:val="21"/>
        </w:numPr>
        <w:spacing w:after="0"/>
        <w:ind w:left="992"/>
        <w:jc w:val="both"/>
      </w:pPr>
      <w:r w:rsidRPr="006768D2">
        <w:t xml:space="preserve">Odpowiedzialność cywilną posiadacza pojazdów mechanicznych zgodnie z Ustawą z dnia 22 maja 2003r. o ubezpieczeniach obowiązkowych, UFG i </w:t>
      </w:r>
      <w:proofErr w:type="spellStart"/>
      <w:r w:rsidRPr="006768D2">
        <w:t>PBUiK</w:t>
      </w:r>
      <w:proofErr w:type="spellEnd"/>
      <w:r w:rsidR="003B3D06">
        <w:t xml:space="preserve">, </w:t>
      </w:r>
    </w:p>
    <w:p w14:paraId="4C24FC64" w14:textId="77777777" w:rsidR="006768D2" w:rsidRPr="006768D2" w:rsidRDefault="000A60EF" w:rsidP="002A2BE7">
      <w:pPr>
        <w:pStyle w:val="3poziomELO"/>
        <w:numPr>
          <w:ilvl w:val="0"/>
          <w:numId w:val="21"/>
        </w:numPr>
        <w:spacing w:after="0"/>
        <w:jc w:val="both"/>
      </w:pPr>
      <w:bookmarkStart w:id="1" w:name="_Hlk137148980"/>
      <w:r w:rsidRPr="006768D2">
        <w:t xml:space="preserve">Ubezpieczenie </w:t>
      </w:r>
      <w:r w:rsidR="006768D2" w:rsidRPr="006768D2">
        <w:t>odpowiedzialności cywilnej posiadacza pojazdu mechanicznego w ruchu zagranicznym (Zielona Karta),</w:t>
      </w:r>
    </w:p>
    <w:bookmarkEnd w:id="1"/>
    <w:p w14:paraId="41F36C5C" w14:textId="77777777" w:rsidR="006768D2" w:rsidRPr="006768D2" w:rsidRDefault="000A60EF" w:rsidP="002A2BE7">
      <w:pPr>
        <w:pStyle w:val="3poziomELO"/>
        <w:numPr>
          <w:ilvl w:val="0"/>
          <w:numId w:val="21"/>
        </w:numPr>
        <w:spacing w:after="0"/>
        <w:jc w:val="both"/>
      </w:pPr>
      <w:r w:rsidRPr="006768D2">
        <w:t xml:space="preserve">Ubezpieczenie </w:t>
      </w:r>
      <w:r w:rsidR="003B3D06">
        <w:t xml:space="preserve">szkód w pojazdach od wszystkich </w:t>
      </w:r>
      <w:proofErr w:type="spellStart"/>
      <w:r w:rsidR="003B3D06">
        <w:t>ryzyk</w:t>
      </w:r>
      <w:proofErr w:type="spellEnd"/>
      <w:r w:rsidR="003B3D06">
        <w:t xml:space="preserve"> (</w:t>
      </w:r>
      <w:r w:rsidRPr="006768D2">
        <w:t>auto-casco</w:t>
      </w:r>
      <w:r w:rsidR="003B3D06">
        <w:t>),</w:t>
      </w:r>
    </w:p>
    <w:p w14:paraId="3290CBB5" w14:textId="77777777" w:rsidR="00AD37BC" w:rsidRPr="00AF4AD8" w:rsidRDefault="000A60EF" w:rsidP="002A2BE7">
      <w:pPr>
        <w:pStyle w:val="3poziomELO"/>
        <w:numPr>
          <w:ilvl w:val="0"/>
          <w:numId w:val="21"/>
        </w:numPr>
        <w:spacing w:after="0"/>
        <w:jc w:val="both"/>
      </w:pPr>
      <w:r w:rsidRPr="006768D2">
        <w:t xml:space="preserve">Ubezpieczenie następstw nieszczęśliwych wypadków kierowców i pasażerów </w:t>
      </w:r>
      <w:r w:rsidR="00AD37BC">
        <w:t xml:space="preserve">powstałych </w:t>
      </w:r>
      <w:r w:rsidR="003B3D06">
        <w:t>w związku z ruchem pojazdów mechanicznych,</w:t>
      </w:r>
    </w:p>
    <w:p w14:paraId="77E3A0C3" w14:textId="77777777" w:rsidR="000A60EF" w:rsidRPr="00AF4AD8" w:rsidRDefault="00E22E17" w:rsidP="002A2BE7">
      <w:pPr>
        <w:pStyle w:val="3poziomELO"/>
        <w:numPr>
          <w:ilvl w:val="0"/>
          <w:numId w:val="21"/>
        </w:numPr>
        <w:spacing w:after="0"/>
        <w:jc w:val="both"/>
      </w:pPr>
      <w:r>
        <w:t xml:space="preserve">Ubezpieczenie </w:t>
      </w:r>
      <w:r w:rsidR="003B3D06">
        <w:t xml:space="preserve">kosztów pomocy w podróży </w:t>
      </w:r>
      <w:r>
        <w:t>assistance.</w:t>
      </w:r>
    </w:p>
    <w:p w14:paraId="729B5A03" w14:textId="77777777" w:rsidR="00FF4B1F" w:rsidRDefault="00FF4B1F" w:rsidP="00FF4B1F">
      <w:pPr>
        <w:pStyle w:val="3poziomELO"/>
        <w:numPr>
          <w:ilvl w:val="0"/>
          <w:numId w:val="0"/>
        </w:numPr>
        <w:tabs>
          <w:tab w:val="left" w:pos="1134"/>
        </w:tabs>
        <w:spacing w:after="0"/>
        <w:ind w:left="1428"/>
        <w:rPr>
          <w:color w:val="FF0000"/>
        </w:rPr>
      </w:pPr>
    </w:p>
    <w:p w14:paraId="4CD92AFC" w14:textId="77777777" w:rsidR="003B3D06" w:rsidRDefault="003B3D06">
      <w:r>
        <w:br w:type="page"/>
      </w:r>
    </w:p>
    <w:p w14:paraId="2EA06E08" w14:textId="77777777" w:rsidR="00F937D3" w:rsidRDefault="00F937D3" w:rsidP="00F937D3">
      <w:pPr>
        <w:pStyle w:val="Nagwek2"/>
      </w:pPr>
      <w:bookmarkStart w:id="2" w:name="_Toc141097849"/>
      <w:r>
        <w:lastRenderedPageBreak/>
        <w:t>Rozdział 2 – Informacje ogólne o zamawiającym oraz informacje niezbędne do złożenia oferty</w:t>
      </w:r>
      <w:bookmarkEnd w:id="2"/>
    </w:p>
    <w:p w14:paraId="3D86B8BA" w14:textId="77777777" w:rsidR="00F937D3" w:rsidRPr="00DD1335" w:rsidRDefault="00F937D3" w:rsidP="002A2BE7">
      <w:pPr>
        <w:pStyle w:val="2poziomELO"/>
        <w:numPr>
          <w:ilvl w:val="0"/>
          <w:numId w:val="42"/>
        </w:numPr>
        <w:jc w:val="both"/>
        <w:outlineLvl w:val="2"/>
        <w:rPr>
          <w:b/>
        </w:rPr>
      </w:pPr>
      <w:bookmarkStart w:id="3" w:name="_Toc141097850"/>
      <w:r w:rsidRPr="00DD1335">
        <w:rPr>
          <w:b/>
        </w:rPr>
        <w:t>Zamawiający:</w:t>
      </w:r>
      <w:bookmarkEnd w:id="3"/>
    </w:p>
    <w:p w14:paraId="51AAF59F" w14:textId="77777777" w:rsidR="004100DF" w:rsidRDefault="00F937D3" w:rsidP="006E7B8B">
      <w:pPr>
        <w:pStyle w:val="Akapitzlist"/>
        <w:numPr>
          <w:ilvl w:val="0"/>
          <w:numId w:val="2"/>
        </w:numPr>
        <w:spacing w:after="0"/>
        <w:ind w:left="1080"/>
      </w:pPr>
      <w:r>
        <w:t xml:space="preserve">Pełna nazwa: </w:t>
      </w:r>
      <w:r w:rsidRPr="004100DF">
        <w:rPr>
          <w:b/>
        </w:rPr>
        <w:t>Sieć Badawcza Łukasiewicz – Górnośląski Instytut Technologiczny, instytut działający w Sieci Badawczej Łukasiewicz</w:t>
      </w:r>
      <w:r>
        <w:t xml:space="preserve"> </w:t>
      </w:r>
    </w:p>
    <w:p w14:paraId="0FE8473C" w14:textId="01BD2E6E" w:rsidR="00F937D3" w:rsidRDefault="00F937D3" w:rsidP="004100DF">
      <w:pPr>
        <w:pStyle w:val="Akapitzlist"/>
        <w:spacing w:after="0"/>
        <w:ind w:left="1080"/>
      </w:pPr>
      <w:bookmarkStart w:id="4" w:name="_Hlk141095445"/>
      <w:r>
        <w:t xml:space="preserve">Dokładny adres siedziby: </w:t>
      </w:r>
      <w:r w:rsidRPr="004100DF">
        <w:rPr>
          <w:b/>
        </w:rPr>
        <w:t>44-100 Gliwice, ul. Karola Miarki 12-14</w:t>
      </w:r>
    </w:p>
    <w:p w14:paraId="5D0187F6" w14:textId="77777777" w:rsidR="00F937D3" w:rsidRDefault="00F937D3" w:rsidP="00C562D4">
      <w:pPr>
        <w:spacing w:after="0"/>
        <w:ind w:left="1080"/>
      </w:pPr>
      <w:r>
        <w:t xml:space="preserve">Telefon/Fax:  </w:t>
      </w:r>
      <w:proofErr w:type="spellStart"/>
      <w:r w:rsidRPr="00C562D4">
        <w:rPr>
          <w:b/>
        </w:rPr>
        <w:t>tel</w:t>
      </w:r>
      <w:proofErr w:type="spellEnd"/>
      <w:r w:rsidRPr="00C562D4">
        <w:rPr>
          <w:b/>
        </w:rPr>
        <w:t>: (32) 23 45 205, fax.: (32) 23 45 300</w:t>
      </w:r>
    </w:p>
    <w:p w14:paraId="1EC9C6EE" w14:textId="789A266D" w:rsidR="00F937D3" w:rsidRPr="00193B3B" w:rsidRDefault="00F937D3" w:rsidP="00C562D4">
      <w:pPr>
        <w:spacing w:after="0"/>
        <w:ind w:left="1080"/>
        <w:rPr>
          <w:lang w:val="en-AU"/>
        </w:rPr>
      </w:pPr>
      <w:proofErr w:type="spellStart"/>
      <w:r w:rsidRPr="00193B3B">
        <w:rPr>
          <w:lang w:val="en-AU"/>
        </w:rPr>
        <w:t>Numer</w:t>
      </w:r>
      <w:proofErr w:type="spellEnd"/>
      <w:r w:rsidRPr="00193B3B">
        <w:rPr>
          <w:lang w:val="en-AU"/>
        </w:rPr>
        <w:t xml:space="preserve"> NIP: </w:t>
      </w:r>
      <w:r w:rsidR="00C12CC0" w:rsidRPr="00193B3B">
        <w:rPr>
          <w:lang w:val="en-AU"/>
        </w:rPr>
        <w:t>6312691891</w:t>
      </w:r>
    </w:p>
    <w:p w14:paraId="3DE154C7" w14:textId="77777777" w:rsidR="00F937D3" w:rsidRPr="00193B3B" w:rsidRDefault="00F937D3" w:rsidP="00C562D4">
      <w:pPr>
        <w:spacing w:after="0"/>
        <w:ind w:left="1080"/>
        <w:rPr>
          <w:lang w:val="en-AU"/>
        </w:rPr>
      </w:pPr>
      <w:proofErr w:type="spellStart"/>
      <w:r w:rsidRPr="00193B3B">
        <w:rPr>
          <w:lang w:val="en-AU"/>
        </w:rPr>
        <w:t>Numer</w:t>
      </w:r>
      <w:proofErr w:type="spellEnd"/>
      <w:r w:rsidRPr="00193B3B">
        <w:rPr>
          <w:lang w:val="en-AU"/>
        </w:rPr>
        <w:t xml:space="preserve"> </w:t>
      </w:r>
      <w:proofErr w:type="spellStart"/>
      <w:r w:rsidRPr="00193B3B">
        <w:rPr>
          <w:lang w:val="en-AU"/>
        </w:rPr>
        <w:t>Regon</w:t>
      </w:r>
      <w:proofErr w:type="spellEnd"/>
      <w:r w:rsidRPr="00193B3B">
        <w:rPr>
          <w:lang w:val="en-AU"/>
        </w:rPr>
        <w:t xml:space="preserve">: </w:t>
      </w:r>
      <w:r w:rsidRPr="00193B3B">
        <w:rPr>
          <w:b/>
          <w:lang w:val="en-AU"/>
        </w:rPr>
        <w:t>000026867</w:t>
      </w:r>
    </w:p>
    <w:p w14:paraId="087E389A" w14:textId="4CC109E0" w:rsidR="00F937D3" w:rsidRPr="00193B3B" w:rsidRDefault="00F937D3" w:rsidP="00C562D4">
      <w:pPr>
        <w:spacing w:after="0"/>
        <w:ind w:left="1080"/>
        <w:rPr>
          <w:lang w:val="en-AU"/>
        </w:rPr>
      </w:pPr>
      <w:proofErr w:type="spellStart"/>
      <w:r w:rsidRPr="00193B3B">
        <w:rPr>
          <w:lang w:val="en-AU"/>
        </w:rPr>
        <w:t>Numer</w:t>
      </w:r>
      <w:proofErr w:type="spellEnd"/>
      <w:r w:rsidRPr="00193B3B">
        <w:rPr>
          <w:lang w:val="en-AU"/>
        </w:rPr>
        <w:t xml:space="preserve"> KRS:</w:t>
      </w:r>
      <w:r w:rsidR="00C12CC0" w:rsidRPr="00193B3B">
        <w:rPr>
          <w:lang w:val="en-AU"/>
        </w:rPr>
        <w:t xml:space="preserve">   KRS 0000846236</w:t>
      </w:r>
    </w:p>
    <w:p w14:paraId="6D4E2B68" w14:textId="77777777" w:rsidR="00F937D3" w:rsidRDefault="00F937D3" w:rsidP="00C562D4">
      <w:pPr>
        <w:spacing w:after="0"/>
        <w:ind w:left="1080"/>
      </w:pPr>
      <w:r>
        <w:t xml:space="preserve">Strona internetowa: </w:t>
      </w:r>
      <w:r w:rsidRPr="00C562D4">
        <w:rPr>
          <w:b/>
        </w:rPr>
        <w:t>www.git.lukasiewicz.gov.pl</w:t>
      </w:r>
    </w:p>
    <w:p w14:paraId="6AE42F36" w14:textId="77777777" w:rsidR="00F937D3" w:rsidRPr="00C12CC0" w:rsidRDefault="00F937D3" w:rsidP="00C562D4">
      <w:pPr>
        <w:spacing w:after="0"/>
        <w:ind w:left="1080"/>
        <w:rPr>
          <w:lang w:val="en-AU"/>
        </w:rPr>
      </w:pPr>
      <w:r w:rsidRPr="00C12CC0">
        <w:rPr>
          <w:lang w:val="en-AU"/>
        </w:rPr>
        <w:t xml:space="preserve">Adres e-mail: </w:t>
      </w:r>
      <w:r w:rsidRPr="00C12CC0">
        <w:rPr>
          <w:b/>
          <w:bCs/>
          <w:lang w:val="en-AU"/>
        </w:rPr>
        <w:t>sekretariat@git.lukasiewicz.gov.pl</w:t>
      </w:r>
    </w:p>
    <w:bookmarkEnd w:id="4"/>
    <w:p w14:paraId="4EF42353" w14:textId="77777777" w:rsidR="00F937D3" w:rsidRPr="00C12CC0" w:rsidRDefault="00F937D3" w:rsidP="00F937D3">
      <w:pPr>
        <w:pStyle w:val="Akapitzlist"/>
        <w:ind w:left="1440"/>
        <w:rPr>
          <w:lang w:val="en-AU"/>
        </w:rPr>
      </w:pPr>
    </w:p>
    <w:p w14:paraId="06FC18F9" w14:textId="19FCE834" w:rsidR="00F937D3" w:rsidRPr="00DD1335" w:rsidRDefault="004100DF" w:rsidP="002A2BE7">
      <w:pPr>
        <w:pStyle w:val="2poziomELO"/>
        <w:numPr>
          <w:ilvl w:val="0"/>
          <w:numId w:val="42"/>
        </w:numPr>
        <w:jc w:val="both"/>
        <w:outlineLvl w:val="2"/>
        <w:rPr>
          <w:b/>
        </w:rPr>
      </w:pPr>
      <w:bookmarkStart w:id="5" w:name="_Toc141097851"/>
      <w:r w:rsidRPr="00DD1335">
        <w:rPr>
          <w:b/>
        </w:rPr>
        <w:t xml:space="preserve">Jednostki organizacyjne. </w:t>
      </w:r>
      <w:r w:rsidR="00F937D3" w:rsidRPr="00DD1335">
        <w:rPr>
          <w:b/>
        </w:rPr>
        <w:t>Powstanie Sieci Badawczej Łukasiewicz – Górnośląski Instytut Technologiczny</w:t>
      </w:r>
      <w:bookmarkEnd w:id="5"/>
    </w:p>
    <w:p w14:paraId="1056B890" w14:textId="77777777" w:rsidR="00F937D3" w:rsidRDefault="00F937D3" w:rsidP="00F937D3">
      <w:pPr>
        <w:pStyle w:val="2poziomELO"/>
        <w:numPr>
          <w:ilvl w:val="0"/>
          <w:numId w:val="0"/>
        </w:numPr>
        <w:spacing w:after="0"/>
        <w:ind w:left="720" w:hanging="360"/>
        <w:jc w:val="both"/>
      </w:pPr>
      <w:r>
        <w:t>29 grudnia 2022 r. Rada Centrum Łukasiewicz podjęła uchwałę o włączeniu z dniem 1 stycznia 2023 r. dwóch instytutów</w:t>
      </w:r>
      <w:r w:rsidRPr="00DD1E78">
        <w:t xml:space="preserve"> </w:t>
      </w:r>
      <w:r>
        <w:t>w struktury Sieci Badawczej Łukasiewicz – Instytutu Metalurgii Żelaza, tj.:</w:t>
      </w:r>
    </w:p>
    <w:p w14:paraId="69F33750" w14:textId="77777777" w:rsidR="00F937D3" w:rsidRPr="00427D4B" w:rsidRDefault="00F937D3" w:rsidP="002A2BE7">
      <w:pPr>
        <w:pStyle w:val="2poziomELO"/>
        <w:numPr>
          <w:ilvl w:val="0"/>
          <w:numId w:val="23"/>
        </w:numPr>
        <w:spacing w:after="0"/>
        <w:ind w:firstLine="54"/>
        <w:jc w:val="both"/>
        <w:rPr>
          <w:b/>
          <w:bCs/>
        </w:rPr>
      </w:pPr>
      <w:r w:rsidRPr="00427D4B">
        <w:rPr>
          <w:b/>
          <w:bCs/>
        </w:rPr>
        <w:t>Sieć Badawcza Łukasiewicz – Instytut Spawalnictwa w Gliwicach,</w:t>
      </w:r>
    </w:p>
    <w:p w14:paraId="329DF173" w14:textId="77777777" w:rsidR="00F937D3" w:rsidRPr="00427D4B" w:rsidRDefault="00F937D3" w:rsidP="002A2BE7">
      <w:pPr>
        <w:pStyle w:val="2poziomELO"/>
        <w:numPr>
          <w:ilvl w:val="0"/>
          <w:numId w:val="23"/>
        </w:numPr>
        <w:spacing w:after="0"/>
        <w:ind w:firstLine="54"/>
        <w:jc w:val="both"/>
        <w:rPr>
          <w:b/>
          <w:bCs/>
        </w:rPr>
      </w:pPr>
      <w:r w:rsidRPr="00427D4B">
        <w:rPr>
          <w:b/>
          <w:bCs/>
        </w:rPr>
        <w:t>Sieć Badawcza Łukasiewicz – Instytut Napędów i Maszyn Elektrycznych KOMEL w Katowicach</w:t>
      </w:r>
    </w:p>
    <w:p w14:paraId="70448624" w14:textId="77777777" w:rsidR="00F937D3" w:rsidRDefault="00F937D3" w:rsidP="00F937D3">
      <w:pPr>
        <w:pStyle w:val="2poziomELO"/>
        <w:numPr>
          <w:ilvl w:val="0"/>
          <w:numId w:val="0"/>
        </w:numPr>
        <w:ind w:left="720" w:hanging="360"/>
        <w:jc w:val="both"/>
      </w:pPr>
      <w:r>
        <w:t xml:space="preserve">Sieć Badawcza Łukasiewicz – Instytut Metalurgii Żelaza im. Stanisława Staszica po włączeniu ww. instytutów otrzymał nazwę </w:t>
      </w:r>
      <w:r w:rsidRPr="00AB3912">
        <w:rPr>
          <w:b/>
          <w:bCs/>
        </w:rPr>
        <w:t>Sieć Badawcza Łukasiewicz – Górnośląski Instytut Technologiczny</w:t>
      </w:r>
      <w:r>
        <w:t>.</w:t>
      </w:r>
    </w:p>
    <w:p w14:paraId="4252F62A" w14:textId="77777777" w:rsidR="00822EC9" w:rsidRPr="00DD1E78" w:rsidRDefault="00822EC9" w:rsidP="001B69AF">
      <w:pPr>
        <w:pStyle w:val="3poziomELO"/>
        <w:numPr>
          <w:ilvl w:val="0"/>
          <w:numId w:val="0"/>
        </w:numPr>
        <w:tabs>
          <w:tab w:val="left" w:pos="1134"/>
        </w:tabs>
        <w:jc w:val="both"/>
        <w:rPr>
          <w:b/>
          <w:bCs/>
        </w:rPr>
      </w:pPr>
      <w:r w:rsidRPr="00C84F5E">
        <w:t xml:space="preserve">Wszelkie informacje niezbędne zakładom ubezpieczeń do oszacowania należnej składki ubezpieczeniowej znajdują się w </w:t>
      </w:r>
      <w:r w:rsidRPr="00C84F5E">
        <w:rPr>
          <w:b/>
          <w:bCs/>
        </w:rPr>
        <w:t xml:space="preserve">rozdziale 2 </w:t>
      </w:r>
      <w:r w:rsidR="00E25147" w:rsidRPr="00C84F5E">
        <w:rPr>
          <w:b/>
          <w:bCs/>
        </w:rPr>
        <w:t xml:space="preserve">i 3 </w:t>
      </w:r>
      <w:r w:rsidRPr="00C84F5E">
        <w:rPr>
          <w:b/>
          <w:bCs/>
        </w:rPr>
        <w:t xml:space="preserve">(opisy </w:t>
      </w:r>
      <w:proofErr w:type="spellStart"/>
      <w:r w:rsidRPr="00C84F5E">
        <w:rPr>
          <w:b/>
          <w:bCs/>
        </w:rPr>
        <w:t>ryzyk</w:t>
      </w:r>
      <w:proofErr w:type="spellEnd"/>
      <w:r w:rsidRPr="00C84F5E">
        <w:rPr>
          <w:b/>
          <w:bCs/>
        </w:rPr>
        <w:t>, sumy ubezpieczenia, dane dotyczące szkodowości, warunki szczególne).</w:t>
      </w:r>
    </w:p>
    <w:p w14:paraId="03BA8353" w14:textId="77777777" w:rsidR="00822EC9" w:rsidRDefault="00822EC9" w:rsidP="001B69AF">
      <w:pPr>
        <w:pStyle w:val="2poziomELO"/>
        <w:jc w:val="both"/>
        <w:outlineLvl w:val="2"/>
        <w:rPr>
          <w:b/>
        </w:rPr>
      </w:pPr>
      <w:bookmarkStart w:id="6" w:name="_Toc141097852"/>
      <w:r>
        <w:rPr>
          <w:b/>
        </w:rPr>
        <w:t>Okres ubezpieczenia</w:t>
      </w:r>
      <w:bookmarkEnd w:id="6"/>
    </w:p>
    <w:p w14:paraId="254CC75E" w14:textId="6A2FDC20" w:rsidR="00822EC9" w:rsidRPr="00822EC9" w:rsidRDefault="00822EC9" w:rsidP="001B69AF">
      <w:pPr>
        <w:pStyle w:val="2poziomELO"/>
        <w:numPr>
          <w:ilvl w:val="0"/>
          <w:numId w:val="0"/>
        </w:numPr>
        <w:ind w:left="360"/>
        <w:jc w:val="both"/>
      </w:pPr>
      <w:r>
        <w:t xml:space="preserve">Okres zamówienia: </w:t>
      </w:r>
      <w:r w:rsidRPr="00FF4B1F">
        <w:rPr>
          <w:b/>
        </w:rPr>
        <w:t>12 miesięcy</w:t>
      </w:r>
      <w:r w:rsidR="00D243AD">
        <w:rPr>
          <w:b/>
        </w:rPr>
        <w:t xml:space="preserve"> </w:t>
      </w:r>
      <w:r w:rsidR="00C45BA6">
        <w:t xml:space="preserve">od dnia </w:t>
      </w:r>
      <w:r w:rsidR="00C45BA6">
        <w:rPr>
          <w:b/>
        </w:rPr>
        <w:t>01.08.2023 r. do 31.07.2024</w:t>
      </w:r>
      <w:r w:rsidR="00C45BA6" w:rsidRPr="00FF4B1F">
        <w:rPr>
          <w:b/>
        </w:rPr>
        <w:t xml:space="preserve"> r</w:t>
      </w:r>
    </w:p>
    <w:p w14:paraId="62BD43B2" w14:textId="77777777" w:rsidR="00822EC9" w:rsidRDefault="00D243AD" w:rsidP="001B69AF">
      <w:pPr>
        <w:pStyle w:val="2poziomELO"/>
        <w:numPr>
          <w:ilvl w:val="0"/>
          <w:numId w:val="0"/>
        </w:numPr>
        <w:ind w:left="360"/>
        <w:jc w:val="both"/>
      </w:pPr>
      <w:r w:rsidRPr="00D243AD">
        <w:rPr>
          <w:b/>
          <w:bCs/>
        </w:rPr>
        <w:t>Umowa generalna</w:t>
      </w:r>
      <w:r>
        <w:t xml:space="preserve"> ubezpieczeń komunikacyjnych zostanie wystawiona na okres 12 miesięcy tj. </w:t>
      </w:r>
      <w:r w:rsidRPr="00D243AD">
        <w:rPr>
          <w:b/>
          <w:bCs/>
        </w:rPr>
        <w:t>01.0</w:t>
      </w:r>
      <w:r w:rsidR="008E5D01">
        <w:rPr>
          <w:b/>
          <w:bCs/>
        </w:rPr>
        <w:t>8</w:t>
      </w:r>
      <w:r w:rsidRPr="00D243AD">
        <w:rPr>
          <w:b/>
          <w:bCs/>
        </w:rPr>
        <w:t>.2023 – 3</w:t>
      </w:r>
      <w:r w:rsidR="008E5D01">
        <w:rPr>
          <w:b/>
          <w:bCs/>
        </w:rPr>
        <w:t>1</w:t>
      </w:r>
      <w:r w:rsidRPr="00D243AD">
        <w:rPr>
          <w:b/>
          <w:bCs/>
        </w:rPr>
        <w:t>.0</w:t>
      </w:r>
      <w:r w:rsidR="008E5D01">
        <w:rPr>
          <w:b/>
          <w:bCs/>
        </w:rPr>
        <w:t>7</w:t>
      </w:r>
      <w:r w:rsidRPr="00D243AD">
        <w:rPr>
          <w:b/>
          <w:bCs/>
        </w:rPr>
        <w:t>.2024</w:t>
      </w:r>
      <w:r>
        <w:t xml:space="preserve"> z </w:t>
      </w:r>
      <w:r w:rsidR="0097474C">
        <w:t>uwzględnieniem</w:t>
      </w:r>
      <w:r>
        <w:t xml:space="preserve"> indywidualnych terminów ubezpieczenia dla każdego z pojazdów.</w:t>
      </w:r>
      <w:r w:rsidR="00822EC9" w:rsidRPr="00822EC9">
        <w:t xml:space="preserve"> </w:t>
      </w:r>
    </w:p>
    <w:p w14:paraId="11DAEB38" w14:textId="77777777" w:rsidR="00401576" w:rsidRDefault="00401576" w:rsidP="001B69AF">
      <w:pPr>
        <w:pStyle w:val="2poziomELO"/>
        <w:numPr>
          <w:ilvl w:val="0"/>
          <w:numId w:val="0"/>
        </w:numPr>
        <w:ind w:left="360"/>
        <w:jc w:val="both"/>
      </w:pPr>
    </w:p>
    <w:p w14:paraId="1570B2D3" w14:textId="213062EB" w:rsidR="00DD1E78" w:rsidRPr="007E2AAE" w:rsidRDefault="00FF4B1F" w:rsidP="00DD1E78">
      <w:pPr>
        <w:pStyle w:val="2poziomELO"/>
        <w:jc w:val="both"/>
        <w:outlineLvl w:val="2"/>
        <w:rPr>
          <w:b/>
        </w:rPr>
      </w:pPr>
      <w:bookmarkStart w:id="7" w:name="_Toc141097853"/>
      <w:r w:rsidRPr="007E2AAE">
        <w:rPr>
          <w:b/>
        </w:rPr>
        <w:t>Szkodowość w latach 20</w:t>
      </w:r>
      <w:r w:rsidR="00D243AD" w:rsidRPr="007E2AAE">
        <w:rPr>
          <w:b/>
        </w:rPr>
        <w:t>20</w:t>
      </w:r>
      <w:r w:rsidR="000567D9" w:rsidRPr="007E2AAE">
        <w:rPr>
          <w:b/>
        </w:rPr>
        <w:t>-202</w:t>
      </w:r>
      <w:r w:rsidR="00D243AD" w:rsidRPr="007E2AAE">
        <w:rPr>
          <w:b/>
        </w:rPr>
        <w:t>3</w:t>
      </w:r>
      <w:bookmarkEnd w:id="7"/>
      <w:r w:rsidR="00DD1E78" w:rsidRPr="007E2AAE">
        <w:rPr>
          <w:b/>
        </w:rPr>
        <w:t xml:space="preserve"> </w:t>
      </w:r>
    </w:p>
    <w:p w14:paraId="7EF5BB80" w14:textId="1A097B4D" w:rsidR="00DD1E78" w:rsidRPr="007E2AAE" w:rsidRDefault="00DD1E78" w:rsidP="00DD1E78">
      <w:r w:rsidRPr="007E2AAE">
        <w:t xml:space="preserve">Zgodnie z </w:t>
      </w:r>
      <w:r w:rsidR="00942199">
        <w:t xml:space="preserve">załącznikiem </w:t>
      </w:r>
      <w:r w:rsidRPr="007E2AAE">
        <w:t xml:space="preserve">nr </w:t>
      </w:r>
      <w:r w:rsidR="00942199">
        <w:t>4</w:t>
      </w:r>
      <w:r w:rsidRPr="007E2AAE">
        <w:t xml:space="preserve"> do OPZ - szkodowość</w:t>
      </w:r>
    </w:p>
    <w:p w14:paraId="18DD97A4" w14:textId="77777777" w:rsidR="00401576" w:rsidRDefault="00401576" w:rsidP="000F6903">
      <w:pPr>
        <w:pStyle w:val="2poziomELO"/>
        <w:numPr>
          <w:ilvl w:val="0"/>
          <w:numId w:val="0"/>
        </w:numPr>
        <w:ind w:left="360"/>
        <w:rPr>
          <w:b/>
        </w:rPr>
      </w:pPr>
    </w:p>
    <w:p w14:paraId="484C7CBD" w14:textId="77777777" w:rsidR="003A3BC0" w:rsidRPr="004100DF" w:rsidRDefault="003A3BC0" w:rsidP="004100DF">
      <w:pPr>
        <w:pStyle w:val="2poziomELO"/>
        <w:jc w:val="both"/>
        <w:outlineLvl w:val="2"/>
        <w:rPr>
          <w:b/>
        </w:rPr>
      </w:pPr>
      <w:bookmarkStart w:id="8" w:name="_Toc141097854"/>
      <w:r w:rsidRPr="004100DF">
        <w:rPr>
          <w:b/>
        </w:rPr>
        <w:t>Szczegółowy opis prowadzonej działalności</w:t>
      </w:r>
      <w:bookmarkEnd w:id="8"/>
    </w:p>
    <w:p w14:paraId="395A4516" w14:textId="77777777" w:rsidR="003A3BC0" w:rsidRDefault="000567D9" w:rsidP="001B69AF">
      <w:pPr>
        <w:pStyle w:val="3poziomELO"/>
        <w:numPr>
          <w:ilvl w:val="0"/>
          <w:numId w:val="0"/>
        </w:numPr>
        <w:ind w:left="709" w:firstLine="425"/>
        <w:jc w:val="both"/>
      </w:pPr>
      <w:r>
        <w:t xml:space="preserve">Sieć Badawcza Łukasiewicz </w:t>
      </w:r>
      <w:r w:rsidR="00415C21">
        <w:t>–</w:t>
      </w:r>
      <w:r>
        <w:t xml:space="preserve"> </w:t>
      </w:r>
      <w:r w:rsidR="00415C21">
        <w:t>Górnośląski Instytut Technologiczny</w:t>
      </w:r>
      <w:r w:rsidR="003A3BC0" w:rsidRPr="003A3BC0">
        <w:t xml:space="preserve"> </w:t>
      </w:r>
      <w:r>
        <w:t>działa w Sieci Badawczej Łukasiewicz. Podstawowym aktem prawnym regulującym działalność jednostki jest Ustawa z dnia 21 lutego 2019 r. o Sieci Badawczej  Łukasiewicz. Organem nadzorującym działalność Instytutu jest Prezes Centrum Łukasiewicz. Instytut posiada osobowość prawną, a jego działalność objęta jest własnym rozrachunkiem finansowym.</w:t>
      </w:r>
    </w:p>
    <w:p w14:paraId="57194272" w14:textId="77777777" w:rsidR="00610530" w:rsidRDefault="00610530" w:rsidP="001B69AF">
      <w:pPr>
        <w:pStyle w:val="3poziomELO"/>
        <w:numPr>
          <w:ilvl w:val="0"/>
          <w:numId w:val="0"/>
        </w:numPr>
        <w:ind w:left="709" w:firstLine="425"/>
        <w:jc w:val="both"/>
      </w:pPr>
      <w:r>
        <w:lastRenderedPageBreak/>
        <w:t xml:space="preserve">Z racji połączenia 3 instytutów i stworzenia Sieci Badawczej Łukasiewicz - Górnośląskiego Centrum Technologicznego, poniżej uwzględniona została całościowa działalności oraz z podziałem dotychczasowej realizowanej działalności każdego z Instytutów.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3A3BC0" w:rsidRPr="00CF1857" w14:paraId="2CA8F82B" w14:textId="77777777" w:rsidTr="005A533C">
        <w:trPr>
          <w:cantSplit/>
        </w:trPr>
        <w:tc>
          <w:tcPr>
            <w:tcW w:w="9212" w:type="dxa"/>
            <w:tcBorders>
              <w:top w:val="double" w:sz="4" w:space="0" w:color="auto"/>
              <w:left w:val="double" w:sz="4" w:space="0" w:color="auto"/>
              <w:bottom w:val="double" w:sz="4" w:space="0" w:color="auto"/>
              <w:right w:val="double" w:sz="4" w:space="0" w:color="auto"/>
            </w:tcBorders>
            <w:shd w:val="clear" w:color="000000" w:fill="B8CCE4" w:themeFill="accent1" w:themeFillTint="66"/>
            <w:vAlign w:val="center"/>
          </w:tcPr>
          <w:p w14:paraId="7F16E700" w14:textId="77777777" w:rsidR="003A3BC0" w:rsidRPr="00CF1857" w:rsidRDefault="003A3BC0" w:rsidP="000567D9">
            <w:pPr>
              <w:spacing w:before="240"/>
              <w:jc w:val="center"/>
              <w:rPr>
                <w:b/>
                <w:lang w:eastAsia="pl-PL"/>
              </w:rPr>
            </w:pPr>
            <w:r>
              <w:rPr>
                <w:b/>
                <w:lang w:eastAsia="pl-PL"/>
              </w:rPr>
              <w:t>Szczegółowy opis prowadzonej działalności</w:t>
            </w:r>
            <w:r w:rsidRPr="00CF1857">
              <w:rPr>
                <w:b/>
                <w:lang w:eastAsia="pl-PL"/>
              </w:rPr>
              <w:t xml:space="preserve"> </w:t>
            </w:r>
          </w:p>
        </w:tc>
      </w:tr>
      <w:tr w:rsidR="003A3BC0" w:rsidRPr="00CF1857" w14:paraId="201AD81F" w14:textId="77777777" w:rsidTr="005A533C">
        <w:tc>
          <w:tcPr>
            <w:tcW w:w="9212" w:type="dxa"/>
            <w:tcBorders>
              <w:left w:val="double" w:sz="4" w:space="0" w:color="auto"/>
              <w:bottom w:val="double" w:sz="4" w:space="0" w:color="auto"/>
              <w:right w:val="double" w:sz="4" w:space="0" w:color="auto"/>
            </w:tcBorders>
            <w:vAlign w:val="center"/>
          </w:tcPr>
          <w:p w14:paraId="69454530" w14:textId="77777777" w:rsidR="003A3BC0" w:rsidRPr="005D7A64" w:rsidRDefault="003A3BC0" w:rsidP="005A533C">
            <w:pPr>
              <w:pStyle w:val="Tekstpodstawowy"/>
              <w:spacing w:after="0"/>
              <w:ind w:left="66"/>
              <w:rPr>
                <w:b/>
                <w:bCs/>
                <w:sz w:val="20"/>
                <w:szCs w:val="18"/>
              </w:rPr>
            </w:pPr>
            <w:r w:rsidRPr="003A3BC0">
              <w:rPr>
                <w:sz w:val="20"/>
                <w:szCs w:val="18"/>
              </w:rPr>
              <w:t xml:space="preserve">  </w:t>
            </w:r>
            <w:r w:rsidR="005D7A64" w:rsidRPr="005D7A64">
              <w:rPr>
                <w:b/>
                <w:bCs/>
                <w:sz w:val="20"/>
                <w:szCs w:val="18"/>
              </w:rPr>
              <w:t>Działalność Sieci Badawczej Łukasiewicz – Górnośląskiego Instytutu Technologicznego, zgodnie z zapisami Statutu:</w:t>
            </w:r>
          </w:p>
          <w:p w14:paraId="217C2BCA" w14:textId="77777777" w:rsidR="005D7A64" w:rsidRPr="00A05CDF" w:rsidRDefault="005D7A64" w:rsidP="002A2BE7">
            <w:pPr>
              <w:numPr>
                <w:ilvl w:val="1"/>
                <w:numId w:val="24"/>
              </w:numPr>
              <w:suppressAutoHyphens/>
              <w:spacing w:after="0"/>
              <w:ind w:left="851"/>
              <w:jc w:val="both"/>
              <w:rPr>
                <w:rFonts w:eastAsia="Calibri" w:cstheme="minorHAnsi"/>
                <w:lang w:eastAsia="ar-SA"/>
              </w:rPr>
            </w:pPr>
            <w:r>
              <w:rPr>
                <w:rFonts w:eastAsia="Calibri" w:cstheme="minorHAnsi"/>
                <w:iCs/>
                <w:lang w:eastAsia="ar-SA"/>
              </w:rPr>
              <w:t>prowadzenie</w:t>
            </w:r>
            <w:r w:rsidRPr="00A05CDF">
              <w:rPr>
                <w:rFonts w:eastAsia="Calibri" w:cstheme="minorHAnsi"/>
                <w:iCs/>
                <w:lang w:eastAsia="ar-SA"/>
              </w:rPr>
              <w:t xml:space="preserve"> bada</w:t>
            </w:r>
            <w:r>
              <w:rPr>
                <w:rFonts w:eastAsia="Calibri" w:cstheme="minorHAnsi"/>
                <w:iCs/>
                <w:lang w:eastAsia="ar-SA"/>
              </w:rPr>
              <w:t>ń</w:t>
            </w:r>
            <w:r w:rsidRPr="00A05CDF">
              <w:rPr>
                <w:rFonts w:eastAsia="Calibri" w:cstheme="minorHAnsi"/>
                <w:iCs/>
                <w:lang w:eastAsia="ar-SA"/>
              </w:rPr>
              <w:t xml:space="preserve"> naukow</w:t>
            </w:r>
            <w:r>
              <w:rPr>
                <w:rFonts w:eastAsia="Calibri" w:cstheme="minorHAnsi"/>
                <w:iCs/>
                <w:lang w:eastAsia="ar-SA"/>
              </w:rPr>
              <w:t>ych</w:t>
            </w:r>
            <w:r w:rsidRPr="00A05CDF">
              <w:rPr>
                <w:rFonts w:eastAsia="Calibri" w:cstheme="minorHAnsi"/>
                <w:iCs/>
                <w:lang w:eastAsia="ar-SA"/>
              </w:rPr>
              <w:t xml:space="preserve"> </w:t>
            </w:r>
            <w:r w:rsidRPr="00A05CDF">
              <w:rPr>
                <w:rFonts w:eastAsia="Calibri" w:cstheme="minorHAnsi"/>
                <w:bCs/>
                <w:shd w:val="clear" w:color="auto" w:fill="FFFFFF"/>
                <w:lang w:eastAsia="ar-SA"/>
              </w:rPr>
              <w:t>w dziedzinie pozostałych nauk przyrodniczych i technicznych</w:t>
            </w:r>
            <w:r w:rsidRPr="00A05CDF">
              <w:rPr>
                <w:rFonts w:eastAsia="Calibri" w:cstheme="minorHAnsi"/>
                <w:lang w:eastAsia="ar-SA"/>
              </w:rPr>
              <w:t xml:space="preserve"> </w:t>
            </w:r>
            <w:r w:rsidRPr="00A05CDF">
              <w:rPr>
                <w:rFonts w:eastAsia="Calibri" w:cstheme="minorHAnsi"/>
                <w:b/>
                <w:lang w:eastAsia="ar-SA"/>
              </w:rPr>
              <w:t>(PKD 72.19.Z)</w:t>
            </w:r>
            <w:r w:rsidRPr="00A05CDF">
              <w:rPr>
                <w:rFonts w:eastAsia="Calibri" w:cstheme="minorHAnsi"/>
                <w:lang w:eastAsia="ar-SA"/>
              </w:rPr>
              <w:t>;</w:t>
            </w:r>
          </w:p>
          <w:p w14:paraId="33A8A6B2" w14:textId="77777777" w:rsidR="005D7A64" w:rsidRPr="00A05CDF" w:rsidRDefault="005D7A64" w:rsidP="002A2BE7">
            <w:pPr>
              <w:numPr>
                <w:ilvl w:val="1"/>
                <w:numId w:val="24"/>
              </w:numPr>
              <w:suppressAutoHyphens/>
              <w:spacing w:after="0"/>
              <w:ind w:left="851" w:hanging="357"/>
              <w:jc w:val="both"/>
              <w:rPr>
                <w:rFonts w:eastAsia="Calibri" w:cstheme="minorHAnsi"/>
                <w:lang w:eastAsia="ar-SA"/>
              </w:rPr>
            </w:pPr>
            <w:r w:rsidRPr="00A05CDF">
              <w:rPr>
                <w:rFonts w:eastAsia="Calibri" w:cstheme="minorHAnsi"/>
                <w:iCs/>
                <w:lang w:eastAsia="ar-SA"/>
              </w:rPr>
              <w:t>prowadz</w:t>
            </w:r>
            <w:r>
              <w:rPr>
                <w:rFonts w:eastAsia="Calibri" w:cstheme="minorHAnsi"/>
                <w:iCs/>
                <w:lang w:eastAsia="ar-SA"/>
              </w:rPr>
              <w:t>enie</w:t>
            </w:r>
            <w:r w:rsidRPr="00A05CDF">
              <w:rPr>
                <w:rFonts w:eastAsia="Calibri" w:cstheme="minorHAnsi"/>
                <w:iCs/>
                <w:lang w:eastAsia="ar-SA"/>
              </w:rPr>
              <w:t xml:space="preserve"> działalnoś</w:t>
            </w:r>
            <w:r>
              <w:rPr>
                <w:rFonts w:eastAsia="Calibri" w:cstheme="minorHAnsi"/>
                <w:iCs/>
                <w:lang w:eastAsia="ar-SA"/>
              </w:rPr>
              <w:t xml:space="preserve">ci </w:t>
            </w:r>
            <w:r w:rsidRPr="00A05CDF">
              <w:rPr>
                <w:rFonts w:eastAsia="Calibri" w:cstheme="minorHAnsi"/>
                <w:iCs/>
                <w:lang w:eastAsia="ar-SA"/>
              </w:rPr>
              <w:t>w zakresie:</w:t>
            </w:r>
          </w:p>
          <w:p w14:paraId="680FCAFC" w14:textId="77777777" w:rsidR="005D7A64" w:rsidRPr="00A05CDF" w:rsidRDefault="005D7A64" w:rsidP="002A2BE7">
            <w:pPr>
              <w:numPr>
                <w:ilvl w:val="0"/>
                <w:numId w:val="31"/>
              </w:numPr>
              <w:suppressAutoHyphens/>
              <w:spacing w:after="0"/>
              <w:ind w:hanging="357"/>
              <w:jc w:val="both"/>
              <w:rPr>
                <w:rFonts w:eastAsia="Calibri" w:cstheme="minorHAnsi"/>
                <w:iCs/>
                <w:lang w:eastAsia="ar-SA"/>
              </w:rPr>
            </w:pPr>
            <w:r w:rsidRPr="00A05CDF">
              <w:rPr>
                <w:rFonts w:eastAsia="Calibri" w:cstheme="minorHAnsi"/>
                <w:iCs/>
                <w:lang w:eastAsia="ar-SA"/>
              </w:rPr>
              <w:t>upowszechniania wyników badań naukowych i prac rozwojowych</w:t>
            </w:r>
            <w:r>
              <w:rPr>
                <w:rFonts w:eastAsia="Calibri" w:cstheme="minorHAnsi"/>
                <w:iCs/>
                <w:lang w:eastAsia="ar-SA"/>
              </w:rPr>
              <w:t xml:space="preserve"> poprzez działalność wydawniczą</w:t>
            </w:r>
            <w:r w:rsidRPr="00A05CDF">
              <w:rPr>
                <w:rFonts w:eastAsia="Calibri" w:cstheme="minorHAnsi"/>
                <w:iCs/>
                <w:lang w:eastAsia="ar-SA"/>
              </w:rPr>
              <w:t xml:space="preserve"> </w:t>
            </w:r>
            <w:r w:rsidRPr="00A05CDF">
              <w:rPr>
                <w:rFonts w:eastAsia="Calibri" w:cstheme="minorHAnsi"/>
                <w:b/>
                <w:iCs/>
                <w:lang w:eastAsia="ar-SA"/>
              </w:rPr>
              <w:t>(PKD 58.11.Z)</w:t>
            </w:r>
            <w:r w:rsidRPr="00A05CDF">
              <w:rPr>
                <w:rFonts w:eastAsia="Calibri" w:cstheme="minorHAnsi"/>
                <w:iCs/>
                <w:lang w:eastAsia="ar-SA"/>
              </w:rPr>
              <w:t xml:space="preserve"> oraz wydawanie czasopism i pozostałych periodyków </w:t>
            </w:r>
            <w:r w:rsidRPr="00280C72">
              <w:rPr>
                <w:rFonts w:eastAsia="Calibri" w:cstheme="minorHAnsi"/>
                <w:b/>
                <w:bCs/>
                <w:iCs/>
                <w:lang w:eastAsia="ar-SA"/>
              </w:rPr>
              <w:t>(PKD 58.14.Z);</w:t>
            </w:r>
          </w:p>
          <w:p w14:paraId="40EB1AF6" w14:textId="77777777" w:rsidR="005D7A64" w:rsidRPr="00A05CDF" w:rsidRDefault="005D7A64" w:rsidP="002A2BE7">
            <w:pPr>
              <w:numPr>
                <w:ilvl w:val="0"/>
                <w:numId w:val="31"/>
              </w:numPr>
              <w:suppressAutoHyphens/>
              <w:spacing w:after="0"/>
              <w:jc w:val="both"/>
              <w:rPr>
                <w:rFonts w:eastAsia="Calibri" w:cstheme="minorHAnsi"/>
                <w:b/>
                <w:iCs/>
                <w:lang w:eastAsia="ar-SA"/>
              </w:rPr>
            </w:pPr>
            <w:r w:rsidRPr="00A05CDF">
              <w:rPr>
                <w:rFonts w:eastAsia="Calibri" w:cstheme="minorHAnsi"/>
                <w:iCs/>
                <w:lang w:eastAsia="ar-SA"/>
              </w:rPr>
              <w:t xml:space="preserve">pozostałego doradztwa w zakresie prowadzenia działalności gospodarczej i zarządu </w:t>
            </w:r>
            <w:r w:rsidRPr="00A05CDF">
              <w:rPr>
                <w:rFonts w:eastAsia="Calibri" w:cstheme="minorHAnsi"/>
                <w:b/>
                <w:iCs/>
                <w:lang w:eastAsia="ar-SA"/>
              </w:rPr>
              <w:t xml:space="preserve">(PKD 70.22.Z); </w:t>
            </w:r>
          </w:p>
          <w:p w14:paraId="16761B0C" w14:textId="77777777" w:rsidR="005D7A64" w:rsidRPr="00A05CDF" w:rsidRDefault="005D7A64" w:rsidP="002A2BE7">
            <w:pPr>
              <w:numPr>
                <w:ilvl w:val="0"/>
                <w:numId w:val="31"/>
              </w:numPr>
              <w:suppressAutoHyphens/>
              <w:spacing w:after="0"/>
              <w:jc w:val="both"/>
              <w:rPr>
                <w:rFonts w:eastAsia="Calibri" w:cstheme="minorHAnsi"/>
                <w:iCs/>
                <w:lang w:eastAsia="ar-SA"/>
              </w:rPr>
            </w:pPr>
            <w:r w:rsidRPr="00A05CDF">
              <w:rPr>
                <w:rFonts w:eastAsia="Calibri" w:cstheme="minorHAnsi"/>
                <w:iCs/>
                <w:lang w:eastAsia="ar-SA"/>
              </w:rPr>
              <w:t xml:space="preserve">kierowania w zakresie efektywności gospodarowania </w:t>
            </w:r>
            <w:r w:rsidRPr="00A05CDF">
              <w:rPr>
                <w:rFonts w:eastAsia="Calibri" w:cstheme="minorHAnsi"/>
                <w:b/>
                <w:iCs/>
                <w:lang w:eastAsia="ar-SA"/>
              </w:rPr>
              <w:t>(PKD 84.13.Z);</w:t>
            </w:r>
          </w:p>
          <w:p w14:paraId="4BF8605E" w14:textId="77777777" w:rsidR="005D7A64" w:rsidRPr="0085125E" w:rsidRDefault="005D7A64" w:rsidP="002A2BE7">
            <w:pPr>
              <w:numPr>
                <w:ilvl w:val="0"/>
                <w:numId w:val="31"/>
              </w:numPr>
              <w:suppressAutoHyphens/>
              <w:spacing w:after="0"/>
              <w:jc w:val="both"/>
              <w:rPr>
                <w:rFonts w:eastAsia="Calibri" w:cstheme="minorHAnsi"/>
                <w:iCs/>
                <w:lang w:eastAsia="ar-SA"/>
              </w:rPr>
            </w:pPr>
            <w:r w:rsidRPr="00A05CDF">
              <w:rPr>
                <w:rFonts w:eastAsia="Calibri" w:cstheme="minorHAnsi"/>
                <w:lang w:eastAsia="ar-SA"/>
              </w:rPr>
              <w:t>pozostałych pozaszkolny</w:t>
            </w:r>
            <w:r>
              <w:rPr>
                <w:rFonts w:eastAsia="Calibri" w:cstheme="minorHAnsi"/>
                <w:lang w:eastAsia="ar-SA"/>
              </w:rPr>
              <w:t xml:space="preserve">ch form edukacji, gdzie indziej </w:t>
            </w:r>
            <w:r w:rsidRPr="00A05CDF">
              <w:rPr>
                <w:rFonts w:eastAsia="Calibri" w:cstheme="minorHAnsi"/>
                <w:lang w:eastAsia="ar-SA"/>
              </w:rPr>
              <w:t>niesklasyfikowanych</w:t>
            </w:r>
            <w:r>
              <w:rPr>
                <w:rFonts w:eastAsia="Calibri" w:cstheme="minorHAnsi"/>
                <w:lang w:eastAsia="ar-SA"/>
              </w:rPr>
              <w:t xml:space="preserve"> </w:t>
            </w:r>
            <w:r w:rsidRPr="00A05CDF">
              <w:rPr>
                <w:rFonts w:eastAsia="Times New Roman" w:cstheme="minorHAnsi"/>
                <w:lang w:eastAsia="pl-PL"/>
              </w:rPr>
              <w:t>(</w:t>
            </w:r>
            <w:r w:rsidRPr="00A05CDF">
              <w:rPr>
                <w:rFonts w:eastAsia="Times New Roman" w:cstheme="minorHAnsi"/>
                <w:b/>
                <w:lang w:eastAsia="pl-PL"/>
              </w:rPr>
              <w:t>PKD 85.59.B</w:t>
            </w:r>
            <w:r>
              <w:rPr>
                <w:rFonts w:eastAsia="Times New Roman" w:cstheme="minorHAnsi"/>
                <w:lang w:eastAsia="pl-PL"/>
              </w:rPr>
              <w:t>);</w:t>
            </w:r>
          </w:p>
          <w:p w14:paraId="1295DB28" w14:textId="77777777" w:rsidR="005D7A64" w:rsidRPr="0085125E" w:rsidRDefault="005D7A64" w:rsidP="002A2BE7">
            <w:pPr>
              <w:numPr>
                <w:ilvl w:val="0"/>
                <w:numId w:val="31"/>
              </w:numPr>
              <w:suppressAutoHyphens/>
              <w:spacing w:after="0"/>
              <w:jc w:val="both"/>
              <w:rPr>
                <w:rFonts w:eastAsia="Calibri" w:cstheme="minorHAnsi"/>
                <w:iCs/>
                <w:lang w:eastAsia="ar-SA"/>
              </w:rPr>
            </w:pPr>
            <w:r w:rsidRPr="00A05CDF">
              <w:rPr>
                <w:rFonts w:eastAsia="Times New Roman" w:cstheme="minorHAnsi"/>
                <w:lang w:eastAsia="pl-PL"/>
              </w:rPr>
              <w:t xml:space="preserve">pełnienie merytorycznego nadzoru nad działalnością szkoleniową </w:t>
            </w:r>
            <w:r w:rsidRPr="0085125E">
              <w:rPr>
                <w:rFonts w:eastAsia="Times New Roman" w:cstheme="minorHAnsi"/>
                <w:b/>
                <w:lang w:eastAsia="pl-PL"/>
              </w:rPr>
              <w:t>(PKD 85.60.Z);</w:t>
            </w:r>
          </w:p>
          <w:p w14:paraId="1A053B51" w14:textId="77777777" w:rsidR="005D7A64" w:rsidRPr="00A05CDF" w:rsidRDefault="005D7A64" w:rsidP="002A2BE7">
            <w:pPr>
              <w:numPr>
                <w:ilvl w:val="0"/>
                <w:numId w:val="31"/>
              </w:numPr>
              <w:suppressAutoHyphens/>
              <w:spacing w:after="0"/>
              <w:jc w:val="both"/>
              <w:rPr>
                <w:rFonts w:eastAsia="Calibri" w:cstheme="minorHAnsi"/>
                <w:iCs/>
                <w:lang w:eastAsia="ar-SA"/>
              </w:rPr>
            </w:pPr>
            <w:r w:rsidRPr="00A05CDF">
              <w:rPr>
                <w:rFonts w:eastAsia="Calibri" w:cstheme="minorHAnsi"/>
                <w:iCs/>
                <w:lang w:eastAsia="ar-SA"/>
              </w:rPr>
              <w:t>inżynierii i związanego z nią doradztwa technicznego</w:t>
            </w:r>
            <w:r w:rsidRPr="00A05CDF">
              <w:rPr>
                <w:rFonts w:eastAsia="Calibri" w:cstheme="minorHAnsi"/>
                <w:lang w:eastAsia="ar-SA"/>
              </w:rPr>
              <w:t xml:space="preserve"> </w:t>
            </w:r>
            <w:r w:rsidRPr="00A05CDF">
              <w:rPr>
                <w:rFonts w:eastAsia="Calibri" w:cstheme="minorHAnsi"/>
                <w:b/>
                <w:lang w:eastAsia="ar-SA"/>
              </w:rPr>
              <w:t>(PKD 71.12.Z)</w:t>
            </w:r>
            <w:r w:rsidRPr="00A05CDF">
              <w:rPr>
                <w:rFonts w:eastAsia="Calibri" w:cstheme="minorHAnsi"/>
                <w:lang w:eastAsia="ar-SA"/>
              </w:rPr>
              <w:t>;</w:t>
            </w:r>
          </w:p>
          <w:p w14:paraId="55C1453A" w14:textId="77777777" w:rsidR="005D7A64" w:rsidRPr="00A05CDF" w:rsidRDefault="005D7A64" w:rsidP="002A2BE7">
            <w:pPr>
              <w:numPr>
                <w:ilvl w:val="0"/>
                <w:numId w:val="31"/>
              </w:numPr>
              <w:suppressAutoHyphens/>
              <w:spacing w:after="0"/>
              <w:jc w:val="both"/>
              <w:rPr>
                <w:rFonts w:eastAsia="Calibri" w:cstheme="minorHAnsi"/>
                <w:iCs/>
                <w:lang w:eastAsia="ar-SA"/>
              </w:rPr>
            </w:pPr>
            <w:r w:rsidRPr="00A05CDF">
              <w:rPr>
                <w:rFonts w:eastAsia="Calibri" w:cstheme="minorHAnsi"/>
                <w:iCs/>
                <w:lang w:eastAsia="ar-SA"/>
              </w:rPr>
              <w:t xml:space="preserve">pozostałych badań i analiz technicznych </w:t>
            </w:r>
            <w:r w:rsidRPr="00A05CDF">
              <w:rPr>
                <w:rFonts w:eastAsia="Calibri" w:cstheme="minorHAnsi"/>
                <w:b/>
                <w:iCs/>
                <w:lang w:eastAsia="ar-SA"/>
              </w:rPr>
              <w:t>(PKD 71.20.B);</w:t>
            </w:r>
          </w:p>
          <w:p w14:paraId="7289A1C0" w14:textId="77777777" w:rsidR="005D7A64" w:rsidRPr="0085125E" w:rsidRDefault="005D7A64" w:rsidP="002A2BE7">
            <w:pPr>
              <w:numPr>
                <w:ilvl w:val="0"/>
                <w:numId w:val="31"/>
              </w:numPr>
              <w:suppressAutoHyphens/>
              <w:spacing w:after="0"/>
              <w:jc w:val="both"/>
              <w:rPr>
                <w:rFonts w:eastAsia="Calibri" w:cstheme="minorHAnsi"/>
                <w:iCs/>
                <w:lang w:eastAsia="ar-SA"/>
              </w:rPr>
            </w:pPr>
            <w:r w:rsidRPr="00A05CDF">
              <w:rPr>
                <w:rFonts w:eastAsia="Times New Roman" w:cstheme="minorHAnsi"/>
                <w:lang w:eastAsia="pl-PL"/>
              </w:rPr>
              <w:t xml:space="preserve">pozostałej działalności profesjonalnej, naukowej i technicznej, gdzie indziej niesklasyfikowanej </w:t>
            </w:r>
            <w:r w:rsidRPr="00A05CDF">
              <w:rPr>
                <w:rFonts w:eastAsia="Times New Roman" w:cstheme="minorHAnsi"/>
                <w:b/>
                <w:lang w:eastAsia="pl-PL"/>
              </w:rPr>
              <w:t>(PKD 74.90.Z);</w:t>
            </w:r>
          </w:p>
          <w:p w14:paraId="250F413B" w14:textId="77777777" w:rsidR="005D7A64" w:rsidRPr="00A05CDF" w:rsidRDefault="005D7A64" w:rsidP="002A2BE7">
            <w:pPr>
              <w:numPr>
                <w:ilvl w:val="0"/>
                <w:numId w:val="31"/>
              </w:numPr>
              <w:suppressAutoHyphens/>
              <w:spacing w:after="0"/>
              <w:jc w:val="both"/>
              <w:rPr>
                <w:rFonts w:eastAsia="Calibri" w:cstheme="minorHAnsi"/>
                <w:iCs/>
                <w:lang w:eastAsia="ar-SA"/>
              </w:rPr>
            </w:pPr>
            <w:r w:rsidRPr="00A05CDF">
              <w:rPr>
                <w:rFonts w:eastAsia="Times New Roman" w:cstheme="minorHAnsi"/>
                <w:lang w:eastAsia="pl-PL"/>
              </w:rPr>
              <w:t xml:space="preserve">wytwarzania w związku z prowadzonymi badaniami unikatowej aparatury badawczej, urządzeń, oprogramowania, materiałów i innych wyrobów oraz prowadzenia walidacji metod badawczych, pomiarowych i kalibracji aparatury </w:t>
            </w:r>
            <w:r w:rsidRPr="006F4B80">
              <w:rPr>
                <w:rFonts w:eastAsia="Times New Roman" w:cstheme="minorHAnsi"/>
                <w:b/>
                <w:bCs/>
                <w:lang w:eastAsia="pl-PL"/>
              </w:rPr>
              <w:t>(PKD 26.51.Z);</w:t>
            </w:r>
          </w:p>
          <w:p w14:paraId="55463F49" w14:textId="77777777" w:rsidR="005D7A64" w:rsidRPr="006F4B80" w:rsidRDefault="005D7A64" w:rsidP="002A2BE7">
            <w:pPr>
              <w:numPr>
                <w:ilvl w:val="0"/>
                <w:numId w:val="31"/>
              </w:numPr>
              <w:suppressAutoHyphens/>
              <w:spacing w:after="0"/>
              <w:jc w:val="both"/>
              <w:rPr>
                <w:rFonts w:eastAsia="Calibri" w:cstheme="minorHAnsi"/>
                <w:b/>
                <w:bCs/>
                <w:iCs/>
                <w:lang w:eastAsia="ar-SA"/>
              </w:rPr>
            </w:pPr>
            <w:r w:rsidRPr="00A05CDF">
              <w:rPr>
                <w:rFonts w:eastAsia="Calibri" w:cstheme="minorHAnsi"/>
                <w:lang w:eastAsia="ar-SA"/>
              </w:rPr>
              <w:t xml:space="preserve">wykonywania ocen dotyczących stanu i rozwoju poszczególnych dziedzin nauki i techniki oraz sektorów gospodarki, które wykorzystują wyniki badań naukowych i prac rozwojowych oraz wykorzystywania w kraju osiągnięć światowej nauki i techniki </w:t>
            </w:r>
            <w:r w:rsidRPr="006F4B80">
              <w:rPr>
                <w:rFonts w:eastAsia="Calibri" w:cstheme="minorHAnsi"/>
                <w:b/>
                <w:bCs/>
                <w:lang w:eastAsia="ar-SA"/>
              </w:rPr>
              <w:t>(PKD 73.20.Z);</w:t>
            </w:r>
          </w:p>
          <w:p w14:paraId="02F6BEF9" w14:textId="77777777" w:rsidR="005D7A64" w:rsidRPr="00A05CDF" w:rsidRDefault="005D7A64" w:rsidP="002A2BE7">
            <w:pPr>
              <w:numPr>
                <w:ilvl w:val="0"/>
                <w:numId w:val="31"/>
              </w:numPr>
              <w:suppressAutoHyphens/>
              <w:spacing w:after="0"/>
              <w:jc w:val="both"/>
              <w:rPr>
                <w:rFonts w:eastAsia="Calibri" w:cstheme="minorHAnsi"/>
                <w:iCs/>
                <w:lang w:eastAsia="ar-SA"/>
              </w:rPr>
            </w:pPr>
            <w:r w:rsidRPr="00A05CDF">
              <w:rPr>
                <w:rFonts w:eastAsia="Calibri" w:cstheme="minorHAnsi"/>
                <w:iCs/>
                <w:lang w:eastAsia="ar-SA"/>
              </w:rPr>
              <w:t xml:space="preserve">informacji naukowej, technicznej i ekonomicznej, w szczególności poprzez prowadzenie i rozwijanie baz danych związanych z zakresem działalności Instytutu </w:t>
            </w:r>
            <w:r w:rsidRPr="006F4B80">
              <w:rPr>
                <w:rFonts w:eastAsia="Calibri" w:cstheme="minorHAnsi"/>
                <w:b/>
                <w:bCs/>
                <w:iCs/>
                <w:lang w:eastAsia="ar-SA"/>
              </w:rPr>
              <w:t>(PKD 63.11.Z)</w:t>
            </w:r>
            <w:r w:rsidRPr="00A05CDF">
              <w:rPr>
                <w:rFonts w:eastAsia="Calibri" w:cstheme="minorHAnsi"/>
                <w:iCs/>
                <w:lang w:eastAsia="ar-SA"/>
              </w:rPr>
              <w:t xml:space="preserve"> oraz działalność usługową w zakresie informacji </w:t>
            </w:r>
            <w:r w:rsidRPr="006F4B80">
              <w:rPr>
                <w:rFonts w:eastAsia="Calibri" w:cstheme="minorHAnsi"/>
                <w:b/>
                <w:bCs/>
                <w:iCs/>
                <w:lang w:eastAsia="ar-SA"/>
              </w:rPr>
              <w:t>(PKD 63.99.Z);</w:t>
            </w:r>
          </w:p>
          <w:p w14:paraId="4F08F5B4" w14:textId="77777777" w:rsidR="005D7A64" w:rsidRPr="00A05CDF" w:rsidRDefault="005D7A64" w:rsidP="005D7A64">
            <w:pPr>
              <w:suppressAutoHyphens/>
              <w:spacing w:after="0"/>
              <w:ind w:left="425"/>
              <w:jc w:val="both"/>
              <w:rPr>
                <w:rFonts w:eastAsia="Calibri" w:cstheme="minorHAnsi"/>
                <w:lang w:eastAsia="ar-SA"/>
              </w:rPr>
            </w:pPr>
            <w:r w:rsidRPr="00A05CDF">
              <w:rPr>
                <w:rFonts w:eastAsia="Calibri" w:cstheme="minorHAnsi"/>
                <w:iCs/>
                <w:lang w:eastAsia="ar-SA"/>
              </w:rPr>
              <w:t>3)</w:t>
            </w:r>
            <w:r w:rsidRPr="00A05CDF">
              <w:rPr>
                <w:rFonts w:eastAsia="Calibri" w:cstheme="minorHAnsi"/>
                <w:iCs/>
                <w:lang w:eastAsia="ar-SA"/>
              </w:rPr>
              <w:tab/>
              <w:t>prowadz</w:t>
            </w:r>
            <w:r>
              <w:rPr>
                <w:rFonts w:eastAsia="Calibri" w:cstheme="minorHAnsi"/>
                <w:iCs/>
                <w:lang w:eastAsia="ar-SA"/>
              </w:rPr>
              <w:t>enie</w:t>
            </w:r>
            <w:r w:rsidRPr="00A05CDF">
              <w:rPr>
                <w:rFonts w:eastAsia="Calibri" w:cstheme="minorHAnsi"/>
                <w:iCs/>
                <w:lang w:eastAsia="ar-SA"/>
              </w:rPr>
              <w:t xml:space="preserve"> działalnoś</w:t>
            </w:r>
            <w:r>
              <w:rPr>
                <w:rFonts w:eastAsia="Calibri" w:cstheme="minorHAnsi"/>
                <w:iCs/>
                <w:lang w:eastAsia="ar-SA"/>
              </w:rPr>
              <w:t xml:space="preserve">ci </w:t>
            </w:r>
            <w:r w:rsidRPr="00A05CDF">
              <w:rPr>
                <w:rFonts w:eastAsia="Calibri" w:cstheme="minorHAnsi"/>
                <w:iCs/>
                <w:lang w:eastAsia="ar-SA"/>
              </w:rPr>
              <w:t>gospodarcz</w:t>
            </w:r>
            <w:r>
              <w:rPr>
                <w:rFonts w:eastAsia="Calibri" w:cstheme="minorHAnsi"/>
                <w:iCs/>
                <w:lang w:eastAsia="ar-SA"/>
              </w:rPr>
              <w:t>ej</w:t>
            </w:r>
            <w:r w:rsidRPr="00A05CDF">
              <w:rPr>
                <w:rFonts w:eastAsia="Calibri" w:cstheme="minorHAnsi"/>
                <w:iCs/>
                <w:lang w:eastAsia="ar-SA"/>
              </w:rPr>
              <w:t xml:space="preserve"> wyodrębnion</w:t>
            </w:r>
            <w:r>
              <w:rPr>
                <w:rFonts w:eastAsia="Calibri" w:cstheme="minorHAnsi"/>
                <w:iCs/>
                <w:lang w:eastAsia="ar-SA"/>
              </w:rPr>
              <w:t>ej</w:t>
            </w:r>
            <w:r w:rsidRPr="00A05CDF">
              <w:rPr>
                <w:rFonts w:eastAsia="Calibri" w:cstheme="minorHAnsi"/>
                <w:lang w:eastAsia="ar-SA"/>
              </w:rPr>
              <w:t xml:space="preserve"> w zakresie:</w:t>
            </w:r>
          </w:p>
          <w:p w14:paraId="25C6CA6B" w14:textId="77777777" w:rsidR="005D7A64" w:rsidRPr="00A05CDF" w:rsidRDefault="005D7A64" w:rsidP="002A2BE7">
            <w:pPr>
              <w:numPr>
                <w:ilvl w:val="0"/>
                <w:numId w:val="27"/>
              </w:numPr>
              <w:suppressAutoHyphens/>
              <w:spacing w:after="0"/>
              <w:ind w:left="1418"/>
              <w:jc w:val="both"/>
              <w:rPr>
                <w:rFonts w:eastAsia="Calibri" w:cstheme="minorHAnsi"/>
                <w:iCs/>
                <w:lang w:eastAsia="ar-SA"/>
              </w:rPr>
            </w:pPr>
            <w:r w:rsidRPr="00A05CDF">
              <w:rPr>
                <w:rFonts w:eastAsia="Calibri" w:cstheme="minorHAnsi"/>
                <w:lang w:eastAsia="ar-SA"/>
              </w:rPr>
              <w:t>produkcji:</w:t>
            </w:r>
          </w:p>
          <w:p w14:paraId="5650350D" w14:textId="77777777" w:rsidR="005D7A64" w:rsidRPr="00A05CDF" w:rsidRDefault="005D7A64" w:rsidP="002A2BE7">
            <w:pPr>
              <w:numPr>
                <w:ilvl w:val="0"/>
                <w:numId w:val="29"/>
              </w:numPr>
              <w:suppressAutoHyphens/>
              <w:spacing w:after="0"/>
              <w:ind w:left="1843" w:hanging="357"/>
              <w:jc w:val="both"/>
              <w:rPr>
                <w:rFonts w:eastAsia="Calibri" w:cstheme="minorHAnsi"/>
                <w:lang w:eastAsia="ar-SA"/>
              </w:rPr>
            </w:pPr>
            <w:r w:rsidRPr="00A05CDF">
              <w:rPr>
                <w:rFonts w:eastAsia="Calibri" w:cstheme="minorHAnsi"/>
                <w:lang w:eastAsia="ar-SA"/>
              </w:rPr>
              <w:t xml:space="preserve">elektrycznych silników, prądnic i transformatorów </w:t>
            </w:r>
            <w:r w:rsidRPr="00A05CDF">
              <w:rPr>
                <w:rFonts w:eastAsia="Calibri" w:cstheme="minorHAnsi"/>
                <w:b/>
                <w:lang w:eastAsia="ar-SA"/>
              </w:rPr>
              <w:t>(PKD 27.11.Z);</w:t>
            </w:r>
            <w:r w:rsidRPr="00A05CDF">
              <w:rPr>
                <w:rFonts w:eastAsia="Calibri" w:cstheme="minorHAnsi"/>
                <w:lang w:eastAsia="ar-SA"/>
              </w:rPr>
              <w:t xml:space="preserve"> </w:t>
            </w:r>
            <w:r w:rsidR="00824C56">
              <w:rPr>
                <w:rFonts w:eastAsia="Calibri" w:cstheme="minorHAnsi"/>
                <w:lang w:eastAsia="ar-SA"/>
              </w:rPr>
              <w:t>m.in. silników dla lotnictwa, przemysłu górniczego, pojazdów o napędzie elektrycznym, prądnic do elektrowni jachtowych i wodnych.</w:t>
            </w:r>
          </w:p>
          <w:p w14:paraId="5E1006D1" w14:textId="77777777" w:rsidR="005D7A64" w:rsidRPr="00A05CDF" w:rsidRDefault="005D7A64" w:rsidP="002A2BE7">
            <w:pPr>
              <w:numPr>
                <w:ilvl w:val="0"/>
                <w:numId w:val="29"/>
              </w:numPr>
              <w:suppressAutoHyphens/>
              <w:spacing w:after="0"/>
              <w:ind w:left="1843" w:hanging="357"/>
              <w:jc w:val="both"/>
              <w:rPr>
                <w:rFonts w:eastAsia="Calibri" w:cstheme="minorHAnsi"/>
                <w:lang w:eastAsia="ar-SA"/>
              </w:rPr>
            </w:pPr>
            <w:r w:rsidRPr="00A05CDF">
              <w:rPr>
                <w:rFonts w:eastAsia="Calibri" w:cstheme="minorHAnsi"/>
                <w:iCs/>
                <w:lang w:eastAsia="ar-SA"/>
              </w:rPr>
              <w:t xml:space="preserve">elektrycznych urządzeń do spawania i procesów pokrewnych </w:t>
            </w:r>
            <w:r w:rsidRPr="006F4B80">
              <w:rPr>
                <w:rFonts w:eastAsia="Calibri" w:cstheme="minorHAnsi"/>
                <w:b/>
                <w:bCs/>
                <w:iCs/>
                <w:lang w:eastAsia="ar-SA"/>
              </w:rPr>
              <w:t>(PKD 27.90.Z);</w:t>
            </w:r>
          </w:p>
          <w:p w14:paraId="27E26AA0" w14:textId="77777777" w:rsidR="005D7A64" w:rsidRPr="00A05CDF" w:rsidRDefault="005D7A64" w:rsidP="002A2BE7">
            <w:pPr>
              <w:numPr>
                <w:ilvl w:val="0"/>
                <w:numId w:val="29"/>
              </w:numPr>
              <w:suppressAutoHyphens/>
              <w:spacing w:after="0"/>
              <w:ind w:left="1843" w:hanging="357"/>
              <w:jc w:val="both"/>
              <w:rPr>
                <w:rFonts w:eastAsia="Calibri" w:cstheme="minorHAnsi"/>
                <w:lang w:eastAsia="ar-SA"/>
              </w:rPr>
            </w:pPr>
            <w:r w:rsidRPr="00A05CDF">
              <w:rPr>
                <w:rFonts w:eastAsia="Calibri" w:cstheme="minorHAnsi"/>
                <w:lang w:eastAsia="ar-SA"/>
              </w:rPr>
              <w:t xml:space="preserve">maszyn stosowanych w przetwórstwie żywności </w:t>
            </w:r>
            <w:r w:rsidRPr="006F4B80">
              <w:rPr>
                <w:rFonts w:eastAsia="Calibri" w:cstheme="minorHAnsi"/>
                <w:b/>
                <w:bCs/>
                <w:lang w:eastAsia="ar-SA"/>
              </w:rPr>
              <w:t>(PKD 28.93.Z)</w:t>
            </w:r>
            <w:r w:rsidR="00824C56">
              <w:rPr>
                <w:rFonts w:eastAsia="Calibri" w:cstheme="minorHAnsi"/>
                <w:lang w:eastAsia="ar-SA"/>
              </w:rPr>
              <w:t xml:space="preserve"> m.in. dla przemysłu mięsnego.</w:t>
            </w:r>
          </w:p>
          <w:p w14:paraId="342148C7" w14:textId="77777777" w:rsidR="005D7A64" w:rsidRPr="00A05CDF" w:rsidRDefault="005D7A64" w:rsidP="002A2BE7">
            <w:pPr>
              <w:numPr>
                <w:ilvl w:val="0"/>
                <w:numId w:val="29"/>
              </w:numPr>
              <w:suppressAutoHyphens/>
              <w:spacing w:after="0"/>
              <w:ind w:left="1843" w:hanging="357"/>
              <w:jc w:val="both"/>
              <w:rPr>
                <w:rFonts w:eastAsia="Calibri" w:cstheme="minorHAnsi"/>
                <w:lang w:eastAsia="ar-SA"/>
              </w:rPr>
            </w:pPr>
            <w:r w:rsidRPr="00A05CDF">
              <w:rPr>
                <w:rFonts w:eastAsia="Calibri" w:cstheme="minorHAnsi"/>
                <w:lang w:eastAsia="ar-SA"/>
              </w:rPr>
              <w:t xml:space="preserve">materiałów i innych wyrobów wzorcowych w związku z prowadzonymi badaniami naukowymi i pracami rozwojowymi </w:t>
            </w:r>
            <w:r w:rsidRPr="006F4B80">
              <w:rPr>
                <w:rFonts w:eastAsia="Calibri" w:cstheme="minorHAnsi"/>
                <w:b/>
                <w:bCs/>
                <w:lang w:eastAsia="ar-SA"/>
              </w:rPr>
              <w:t>(PKD 32.99.Z);</w:t>
            </w:r>
            <w:r w:rsidR="00280C72">
              <w:rPr>
                <w:rFonts w:eastAsia="Calibri" w:cstheme="minorHAnsi"/>
                <w:b/>
                <w:bCs/>
                <w:lang w:eastAsia="ar-SA"/>
              </w:rPr>
              <w:t xml:space="preserve"> </w:t>
            </w:r>
            <w:r w:rsidR="00280C72">
              <w:rPr>
                <w:rFonts w:eastAsia="Calibri" w:cstheme="minorHAnsi"/>
                <w:lang w:eastAsia="ar-SA"/>
              </w:rPr>
              <w:t xml:space="preserve">(Zamawiający wytwarza tzw. Certyfikowane materiały odniesienia – wzorce składu chemicznego stali, stopów niklu i kobaltu, </w:t>
            </w:r>
            <w:r w:rsidR="00824C56">
              <w:rPr>
                <w:rFonts w:eastAsia="Calibri" w:cstheme="minorHAnsi"/>
                <w:lang w:eastAsia="ar-SA"/>
              </w:rPr>
              <w:t>r</w:t>
            </w:r>
            <w:r w:rsidR="00280C72">
              <w:rPr>
                <w:rFonts w:eastAsia="Calibri" w:cstheme="minorHAnsi"/>
                <w:lang w:eastAsia="ar-SA"/>
              </w:rPr>
              <w:t>ud żelaza i żużli. Produkcja ma charakter unikatowy i jednostkowy.</w:t>
            </w:r>
            <w:r w:rsidR="006A57B2">
              <w:rPr>
                <w:rFonts w:eastAsia="Calibri" w:cstheme="minorHAnsi"/>
                <w:lang w:eastAsia="ar-SA"/>
              </w:rPr>
              <w:t xml:space="preserve"> </w:t>
            </w:r>
            <w:r w:rsidR="006A57B2" w:rsidRPr="00F67448">
              <w:rPr>
                <w:sz w:val="20"/>
              </w:rPr>
              <w:t>Oznacza to, że raz wyprodukowanego wzorca nie można wytworzyć powtórnie w sposób w pełni powtarzalny.</w:t>
            </w:r>
          </w:p>
          <w:p w14:paraId="7BF1CD29" w14:textId="77777777" w:rsidR="005D7A64" w:rsidRPr="00A05CDF" w:rsidRDefault="005D7A64" w:rsidP="002A2BE7">
            <w:pPr>
              <w:numPr>
                <w:ilvl w:val="0"/>
                <w:numId w:val="29"/>
              </w:numPr>
              <w:suppressAutoHyphens/>
              <w:spacing w:after="0"/>
              <w:ind w:left="1843"/>
              <w:jc w:val="both"/>
              <w:rPr>
                <w:rFonts w:eastAsia="Calibri" w:cstheme="minorHAnsi"/>
                <w:lang w:eastAsia="ar-SA"/>
              </w:rPr>
            </w:pPr>
            <w:r w:rsidRPr="00A05CDF">
              <w:rPr>
                <w:rFonts w:eastAsia="Calibri" w:cstheme="minorHAnsi"/>
                <w:lang w:eastAsia="ar-SA"/>
              </w:rPr>
              <w:lastRenderedPageBreak/>
              <w:t xml:space="preserve">materiałów dodatkowych do spawania, napawania i lutowania  (produkcja pozostałych wyrobów chemicznych, gdzie indziej niesklasyfikowana, </w:t>
            </w:r>
            <w:r w:rsidRPr="006F4B80">
              <w:rPr>
                <w:rFonts w:eastAsia="Calibri" w:cstheme="minorHAnsi"/>
                <w:b/>
                <w:bCs/>
                <w:lang w:eastAsia="ar-SA"/>
              </w:rPr>
              <w:t>PKD 20.59.Z);</w:t>
            </w:r>
          </w:p>
          <w:p w14:paraId="06589A0E" w14:textId="77777777" w:rsidR="005D7A64" w:rsidRPr="00A05CDF" w:rsidRDefault="005D7A64" w:rsidP="002A2BE7">
            <w:pPr>
              <w:numPr>
                <w:ilvl w:val="0"/>
                <w:numId w:val="27"/>
              </w:numPr>
              <w:suppressAutoHyphens/>
              <w:spacing w:after="0"/>
              <w:ind w:left="1418"/>
              <w:jc w:val="both"/>
              <w:rPr>
                <w:rFonts w:eastAsia="Calibri" w:cstheme="minorHAnsi"/>
                <w:lang w:eastAsia="ar-SA"/>
              </w:rPr>
            </w:pPr>
            <w:r w:rsidRPr="00A05CDF">
              <w:rPr>
                <w:rFonts w:eastAsia="Calibri" w:cstheme="minorHAnsi"/>
                <w:lang w:eastAsia="ar-SA"/>
              </w:rPr>
              <w:t>obróbki mechanicznej elementów metalowych (</w:t>
            </w:r>
            <w:r w:rsidRPr="006F4B80">
              <w:rPr>
                <w:rFonts w:eastAsia="Calibri" w:cstheme="minorHAnsi"/>
                <w:b/>
                <w:bCs/>
                <w:lang w:eastAsia="ar-SA"/>
              </w:rPr>
              <w:t>PKD 25.62.Z);</w:t>
            </w:r>
          </w:p>
          <w:p w14:paraId="101ABDD1" w14:textId="77777777" w:rsidR="005D7A64" w:rsidRPr="006841D9" w:rsidRDefault="005D7A64" w:rsidP="002A2BE7">
            <w:pPr>
              <w:numPr>
                <w:ilvl w:val="0"/>
                <w:numId w:val="27"/>
              </w:numPr>
              <w:suppressAutoHyphens/>
              <w:spacing w:after="0"/>
              <w:ind w:left="1418"/>
              <w:jc w:val="both"/>
              <w:rPr>
                <w:rFonts w:eastAsia="Calibri" w:cstheme="minorHAnsi"/>
                <w:lang w:eastAsia="ar-SA"/>
              </w:rPr>
            </w:pPr>
            <w:r w:rsidRPr="006841D9">
              <w:rPr>
                <w:rFonts w:eastAsia="Calibri" w:cstheme="minorHAnsi"/>
                <w:lang w:eastAsia="ar-SA"/>
              </w:rPr>
              <w:t xml:space="preserve">naprawy i konserwacji: </w:t>
            </w:r>
          </w:p>
          <w:p w14:paraId="6CF0AD46" w14:textId="77777777" w:rsidR="005D7A64" w:rsidRPr="006841D9" w:rsidRDefault="005D7A64" w:rsidP="002A2BE7">
            <w:pPr>
              <w:numPr>
                <w:ilvl w:val="0"/>
                <w:numId w:val="30"/>
              </w:numPr>
              <w:suppressAutoHyphens/>
              <w:spacing w:after="0"/>
              <w:ind w:left="1843" w:hanging="357"/>
              <w:jc w:val="both"/>
              <w:rPr>
                <w:rFonts w:eastAsia="Calibri" w:cstheme="minorHAnsi"/>
                <w:lang w:eastAsia="ar-SA"/>
              </w:rPr>
            </w:pPr>
            <w:r w:rsidRPr="006841D9">
              <w:rPr>
                <w:rFonts w:eastAsia="Calibri" w:cstheme="minorHAnsi"/>
                <w:lang w:eastAsia="ar-SA"/>
              </w:rPr>
              <w:t xml:space="preserve">urządzeń elektrycznych </w:t>
            </w:r>
            <w:r w:rsidRPr="006F4B80">
              <w:rPr>
                <w:rFonts w:eastAsia="Calibri" w:cstheme="minorHAnsi"/>
                <w:b/>
                <w:bCs/>
                <w:lang w:eastAsia="ar-SA"/>
              </w:rPr>
              <w:t>(PKD 33.14.Z);</w:t>
            </w:r>
          </w:p>
          <w:p w14:paraId="68345907" w14:textId="77777777" w:rsidR="005D7A64" w:rsidRPr="006841D9" w:rsidRDefault="005D7A64" w:rsidP="002A2BE7">
            <w:pPr>
              <w:numPr>
                <w:ilvl w:val="0"/>
                <w:numId w:val="30"/>
              </w:numPr>
              <w:suppressAutoHyphens/>
              <w:spacing w:after="0"/>
              <w:ind w:left="1843" w:hanging="357"/>
              <w:jc w:val="both"/>
              <w:rPr>
                <w:rFonts w:eastAsia="Calibri" w:cstheme="minorHAnsi"/>
                <w:lang w:eastAsia="ar-SA"/>
              </w:rPr>
            </w:pPr>
            <w:r w:rsidRPr="006841D9">
              <w:rPr>
                <w:rFonts w:eastAsia="Calibri" w:cstheme="minorHAnsi"/>
                <w:lang w:eastAsia="ar-SA"/>
              </w:rPr>
              <w:t xml:space="preserve">maszyn stosowanych w przetwórstwie żywności </w:t>
            </w:r>
            <w:r w:rsidRPr="006F4B80">
              <w:rPr>
                <w:rFonts w:eastAsia="Calibri" w:cstheme="minorHAnsi"/>
                <w:b/>
                <w:bCs/>
                <w:lang w:eastAsia="ar-SA"/>
              </w:rPr>
              <w:t xml:space="preserve">(PKD 33.12.Z); </w:t>
            </w:r>
          </w:p>
          <w:p w14:paraId="3B485276" w14:textId="77777777" w:rsidR="005D7A64" w:rsidRDefault="005D7A64" w:rsidP="002A2BE7">
            <w:pPr>
              <w:numPr>
                <w:ilvl w:val="0"/>
                <w:numId w:val="27"/>
              </w:numPr>
              <w:suppressAutoHyphens/>
              <w:spacing w:after="0"/>
              <w:ind w:left="1418" w:hanging="357"/>
              <w:jc w:val="both"/>
              <w:rPr>
                <w:rFonts w:eastAsia="Calibri" w:cstheme="minorHAnsi"/>
                <w:lang w:eastAsia="ar-SA"/>
              </w:rPr>
            </w:pPr>
            <w:r w:rsidRPr="006841D9">
              <w:rPr>
                <w:rFonts w:eastAsia="Calibri" w:cstheme="minorHAnsi"/>
                <w:lang w:eastAsia="ar-SA"/>
              </w:rPr>
              <w:t>sprzedaży hurtowej (PKD 46.69.Z) i detalicznej (PKD 47.99.Z) silników elektrycz</w:t>
            </w:r>
            <w:r>
              <w:rPr>
                <w:rFonts w:eastAsia="Calibri" w:cstheme="minorHAnsi"/>
                <w:lang w:eastAsia="ar-SA"/>
              </w:rPr>
              <w:t>nych, prądnic i transformatorów;</w:t>
            </w:r>
          </w:p>
          <w:p w14:paraId="60904870" w14:textId="77777777" w:rsidR="005D7A64" w:rsidRPr="005D7A64" w:rsidRDefault="005D7A64" w:rsidP="002A2BE7">
            <w:pPr>
              <w:numPr>
                <w:ilvl w:val="0"/>
                <w:numId w:val="27"/>
              </w:numPr>
              <w:suppressAutoHyphens/>
              <w:spacing w:after="0"/>
              <w:ind w:left="1418"/>
              <w:jc w:val="both"/>
              <w:rPr>
                <w:rFonts w:eastAsia="Calibri" w:cstheme="minorHAnsi"/>
                <w:iCs/>
                <w:lang w:eastAsia="ar-SA"/>
              </w:rPr>
            </w:pPr>
            <w:r w:rsidRPr="00A05CDF">
              <w:rPr>
                <w:rFonts w:eastAsia="Calibri" w:cstheme="minorHAnsi"/>
                <w:iCs/>
                <w:lang w:eastAsia="ar-SA"/>
              </w:rPr>
              <w:t xml:space="preserve">wynajmu i zarządzania nieruchomościami własnymi i dzierżawionymi </w:t>
            </w:r>
            <w:r w:rsidRPr="006F4B80">
              <w:rPr>
                <w:rFonts w:eastAsia="Calibri" w:cstheme="minorHAnsi"/>
                <w:b/>
                <w:bCs/>
                <w:iCs/>
                <w:lang w:eastAsia="ar-SA"/>
              </w:rPr>
              <w:t>(PKD 68.20.Z).</w:t>
            </w:r>
          </w:p>
          <w:p w14:paraId="1A37ED25" w14:textId="77777777" w:rsidR="005D7A64" w:rsidRPr="00B579FD" w:rsidRDefault="005D7A64" w:rsidP="005D7A64">
            <w:pPr>
              <w:suppressAutoHyphens/>
              <w:spacing w:after="0"/>
              <w:ind w:left="1418"/>
              <w:jc w:val="both"/>
              <w:rPr>
                <w:rFonts w:eastAsia="Calibri" w:cstheme="minorHAnsi"/>
                <w:iCs/>
                <w:lang w:eastAsia="ar-SA"/>
              </w:rPr>
            </w:pPr>
          </w:p>
          <w:p w14:paraId="6E9172F7" w14:textId="77777777" w:rsidR="005D7A64" w:rsidRPr="005D7A64" w:rsidRDefault="005D7A64" w:rsidP="002A2BE7">
            <w:pPr>
              <w:numPr>
                <w:ilvl w:val="0"/>
                <w:numId w:val="24"/>
              </w:numPr>
              <w:suppressAutoHyphens/>
              <w:spacing w:after="0"/>
              <w:ind w:left="426" w:hanging="426"/>
              <w:jc w:val="both"/>
              <w:rPr>
                <w:rFonts w:eastAsia="Calibri" w:cstheme="minorHAnsi"/>
                <w:b/>
                <w:bCs/>
                <w:lang w:eastAsia="ar-SA"/>
              </w:rPr>
            </w:pPr>
            <w:r w:rsidRPr="005D7A64">
              <w:rPr>
                <w:rFonts w:eastAsia="Calibri" w:cstheme="minorHAnsi"/>
                <w:b/>
                <w:bCs/>
                <w:lang w:eastAsia="ar-SA"/>
              </w:rPr>
              <w:t xml:space="preserve">Zakres działalności Instytutu Sieci obejmuje obszary:  </w:t>
            </w:r>
          </w:p>
          <w:p w14:paraId="5CF4555B" w14:textId="77777777" w:rsidR="005D7A64" w:rsidRPr="00A05CDF" w:rsidRDefault="005D7A64" w:rsidP="002A2BE7">
            <w:pPr>
              <w:numPr>
                <w:ilvl w:val="0"/>
                <w:numId w:val="28"/>
              </w:numPr>
              <w:suppressAutoHyphens/>
              <w:spacing w:after="0"/>
              <w:jc w:val="both"/>
              <w:rPr>
                <w:rFonts w:eastAsia="Calibri" w:cstheme="minorHAnsi"/>
                <w:lang w:eastAsia="ar-SA"/>
              </w:rPr>
            </w:pPr>
            <w:r w:rsidRPr="00A05CDF">
              <w:rPr>
                <w:rFonts w:eastAsia="Calibri" w:cstheme="minorHAnsi"/>
                <w:lang w:eastAsia="ar-SA"/>
              </w:rPr>
              <w:t xml:space="preserve">wytwarzania i przetwórstwa stali, innych stopów i związków żelaza oraz stopów i związków innych metali, </w:t>
            </w:r>
          </w:p>
          <w:p w14:paraId="247B65FE" w14:textId="77777777" w:rsidR="005D7A64" w:rsidRPr="00A05CDF" w:rsidRDefault="005D7A64" w:rsidP="002A2BE7">
            <w:pPr>
              <w:numPr>
                <w:ilvl w:val="0"/>
                <w:numId w:val="28"/>
              </w:numPr>
              <w:suppressAutoHyphens/>
              <w:spacing w:after="0"/>
              <w:jc w:val="both"/>
              <w:rPr>
                <w:rFonts w:eastAsia="Calibri" w:cstheme="minorHAnsi"/>
                <w:lang w:eastAsia="ar-SA"/>
              </w:rPr>
            </w:pPr>
            <w:r w:rsidRPr="00A05CDF">
              <w:rPr>
                <w:rFonts w:eastAsia="Calibri" w:cstheme="minorHAnsi"/>
                <w:lang w:eastAsia="ar-SA"/>
              </w:rPr>
              <w:t>stosowania i użytkowania wyrobów ze stali i z innych metali i stopów,</w:t>
            </w:r>
          </w:p>
          <w:p w14:paraId="2D048443" w14:textId="77777777" w:rsidR="005D7A64" w:rsidRPr="00A05CDF" w:rsidRDefault="005D7A64" w:rsidP="002A2BE7">
            <w:pPr>
              <w:numPr>
                <w:ilvl w:val="0"/>
                <w:numId w:val="28"/>
              </w:numPr>
              <w:suppressAutoHyphens/>
              <w:spacing w:after="0"/>
              <w:jc w:val="both"/>
              <w:rPr>
                <w:rFonts w:eastAsia="Calibri" w:cstheme="minorHAnsi"/>
                <w:lang w:eastAsia="ar-SA"/>
              </w:rPr>
            </w:pPr>
            <w:r w:rsidRPr="00A05CDF">
              <w:rPr>
                <w:rFonts w:eastAsia="Calibri" w:cstheme="minorHAnsi"/>
                <w:lang w:eastAsia="ar-SA"/>
              </w:rPr>
              <w:t xml:space="preserve">stanu i rozwoju przemysłu stalowego, rynku wyrobów hutniczych, strategii i efektywności przedsięwzięć przemysłowych, </w:t>
            </w:r>
          </w:p>
          <w:p w14:paraId="2152C0A7" w14:textId="77777777" w:rsidR="005D7A64" w:rsidRPr="00A05CDF" w:rsidRDefault="005D7A64" w:rsidP="002A2BE7">
            <w:pPr>
              <w:numPr>
                <w:ilvl w:val="0"/>
                <w:numId w:val="28"/>
              </w:numPr>
              <w:suppressAutoHyphens/>
              <w:spacing w:after="0"/>
              <w:jc w:val="both"/>
              <w:rPr>
                <w:rFonts w:eastAsia="Calibri" w:cstheme="minorHAnsi"/>
                <w:lang w:eastAsia="ar-SA"/>
              </w:rPr>
            </w:pPr>
            <w:r w:rsidRPr="00A05CDF">
              <w:rPr>
                <w:rFonts w:eastAsia="Calibri" w:cstheme="minorHAnsi"/>
                <w:lang w:eastAsia="ar-SA"/>
              </w:rPr>
              <w:t>technologii materiałowych, sterowania i zarządzania procesami, mechaniki oraz konstrukcji i technologii maszyn,</w:t>
            </w:r>
          </w:p>
          <w:p w14:paraId="7EB596FD" w14:textId="77777777" w:rsidR="005D7A64" w:rsidRPr="00A05CDF" w:rsidRDefault="005D7A64" w:rsidP="002A2BE7">
            <w:pPr>
              <w:numPr>
                <w:ilvl w:val="0"/>
                <w:numId w:val="28"/>
              </w:numPr>
              <w:suppressAutoHyphens/>
              <w:spacing w:after="0"/>
              <w:jc w:val="both"/>
              <w:rPr>
                <w:rFonts w:eastAsia="Calibri" w:cstheme="minorHAnsi"/>
                <w:lang w:eastAsia="ar-SA"/>
              </w:rPr>
            </w:pPr>
            <w:r w:rsidRPr="00A05CDF">
              <w:rPr>
                <w:rFonts w:eastAsia="Calibri" w:cstheme="minorHAnsi"/>
                <w:lang w:eastAsia="ar-SA"/>
              </w:rPr>
              <w:t>materiałów żaroodpornych i żarowytrzymałych</w:t>
            </w:r>
            <w:r w:rsidRPr="005138FD">
              <w:rPr>
                <w:rFonts w:cs="Calibri"/>
              </w:rPr>
              <w:t xml:space="preserve"> </w:t>
            </w:r>
            <w:r>
              <w:rPr>
                <w:rFonts w:cs="Calibri"/>
              </w:rPr>
              <w:t xml:space="preserve">oraz </w:t>
            </w:r>
            <w:r w:rsidRPr="00AD58FA">
              <w:rPr>
                <w:rFonts w:cs="Calibri"/>
              </w:rPr>
              <w:t>powłok ochronnych</w:t>
            </w:r>
            <w:r w:rsidRPr="00AD58FA">
              <w:rPr>
                <w:rFonts w:eastAsia="Calibri" w:cstheme="minorHAnsi"/>
                <w:lang w:eastAsia="ar-SA"/>
              </w:rPr>
              <w:t xml:space="preserve">, </w:t>
            </w:r>
            <w:r w:rsidRPr="00A05CDF">
              <w:rPr>
                <w:rFonts w:eastAsia="Calibri" w:cstheme="minorHAnsi"/>
                <w:lang w:eastAsia="ar-SA"/>
              </w:rPr>
              <w:t>w szczególności pracujących w warunkach pełzania,</w:t>
            </w:r>
          </w:p>
          <w:p w14:paraId="176E5D53" w14:textId="77777777" w:rsidR="005D7A64" w:rsidRPr="00A05CDF" w:rsidRDefault="005D7A64" w:rsidP="002A2BE7">
            <w:pPr>
              <w:numPr>
                <w:ilvl w:val="0"/>
                <w:numId w:val="28"/>
              </w:numPr>
              <w:suppressAutoHyphens/>
              <w:spacing w:after="0"/>
              <w:jc w:val="both"/>
              <w:rPr>
                <w:rFonts w:eastAsia="Calibri" w:cstheme="minorHAnsi"/>
                <w:lang w:eastAsia="ar-SA"/>
              </w:rPr>
            </w:pPr>
            <w:r w:rsidRPr="00A05CDF">
              <w:rPr>
                <w:rFonts w:eastAsia="Calibri" w:cstheme="minorHAnsi"/>
                <w:lang w:eastAsia="ar-SA"/>
              </w:rPr>
              <w:t xml:space="preserve">technologii w dziedzinie spawalnictwa i procesów pokrewnych, a w szczególności: </w:t>
            </w:r>
          </w:p>
          <w:p w14:paraId="7FFF04E7" w14:textId="77777777" w:rsidR="005D7A64" w:rsidRPr="00A05CDF" w:rsidRDefault="005D7A64" w:rsidP="002A2BE7">
            <w:pPr>
              <w:numPr>
                <w:ilvl w:val="0"/>
                <w:numId w:val="25"/>
              </w:numPr>
              <w:suppressAutoHyphens/>
              <w:spacing w:after="0"/>
              <w:jc w:val="both"/>
              <w:rPr>
                <w:rFonts w:eastAsia="Calibri" w:cstheme="minorHAnsi"/>
                <w:lang w:eastAsia="ar-SA"/>
              </w:rPr>
            </w:pPr>
            <w:r w:rsidRPr="00A05CDF">
              <w:rPr>
                <w:rFonts w:eastAsia="Calibri" w:cstheme="minorHAnsi"/>
                <w:lang w:eastAsia="ar-SA"/>
              </w:rPr>
              <w:t>spawania, lutowania, napawania, cięcia termicznego i procesów pokrewnych,</w:t>
            </w:r>
          </w:p>
          <w:p w14:paraId="756C0441" w14:textId="77777777" w:rsidR="005D7A64" w:rsidRPr="00A05CDF" w:rsidRDefault="005D7A64" w:rsidP="002A2BE7">
            <w:pPr>
              <w:numPr>
                <w:ilvl w:val="0"/>
                <w:numId w:val="25"/>
              </w:numPr>
              <w:suppressAutoHyphens/>
              <w:spacing w:after="0"/>
              <w:jc w:val="both"/>
              <w:rPr>
                <w:rFonts w:eastAsia="Calibri" w:cstheme="minorHAnsi"/>
                <w:lang w:eastAsia="ar-SA"/>
              </w:rPr>
            </w:pPr>
            <w:r w:rsidRPr="00A05CDF">
              <w:rPr>
                <w:rFonts w:eastAsia="Calibri" w:cstheme="minorHAnsi"/>
                <w:lang w:eastAsia="ar-SA"/>
              </w:rPr>
              <w:t>zgrzewania i innych procesów łączenia materiałów bez doprowadzania do stanu ciekłego,</w:t>
            </w:r>
          </w:p>
          <w:p w14:paraId="4BEC3902" w14:textId="77777777" w:rsidR="005D7A64" w:rsidRPr="00A05CDF" w:rsidRDefault="005D7A64" w:rsidP="002A2BE7">
            <w:pPr>
              <w:numPr>
                <w:ilvl w:val="0"/>
                <w:numId w:val="28"/>
              </w:numPr>
              <w:suppressAutoHyphens/>
              <w:spacing w:after="0"/>
              <w:jc w:val="both"/>
              <w:rPr>
                <w:rFonts w:eastAsia="Calibri" w:cstheme="minorHAnsi"/>
                <w:lang w:eastAsia="ar-SA"/>
              </w:rPr>
            </w:pPr>
            <w:r w:rsidRPr="00A05CDF">
              <w:rPr>
                <w:rFonts w:eastAsia="Calibri" w:cstheme="minorHAnsi"/>
                <w:lang w:eastAsia="ar-SA"/>
              </w:rPr>
              <w:t>spawalności, zgrzewalności i lutowności materiałów oraz ich połączeń i konstrukcji, wykonanych przy wykorzystaniu technologii wymienionych powyżej,</w:t>
            </w:r>
          </w:p>
          <w:p w14:paraId="4053E442" w14:textId="77777777" w:rsidR="005D7A64" w:rsidRPr="00A05CDF" w:rsidRDefault="005D7A64" w:rsidP="002A2BE7">
            <w:pPr>
              <w:numPr>
                <w:ilvl w:val="0"/>
                <w:numId w:val="28"/>
              </w:numPr>
              <w:suppressAutoHyphens/>
              <w:spacing w:after="0"/>
              <w:jc w:val="both"/>
              <w:rPr>
                <w:rFonts w:eastAsia="Calibri" w:cstheme="minorHAnsi"/>
                <w:lang w:eastAsia="ar-SA"/>
              </w:rPr>
            </w:pPr>
            <w:r w:rsidRPr="00A05CDF">
              <w:rPr>
                <w:rFonts w:eastAsia="Calibri" w:cstheme="minorHAnsi"/>
                <w:lang w:eastAsia="ar-SA"/>
              </w:rPr>
              <w:t>nowych materiałów dodatkowych do spawania, napawania, lutowania</w:t>
            </w:r>
            <w:r w:rsidRPr="00A05CDF">
              <w:rPr>
                <w:rFonts w:eastAsia="Calibri" w:cstheme="minorHAnsi"/>
                <w:sz w:val="28"/>
                <w:szCs w:val="28"/>
                <w:lang w:eastAsia="ar-SA"/>
              </w:rPr>
              <w:t xml:space="preserve"> </w:t>
            </w:r>
            <w:r w:rsidRPr="00A05CDF">
              <w:rPr>
                <w:rFonts w:eastAsia="Calibri" w:cstheme="minorHAnsi"/>
                <w:lang w:eastAsia="ar-SA"/>
              </w:rPr>
              <w:t>i innych metod łączenia,</w:t>
            </w:r>
          </w:p>
          <w:p w14:paraId="6D688C58" w14:textId="77777777" w:rsidR="005D7A64" w:rsidRPr="00A05CDF" w:rsidRDefault="005D7A64" w:rsidP="002A2BE7">
            <w:pPr>
              <w:numPr>
                <w:ilvl w:val="0"/>
                <w:numId w:val="28"/>
              </w:numPr>
              <w:suppressAutoHyphens/>
              <w:spacing w:after="0"/>
              <w:jc w:val="both"/>
              <w:rPr>
                <w:rFonts w:eastAsia="Calibri" w:cstheme="minorHAnsi"/>
                <w:lang w:eastAsia="ar-SA"/>
              </w:rPr>
            </w:pPr>
            <w:r w:rsidRPr="00A05CDF">
              <w:rPr>
                <w:rFonts w:eastAsia="Calibri" w:cstheme="minorHAnsi"/>
                <w:lang w:eastAsia="ar-SA"/>
              </w:rPr>
              <w:t>automatyzacji i robotyzacji procesów spawalniczych, z wykorzystaniem elektronicznych źródeł energii w urządzeniach spawalniczych oraz systemów pomiaru parametrów, sterowania i regulacji procesów spawalniczych,</w:t>
            </w:r>
          </w:p>
          <w:p w14:paraId="5EDCFA09" w14:textId="77777777" w:rsidR="005D7A64" w:rsidRPr="00A05CDF" w:rsidRDefault="005D7A64" w:rsidP="002A2BE7">
            <w:pPr>
              <w:numPr>
                <w:ilvl w:val="0"/>
                <w:numId w:val="28"/>
              </w:numPr>
              <w:suppressAutoHyphens/>
              <w:spacing w:after="0"/>
              <w:jc w:val="both"/>
              <w:rPr>
                <w:rFonts w:eastAsia="Calibri" w:cstheme="minorHAnsi"/>
                <w:lang w:eastAsia="ar-SA"/>
              </w:rPr>
            </w:pPr>
            <w:r w:rsidRPr="00A05CDF">
              <w:rPr>
                <w:rFonts w:eastAsia="Calibri" w:cstheme="minorHAnsi"/>
                <w:spacing w:val="-2"/>
                <w:lang w:eastAsia="ar-SA"/>
              </w:rPr>
              <w:t>nowych urządzeń i osprzętu do spawania, zgrzewania i lutowania</w:t>
            </w:r>
            <w:r w:rsidRPr="00A05CDF">
              <w:rPr>
                <w:rFonts w:eastAsia="Calibri" w:cstheme="minorHAnsi"/>
                <w:lang w:eastAsia="ar-SA"/>
              </w:rPr>
              <w:t xml:space="preserve"> oraz procesów pokrewnych, </w:t>
            </w:r>
          </w:p>
          <w:p w14:paraId="5E712507" w14:textId="77777777" w:rsidR="005D7A64" w:rsidRPr="00A05CDF" w:rsidRDefault="005D7A64" w:rsidP="002A2BE7">
            <w:pPr>
              <w:numPr>
                <w:ilvl w:val="0"/>
                <w:numId w:val="28"/>
              </w:numPr>
              <w:suppressAutoHyphens/>
              <w:spacing w:after="0"/>
              <w:jc w:val="both"/>
              <w:rPr>
                <w:rFonts w:eastAsia="Calibri" w:cstheme="minorHAnsi"/>
                <w:lang w:eastAsia="ar-SA"/>
              </w:rPr>
            </w:pPr>
            <w:r w:rsidRPr="00A05CDF">
              <w:rPr>
                <w:rFonts w:eastAsia="Calibri" w:cstheme="minorHAnsi"/>
                <w:lang w:eastAsia="ar-SA"/>
              </w:rPr>
              <w:t>tworzenia teorii, projektowania, konstrukcji, technologii, badań laboratoryjnych i badań diagnostycznych</w:t>
            </w:r>
            <w:r w:rsidR="00824C56">
              <w:rPr>
                <w:rFonts w:eastAsia="Calibri" w:cstheme="minorHAnsi"/>
                <w:lang w:eastAsia="ar-SA"/>
              </w:rPr>
              <w:t xml:space="preserve"> (w tym: opracowanie dokumentacji technicznej)</w:t>
            </w:r>
            <w:r w:rsidRPr="00A05CDF">
              <w:rPr>
                <w:rFonts w:eastAsia="Calibri" w:cstheme="minorHAnsi"/>
                <w:lang w:eastAsia="ar-SA"/>
              </w:rPr>
              <w:t>:</w:t>
            </w:r>
          </w:p>
          <w:p w14:paraId="35A65DC0" w14:textId="77777777" w:rsidR="005D7A64" w:rsidRPr="00A05CDF" w:rsidRDefault="005D7A64" w:rsidP="002A2BE7">
            <w:pPr>
              <w:numPr>
                <w:ilvl w:val="2"/>
                <w:numId w:val="26"/>
              </w:numPr>
              <w:tabs>
                <w:tab w:val="num" w:pos="1440"/>
                <w:tab w:val="left" w:pos="4320"/>
              </w:tabs>
              <w:suppressAutoHyphens/>
              <w:spacing w:after="0"/>
              <w:ind w:left="1440"/>
              <w:jc w:val="both"/>
              <w:rPr>
                <w:rFonts w:eastAsia="Calibri" w:cstheme="minorHAnsi"/>
                <w:lang w:eastAsia="ar-SA"/>
              </w:rPr>
            </w:pPr>
            <w:r w:rsidRPr="00A05CDF">
              <w:rPr>
                <w:rFonts w:eastAsia="Calibri" w:cstheme="minorHAnsi"/>
                <w:lang w:eastAsia="ar-SA"/>
              </w:rPr>
              <w:t>maszyn elektrycznych, transformatorów oraz urządzeń elektromechanicznych prądu stałego i przemiennego,</w:t>
            </w:r>
          </w:p>
          <w:p w14:paraId="4A677148" w14:textId="77777777" w:rsidR="005D7A64" w:rsidRPr="00A05CDF" w:rsidRDefault="005D7A64" w:rsidP="002A2BE7">
            <w:pPr>
              <w:numPr>
                <w:ilvl w:val="2"/>
                <w:numId w:val="26"/>
              </w:numPr>
              <w:tabs>
                <w:tab w:val="num" w:pos="1260"/>
                <w:tab w:val="num" w:pos="1440"/>
                <w:tab w:val="left" w:pos="4320"/>
              </w:tabs>
              <w:suppressAutoHyphens/>
              <w:spacing w:after="0"/>
              <w:ind w:left="1440"/>
              <w:jc w:val="both"/>
              <w:rPr>
                <w:rFonts w:eastAsia="Calibri" w:cstheme="minorHAnsi"/>
                <w:lang w:eastAsia="ar-SA"/>
              </w:rPr>
            </w:pPr>
            <w:r w:rsidRPr="00A05CDF">
              <w:rPr>
                <w:rFonts w:eastAsia="Calibri" w:cstheme="minorHAnsi"/>
                <w:lang w:eastAsia="ar-SA"/>
              </w:rPr>
              <w:t>elektrycznych układów napędowych do wszelkiego rodzaju zastosowań oraz ich ele</w:t>
            </w:r>
            <w:r w:rsidRPr="00A05CDF">
              <w:rPr>
                <w:rFonts w:eastAsia="Calibri" w:cstheme="minorHAnsi"/>
                <w:lang w:eastAsia="ar-SA"/>
              </w:rPr>
              <w:softHyphen/>
              <w:t>mentów składowych w tym energoelektroniki i elektroniki,</w:t>
            </w:r>
          </w:p>
          <w:p w14:paraId="7D71AB86" w14:textId="77777777" w:rsidR="005D7A64" w:rsidRPr="00A05CDF" w:rsidRDefault="005D7A64" w:rsidP="002A2BE7">
            <w:pPr>
              <w:numPr>
                <w:ilvl w:val="2"/>
                <w:numId w:val="26"/>
              </w:numPr>
              <w:tabs>
                <w:tab w:val="num" w:pos="1260"/>
                <w:tab w:val="num" w:pos="1440"/>
                <w:tab w:val="left" w:pos="4320"/>
              </w:tabs>
              <w:suppressAutoHyphens/>
              <w:spacing w:after="0"/>
              <w:ind w:left="1440"/>
              <w:jc w:val="both"/>
              <w:rPr>
                <w:rFonts w:eastAsia="Calibri" w:cstheme="minorHAnsi"/>
                <w:lang w:eastAsia="ar-SA"/>
              </w:rPr>
            </w:pPr>
            <w:r w:rsidRPr="00A05CDF">
              <w:rPr>
                <w:rFonts w:eastAsia="Calibri" w:cstheme="minorHAnsi"/>
                <w:lang w:eastAsia="ar-SA"/>
              </w:rPr>
              <w:t xml:space="preserve">    urządzeń dla odnawialnych źródeł energii,</w:t>
            </w:r>
          </w:p>
          <w:p w14:paraId="0CCE21C1" w14:textId="77777777" w:rsidR="005D7A64" w:rsidRPr="00A05CDF" w:rsidRDefault="005D7A64" w:rsidP="002A2BE7">
            <w:pPr>
              <w:numPr>
                <w:ilvl w:val="2"/>
                <w:numId w:val="26"/>
              </w:numPr>
              <w:tabs>
                <w:tab w:val="num" w:pos="1260"/>
                <w:tab w:val="num" w:pos="1440"/>
                <w:tab w:val="left" w:pos="4320"/>
              </w:tabs>
              <w:suppressAutoHyphens/>
              <w:spacing w:after="0"/>
              <w:ind w:left="1440"/>
              <w:jc w:val="both"/>
              <w:rPr>
                <w:rFonts w:eastAsia="Calibri" w:cstheme="minorHAnsi"/>
                <w:lang w:eastAsia="ar-SA"/>
              </w:rPr>
            </w:pPr>
            <w:r w:rsidRPr="00A05CDF">
              <w:rPr>
                <w:rFonts w:eastAsia="Calibri" w:cstheme="minorHAnsi"/>
                <w:lang w:eastAsia="ar-SA"/>
              </w:rPr>
              <w:t>narzędzi ręcznych o napędzie elektrycznym,</w:t>
            </w:r>
          </w:p>
          <w:p w14:paraId="5AF19625" w14:textId="77777777" w:rsidR="005D7A64" w:rsidRPr="00A05CDF" w:rsidRDefault="005D7A64" w:rsidP="002A2BE7">
            <w:pPr>
              <w:numPr>
                <w:ilvl w:val="2"/>
                <w:numId w:val="26"/>
              </w:numPr>
              <w:tabs>
                <w:tab w:val="num" w:pos="1260"/>
                <w:tab w:val="left" w:pos="1440"/>
                <w:tab w:val="num" w:pos="1620"/>
                <w:tab w:val="left" w:pos="4320"/>
              </w:tabs>
              <w:suppressAutoHyphens/>
              <w:spacing w:after="0"/>
              <w:ind w:left="1440"/>
              <w:jc w:val="both"/>
              <w:rPr>
                <w:rFonts w:eastAsia="Calibri" w:cstheme="minorHAnsi"/>
                <w:lang w:eastAsia="ar-SA"/>
              </w:rPr>
            </w:pPr>
            <w:r w:rsidRPr="00A05CDF">
              <w:rPr>
                <w:rFonts w:eastAsia="Calibri" w:cstheme="minorHAnsi"/>
                <w:lang w:eastAsia="ar-SA"/>
              </w:rPr>
              <w:t xml:space="preserve">   układów napędowych urządzeń ochrony środowiska,</w:t>
            </w:r>
          </w:p>
          <w:p w14:paraId="0119E9A7" w14:textId="77777777" w:rsidR="005D7A64" w:rsidRPr="00A05CDF" w:rsidRDefault="005D7A64" w:rsidP="002A2BE7">
            <w:pPr>
              <w:numPr>
                <w:ilvl w:val="2"/>
                <w:numId w:val="26"/>
              </w:numPr>
              <w:tabs>
                <w:tab w:val="num" w:pos="1260"/>
                <w:tab w:val="num" w:pos="1440"/>
                <w:tab w:val="left" w:pos="4320"/>
              </w:tabs>
              <w:suppressAutoHyphens/>
              <w:spacing w:after="0"/>
              <w:ind w:left="1440"/>
              <w:jc w:val="both"/>
              <w:rPr>
                <w:rFonts w:eastAsia="Calibri" w:cstheme="minorHAnsi"/>
                <w:lang w:eastAsia="ar-SA"/>
              </w:rPr>
            </w:pPr>
            <w:r w:rsidRPr="00A05CDF">
              <w:rPr>
                <w:rFonts w:eastAsia="Calibri" w:cstheme="minorHAnsi"/>
                <w:lang w:eastAsia="ar-SA"/>
              </w:rPr>
              <w:t xml:space="preserve">   urządzeń do separowania materiałów magnetycznych,</w:t>
            </w:r>
          </w:p>
          <w:p w14:paraId="5A2567D6" w14:textId="77777777" w:rsidR="005D7A64" w:rsidRPr="00A05CDF" w:rsidRDefault="005D7A64" w:rsidP="002A2BE7">
            <w:pPr>
              <w:numPr>
                <w:ilvl w:val="2"/>
                <w:numId w:val="26"/>
              </w:numPr>
              <w:tabs>
                <w:tab w:val="num" w:pos="1260"/>
                <w:tab w:val="num" w:pos="1440"/>
                <w:tab w:val="left" w:pos="4320"/>
              </w:tabs>
              <w:suppressAutoHyphens/>
              <w:spacing w:after="0"/>
              <w:ind w:left="1440"/>
              <w:jc w:val="both"/>
              <w:rPr>
                <w:rFonts w:eastAsia="Calibri" w:cstheme="minorHAnsi"/>
                <w:lang w:eastAsia="ar-SA"/>
              </w:rPr>
            </w:pPr>
            <w:r w:rsidRPr="00A05CDF">
              <w:rPr>
                <w:rFonts w:eastAsia="Calibri" w:cstheme="minorHAnsi"/>
                <w:lang w:eastAsia="ar-SA"/>
              </w:rPr>
              <w:t xml:space="preserve">    specjalnych urządzeń technologicznych,</w:t>
            </w:r>
          </w:p>
          <w:p w14:paraId="680D511C" w14:textId="77777777" w:rsidR="005D7A64" w:rsidRPr="00A05CDF" w:rsidRDefault="005D7A64" w:rsidP="002A2BE7">
            <w:pPr>
              <w:numPr>
                <w:ilvl w:val="2"/>
                <w:numId w:val="26"/>
              </w:numPr>
              <w:tabs>
                <w:tab w:val="left" w:pos="1080"/>
                <w:tab w:val="num" w:pos="1440"/>
              </w:tabs>
              <w:suppressAutoHyphens/>
              <w:spacing w:after="0"/>
              <w:ind w:left="1440"/>
              <w:jc w:val="both"/>
              <w:rPr>
                <w:rFonts w:eastAsia="Calibri" w:cstheme="minorHAnsi"/>
                <w:lang w:eastAsia="ar-SA"/>
              </w:rPr>
            </w:pPr>
            <w:r w:rsidRPr="00A05CDF">
              <w:rPr>
                <w:rFonts w:eastAsia="Calibri" w:cstheme="minorHAnsi"/>
                <w:lang w:eastAsia="ar-SA"/>
              </w:rPr>
              <w:t>układów i aparatury pomiarowej,</w:t>
            </w:r>
          </w:p>
          <w:p w14:paraId="61ED98B4" w14:textId="77777777" w:rsidR="005D7A64" w:rsidRPr="00A05CDF" w:rsidRDefault="005D7A64" w:rsidP="002A2BE7">
            <w:pPr>
              <w:numPr>
                <w:ilvl w:val="2"/>
                <w:numId w:val="26"/>
              </w:numPr>
              <w:tabs>
                <w:tab w:val="left" w:pos="1080"/>
                <w:tab w:val="num" w:pos="1440"/>
              </w:tabs>
              <w:suppressAutoHyphens/>
              <w:spacing w:after="0"/>
              <w:ind w:left="1440"/>
              <w:jc w:val="both"/>
              <w:rPr>
                <w:rFonts w:eastAsia="Calibri" w:cstheme="minorHAnsi"/>
                <w:lang w:eastAsia="ar-SA"/>
              </w:rPr>
            </w:pPr>
            <w:r w:rsidRPr="00A05CDF">
              <w:rPr>
                <w:rFonts w:eastAsia="Calibri" w:cstheme="minorHAnsi"/>
                <w:lang w:eastAsia="ar-SA"/>
              </w:rPr>
              <w:t>kompatybilności elektromagnetycznej, w tym badanie oddziaływania pól: elektrycz</w:t>
            </w:r>
            <w:r w:rsidRPr="00A05CDF">
              <w:rPr>
                <w:rFonts w:eastAsia="Calibri" w:cstheme="minorHAnsi"/>
                <w:lang w:eastAsia="ar-SA"/>
              </w:rPr>
              <w:softHyphen/>
              <w:t>nych, magnetycznych i elektromagnetycznych na organizmy żywe,</w:t>
            </w:r>
          </w:p>
          <w:p w14:paraId="7308230E" w14:textId="77777777" w:rsidR="005D7A64" w:rsidRPr="00A05CDF" w:rsidRDefault="005D7A64" w:rsidP="002A2BE7">
            <w:pPr>
              <w:numPr>
                <w:ilvl w:val="0"/>
                <w:numId w:val="28"/>
              </w:numPr>
              <w:tabs>
                <w:tab w:val="num" w:pos="567"/>
              </w:tabs>
              <w:suppressAutoHyphens/>
              <w:spacing w:after="0"/>
              <w:jc w:val="both"/>
              <w:rPr>
                <w:rFonts w:eastAsia="Calibri" w:cstheme="minorHAnsi"/>
                <w:lang w:eastAsia="ar-SA"/>
              </w:rPr>
            </w:pPr>
            <w:r w:rsidRPr="00A05CDF">
              <w:rPr>
                <w:rFonts w:eastAsia="Calibri" w:cstheme="minorHAnsi"/>
                <w:lang w:eastAsia="ar-SA"/>
              </w:rPr>
              <w:t>opracowywania:</w:t>
            </w:r>
          </w:p>
          <w:p w14:paraId="1A35BEFC" w14:textId="77777777" w:rsidR="005D7A64" w:rsidRPr="00A05CDF" w:rsidRDefault="005D7A64" w:rsidP="005D7A64">
            <w:pPr>
              <w:tabs>
                <w:tab w:val="left" w:pos="4320"/>
                <w:tab w:val="left" w:pos="4500"/>
              </w:tabs>
              <w:suppressAutoHyphens/>
              <w:spacing w:after="0"/>
              <w:jc w:val="both"/>
              <w:rPr>
                <w:rFonts w:eastAsia="Calibri" w:cstheme="minorHAnsi"/>
                <w:lang w:eastAsia="ar-SA"/>
              </w:rPr>
            </w:pPr>
            <w:r w:rsidRPr="00A05CDF">
              <w:rPr>
                <w:rFonts w:eastAsia="Calibri" w:cstheme="minorHAnsi"/>
                <w:lang w:eastAsia="ar-SA"/>
              </w:rPr>
              <w:t xml:space="preserve">                   a)  systemów sterowania i oprogramowania napędów i urządzeń elektrycznych,</w:t>
            </w:r>
          </w:p>
          <w:p w14:paraId="1AEC766E" w14:textId="77777777" w:rsidR="005D7A64" w:rsidRPr="00A05CDF" w:rsidRDefault="005D7A64" w:rsidP="005D7A64">
            <w:pPr>
              <w:tabs>
                <w:tab w:val="left" w:pos="4320"/>
                <w:tab w:val="left" w:pos="4500"/>
              </w:tabs>
              <w:suppressAutoHyphens/>
              <w:spacing w:after="0"/>
              <w:jc w:val="both"/>
              <w:rPr>
                <w:rFonts w:eastAsia="Calibri" w:cstheme="minorHAnsi"/>
                <w:lang w:eastAsia="ar-SA"/>
              </w:rPr>
            </w:pPr>
            <w:r w:rsidRPr="00A05CDF">
              <w:rPr>
                <w:rFonts w:eastAsia="Calibri" w:cstheme="minorHAnsi"/>
                <w:lang w:eastAsia="ar-SA"/>
              </w:rPr>
              <w:lastRenderedPageBreak/>
              <w:t xml:space="preserve">                   b)  metod badania maszyn, napędów i urządzeń elektrycznych,</w:t>
            </w:r>
          </w:p>
          <w:p w14:paraId="7C882C3B" w14:textId="77777777" w:rsidR="005D7A64" w:rsidRPr="00A05CDF" w:rsidRDefault="005D7A64" w:rsidP="002A2BE7">
            <w:pPr>
              <w:numPr>
                <w:ilvl w:val="0"/>
                <w:numId w:val="28"/>
              </w:numPr>
              <w:tabs>
                <w:tab w:val="left" w:pos="426"/>
              </w:tabs>
              <w:suppressAutoHyphens/>
              <w:spacing w:after="0"/>
              <w:jc w:val="both"/>
              <w:rPr>
                <w:rFonts w:eastAsia="Calibri" w:cstheme="minorHAnsi"/>
                <w:lang w:eastAsia="ar-SA"/>
              </w:rPr>
            </w:pPr>
            <w:r w:rsidRPr="00A05CDF">
              <w:rPr>
                <w:rFonts w:eastAsia="Calibri" w:cstheme="minorHAnsi"/>
                <w:lang w:eastAsia="ar-SA"/>
              </w:rPr>
              <w:t>wytwarzania dla celów badawczych modeli fizycznych i prototypów:</w:t>
            </w:r>
          </w:p>
          <w:p w14:paraId="0F15BE36" w14:textId="77777777" w:rsidR="005D7A64" w:rsidRPr="00A05CDF" w:rsidRDefault="005D7A64" w:rsidP="005D7A64">
            <w:pPr>
              <w:tabs>
                <w:tab w:val="left" w:pos="4320"/>
                <w:tab w:val="left" w:pos="4500"/>
              </w:tabs>
              <w:suppressAutoHyphens/>
              <w:spacing w:after="0"/>
              <w:jc w:val="both"/>
              <w:rPr>
                <w:rFonts w:eastAsia="Calibri" w:cstheme="minorHAnsi"/>
                <w:lang w:eastAsia="ar-SA"/>
              </w:rPr>
            </w:pPr>
            <w:r w:rsidRPr="00A05CDF">
              <w:rPr>
                <w:rFonts w:eastAsia="Calibri" w:cstheme="minorHAnsi"/>
                <w:lang w:eastAsia="ar-SA"/>
              </w:rPr>
              <w:t xml:space="preserve">                  a)  elektrycznych silników, prądnic i transformatorów,</w:t>
            </w:r>
            <w:r w:rsidR="00472C5B">
              <w:rPr>
                <w:rFonts w:eastAsia="Calibri" w:cstheme="minorHAnsi"/>
                <w:lang w:eastAsia="ar-SA"/>
              </w:rPr>
              <w:t xml:space="preserve"> układów napędowych,</w:t>
            </w:r>
          </w:p>
          <w:p w14:paraId="502ECAF3" w14:textId="77777777" w:rsidR="005D7A64" w:rsidRPr="00A05CDF" w:rsidRDefault="005D7A64" w:rsidP="005D7A64">
            <w:pPr>
              <w:tabs>
                <w:tab w:val="left" w:pos="4320"/>
                <w:tab w:val="left" w:pos="4500"/>
              </w:tabs>
              <w:suppressAutoHyphens/>
              <w:spacing w:after="0"/>
              <w:jc w:val="both"/>
              <w:rPr>
                <w:rFonts w:eastAsia="Calibri" w:cstheme="minorHAnsi"/>
                <w:lang w:eastAsia="ar-SA"/>
              </w:rPr>
            </w:pPr>
            <w:r w:rsidRPr="00A05CDF">
              <w:rPr>
                <w:rFonts w:eastAsia="Calibri" w:cstheme="minorHAnsi"/>
                <w:lang w:eastAsia="ar-SA"/>
              </w:rPr>
              <w:t xml:space="preserve">                  b)  elektrycznych układów napędowych oraz ich elementów składowych, </w:t>
            </w:r>
          </w:p>
          <w:p w14:paraId="2E2CA1FF" w14:textId="77777777" w:rsidR="005D7A64" w:rsidRPr="00A05CDF" w:rsidRDefault="005D7A64" w:rsidP="005D7A64">
            <w:pPr>
              <w:tabs>
                <w:tab w:val="left" w:pos="4320"/>
                <w:tab w:val="left" w:pos="4500"/>
              </w:tabs>
              <w:suppressAutoHyphens/>
              <w:spacing w:after="0"/>
              <w:jc w:val="both"/>
              <w:rPr>
                <w:rFonts w:eastAsia="Calibri" w:cstheme="minorHAnsi"/>
                <w:lang w:eastAsia="ar-SA"/>
              </w:rPr>
            </w:pPr>
            <w:r w:rsidRPr="00A05CDF">
              <w:rPr>
                <w:rFonts w:eastAsia="Calibri" w:cstheme="minorHAnsi"/>
                <w:lang w:eastAsia="ar-SA"/>
              </w:rPr>
              <w:t xml:space="preserve">                  c)  układów energoelektronicznych  i elektronicznych,</w:t>
            </w:r>
          </w:p>
          <w:p w14:paraId="014F85B0" w14:textId="77777777" w:rsidR="005D7A64" w:rsidRPr="00A05CDF" w:rsidRDefault="005D7A64" w:rsidP="005D7A64">
            <w:pPr>
              <w:tabs>
                <w:tab w:val="left" w:pos="4320"/>
                <w:tab w:val="left" w:pos="4500"/>
              </w:tabs>
              <w:suppressAutoHyphens/>
              <w:spacing w:after="0"/>
              <w:jc w:val="both"/>
              <w:rPr>
                <w:rFonts w:eastAsia="Calibri" w:cstheme="minorHAnsi"/>
                <w:lang w:eastAsia="ar-SA"/>
              </w:rPr>
            </w:pPr>
            <w:r w:rsidRPr="00A05CDF">
              <w:rPr>
                <w:rFonts w:eastAsia="Calibri" w:cstheme="minorHAnsi"/>
                <w:lang w:eastAsia="ar-SA"/>
              </w:rPr>
              <w:t xml:space="preserve">                  d)  układów i urządzeń pomiarowych,</w:t>
            </w:r>
          </w:p>
          <w:p w14:paraId="62C86071" w14:textId="77777777" w:rsidR="005D7A64" w:rsidRPr="00A05CDF" w:rsidRDefault="005D7A64" w:rsidP="005D7A64">
            <w:pPr>
              <w:tabs>
                <w:tab w:val="left" w:pos="4320"/>
                <w:tab w:val="left" w:pos="4500"/>
              </w:tabs>
              <w:suppressAutoHyphens/>
              <w:spacing w:after="0"/>
              <w:jc w:val="both"/>
              <w:rPr>
                <w:rFonts w:eastAsia="Calibri" w:cstheme="minorHAnsi"/>
                <w:lang w:eastAsia="ar-SA"/>
              </w:rPr>
            </w:pPr>
            <w:r w:rsidRPr="00A05CDF">
              <w:rPr>
                <w:rFonts w:eastAsia="Calibri" w:cstheme="minorHAnsi"/>
                <w:lang w:eastAsia="ar-SA"/>
              </w:rPr>
              <w:t xml:space="preserve">                  e) urządzeń dla odnawialnych źródeł energii,</w:t>
            </w:r>
          </w:p>
          <w:p w14:paraId="3C28AF09" w14:textId="77777777" w:rsidR="005D7A64" w:rsidRPr="00A05CDF" w:rsidRDefault="005D7A64" w:rsidP="002A2BE7">
            <w:pPr>
              <w:numPr>
                <w:ilvl w:val="0"/>
                <w:numId w:val="28"/>
              </w:numPr>
              <w:suppressAutoHyphens/>
              <w:spacing w:after="0"/>
              <w:jc w:val="both"/>
              <w:rPr>
                <w:rFonts w:eastAsia="Calibri" w:cstheme="minorHAnsi"/>
                <w:lang w:eastAsia="ar-SA"/>
              </w:rPr>
            </w:pPr>
            <w:r w:rsidRPr="00A05CDF">
              <w:rPr>
                <w:rFonts w:eastAsia="Calibri" w:cstheme="minorHAnsi"/>
                <w:lang w:eastAsia="ar-SA"/>
              </w:rPr>
              <w:t>zagrożeń dla środowiska naturalnego i środowiska pracy w dziedzinach objętych działalnością Instytutu, technologii i urządzeń ochrony środowiska, wykorzystania mediów, i surowców naturalnych, recyklingu wyrobów hutniczych, utylizacji materiałów odpadowych hutnictwa, spawalnictwa i procesów pokrewnych,</w:t>
            </w:r>
          </w:p>
          <w:p w14:paraId="7FCFC55B" w14:textId="77777777" w:rsidR="005D7A64" w:rsidRDefault="005D7A64" w:rsidP="002A2BE7">
            <w:pPr>
              <w:numPr>
                <w:ilvl w:val="0"/>
                <w:numId w:val="28"/>
              </w:numPr>
              <w:suppressAutoHyphens/>
              <w:spacing w:after="0"/>
              <w:jc w:val="both"/>
              <w:rPr>
                <w:rFonts w:eastAsia="Calibri" w:cstheme="minorHAnsi"/>
                <w:lang w:eastAsia="ar-SA"/>
              </w:rPr>
            </w:pPr>
            <w:r w:rsidRPr="00A05CDF">
              <w:rPr>
                <w:rFonts w:eastAsia="Calibri" w:cstheme="minorHAnsi"/>
                <w:lang w:eastAsia="ar-SA"/>
              </w:rPr>
              <w:t>doskonalenia metod badań naukowych i prac rozwojowych wchodzących w zakres działalności Instytutu, w tym komputerowego wspomagania w dziedzinach objętych działalnością Instytutu</w:t>
            </w:r>
            <w:r w:rsidR="00472C5B">
              <w:rPr>
                <w:rFonts w:eastAsia="Calibri" w:cstheme="minorHAnsi"/>
                <w:lang w:eastAsia="ar-SA"/>
              </w:rPr>
              <w:t>,</w:t>
            </w:r>
          </w:p>
          <w:p w14:paraId="60D33323" w14:textId="77777777" w:rsidR="00472C5B" w:rsidRDefault="00472C5B" w:rsidP="002A2BE7">
            <w:pPr>
              <w:numPr>
                <w:ilvl w:val="0"/>
                <w:numId w:val="28"/>
              </w:numPr>
              <w:suppressAutoHyphens/>
              <w:spacing w:after="0"/>
              <w:jc w:val="both"/>
              <w:rPr>
                <w:rFonts w:eastAsia="Calibri" w:cstheme="minorHAnsi"/>
                <w:lang w:eastAsia="ar-SA"/>
              </w:rPr>
            </w:pPr>
            <w:r>
              <w:rPr>
                <w:rFonts w:eastAsia="Calibri" w:cstheme="minorHAnsi"/>
                <w:lang w:eastAsia="ar-SA"/>
              </w:rPr>
              <w:t>prowadzenia prac badawczych i rozwojowych w dziedzinie urządzeń energetycznych, chemicznych i petrochemicznych</w:t>
            </w:r>
          </w:p>
          <w:p w14:paraId="215DA1F4" w14:textId="77777777" w:rsidR="003A3BC0" w:rsidRPr="00CF1857" w:rsidRDefault="003A3BC0" w:rsidP="00472C5B">
            <w:pPr>
              <w:suppressAutoHyphens/>
              <w:spacing w:after="0"/>
              <w:jc w:val="both"/>
              <w:rPr>
                <w:rFonts w:ascii="Calibri" w:eastAsia="Times New Roman" w:hAnsi="Calibri" w:cs="Times New Roman"/>
                <w:sz w:val="20"/>
                <w:szCs w:val="20"/>
                <w:lang w:eastAsia="pl-PL"/>
              </w:rPr>
            </w:pPr>
          </w:p>
        </w:tc>
      </w:tr>
    </w:tbl>
    <w:p w14:paraId="40E1E5DE" w14:textId="77777777" w:rsidR="003A3BC0" w:rsidRDefault="003A3BC0" w:rsidP="001029FD">
      <w:pPr>
        <w:pStyle w:val="3poziomELO"/>
        <w:numPr>
          <w:ilvl w:val="0"/>
          <w:numId w:val="0"/>
        </w:numPr>
        <w:ind w:left="709" w:firstLine="425"/>
        <w:jc w:val="both"/>
      </w:pPr>
    </w:p>
    <w:p w14:paraId="0F81507A" w14:textId="77777777" w:rsidR="001029FD" w:rsidRPr="00DD1335" w:rsidRDefault="001029FD" w:rsidP="00DD1335">
      <w:pPr>
        <w:pStyle w:val="2poziomELO"/>
        <w:jc w:val="both"/>
        <w:outlineLvl w:val="2"/>
        <w:rPr>
          <w:b/>
        </w:rPr>
      </w:pPr>
      <w:bookmarkStart w:id="9" w:name="_Toc141097855"/>
      <w:r w:rsidRPr="00DD1335">
        <w:rPr>
          <w:b/>
        </w:rPr>
        <w:t>Rodzaj prowadzonej działalności</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029FD" w:rsidRPr="00CF1857" w14:paraId="1E86A643" w14:textId="77777777" w:rsidTr="005A533C">
        <w:tc>
          <w:tcPr>
            <w:tcW w:w="4606" w:type="dxa"/>
            <w:tcBorders>
              <w:top w:val="double" w:sz="4" w:space="0" w:color="auto"/>
              <w:left w:val="double" w:sz="4" w:space="0" w:color="auto"/>
              <w:bottom w:val="double" w:sz="4" w:space="0" w:color="auto"/>
              <w:right w:val="double" w:sz="4" w:space="0" w:color="auto"/>
            </w:tcBorders>
            <w:shd w:val="clear" w:color="000000" w:fill="B8CCE4" w:themeFill="accent1" w:themeFillTint="66"/>
            <w:vAlign w:val="center"/>
          </w:tcPr>
          <w:p w14:paraId="6EF9020E" w14:textId="77777777" w:rsidR="001029FD" w:rsidRPr="00CF1857" w:rsidRDefault="001029FD" w:rsidP="005A533C">
            <w:pPr>
              <w:spacing w:before="60" w:after="60" w:line="240" w:lineRule="auto"/>
              <w:jc w:val="center"/>
              <w:rPr>
                <w:rFonts w:ascii="Calibri" w:eastAsia="Times New Roman" w:hAnsi="Calibri" w:cs="Times New Roman"/>
                <w:sz w:val="20"/>
                <w:szCs w:val="20"/>
                <w:lang w:eastAsia="pl-PL"/>
              </w:rPr>
            </w:pPr>
            <w:r w:rsidRPr="00CF1857">
              <w:rPr>
                <w:rFonts w:ascii="Calibri" w:eastAsia="Times New Roman" w:hAnsi="Calibri" w:cs="Times New Roman"/>
                <w:sz w:val="20"/>
                <w:szCs w:val="20"/>
                <w:lang w:eastAsia="pl-PL"/>
              </w:rPr>
              <w:t xml:space="preserve">Rodzaj działalności zgodnie z klasyfikacją PKD </w:t>
            </w:r>
          </w:p>
        </w:tc>
        <w:tc>
          <w:tcPr>
            <w:tcW w:w="4606" w:type="dxa"/>
            <w:tcBorders>
              <w:top w:val="double" w:sz="4" w:space="0" w:color="auto"/>
              <w:left w:val="nil"/>
              <w:bottom w:val="double" w:sz="4" w:space="0" w:color="auto"/>
              <w:right w:val="double" w:sz="4" w:space="0" w:color="auto"/>
            </w:tcBorders>
            <w:shd w:val="clear" w:color="000000" w:fill="B8CCE4" w:themeFill="accent1" w:themeFillTint="66"/>
            <w:vAlign w:val="center"/>
          </w:tcPr>
          <w:p w14:paraId="61D0B398" w14:textId="77777777" w:rsidR="001029FD" w:rsidRPr="00CF1857" w:rsidRDefault="001029FD" w:rsidP="009A1BBA">
            <w:pPr>
              <w:spacing w:after="0" w:line="240" w:lineRule="auto"/>
              <w:jc w:val="center"/>
              <w:rPr>
                <w:rFonts w:ascii="Calibri" w:eastAsia="Times New Roman" w:hAnsi="Calibri" w:cs="Times New Roman"/>
                <w:sz w:val="20"/>
                <w:szCs w:val="20"/>
                <w:lang w:eastAsia="pl-PL"/>
              </w:rPr>
            </w:pPr>
            <w:r w:rsidRPr="00CF1857">
              <w:rPr>
                <w:rFonts w:ascii="Calibri" w:eastAsia="Times New Roman" w:hAnsi="Calibri" w:cs="Times New Roman"/>
                <w:sz w:val="20"/>
                <w:szCs w:val="20"/>
                <w:lang w:eastAsia="pl-PL"/>
              </w:rPr>
              <w:t xml:space="preserve">Udział danej działalności w przychodach ogółem </w:t>
            </w:r>
          </w:p>
        </w:tc>
      </w:tr>
      <w:tr w:rsidR="000567D9" w:rsidRPr="00CF1857" w14:paraId="0B4FB708" w14:textId="77777777" w:rsidTr="005A533C">
        <w:tc>
          <w:tcPr>
            <w:tcW w:w="4606" w:type="dxa"/>
            <w:tcBorders>
              <w:top w:val="double" w:sz="4" w:space="0" w:color="auto"/>
              <w:left w:val="double" w:sz="4" w:space="0" w:color="auto"/>
              <w:right w:val="single" w:sz="4" w:space="0" w:color="auto"/>
            </w:tcBorders>
            <w:vAlign w:val="center"/>
          </w:tcPr>
          <w:p w14:paraId="2EA51C3A" w14:textId="77777777" w:rsidR="000567D9" w:rsidRPr="00CF1857" w:rsidRDefault="000567D9" w:rsidP="000567D9">
            <w:pPr>
              <w:spacing w:before="60" w:after="6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72.19.Z</w:t>
            </w:r>
          </w:p>
        </w:tc>
        <w:tc>
          <w:tcPr>
            <w:tcW w:w="4606" w:type="dxa"/>
            <w:tcBorders>
              <w:top w:val="double" w:sz="4" w:space="0" w:color="auto"/>
              <w:left w:val="nil"/>
              <w:right w:val="double" w:sz="4" w:space="0" w:color="auto"/>
            </w:tcBorders>
            <w:vAlign w:val="center"/>
          </w:tcPr>
          <w:p w14:paraId="0F38A647" w14:textId="77777777" w:rsidR="000567D9" w:rsidRPr="005F3580" w:rsidRDefault="003F1AB3" w:rsidP="000567D9">
            <w:pPr>
              <w:spacing w:before="60" w:after="6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52,27</w:t>
            </w:r>
            <w:r w:rsidR="000567D9" w:rsidRPr="005F3580">
              <w:rPr>
                <w:rFonts w:ascii="Calibri" w:eastAsia="Times New Roman" w:hAnsi="Calibri" w:cs="Times New Roman"/>
                <w:sz w:val="20"/>
                <w:szCs w:val="20"/>
                <w:lang w:eastAsia="pl-PL"/>
              </w:rPr>
              <w:t>%</w:t>
            </w:r>
          </w:p>
        </w:tc>
      </w:tr>
      <w:tr w:rsidR="000567D9" w:rsidRPr="00CF1857" w14:paraId="495E9E01" w14:textId="77777777" w:rsidTr="005A533C">
        <w:tc>
          <w:tcPr>
            <w:tcW w:w="4606" w:type="dxa"/>
            <w:tcBorders>
              <w:left w:val="double" w:sz="4" w:space="0" w:color="auto"/>
              <w:right w:val="single" w:sz="4" w:space="0" w:color="auto"/>
            </w:tcBorders>
            <w:vAlign w:val="center"/>
          </w:tcPr>
          <w:p w14:paraId="0C2D5B17" w14:textId="3A148D23" w:rsidR="000567D9" w:rsidRPr="00CF1857" w:rsidRDefault="003F1AB3" w:rsidP="000567D9">
            <w:pPr>
              <w:spacing w:before="60" w:after="6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85.59</w:t>
            </w:r>
            <w:r w:rsidR="000567D9">
              <w:rPr>
                <w:rFonts w:ascii="Calibri" w:eastAsia="Times New Roman" w:hAnsi="Calibri" w:cs="Times New Roman"/>
                <w:sz w:val="20"/>
                <w:szCs w:val="20"/>
                <w:lang w:eastAsia="pl-PL"/>
              </w:rPr>
              <w:t>.B</w:t>
            </w:r>
          </w:p>
        </w:tc>
        <w:tc>
          <w:tcPr>
            <w:tcW w:w="4606" w:type="dxa"/>
            <w:tcBorders>
              <w:left w:val="nil"/>
              <w:right w:val="double" w:sz="4" w:space="0" w:color="auto"/>
            </w:tcBorders>
            <w:vAlign w:val="center"/>
          </w:tcPr>
          <w:p w14:paraId="430C4923" w14:textId="77777777" w:rsidR="000567D9" w:rsidRPr="005F3580" w:rsidRDefault="003F1AB3" w:rsidP="000567D9">
            <w:pPr>
              <w:spacing w:before="60" w:after="6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16</w:t>
            </w:r>
            <w:r w:rsidR="000567D9" w:rsidRPr="005F3580">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69</w:t>
            </w:r>
            <w:r w:rsidR="000567D9" w:rsidRPr="005F3580">
              <w:rPr>
                <w:rFonts w:ascii="Calibri" w:eastAsia="Times New Roman" w:hAnsi="Calibri" w:cs="Times New Roman"/>
                <w:sz w:val="20"/>
                <w:szCs w:val="20"/>
                <w:lang w:eastAsia="pl-PL"/>
              </w:rPr>
              <w:t>%</w:t>
            </w:r>
          </w:p>
        </w:tc>
      </w:tr>
      <w:tr w:rsidR="003F1AB3" w:rsidRPr="00CF1857" w14:paraId="47F12097" w14:textId="77777777" w:rsidTr="005A533C">
        <w:tc>
          <w:tcPr>
            <w:tcW w:w="4606" w:type="dxa"/>
            <w:tcBorders>
              <w:left w:val="double" w:sz="4" w:space="0" w:color="auto"/>
              <w:right w:val="single" w:sz="4" w:space="0" w:color="auto"/>
            </w:tcBorders>
            <w:vAlign w:val="center"/>
          </w:tcPr>
          <w:p w14:paraId="4DE0617B" w14:textId="180DB6F2" w:rsidR="003F1AB3" w:rsidRDefault="003F1AB3" w:rsidP="000567D9">
            <w:pPr>
              <w:spacing w:before="60" w:after="60" w:line="240" w:lineRule="auto"/>
              <w:jc w:val="center"/>
              <w:rPr>
                <w:rFonts w:ascii="Calibri" w:eastAsia="Times New Roman" w:hAnsi="Calibri" w:cs="Times New Roman"/>
                <w:sz w:val="20"/>
                <w:szCs w:val="20"/>
                <w:lang w:eastAsia="pl-PL"/>
              </w:rPr>
            </w:pPr>
            <w:r w:rsidRPr="003F4C2E">
              <w:rPr>
                <w:rFonts w:ascii="Calibri" w:eastAsia="Times New Roman" w:hAnsi="Calibri" w:cs="Times New Roman"/>
                <w:sz w:val="20"/>
                <w:szCs w:val="20"/>
                <w:lang w:eastAsia="pl-PL"/>
              </w:rPr>
              <w:t>71.20.</w:t>
            </w:r>
            <w:r w:rsidR="00C12CC0" w:rsidRPr="003F4C2E">
              <w:rPr>
                <w:rFonts w:ascii="Calibri" w:eastAsia="Times New Roman" w:hAnsi="Calibri" w:cs="Times New Roman"/>
                <w:sz w:val="20"/>
                <w:szCs w:val="20"/>
                <w:lang w:eastAsia="pl-PL"/>
              </w:rPr>
              <w:t>B</w:t>
            </w:r>
          </w:p>
        </w:tc>
        <w:tc>
          <w:tcPr>
            <w:tcW w:w="4606" w:type="dxa"/>
            <w:tcBorders>
              <w:left w:val="nil"/>
              <w:right w:val="double" w:sz="4" w:space="0" w:color="auto"/>
            </w:tcBorders>
            <w:vAlign w:val="center"/>
          </w:tcPr>
          <w:p w14:paraId="340892B6" w14:textId="77777777" w:rsidR="003F1AB3" w:rsidRDefault="003F1AB3" w:rsidP="000567D9">
            <w:pPr>
              <w:spacing w:before="60" w:after="6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5,77%</w:t>
            </w:r>
          </w:p>
        </w:tc>
      </w:tr>
      <w:tr w:rsidR="000567D9" w:rsidRPr="00CF1857" w14:paraId="1B564C0B" w14:textId="77777777" w:rsidTr="005A533C">
        <w:tc>
          <w:tcPr>
            <w:tcW w:w="4606" w:type="dxa"/>
            <w:tcBorders>
              <w:left w:val="double" w:sz="4" w:space="0" w:color="auto"/>
              <w:right w:val="single" w:sz="4" w:space="0" w:color="auto"/>
            </w:tcBorders>
            <w:vAlign w:val="center"/>
          </w:tcPr>
          <w:p w14:paraId="087C1DD8" w14:textId="77777777" w:rsidR="000567D9" w:rsidRPr="00CF1857" w:rsidRDefault="003F1AB3" w:rsidP="000567D9">
            <w:pPr>
              <w:spacing w:before="60" w:after="6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85.60.Z</w:t>
            </w:r>
          </w:p>
        </w:tc>
        <w:tc>
          <w:tcPr>
            <w:tcW w:w="4606" w:type="dxa"/>
            <w:tcBorders>
              <w:left w:val="nil"/>
              <w:right w:val="double" w:sz="4" w:space="0" w:color="auto"/>
            </w:tcBorders>
            <w:vAlign w:val="center"/>
          </w:tcPr>
          <w:p w14:paraId="1C91AAE8" w14:textId="77777777" w:rsidR="000567D9" w:rsidRPr="005F3580" w:rsidRDefault="003F1AB3" w:rsidP="000567D9">
            <w:pPr>
              <w:spacing w:before="60" w:after="6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3</w:t>
            </w:r>
            <w:r w:rsidR="000567D9" w:rsidRPr="005F3580">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91</w:t>
            </w:r>
            <w:r w:rsidR="000567D9" w:rsidRPr="005F3580">
              <w:rPr>
                <w:rFonts w:ascii="Calibri" w:eastAsia="Times New Roman" w:hAnsi="Calibri" w:cs="Times New Roman"/>
                <w:sz w:val="20"/>
                <w:szCs w:val="20"/>
                <w:lang w:eastAsia="pl-PL"/>
              </w:rPr>
              <w:t>%</w:t>
            </w:r>
          </w:p>
        </w:tc>
      </w:tr>
      <w:tr w:rsidR="000567D9" w:rsidRPr="00CF1857" w14:paraId="139E5DDE" w14:textId="77777777" w:rsidTr="005A533C">
        <w:tc>
          <w:tcPr>
            <w:tcW w:w="4606" w:type="dxa"/>
            <w:tcBorders>
              <w:left w:val="double" w:sz="4" w:space="0" w:color="auto"/>
              <w:bottom w:val="double" w:sz="4" w:space="0" w:color="auto"/>
              <w:right w:val="single" w:sz="4" w:space="0" w:color="auto"/>
            </w:tcBorders>
            <w:vAlign w:val="center"/>
          </w:tcPr>
          <w:p w14:paraId="58AFF997" w14:textId="77777777" w:rsidR="000567D9" w:rsidRPr="00CF1857" w:rsidRDefault="000567D9" w:rsidP="000567D9">
            <w:pPr>
              <w:spacing w:before="60" w:after="6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I INNE</w:t>
            </w:r>
            <w:r w:rsidR="006A57B2">
              <w:rPr>
                <w:rFonts w:ascii="Calibri" w:eastAsia="Times New Roman" w:hAnsi="Calibri" w:cs="Times New Roman"/>
                <w:sz w:val="20"/>
                <w:szCs w:val="20"/>
                <w:lang w:eastAsia="pl-PL"/>
              </w:rPr>
              <w:t xml:space="preserve"> łącznie</w:t>
            </w:r>
          </w:p>
        </w:tc>
        <w:tc>
          <w:tcPr>
            <w:tcW w:w="4606" w:type="dxa"/>
            <w:tcBorders>
              <w:left w:val="nil"/>
              <w:bottom w:val="double" w:sz="4" w:space="0" w:color="auto"/>
              <w:right w:val="double" w:sz="4" w:space="0" w:color="auto"/>
            </w:tcBorders>
            <w:vAlign w:val="center"/>
          </w:tcPr>
          <w:p w14:paraId="72070D83" w14:textId="77777777" w:rsidR="000567D9" w:rsidRPr="005F3580" w:rsidRDefault="003F1AB3" w:rsidP="000567D9">
            <w:pPr>
              <w:spacing w:before="60" w:after="6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21.09.Z</w:t>
            </w:r>
            <w:r w:rsidR="000567D9" w:rsidRPr="005F3580">
              <w:rPr>
                <w:rFonts w:ascii="Calibri" w:eastAsia="Times New Roman" w:hAnsi="Calibri" w:cs="Times New Roman"/>
                <w:sz w:val="20"/>
                <w:szCs w:val="20"/>
                <w:lang w:eastAsia="pl-PL"/>
              </w:rPr>
              <w:t>%</w:t>
            </w:r>
          </w:p>
        </w:tc>
      </w:tr>
    </w:tbl>
    <w:p w14:paraId="3D83CA1E" w14:textId="77777777" w:rsidR="00822EC9" w:rsidRDefault="005E6AB2" w:rsidP="00822EC9">
      <w:pPr>
        <w:pStyle w:val="3poziomELO"/>
        <w:numPr>
          <w:ilvl w:val="0"/>
          <w:numId w:val="0"/>
        </w:numPr>
        <w:tabs>
          <w:tab w:val="left" w:pos="1134"/>
        </w:tabs>
        <w:ind w:left="720"/>
      </w:pPr>
      <w:r>
        <w:t>o</w:t>
      </w:r>
      <w:r w:rsidRPr="005E6AB2">
        <w:t>raz pozostałe rodzaje działalności, zgodnie z KRS.</w:t>
      </w:r>
    </w:p>
    <w:p w14:paraId="03EDAAC8" w14:textId="77777777" w:rsidR="006A57B2" w:rsidRDefault="006A57B2" w:rsidP="00F67448">
      <w:pPr>
        <w:pStyle w:val="Akapitzlist"/>
        <w:spacing w:after="0"/>
        <w:ind w:left="360"/>
        <w:jc w:val="both"/>
        <w:rPr>
          <w:b/>
          <w:sz w:val="20"/>
        </w:rPr>
      </w:pPr>
    </w:p>
    <w:p w14:paraId="4FBD71E1" w14:textId="77777777" w:rsidR="006A57B2" w:rsidRDefault="006A57B2" w:rsidP="00C12CC0">
      <w:pPr>
        <w:pStyle w:val="3poziomELO"/>
        <w:numPr>
          <w:ilvl w:val="0"/>
          <w:numId w:val="0"/>
        </w:numPr>
        <w:tabs>
          <w:tab w:val="left" w:pos="1134"/>
        </w:tabs>
        <w:spacing w:after="0"/>
        <w:rPr>
          <w:b/>
          <w:sz w:val="20"/>
        </w:rPr>
      </w:pPr>
      <w:r w:rsidRPr="006A57B2">
        <w:rPr>
          <w:b/>
          <w:sz w:val="20"/>
        </w:rPr>
        <w:t xml:space="preserve">72.19.Z </w:t>
      </w:r>
      <w:r>
        <w:rPr>
          <w:b/>
          <w:sz w:val="20"/>
        </w:rPr>
        <w:t xml:space="preserve"> - </w:t>
      </w:r>
      <w:r w:rsidRPr="00C12CC0">
        <w:rPr>
          <w:rFonts w:eastAsia="Times New Roman" w:cstheme="minorHAnsi"/>
          <w:bCs/>
          <w:lang w:eastAsia="pl-PL"/>
        </w:rPr>
        <w:t>prowadzenie badań naukowych w dziedzinie pozostałych nauk przyrodniczych i technicznych;</w:t>
      </w:r>
    </w:p>
    <w:p w14:paraId="31C6998F" w14:textId="77777777" w:rsidR="00F67448" w:rsidRDefault="006A57B2" w:rsidP="00C12CC0">
      <w:pPr>
        <w:pStyle w:val="3poziomELO"/>
        <w:numPr>
          <w:ilvl w:val="0"/>
          <w:numId w:val="0"/>
        </w:numPr>
        <w:tabs>
          <w:tab w:val="left" w:pos="1134"/>
        </w:tabs>
        <w:spacing w:after="0"/>
        <w:rPr>
          <w:rFonts w:eastAsia="Times New Roman" w:cstheme="minorHAnsi"/>
          <w:bCs/>
          <w:lang w:eastAsia="pl-PL"/>
        </w:rPr>
      </w:pPr>
      <w:r w:rsidRPr="00A05CDF">
        <w:rPr>
          <w:rFonts w:eastAsia="Times New Roman" w:cstheme="minorHAnsi"/>
          <w:b/>
          <w:lang w:eastAsia="pl-PL"/>
        </w:rPr>
        <w:t>85.59.B</w:t>
      </w:r>
      <w:r>
        <w:rPr>
          <w:rFonts w:eastAsia="Times New Roman" w:cstheme="minorHAnsi"/>
          <w:b/>
          <w:lang w:eastAsia="pl-PL"/>
        </w:rPr>
        <w:t xml:space="preserve"> – </w:t>
      </w:r>
      <w:r w:rsidRPr="006A57B2">
        <w:rPr>
          <w:rFonts w:eastAsia="Times New Roman" w:cstheme="minorHAnsi"/>
          <w:bCs/>
          <w:lang w:eastAsia="pl-PL"/>
        </w:rPr>
        <w:t>prowadzenie działalności w zakresie pozostałych pozaszkolnych form edukacji, gdzie indziej niesklasyfikowanych;</w:t>
      </w:r>
    </w:p>
    <w:p w14:paraId="2AFDCE1B" w14:textId="77777777" w:rsidR="006A57B2" w:rsidRDefault="006A57B2" w:rsidP="00C12CC0">
      <w:pPr>
        <w:pStyle w:val="3poziomELO"/>
        <w:numPr>
          <w:ilvl w:val="0"/>
          <w:numId w:val="0"/>
        </w:numPr>
        <w:tabs>
          <w:tab w:val="left" w:pos="1134"/>
        </w:tabs>
        <w:spacing w:after="0"/>
        <w:rPr>
          <w:rFonts w:eastAsia="Calibri" w:cstheme="minorHAnsi"/>
          <w:iCs/>
          <w:lang w:eastAsia="ar-SA"/>
        </w:rPr>
      </w:pPr>
      <w:r w:rsidRPr="00A05CDF">
        <w:rPr>
          <w:rFonts w:eastAsia="Calibri" w:cstheme="minorHAnsi"/>
          <w:b/>
          <w:iCs/>
          <w:lang w:eastAsia="ar-SA"/>
        </w:rPr>
        <w:t>71.20.B</w:t>
      </w:r>
      <w:r>
        <w:rPr>
          <w:rFonts w:eastAsia="Calibri" w:cstheme="minorHAnsi"/>
          <w:b/>
          <w:iCs/>
          <w:lang w:eastAsia="ar-SA"/>
        </w:rPr>
        <w:t xml:space="preserve"> - </w:t>
      </w:r>
      <w:r w:rsidRPr="006A57B2">
        <w:rPr>
          <w:rFonts w:eastAsia="Times New Roman" w:cstheme="minorHAnsi"/>
          <w:bCs/>
          <w:lang w:eastAsia="pl-PL"/>
        </w:rPr>
        <w:t>prowadzenie działalności w zakresie</w:t>
      </w:r>
      <w:r>
        <w:rPr>
          <w:rFonts w:eastAsia="Times New Roman" w:cstheme="minorHAnsi"/>
          <w:bCs/>
          <w:lang w:eastAsia="pl-PL"/>
        </w:rPr>
        <w:t xml:space="preserve"> </w:t>
      </w:r>
      <w:r w:rsidRPr="00A05CDF">
        <w:rPr>
          <w:rFonts w:eastAsia="Calibri" w:cstheme="minorHAnsi"/>
          <w:iCs/>
          <w:lang w:eastAsia="ar-SA"/>
        </w:rPr>
        <w:t>pozostałych badań i analiz technicznych</w:t>
      </w:r>
      <w:r>
        <w:rPr>
          <w:rFonts w:eastAsia="Calibri" w:cstheme="minorHAnsi"/>
          <w:iCs/>
          <w:lang w:eastAsia="ar-SA"/>
        </w:rPr>
        <w:t>;</w:t>
      </w:r>
    </w:p>
    <w:p w14:paraId="65D89C67" w14:textId="77777777" w:rsidR="006A57B2" w:rsidRDefault="006A57B2" w:rsidP="00C12CC0">
      <w:pPr>
        <w:pStyle w:val="3poziomELO"/>
        <w:numPr>
          <w:ilvl w:val="0"/>
          <w:numId w:val="0"/>
        </w:numPr>
        <w:tabs>
          <w:tab w:val="left" w:pos="1134"/>
        </w:tabs>
        <w:spacing w:after="0"/>
        <w:rPr>
          <w:rFonts w:eastAsia="Times New Roman" w:cstheme="minorHAnsi"/>
          <w:bCs/>
          <w:lang w:eastAsia="pl-PL"/>
        </w:rPr>
      </w:pPr>
      <w:r w:rsidRPr="0085125E">
        <w:rPr>
          <w:rFonts w:eastAsia="Times New Roman" w:cstheme="minorHAnsi"/>
          <w:b/>
          <w:lang w:eastAsia="pl-PL"/>
        </w:rPr>
        <w:t>85.60.Z</w:t>
      </w:r>
      <w:r>
        <w:rPr>
          <w:rFonts w:eastAsia="Times New Roman" w:cstheme="minorHAnsi"/>
          <w:b/>
          <w:lang w:eastAsia="pl-PL"/>
        </w:rPr>
        <w:t xml:space="preserve"> - </w:t>
      </w:r>
      <w:r w:rsidRPr="00A05CDF">
        <w:rPr>
          <w:rFonts w:eastAsia="Times New Roman" w:cstheme="minorHAnsi"/>
          <w:lang w:eastAsia="pl-PL"/>
        </w:rPr>
        <w:t>pełnienie merytorycznego nadzoru nad działalnością szkoleniow</w:t>
      </w:r>
      <w:r>
        <w:rPr>
          <w:rFonts w:eastAsia="Times New Roman" w:cstheme="minorHAnsi"/>
          <w:lang w:eastAsia="pl-PL"/>
        </w:rPr>
        <w:t>ą</w:t>
      </w:r>
    </w:p>
    <w:p w14:paraId="41F4F6E8" w14:textId="77777777" w:rsidR="00401576" w:rsidRPr="005E6AB2" w:rsidRDefault="00401576" w:rsidP="006A57B2">
      <w:pPr>
        <w:pStyle w:val="3poziomELO"/>
        <w:numPr>
          <w:ilvl w:val="0"/>
          <w:numId w:val="0"/>
        </w:numPr>
        <w:tabs>
          <w:tab w:val="left" w:pos="1134"/>
        </w:tabs>
        <w:ind w:left="1502" w:hanging="432"/>
      </w:pPr>
    </w:p>
    <w:p w14:paraId="6DB0F3CD" w14:textId="77777777" w:rsidR="00CA104D" w:rsidRPr="00DD1335" w:rsidRDefault="00CA104D" w:rsidP="00DD1335">
      <w:pPr>
        <w:pStyle w:val="2poziomELO"/>
        <w:jc w:val="both"/>
        <w:outlineLvl w:val="2"/>
        <w:rPr>
          <w:b/>
        </w:rPr>
      </w:pPr>
      <w:bookmarkStart w:id="10" w:name="_Toc141097856"/>
      <w:r w:rsidRPr="00DD1335">
        <w:rPr>
          <w:b/>
        </w:rPr>
        <w:t>Miejsca prowadzenia działalności</w:t>
      </w:r>
      <w:bookmarkEnd w:id="10"/>
    </w:p>
    <w:p w14:paraId="3885F14A" w14:textId="77777777" w:rsidR="00A37B34" w:rsidRPr="00A37B34" w:rsidRDefault="00A37B34" w:rsidP="002A2BE7">
      <w:pPr>
        <w:pStyle w:val="3poziomELO"/>
        <w:numPr>
          <w:ilvl w:val="0"/>
          <w:numId w:val="4"/>
        </w:numPr>
        <w:ind w:left="1069"/>
        <w:jc w:val="both"/>
      </w:pPr>
      <w:r w:rsidRPr="00A37B34">
        <w:t>Główne miejsca prowadzenia działalności</w:t>
      </w:r>
    </w:p>
    <w:p w14:paraId="05867A6E" w14:textId="77777777" w:rsidR="0005656B" w:rsidRDefault="00F01159" w:rsidP="002A2BE7">
      <w:pPr>
        <w:pStyle w:val="3poziomELO"/>
        <w:numPr>
          <w:ilvl w:val="0"/>
          <w:numId w:val="32"/>
        </w:numPr>
        <w:spacing w:after="0"/>
        <w:ind w:left="1789"/>
        <w:jc w:val="both"/>
      </w:pPr>
      <w:r w:rsidRPr="003F1AB3">
        <w:rPr>
          <w:b/>
          <w:bCs/>
        </w:rPr>
        <w:t>4</w:t>
      </w:r>
      <w:r w:rsidR="0005656B" w:rsidRPr="003F1AB3">
        <w:rPr>
          <w:b/>
          <w:bCs/>
        </w:rPr>
        <w:t>4-100 Gliwice, ul. Karola Miarki 12-14</w:t>
      </w:r>
      <w:r w:rsidR="003F1AB3">
        <w:t>, (lokalizacja dawnej Sieci Badawczej Łukasiewicz- Instytut Metalurgii Żelaza),</w:t>
      </w:r>
    </w:p>
    <w:p w14:paraId="13137993" w14:textId="77777777" w:rsidR="003F1AB3" w:rsidRPr="003F1AB3" w:rsidRDefault="003F1AB3" w:rsidP="002A2BE7">
      <w:pPr>
        <w:pStyle w:val="3poziomELO"/>
        <w:numPr>
          <w:ilvl w:val="0"/>
          <w:numId w:val="32"/>
        </w:numPr>
        <w:spacing w:after="0"/>
        <w:ind w:left="1789"/>
        <w:jc w:val="both"/>
      </w:pPr>
      <w:r w:rsidRPr="003F1AB3">
        <w:rPr>
          <w:b/>
          <w:bCs/>
        </w:rPr>
        <w:t>Ul. Moniuszki 29, 41-200 Sosnowiec</w:t>
      </w:r>
      <w:r>
        <w:rPr>
          <w:b/>
          <w:bCs/>
        </w:rPr>
        <w:t>,</w:t>
      </w:r>
      <w:r w:rsidR="00D80853">
        <w:rPr>
          <w:b/>
          <w:bCs/>
        </w:rPr>
        <w:t xml:space="preserve"> </w:t>
      </w:r>
      <w:r w:rsidR="00D80853">
        <w:t>(lokalizacje dawnej Sieci Badawczej Łukasiewicza- Instytut Napędów i Maszyn elektrycznych KOMEL),</w:t>
      </w:r>
    </w:p>
    <w:p w14:paraId="6D2BA4F0" w14:textId="77777777" w:rsidR="003F1AB3" w:rsidRPr="003F1AB3" w:rsidRDefault="003F1AB3" w:rsidP="002A2BE7">
      <w:pPr>
        <w:pStyle w:val="3poziomELO"/>
        <w:numPr>
          <w:ilvl w:val="0"/>
          <w:numId w:val="32"/>
        </w:numPr>
        <w:spacing w:after="0"/>
        <w:ind w:left="1789"/>
        <w:jc w:val="both"/>
      </w:pPr>
      <w:r>
        <w:rPr>
          <w:b/>
          <w:bCs/>
        </w:rPr>
        <w:t>Ul.</w:t>
      </w:r>
      <w:r w:rsidR="00F67DD5">
        <w:rPr>
          <w:b/>
          <w:bCs/>
        </w:rPr>
        <w:t xml:space="preserve"> Jana III</w:t>
      </w:r>
      <w:r>
        <w:rPr>
          <w:b/>
          <w:bCs/>
        </w:rPr>
        <w:t xml:space="preserve"> Sobieskiego 7, 40-082 Katowice,</w:t>
      </w:r>
      <w:r w:rsidR="00D80853" w:rsidRPr="00D80853">
        <w:t xml:space="preserve"> </w:t>
      </w:r>
      <w:r w:rsidR="00D80853">
        <w:t>(lokalizacje dawnej Sieci Badawczej Łukasiewicza- Instytut Napędów i Maszyn elektrycznych KOMEL),</w:t>
      </w:r>
    </w:p>
    <w:p w14:paraId="3E636F4B" w14:textId="77777777" w:rsidR="003F1AB3" w:rsidRDefault="00984B83" w:rsidP="002A2BE7">
      <w:pPr>
        <w:pStyle w:val="3poziomELO"/>
        <w:numPr>
          <w:ilvl w:val="0"/>
          <w:numId w:val="32"/>
        </w:numPr>
        <w:spacing w:after="0"/>
        <w:ind w:left="1789"/>
        <w:jc w:val="both"/>
      </w:pPr>
      <w:r>
        <w:rPr>
          <w:b/>
          <w:bCs/>
        </w:rPr>
        <w:t>a</w:t>
      </w:r>
      <w:r w:rsidR="003F1AB3">
        <w:rPr>
          <w:b/>
          <w:bCs/>
        </w:rPr>
        <w:t xml:space="preserve">l. Roździeńskiego 188 </w:t>
      </w:r>
      <w:r w:rsidR="003F1AB3">
        <w:t xml:space="preserve"> (lokalizacj</w:t>
      </w:r>
      <w:r w:rsidR="00F67DD5">
        <w:t>e</w:t>
      </w:r>
      <w:r w:rsidR="003F1AB3">
        <w:t xml:space="preserve"> dawnej Sieci Badawczej Łukasiewicza- Instytut Napędów i Maszyn elektrycznych KOMEL),</w:t>
      </w:r>
    </w:p>
    <w:p w14:paraId="07B15D80" w14:textId="77777777" w:rsidR="003F1AB3" w:rsidRPr="00F67DD5" w:rsidRDefault="00F67DD5" w:rsidP="002A2BE7">
      <w:pPr>
        <w:pStyle w:val="3poziomELO"/>
        <w:numPr>
          <w:ilvl w:val="0"/>
          <w:numId w:val="32"/>
        </w:numPr>
        <w:spacing w:after="0"/>
        <w:ind w:left="1789"/>
        <w:jc w:val="both"/>
      </w:pPr>
      <w:r>
        <w:rPr>
          <w:b/>
          <w:bCs/>
        </w:rPr>
        <w:lastRenderedPageBreak/>
        <w:t>Ul. Błogosławionego Czesława 16-18, 44-100 Gliwice,</w:t>
      </w:r>
      <w:r w:rsidR="00D80853">
        <w:rPr>
          <w:b/>
          <w:bCs/>
        </w:rPr>
        <w:t xml:space="preserve"> </w:t>
      </w:r>
      <w:r w:rsidR="00D80853">
        <w:t>(lokalizacja dawnej Sieci Badawczej Łukasiewicz- Instytut Spawalnictwa)</w:t>
      </w:r>
    </w:p>
    <w:p w14:paraId="3A5CB564" w14:textId="3AE835DE" w:rsidR="00F67DD5" w:rsidRPr="0005656B" w:rsidRDefault="00F67DD5" w:rsidP="002A2BE7">
      <w:pPr>
        <w:pStyle w:val="3poziomELO"/>
        <w:numPr>
          <w:ilvl w:val="0"/>
          <w:numId w:val="32"/>
        </w:numPr>
        <w:spacing w:after="0"/>
        <w:ind w:left="1789"/>
        <w:jc w:val="both"/>
      </w:pPr>
      <w:r>
        <w:rPr>
          <w:b/>
          <w:bCs/>
        </w:rPr>
        <w:t xml:space="preserve">Ul. </w:t>
      </w:r>
      <w:proofErr w:type="spellStart"/>
      <w:r>
        <w:rPr>
          <w:b/>
          <w:bCs/>
        </w:rPr>
        <w:t>Jelenica</w:t>
      </w:r>
      <w:proofErr w:type="spellEnd"/>
      <w:r>
        <w:rPr>
          <w:b/>
          <w:bCs/>
        </w:rPr>
        <w:t xml:space="preserve"> 60, 43-450 Ustroń (ośrodek Campingowy) </w:t>
      </w:r>
      <w:r>
        <w:t>(lokalizacja dawnej Sieci Badawczej Łukasiewicz- Instytut Spawalnictwa)</w:t>
      </w:r>
    </w:p>
    <w:p w14:paraId="11A79885" w14:textId="77777777" w:rsidR="00A37B34" w:rsidRDefault="00A37B34" w:rsidP="004100DF">
      <w:pPr>
        <w:pStyle w:val="3poziomELO"/>
        <w:numPr>
          <w:ilvl w:val="0"/>
          <w:numId w:val="0"/>
        </w:numPr>
        <w:spacing w:after="0"/>
        <w:ind w:left="1069"/>
        <w:jc w:val="both"/>
      </w:pPr>
    </w:p>
    <w:p w14:paraId="6592DBF7" w14:textId="77777777" w:rsidR="00A37B34" w:rsidRPr="00F01159" w:rsidRDefault="00A37B34" w:rsidP="002A2BE7">
      <w:pPr>
        <w:pStyle w:val="3poziomELO"/>
        <w:numPr>
          <w:ilvl w:val="0"/>
          <w:numId w:val="4"/>
        </w:numPr>
        <w:ind w:left="1069"/>
        <w:jc w:val="both"/>
        <w:rPr>
          <w:b/>
        </w:rPr>
      </w:pPr>
      <w:r>
        <w:t xml:space="preserve">Zakres terytorialny: </w:t>
      </w:r>
      <w:r w:rsidR="00D80853">
        <w:rPr>
          <w:b/>
        </w:rPr>
        <w:t>C</w:t>
      </w:r>
      <w:r w:rsidRPr="00A37B34">
        <w:rPr>
          <w:b/>
        </w:rPr>
        <w:t xml:space="preserve">ały </w:t>
      </w:r>
      <w:r w:rsidR="00D80853">
        <w:rPr>
          <w:b/>
        </w:rPr>
        <w:t>Ś</w:t>
      </w:r>
      <w:r w:rsidRPr="00A37B34">
        <w:rPr>
          <w:b/>
        </w:rPr>
        <w:t>wiat</w:t>
      </w:r>
      <w:r w:rsidR="00D80853">
        <w:rPr>
          <w:b/>
        </w:rPr>
        <w:t xml:space="preserve"> z wyłączeniem USA oraz Kanady wraz z ich terytoriami zależnymi, za wyjątkiem wypadków ubezpieczeniowych powstałych w związku z odbywaniem podróży służbowych</w:t>
      </w:r>
    </w:p>
    <w:p w14:paraId="745B6B16" w14:textId="77777777" w:rsidR="00F01159" w:rsidRPr="00C748DC" w:rsidRDefault="00F01159" w:rsidP="00F01159">
      <w:pPr>
        <w:pStyle w:val="3poziomELO"/>
        <w:numPr>
          <w:ilvl w:val="0"/>
          <w:numId w:val="0"/>
        </w:numPr>
        <w:ind w:left="1142" w:hanging="432"/>
        <w:jc w:val="both"/>
        <w:rPr>
          <w:b/>
        </w:rPr>
      </w:pPr>
    </w:p>
    <w:p w14:paraId="72282A71" w14:textId="77777777" w:rsidR="008C1BDB" w:rsidRPr="00CC29A9" w:rsidRDefault="008C1BDB" w:rsidP="00CC29A9">
      <w:pPr>
        <w:pStyle w:val="2poziomELO"/>
        <w:jc w:val="both"/>
        <w:outlineLvl w:val="2"/>
        <w:rPr>
          <w:b/>
        </w:rPr>
      </w:pPr>
      <w:bookmarkStart w:id="11" w:name="_Toc141097857"/>
      <w:r w:rsidRPr="00CC29A9">
        <w:rPr>
          <w:b/>
        </w:rPr>
        <w:t>Wysokość obrotu przedsiębiorstwa</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4"/>
        <w:gridCol w:w="3202"/>
        <w:gridCol w:w="3046"/>
      </w:tblGrid>
      <w:tr w:rsidR="0005656B" w:rsidRPr="00CF1857" w14:paraId="32394B50" w14:textId="77777777" w:rsidTr="00264D26">
        <w:tc>
          <w:tcPr>
            <w:tcW w:w="6166" w:type="dxa"/>
            <w:gridSpan w:val="2"/>
            <w:tcBorders>
              <w:top w:val="double" w:sz="4" w:space="0" w:color="auto"/>
              <w:left w:val="double" w:sz="4" w:space="0" w:color="auto"/>
              <w:bottom w:val="double" w:sz="4" w:space="0" w:color="auto"/>
              <w:right w:val="double" w:sz="4" w:space="0" w:color="auto"/>
            </w:tcBorders>
            <w:shd w:val="clear" w:color="000000" w:fill="B8CCE4" w:themeFill="accent1" w:themeFillTint="66"/>
            <w:vAlign w:val="center"/>
          </w:tcPr>
          <w:p w14:paraId="09F13035" w14:textId="77777777" w:rsidR="0005656B" w:rsidRPr="00CF1857" w:rsidRDefault="0005656B" w:rsidP="005A533C">
            <w:pPr>
              <w:spacing w:before="60" w:after="6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Lata </w:t>
            </w:r>
          </w:p>
        </w:tc>
        <w:tc>
          <w:tcPr>
            <w:tcW w:w="3046" w:type="dxa"/>
            <w:tcBorders>
              <w:top w:val="double" w:sz="4" w:space="0" w:color="auto"/>
              <w:left w:val="nil"/>
              <w:bottom w:val="double" w:sz="4" w:space="0" w:color="auto"/>
              <w:right w:val="double" w:sz="4" w:space="0" w:color="auto"/>
            </w:tcBorders>
            <w:shd w:val="clear" w:color="000000" w:fill="B8CCE4" w:themeFill="accent1" w:themeFillTint="66"/>
            <w:vAlign w:val="center"/>
          </w:tcPr>
          <w:p w14:paraId="04D31E2D" w14:textId="77777777" w:rsidR="0005656B" w:rsidRPr="00CF1857" w:rsidRDefault="0005656B" w:rsidP="005A533C">
            <w:pPr>
              <w:spacing w:after="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Wysokość obrotu</w:t>
            </w:r>
            <w:r w:rsidRPr="00CF1857">
              <w:rPr>
                <w:rFonts w:ascii="Calibri" w:eastAsia="Times New Roman" w:hAnsi="Calibri" w:cs="Times New Roman"/>
                <w:sz w:val="20"/>
                <w:szCs w:val="20"/>
                <w:lang w:eastAsia="pl-PL"/>
              </w:rPr>
              <w:t xml:space="preserve"> </w:t>
            </w:r>
          </w:p>
        </w:tc>
      </w:tr>
      <w:tr w:rsidR="00264D26" w:rsidRPr="00CF1857" w14:paraId="0C6E6857" w14:textId="77777777" w:rsidTr="00F17700">
        <w:tc>
          <w:tcPr>
            <w:tcW w:w="2964" w:type="dxa"/>
            <w:vMerge w:val="restart"/>
            <w:tcBorders>
              <w:top w:val="double" w:sz="4" w:space="0" w:color="auto"/>
              <w:left w:val="double" w:sz="4" w:space="0" w:color="auto"/>
              <w:right w:val="single" w:sz="4" w:space="0" w:color="auto"/>
            </w:tcBorders>
            <w:vAlign w:val="center"/>
          </w:tcPr>
          <w:p w14:paraId="5B0B00EC" w14:textId="77777777" w:rsidR="00264D26" w:rsidRPr="0005656B" w:rsidRDefault="00264D26" w:rsidP="001179FB">
            <w:pPr>
              <w:spacing w:before="60" w:after="60" w:line="240" w:lineRule="auto"/>
              <w:jc w:val="center"/>
              <w:rPr>
                <w:rFonts w:ascii="Calibri" w:eastAsia="Times New Roman" w:hAnsi="Calibri" w:cs="Times New Roman"/>
                <w:sz w:val="20"/>
                <w:szCs w:val="20"/>
                <w:lang w:eastAsia="pl-PL"/>
              </w:rPr>
            </w:pPr>
            <w:r w:rsidRPr="0005656B">
              <w:rPr>
                <w:sz w:val="20"/>
              </w:rPr>
              <w:t>Obrót w roku ubiegłym</w:t>
            </w:r>
            <w:r>
              <w:rPr>
                <w:sz w:val="20"/>
              </w:rPr>
              <w:t xml:space="preserve"> (2022)</w:t>
            </w:r>
          </w:p>
        </w:tc>
        <w:tc>
          <w:tcPr>
            <w:tcW w:w="3202" w:type="dxa"/>
            <w:tcBorders>
              <w:top w:val="double" w:sz="4" w:space="0" w:color="auto"/>
              <w:left w:val="single" w:sz="4" w:space="0" w:color="auto"/>
              <w:right w:val="single" w:sz="4" w:space="0" w:color="auto"/>
            </w:tcBorders>
            <w:vAlign w:val="center"/>
          </w:tcPr>
          <w:p w14:paraId="502F34CD" w14:textId="77777777" w:rsidR="00264D26" w:rsidRPr="0005656B" w:rsidRDefault="00264D26" w:rsidP="001179FB">
            <w:pPr>
              <w:spacing w:before="60" w:after="6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Sieć Badawcza Łukasiewicz – Instytut Spawalnictwa</w:t>
            </w:r>
          </w:p>
        </w:tc>
        <w:tc>
          <w:tcPr>
            <w:tcW w:w="3046" w:type="dxa"/>
            <w:tcBorders>
              <w:top w:val="double" w:sz="4" w:space="0" w:color="auto"/>
              <w:left w:val="nil"/>
              <w:right w:val="double" w:sz="4" w:space="0" w:color="auto"/>
            </w:tcBorders>
            <w:shd w:val="clear" w:color="auto" w:fill="auto"/>
            <w:vAlign w:val="center"/>
          </w:tcPr>
          <w:p w14:paraId="3E0978DC" w14:textId="77777777" w:rsidR="00264D26" w:rsidRPr="00F17700" w:rsidRDefault="00F17700" w:rsidP="001179FB">
            <w:pPr>
              <w:spacing w:before="60" w:after="60" w:line="240" w:lineRule="auto"/>
              <w:jc w:val="center"/>
              <w:rPr>
                <w:rFonts w:ascii="Calibri" w:eastAsia="Times New Roman" w:hAnsi="Calibri" w:cs="Times New Roman"/>
                <w:sz w:val="20"/>
                <w:szCs w:val="20"/>
                <w:lang w:eastAsia="pl-PL"/>
              </w:rPr>
            </w:pPr>
            <w:r w:rsidRPr="00F17700">
              <w:rPr>
                <w:rFonts w:ascii="Calibri" w:eastAsia="Times New Roman" w:hAnsi="Calibri" w:cs="Times New Roman"/>
                <w:sz w:val="20"/>
                <w:szCs w:val="20"/>
                <w:lang w:eastAsia="pl-PL"/>
              </w:rPr>
              <w:t>29 496 214,84 zł</w:t>
            </w:r>
          </w:p>
        </w:tc>
      </w:tr>
      <w:tr w:rsidR="00264D26" w:rsidRPr="00CF1857" w14:paraId="16F636E4" w14:textId="77777777" w:rsidTr="00F17700">
        <w:tc>
          <w:tcPr>
            <w:tcW w:w="2964" w:type="dxa"/>
            <w:vMerge/>
            <w:tcBorders>
              <w:left w:val="double" w:sz="4" w:space="0" w:color="auto"/>
              <w:right w:val="single" w:sz="4" w:space="0" w:color="auto"/>
            </w:tcBorders>
            <w:vAlign w:val="center"/>
          </w:tcPr>
          <w:p w14:paraId="02A591F9" w14:textId="77777777" w:rsidR="00264D26" w:rsidRPr="0005656B" w:rsidRDefault="00264D26" w:rsidP="001179FB">
            <w:pPr>
              <w:spacing w:before="60" w:after="60" w:line="240" w:lineRule="auto"/>
              <w:jc w:val="center"/>
              <w:rPr>
                <w:rFonts w:ascii="Calibri" w:eastAsia="Times New Roman" w:hAnsi="Calibri" w:cs="Times New Roman"/>
                <w:sz w:val="20"/>
                <w:szCs w:val="20"/>
                <w:lang w:eastAsia="pl-PL"/>
              </w:rPr>
            </w:pPr>
          </w:p>
        </w:tc>
        <w:tc>
          <w:tcPr>
            <w:tcW w:w="3202" w:type="dxa"/>
            <w:tcBorders>
              <w:left w:val="single" w:sz="4" w:space="0" w:color="auto"/>
              <w:right w:val="single" w:sz="4" w:space="0" w:color="auto"/>
            </w:tcBorders>
            <w:vAlign w:val="center"/>
          </w:tcPr>
          <w:p w14:paraId="24DDB20F" w14:textId="77777777" w:rsidR="00264D26" w:rsidRPr="0005656B" w:rsidRDefault="00264D26" w:rsidP="001179FB">
            <w:pPr>
              <w:spacing w:before="60" w:after="6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Sieć Badawcza Łukasiewicz – Instytut Metalurgii Żelaza</w:t>
            </w:r>
          </w:p>
        </w:tc>
        <w:tc>
          <w:tcPr>
            <w:tcW w:w="3046" w:type="dxa"/>
            <w:tcBorders>
              <w:left w:val="nil"/>
              <w:right w:val="double" w:sz="4" w:space="0" w:color="auto"/>
            </w:tcBorders>
            <w:shd w:val="clear" w:color="auto" w:fill="auto"/>
            <w:vAlign w:val="center"/>
          </w:tcPr>
          <w:p w14:paraId="6804B08E" w14:textId="77777777" w:rsidR="00264D26" w:rsidRPr="00F17700" w:rsidRDefault="00F17700" w:rsidP="001179FB">
            <w:pPr>
              <w:spacing w:before="60" w:after="60" w:line="240" w:lineRule="auto"/>
              <w:jc w:val="center"/>
              <w:rPr>
                <w:rFonts w:ascii="Calibri" w:eastAsia="Times New Roman" w:hAnsi="Calibri" w:cs="Times New Roman"/>
                <w:sz w:val="20"/>
                <w:szCs w:val="20"/>
                <w:lang w:eastAsia="pl-PL"/>
              </w:rPr>
            </w:pPr>
            <w:r w:rsidRPr="00F17700">
              <w:rPr>
                <w:rFonts w:ascii="Calibri" w:eastAsia="Times New Roman" w:hAnsi="Calibri" w:cs="Times New Roman"/>
                <w:sz w:val="20"/>
                <w:szCs w:val="20"/>
                <w:lang w:eastAsia="pl-PL"/>
              </w:rPr>
              <w:t>23 453 863,76 zł</w:t>
            </w:r>
          </w:p>
        </w:tc>
      </w:tr>
      <w:tr w:rsidR="00264D26" w:rsidRPr="00CF1857" w14:paraId="6E82E80D" w14:textId="77777777" w:rsidTr="00F17700">
        <w:tc>
          <w:tcPr>
            <w:tcW w:w="2964" w:type="dxa"/>
            <w:vMerge/>
            <w:tcBorders>
              <w:left w:val="double" w:sz="4" w:space="0" w:color="auto"/>
              <w:right w:val="single" w:sz="4" w:space="0" w:color="auto"/>
            </w:tcBorders>
            <w:vAlign w:val="center"/>
          </w:tcPr>
          <w:p w14:paraId="7EA4939A" w14:textId="77777777" w:rsidR="00264D26" w:rsidRPr="0005656B" w:rsidRDefault="00264D26" w:rsidP="001179FB">
            <w:pPr>
              <w:spacing w:before="60" w:after="60" w:line="240" w:lineRule="auto"/>
              <w:jc w:val="center"/>
              <w:rPr>
                <w:sz w:val="20"/>
              </w:rPr>
            </w:pPr>
          </w:p>
        </w:tc>
        <w:tc>
          <w:tcPr>
            <w:tcW w:w="3202" w:type="dxa"/>
            <w:tcBorders>
              <w:left w:val="single" w:sz="4" w:space="0" w:color="auto"/>
              <w:right w:val="single" w:sz="4" w:space="0" w:color="auto"/>
            </w:tcBorders>
            <w:vAlign w:val="center"/>
          </w:tcPr>
          <w:p w14:paraId="0ABF85CB" w14:textId="77777777" w:rsidR="00264D26" w:rsidRPr="0005656B" w:rsidRDefault="00264D26" w:rsidP="001179FB">
            <w:pPr>
              <w:spacing w:before="60" w:after="60" w:line="240" w:lineRule="auto"/>
              <w:jc w:val="center"/>
              <w:rPr>
                <w:sz w:val="20"/>
              </w:rPr>
            </w:pPr>
            <w:r>
              <w:rPr>
                <w:rFonts w:ascii="Calibri" w:eastAsia="Times New Roman" w:hAnsi="Calibri" w:cs="Times New Roman"/>
                <w:sz w:val="20"/>
                <w:szCs w:val="20"/>
                <w:lang w:eastAsia="pl-PL"/>
              </w:rPr>
              <w:t>Sieć Badawcza Łukasiewicz – Instytut Napędów i Maszyn Elektrycznych KOMEL</w:t>
            </w:r>
          </w:p>
        </w:tc>
        <w:tc>
          <w:tcPr>
            <w:tcW w:w="3046" w:type="dxa"/>
            <w:tcBorders>
              <w:left w:val="nil"/>
              <w:right w:val="double" w:sz="4" w:space="0" w:color="auto"/>
            </w:tcBorders>
            <w:shd w:val="clear" w:color="auto" w:fill="auto"/>
            <w:vAlign w:val="center"/>
          </w:tcPr>
          <w:p w14:paraId="707C602F" w14:textId="77777777" w:rsidR="00264D26" w:rsidRPr="00F17700" w:rsidRDefault="00F17700" w:rsidP="001179FB">
            <w:pPr>
              <w:spacing w:before="60" w:after="60" w:line="240" w:lineRule="auto"/>
              <w:jc w:val="center"/>
              <w:rPr>
                <w:rFonts w:ascii="Calibri" w:eastAsia="Times New Roman" w:hAnsi="Calibri" w:cs="Times New Roman"/>
                <w:sz w:val="20"/>
                <w:szCs w:val="20"/>
                <w:lang w:eastAsia="pl-PL"/>
              </w:rPr>
            </w:pPr>
            <w:r w:rsidRPr="00F17700">
              <w:rPr>
                <w:rFonts w:ascii="Calibri" w:eastAsia="Times New Roman" w:hAnsi="Calibri" w:cs="Times New Roman"/>
                <w:sz w:val="20"/>
                <w:szCs w:val="20"/>
                <w:lang w:eastAsia="pl-PL"/>
              </w:rPr>
              <w:t>11 269 709,08 zł</w:t>
            </w:r>
          </w:p>
        </w:tc>
      </w:tr>
      <w:tr w:rsidR="00264D26" w:rsidRPr="00CF1857" w14:paraId="7841B323" w14:textId="77777777" w:rsidTr="00F17700">
        <w:tc>
          <w:tcPr>
            <w:tcW w:w="6166" w:type="dxa"/>
            <w:gridSpan w:val="2"/>
            <w:tcBorders>
              <w:left w:val="double" w:sz="4" w:space="0" w:color="auto"/>
              <w:right w:val="single" w:sz="4" w:space="0" w:color="auto"/>
            </w:tcBorders>
            <w:vAlign w:val="center"/>
          </w:tcPr>
          <w:p w14:paraId="2F0D3A07" w14:textId="77777777" w:rsidR="00264D26" w:rsidRPr="0005656B" w:rsidRDefault="00264D26" w:rsidP="001179FB">
            <w:pPr>
              <w:spacing w:before="60" w:after="60" w:line="240" w:lineRule="auto"/>
              <w:jc w:val="center"/>
              <w:rPr>
                <w:sz w:val="20"/>
              </w:rPr>
            </w:pPr>
            <w:r w:rsidRPr="0005656B">
              <w:rPr>
                <w:sz w:val="20"/>
              </w:rPr>
              <w:t>Planowany obrót w roku bieżącym</w:t>
            </w:r>
            <w:r>
              <w:rPr>
                <w:sz w:val="20"/>
              </w:rPr>
              <w:t xml:space="preserve"> (2023)</w:t>
            </w:r>
          </w:p>
        </w:tc>
        <w:tc>
          <w:tcPr>
            <w:tcW w:w="3046" w:type="dxa"/>
            <w:tcBorders>
              <w:left w:val="nil"/>
              <w:right w:val="double" w:sz="4" w:space="0" w:color="auto"/>
            </w:tcBorders>
            <w:shd w:val="clear" w:color="auto" w:fill="auto"/>
            <w:vAlign w:val="center"/>
          </w:tcPr>
          <w:p w14:paraId="2977E966" w14:textId="77777777" w:rsidR="00264D26" w:rsidRPr="00F17700" w:rsidRDefault="00F17700" w:rsidP="001179FB">
            <w:pPr>
              <w:spacing w:before="60" w:after="60" w:line="240" w:lineRule="auto"/>
              <w:jc w:val="center"/>
              <w:rPr>
                <w:rFonts w:ascii="Calibri" w:eastAsia="Times New Roman" w:hAnsi="Calibri" w:cs="Times New Roman"/>
                <w:sz w:val="20"/>
                <w:szCs w:val="20"/>
                <w:lang w:eastAsia="pl-PL"/>
              </w:rPr>
            </w:pPr>
            <w:r w:rsidRPr="00F17700">
              <w:rPr>
                <w:rFonts w:ascii="Calibri" w:eastAsia="Times New Roman" w:hAnsi="Calibri" w:cs="Times New Roman"/>
                <w:sz w:val="20"/>
                <w:szCs w:val="20"/>
                <w:lang w:eastAsia="pl-PL"/>
              </w:rPr>
              <w:t>96 470 425,00 zł</w:t>
            </w:r>
          </w:p>
        </w:tc>
      </w:tr>
      <w:tr w:rsidR="00264D26" w:rsidRPr="00CF1857" w14:paraId="7FD022C6" w14:textId="77777777" w:rsidTr="00F17700">
        <w:tc>
          <w:tcPr>
            <w:tcW w:w="6166" w:type="dxa"/>
            <w:gridSpan w:val="2"/>
            <w:tcBorders>
              <w:left w:val="double" w:sz="4" w:space="0" w:color="auto"/>
              <w:right w:val="single" w:sz="4" w:space="0" w:color="auto"/>
            </w:tcBorders>
            <w:vAlign w:val="center"/>
          </w:tcPr>
          <w:p w14:paraId="0B8231B1" w14:textId="77777777" w:rsidR="00264D26" w:rsidRPr="0005656B" w:rsidRDefault="00264D26" w:rsidP="00264D26">
            <w:pPr>
              <w:spacing w:before="60" w:after="60" w:line="240" w:lineRule="auto"/>
              <w:jc w:val="center"/>
              <w:rPr>
                <w:sz w:val="20"/>
              </w:rPr>
            </w:pPr>
            <w:r w:rsidRPr="0005656B">
              <w:rPr>
                <w:sz w:val="20"/>
              </w:rPr>
              <w:t xml:space="preserve">Planowany obrót w roku </w:t>
            </w:r>
            <w:r>
              <w:rPr>
                <w:sz w:val="20"/>
              </w:rPr>
              <w:t>kolejnym (2024)</w:t>
            </w:r>
          </w:p>
        </w:tc>
        <w:tc>
          <w:tcPr>
            <w:tcW w:w="3046" w:type="dxa"/>
            <w:tcBorders>
              <w:left w:val="nil"/>
              <w:right w:val="double" w:sz="4" w:space="0" w:color="auto"/>
            </w:tcBorders>
            <w:shd w:val="clear" w:color="auto" w:fill="auto"/>
            <w:vAlign w:val="center"/>
          </w:tcPr>
          <w:p w14:paraId="1CB8FD0A" w14:textId="77777777" w:rsidR="00264D26" w:rsidRPr="00F17700" w:rsidRDefault="00F17700" w:rsidP="00264D26">
            <w:pPr>
              <w:spacing w:before="60" w:after="60" w:line="240" w:lineRule="auto"/>
              <w:jc w:val="center"/>
              <w:rPr>
                <w:rFonts w:ascii="Calibri" w:eastAsia="Times New Roman" w:hAnsi="Calibri" w:cs="Times New Roman"/>
                <w:sz w:val="20"/>
                <w:szCs w:val="20"/>
                <w:lang w:eastAsia="pl-PL"/>
              </w:rPr>
            </w:pPr>
            <w:r w:rsidRPr="00F17700">
              <w:rPr>
                <w:rFonts w:ascii="Calibri" w:eastAsia="Times New Roman" w:hAnsi="Calibri" w:cs="Times New Roman"/>
                <w:sz w:val="20"/>
                <w:szCs w:val="20"/>
                <w:lang w:eastAsia="pl-PL"/>
              </w:rPr>
              <w:t>80 000 000 ,00 zł</w:t>
            </w:r>
          </w:p>
        </w:tc>
      </w:tr>
    </w:tbl>
    <w:p w14:paraId="6ED30455" w14:textId="77777777" w:rsidR="0005656B" w:rsidRPr="004100DF" w:rsidRDefault="0005656B" w:rsidP="004100DF">
      <w:pPr>
        <w:pStyle w:val="2poziomELO"/>
        <w:numPr>
          <w:ilvl w:val="0"/>
          <w:numId w:val="0"/>
        </w:numPr>
        <w:ind w:left="360"/>
        <w:rPr>
          <w:b/>
          <w:bCs/>
        </w:rPr>
      </w:pPr>
    </w:p>
    <w:p w14:paraId="305A1B34" w14:textId="3813660D" w:rsidR="008C1BDB" w:rsidRPr="00CC29A9" w:rsidRDefault="008C1BDB" w:rsidP="00CC29A9">
      <w:pPr>
        <w:pStyle w:val="2poziomELO"/>
        <w:jc w:val="both"/>
        <w:outlineLvl w:val="2"/>
        <w:rPr>
          <w:b/>
        </w:rPr>
      </w:pPr>
      <w:bookmarkStart w:id="12" w:name="_Toc141097858"/>
      <w:r w:rsidRPr="00CC29A9">
        <w:rPr>
          <w:b/>
        </w:rPr>
        <w:t>Zatrudni</w:t>
      </w:r>
      <w:r w:rsidR="005B3D5E" w:rsidRPr="00CC29A9">
        <w:rPr>
          <w:b/>
        </w:rPr>
        <w:t xml:space="preserve">enie </w:t>
      </w:r>
      <w:r w:rsidR="001179FB" w:rsidRPr="00CC29A9">
        <w:rPr>
          <w:b/>
        </w:rPr>
        <w:t xml:space="preserve">(zgodnie z danymi z dnia </w:t>
      </w:r>
      <w:r w:rsidR="006A73D3" w:rsidRPr="00CC29A9">
        <w:rPr>
          <w:b/>
        </w:rPr>
        <w:t>3</w:t>
      </w:r>
      <w:r w:rsidR="00065A7D" w:rsidRPr="00CC29A9">
        <w:rPr>
          <w:b/>
        </w:rPr>
        <w:t>0</w:t>
      </w:r>
      <w:r w:rsidR="001179FB" w:rsidRPr="00CC29A9">
        <w:rPr>
          <w:b/>
        </w:rPr>
        <w:t>.0</w:t>
      </w:r>
      <w:r w:rsidR="00065A7D" w:rsidRPr="00CC29A9">
        <w:rPr>
          <w:b/>
        </w:rPr>
        <w:t>6</w:t>
      </w:r>
      <w:r w:rsidR="001179FB" w:rsidRPr="00CC29A9">
        <w:rPr>
          <w:b/>
        </w:rPr>
        <w:t>.202</w:t>
      </w:r>
      <w:r w:rsidR="006A73D3" w:rsidRPr="00CC29A9">
        <w:rPr>
          <w:b/>
        </w:rPr>
        <w:t>3</w:t>
      </w:r>
      <w:r w:rsidR="001179FB" w:rsidRPr="00CC29A9">
        <w:rPr>
          <w:b/>
        </w:rPr>
        <w:t xml:space="preserve"> r.)</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B75B31" w:rsidRPr="00CF1857" w14:paraId="223EAF29" w14:textId="77777777" w:rsidTr="005A533C">
        <w:trPr>
          <w:cantSplit/>
        </w:trPr>
        <w:tc>
          <w:tcPr>
            <w:tcW w:w="9212" w:type="dxa"/>
            <w:gridSpan w:val="2"/>
            <w:tcBorders>
              <w:top w:val="double" w:sz="4" w:space="0" w:color="auto"/>
              <w:left w:val="double" w:sz="4" w:space="0" w:color="auto"/>
              <w:bottom w:val="double" w:sz="4" w:space="0" w:color="auto"/>
              <w:right w:val="double" w:sz="4" w:space="0" w:color="auto"/>
            </w:tcBorders>
            <w:shd w:val="clear" w:color="000000" w:fill="B8CCE4" w:themeFill="accent1" w:themeFillTint="66"/>
            <w:vAlign w:val="center"/>
          </w:tcPr>
          <w:p w14:paraId="0BD26A24" w14:textId="77777777" w:rsidR="00B75B31" w:rsidRPr="00CF1857" w:rsidRDefault="00B75B31" w:rsidP="005A533C">
            <w:pPr>
              <w:spacing w:before="240"/>
              <w:jc w:val="center"/>
              <w:rPr>
                <w:b/>
                <w:lang w:eastAsia="pl-PL"/>
              </w:rPr>
            </w:pPr>
            <w:r>
              <w:rPr>
                <w:b/>
                <w:lang w:eastAsia="pl-PL"/>
              </w:rPr>
              <w:t>Zatrudnienie</w:t>
            </w:r>
          </w:p>
        </w:tc>
      </w:tr>
      <w:tr w:rsidR="001179FB" w:rsidRPr="00CF1857" w14:paraId="00295823" w14:textId="77777777" w:rsidTr="00327707">
        <w:tc>
          <w:tcPr>
            <w:tcW w:w="4606" w:type="dxa"/>
            <w:tcBorders>
              <w:top w:val="double" w:sz="4" w:space="0" w:color="auto"/>
              <w:left w:val="double" w:sz="4" w:space="0" w:color="auto"/>
              <w:right w:val="single" w:sz="4" w:space="0" w:color="auto"/>
            </w:tcBorders>
            <w:vAlign w:val="center"/>
          </w:tcPr>
          <w:p w14:paraId="59D287B1" w14:textId="77777777" w:rsidR="001179FB" w:rsidRPr="00CF1857" w:rsidRDefault="001179FB" w:rsidP="001179FB">
            <w:pPr>
              <w:spacing w:before="60" w:after="60" w:line="240" w:lineRule="auto"/>
              <w:rPr>
                <w:rFonts w:ascii="Calibri" w:eastAsia="Times New Roman" w:hAnsi="Calibri" w:cs="Times New Roman"/>
                <w:sz w:val="20"/>
                <w:szCs w:val="20"/>
                <w:lang w:eastAsia="pl-PL"/>
              </w:rPr>
            </w:pPr>
            <w:r>
              <w:rPr>
                <w:rFonts w:ascii="Calibri" w:eastAsia="Times New Roman" w:hAnsi="Calibri" w:cs="Times New Roman"/>
                <w:sz w:val="20"/>
                <w:szCs w:val="20"/>
                <w:lang w:eastAsia="pl-PL"/>
              </w:rPr>
              <w:t>Liczba pracowników ogółem</w:t>
            </w:r>
          </w:p>
        </w:tc>
        <w:tc>
          <w:tcPr>
            <w:tcW w:w="4606" w:type="dxa"/>
            <w:tcBorders>
              <w:top w:val="double" w:sz="4" w:space="0" w:color="auto"/>
              <w:left w:val="nil"/>
              <w:right w:val="double" w:sz="4" w:space="0" w:color="auto"/>
            </w:tcBorders>
            <w:shd w:val="clear" w:color="auto" w:fill="auto"/>
            <w:vAlign w:val="center"/>
          </w:tcPr>
          <w:p w14:paraId="7CAC7C4C" w14:textId="77777777" w:rsidR="001179FB" w:rsidRPr="00327707" w:rsidRDefault="00327707" w:rsidP="001179FB">
            <w:pPr>
              <w:spacing w:before="60" w:after="60" w:line="240" w:lineRule="auto"/>
              <w:jc w:val="center"/>
              <w:rPr>
                <w:rFonts w:ascii="Calibri" w:eastAsia="Times New Roman" w:hAnsi="Calibri" w:cs="Times New Roman"/>
                <w:color w:val="000000" w:themeColor="text1"/>
                <w:sz w:val="20"/>
                <w:szCs w:val="20"/>
                <w:lang w:eastAsia="pl-PL"/>
              </w:rPr>
            </w:pPr>
            <w:r w:rsidRPr="00327707">
              <w:rPr>
                <w:rFonts w:ascii="Calibri" w:eastAsia="Times New Roman" w:hAnsi="Calibri" w:cs="Times New Roman"/>
                <w:color w:val="000000" w:themeColor="text1"/>
                <w:sz w:val="20"/>
                <w:szCs w:val="20"/>
                <w:lang w:eastAsia="pl-PL"/>
              </w:rPr>
              <w:t>326 osób</w:t>
            </w:r>
          </w:p>
        </w:tc>
      </w:tr>
      <w:tr w:rsidR="001179FB" w:rsidRPr="00CF1857" w14:paraId="7ADA62DD" w14:textId="77777777" w:rsidTr="00327707">
        <w:tc>
          <w:tcPr>
            <w:tcW w:w="4606" w:type="dxa"/>
            <w:tcBorders>
              <w:left w:val="double" w:sz="4" w:space="0" w:color="auto"/>
              <w:right w:val="single" w:sz="4" w:space="0" w:color="auto"/>
            </w:tcBorders>
            <w:vAlign w:val="center"/>
          </w:tcPr>
          <w:p w14:paraId="4D26F92D" w14:textId="77777777" w:rsidR="001179FB" w:rsidRPr="00CF1857" w:rsidRDefault="001179FB" w:rsidP="001179FB">
            <w:pPr>
              <w:spacing w:before="60" w:after="60" w:line="240" w:lineRule="auto"/>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 - pracownicy zatrudnieni na pełen etat</w:t>
            </w:r>
          </w:p>
        </w:tc>
        <w:tc>
          <w:tcPr>
            <w:tcW w:w="4606" w:type="dxa"/>
            <w:tcBorders>
              <w:left w:val="nil"/>
              <w:right w:val="double" w:sz="4" w:space="0" w:color="auto"/>
            </w:tcBorders>
            <w:shd w:val="clear" w:color="auto" w:fill="auto"/>
            <w:vAlign w:val="center"/>
          </w:tcPr>
          <w:p w14:paraId="6B32119B" w14:textId="77777777" w:rsidR="001179FB" w:rsidRPr="00327707" w:rsidRDefault="00327707" w:rsidP="001179FB">
            <w:pPr>
              <w:spacing w:before="60" w:after="60" w:line="240" w:lineRule="auto"/>
              <w:jc w:val="center"/>
              <w:rPr>
                <w:rFonts w:ascii="Calibri" w:eastAsia="Times New Roman" w:hAnsi="Calibri" w:cs="Times New Roman"/>
                <w:color w:val="000000" w:themeColor="text1"/>
                <w:sz w:val="20"/>
                <w:szCs w:val="20"/>
                <w:lang w:eastAsia="pl-PL"/>
              </w:rPr>
            </w:pPr>
            <w:r>
              <w:rPr>
                <w:rFonts w:ascii="Calibri" w:eastAsia="Times New Roman" w:hAnsi="Calibri" w:cs="Times New Roman"/>
                <w:color w:val="000000" w:themeColor="text1"/>
                <w:sz w:val="20"/>
                <w:szCs w:val="20"/>
                <w:lang w:eastAsia="pl-PL"/>
              </w:rPr>
              <w:t>301 osób</w:t>
            </w:r>
          </w:p>
        </w:tc>
      </w:tr>
      <w:tr w:rsidR="001179FB" w:rsidRPr="00CF1857" w14:paraId="74167658" w14:textId="77777777" w:rsidTr="00327707">
        <w:tc>
          <w:tcPr>
            <w:tcW w:w="4606" w:type="dxa"/>
            <w:tcBorders>
              <w:left w:val="double" w:sz="4" w:space="0" w:color="auto"/>
              <w:right w:val="single" w:sz="4" w:space="0" w:color="auto"/>
            </w:tcBorders>
            <w:vAlign w:val="center"/>
          </w:tcPr>
          <w:p w14:paraId="270FA65B" w14:textId="77777777" w:rsidR="001179FB" w:rsidRPr="00CF1857" w:rsidRDefault="001179FB" w:rsidP="001179FB">
            <w:pPr>
              <w:spacing w:before="60" w:after="60" w:line="240" w:lineRule="auto"/>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 - pracownicy zatrudnienie w niepełnym wymiarze godzin</w:t>
            </w:r>
          </w:p>
        </w:tc>
        <w:tc>
          <w:tcPr>
            <w:tcW w:w="4606" w:type="dxa"/>
            <w:tcBorders>
              <w:left w:val="nil"/>
              <w:right w:val="double" w:sz="4" w:space="0" w:color="auto"/>
            </w:tcBorders>
            <w:shd w:val="clear" w:color="auto" w:fill="auto"/>
            <w:vAlign w:val="center"/>
          </w:tcPr>
          <w:p w14:paraId="1E6DC475" w14:textId="77777777" w:rsidR="001179FB" w:rsidRPr="00327707" w:rsidRDefault="00327707" w:rsidP="001179FB">
            <w:pPr>
              <w:spacing w:before="60" w:after="60" w:line="240" w:lineRule="auto"/>
              <w:jc w:val="center"/>
              <w:rPr>
                <w:rFonts w:ascii="Calibri" w:eastAsia="Times New Roman" w:hAnsi="Calibri" w:cs="Times New Roman"/>
                <w:color w:val="000000" w:themeColor="text1"/>
                <w:sz w:val="20"/>
                <w:szCs w:val="20"/>
                <w:lang w:eastAsia="pl-PL"/>
              </w:rPr>
            </w:pPr>
            <w:r>
              <w:rPr>
                <w:rFonts w:ascii="Calibri" w:eastAsia="Times New Roman" w:hAnsi="Calibri" w:cs="Times New Roman"/>
                <w:color w:val="000000" w:themeColor="text1"/>
                <w:sz w:val="20"/>
                <w:szCs w:val="20"/>
                <w:lang w:eastAsia="pl-PL"/>
              </w:rPr>
              <w:t>25 osób</w:t>
            </w:r>
          </w:p>
        </w:tc>
      </w:tr>
      <w:tr w:rsidR="001179FB" w:rsidRPr="00CF1857" w14:paraId="4A54049C" w14:textId="77777777" w:rsidTr="00327707">
        <w:tc>
          <w:tcPr>
            <w:tcW w:w="4606" w:type="dxa"/>
            <w:tcBorders>
              <w:left w:val="double" w:sz="4" w:space="0" w:color="auto"/>
              <w:bottom w:val="double" w:sz="4" w:space="0" w:color="auto"/>
              <w:right w:val="single" w:sz="4" w:space="0" w:color="auto"/>
            </w:tcBorders>
            <w:vAlign w:val="center"/>
          </w:tcPr>
          <w:p w14:paraId="1CC716DD" w14:textId="77777777" w:rsidR="001179FB" w:rsidRPr="00CF1857" w:rsidRDefault="001179FB" w:rsidP="001179FB">
            <w:pPr>
              <w:spacing w:before="60" w:after="60" w:line="240" w:lineRule="auto"/>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 - pracownicy zaangażowani w działalność badawczą</w:t>
            </w:r>
          </w:p>
        </w:tc>
        <w:tc>
          <w:tcPr>
            <w:tcW w:w="4606" w:type="dxa"/>
            <w:tcBorders>
              <w:left w:val="nil"/>
              <w:bottom w:val="double" w:sz="4" w:space="0" w:color="auto"/>
              <w:right w:val="double" w:sz="4" w:space="0" w:color="auto"/>
            </w:tcBorders>
            <w:shd w:val="clear" w:color="auto" w:fill="auto"/>
            <w:vAlign w:val="center"/>
          </w:tcPr>
          <w:p w14:paraId="1CC4F0BB" w14:textId="77777777" w:rsidR="001179FB" w:rsidRPr="00327707" w:rsidRDefault="00327707" w:rsidP="001179FB">
            <w:pPr>
              <w:spacing w:before="60" w:after="60" w:line="240" w:lineRule="auto"/>
              <w:jc w:val="center"/>
              <w:rPr>
                <w:rFonts w:ascii="Calibri" w:eastAsia="Times New Roman" w:hAnsi="Calibri" w:cs="Times New Roman"/>
                <w:color w:val="000000" w:themeColor="text1"/>
                <w:sz w:val="20"/>
                <w:szCs w:val="20"/>
                <w:lang w:eastAsia="pl-PL"/>
              </w:rPr>
            </w:pPr>
            <w:r>
              <w:rPr>
                <w:rFonts w:ascii="Calibri" w:eastAsia="Times New Roman" w:hAnsi="Calibri" w:cs="Times New Roman"/>
                <w:color w:val="000000" w:themeColor="text1"/>
                <w:sz w:val="20"/>
                <w:szCs w:val="20"/>
                <w:lang w:eastAsia="pl-PL"/>
              </w:rPr>
              <w:t>105 osób</w:t>
            </w:r>
          </w:p>
        </w:tc>
      </w:tr>
    </w:tbl>
    <w:p w14:paraId="1441A3E0" w14:textId="77777777" w:rsidR="008C1BDB" w:rsidRDefault="008C1BDB" w:rsidP="00822EC9">
      <w:pPr>
        <w:pStyle w:val="3poziomELO"/>
        <w:numPr>
          <w:ilvl w:val="0"/>
          <w:numId w:val="0"/>
        </w:numPr>
        <w:tabs>
          <w:tab w:val="left" w:pos="1134"/>
        </w:tabs>
        <w:ind w:left="720"/>
        <w:rPr>
          <w:color w:val="FF0000"/>
        </w:rPr>
      </w:pPr>
    </w:p>
    <w:p w14:paraId="35387BA0" w14:textId="77777777" w:rsidR="00B94947" w:rsidRPr="00CC29A9" w:rsidRDefault="00B94947" w:rsidP="00CC29A9">
      <w:pPr>
        <w:pStyle w:val="2poziomELO"/>
        <w:jc w:val="both"/>
        <w:outlineLvl w:val="2"/>
        <w:rPr>
          <w:b/>
        </w:rPr>
      </w:pPr>
      <w:bookmarkStart w:id="13" w:name="_Toc141097859"/>
      <w:r w:rsidRPr="00CC29A9">
        <w:rPr>
          <w:b/>
        </w:rPr>
        <w:t>Certyfikaty</w:t>
      </w:r>
      <w:bookmarkEnd w:id="13"/>
      <w:r w:rsidRPr="00CC29A9">
        <w:rPr>
          <w:b/>
        </w:rPr>
        <w:t xml:space="preserve"> </w:t>
      </w:r>
    </w:p>
    <w:p w14:paraId="52EB8C41" w14:textId="77777777" w:rsidR="00B94947" w:rsidRDefault="00B94947" w:rsidP="001B69AF">
      <w:pPr>
        <w:pStyle w:val="2poziomELO"/>
        <w:numPr>
          <w:ilvl w:val="0"/>
          <w:numId w:val="0"/>
        </w:numPr>
        <w:ind w:left="720"/>
        <w:jc w:val="both"/>
      </w:pPr>
      <w:r>
        <w:t xml:space="preserve">W 2004 roku w Instytucie </w:t>
      </w:r>
      <w:r w:rsidR="007A61BD" w:rsidRPr="003979E1">
        <w:rPr>
          <w:b/>
          <w:bCs/>
          <w:i/>
          <w:iCs/>
        </w:rPr>
        <w:t>(byłym Instytucie Metalurgii Żelaza)</w:t>
      </w:r>
      <w:r w:rsidR="007A61BD">
        <w:t xml:space="preserve"> </w:t>
      </w:r>
      <w:r>
        <w:t>wdrożony został System Zarządzania zgodny z normą PN-EN ISO/IEC 17025: "Ogólne wymagania dotyczące kompetencji laboratoriów badawczych i wzorcujących" obejmujący dwa zakłady badawcze:</w:t>
      </w:r>
    </w:p>
    <w:p w14:paraId="31707F5E" w14:textId="77777777" w:rsidR="00B94947" w:rsidRDefault="00B94947" w:rsidP="001B69AF">
      <w:pPr>
        <w:pStyle w:val="2poziomELO"/>
        <w:numPr>
          <w:ilvl w:val="0"/>
          <w:numId w:val="0"/>
        </w:numPr>
        <w:spacing w:after="0"/>
        <w:ind w:left="720"/>
        <w:jc w:val="both"/>
      </w:pPr>
      <w:r>
        <w:t>•</w:t>
      </w:r>
      <w:r>
        <w:tab/>
        <w:t>Zakład Chemii Analitycznej</w:t>
      </w:r>
    </w:p>
    <w:p w14:paraId="43D30640" w14:textId="77777777" w:rsidR="00B94947" w:rsidRDefault="00B94947" w:rsidP="001B69AF">
      <w:pPr>
        <w:pStyle w:val="2poziomELO"/>
        <w:numPr>
          <w:ilvl w:val="0"/>
          <w:numId w:val="0"/>
        </w:numPr>
        <w:spacing w:after="0"/>
        <w:ind w:left="720"/>
        <w:jc w:val="both"/>
      </w:pPr>
      <w:r>
        <w:t>•</w:t>
      </w:r>
      <w:r>
        <w:tab/>
        <w:t>Zakład Badań Właściwości i Struktury Materiałów</w:t>
      </w:r>
    </w:p>
    <w:p w14:paraId="11A39B92" w14:textId="77777777" w:rsidR="00B94947" w:rsidRDefault="00B94947" w:rsidP="00B94947">
      <w:pPr>
        <w:pStyle w:val="2poziomELO"/>
        <w:numPr>
          <w:ilvl w:val="0"/>
          <w:numId w:val="0"/>
        </w:numPr>
        <w:spacing w:after="0"/>
        <w:ind w:left="720"/>
      </w:pPr>
    </w:p>
    <w:p w14:paraId="4C93ED1B" w14:textId="77777777" w:rsidR="00B94947" w:rsidRDefault="00B94947" w:rsidP="001B69AF">
      <w:pPr>
        <w:pStyle w:val="2poziomELO"/>
        <w:numPr>
          <w:ilvl w:val="0"/>
          <w:numId w:val="0"/>
        </w:numPr>
        <w:ind w:left="720"/>
        <w:jc w:val="both"/>
      </w:pPr>
      <w:r>
        <w:t xml:space="preserve">System został potwierdzony przez Polskie Centrum Akredytacji certyfikatem akredytacji PCA nr AB 554 z dnia 13.12.2004 r. , który jest na bieżąco aktualizowany, a ostatnia aktualizacja posiada </w:t>
      </w:r>
      <w:r w:rsidRPr="007A61BD">
        <w:rPr>
          <w:b/>
        </w:rPr>
        <w:t>ważność do 12.12.202</w:t>
      </w:r>
      <w:r w:rsidR="007A61BD" w:rsidRPr="007A61BD">
        <w:rPr>
          <w:b/>
        </w:rPr>
        <w:t>4</w:t>
      </w:r>
      <w:r w:rsidRPr="007A61BD">
        <w:rPr>
          <w:b/>
        </w:rPr>
        <w:t xml:space="preserve"> r.</w:t>
      </w:r>
      <w:r>
        <w:t xml:space="preserve">   </w:t>
      </w:r>
    </w:p>
    <w:p w14:paraId="61FC0012" w14:textId="77777777" w:rsidR="00B94947" w:rsidRDefault="007A61BD" w:rsidP="001B69AF">
      <w:pPr>
        <w:pStyle w:val="2poziomELO"/>
        <w:numPr>
          <w:ilvl w:val="0"/>
          <w:numId w:val="0"/>
        </w:numPr>
        <w:ind w:left="720"/>
        <w:jc w:val="both"/>
      </w:pPr>
      <w:r>
        <w:lastRenderedPageBreak/>
        <w:t xml:space="preserve">Grupa Badawcza: </w:t>
      </w:r>
      <w:r w:rsidR="00B94947">
        <w:t>Chemi</w:t>
      </w:r>
      <w:r>
        <w:t>a</w:t>
      </w:r>
      <w:r w:rsidR="00B94947">
        <w:t xml:space="preserve"> Analityczn</w:t>
      </w:r>
      <w:r>
        <w:t>a</w:t>
      </w:r>
      <w:r w:rsidR="00B94947">
        <w:t xml:space="preserve"> posiada ponadto certyfikat I </w:t>
      </w:r>
      <w:proofErr w:type="spellStart"/>
      <w:r w:rsidR="00B94947">
        <w:t>i</w:t>
      </w:r>
      <w:proofErr w:type="spellEnd"/>
      <w:r w:rsidR="00B94947">
        <w:t xml:space="preserve"> II stopnia General </w:t>
      </w:r>
      <w:proofErr w:type="spellStart"/>
      <w:r w:rsidR="00B94947">
        <w:t>Electric</w:t>
      </w:r>
      <w:proofErr w:type="spellEnd"/>
      <w:r w:rsidR="00B94947">
        <w:t xml:space="preserve"> Aircraft </w:t>
      </w:r>
      <w:proofErr w:type="spellStart"/>
      <w:r w:rsidR="00B94947">
        <w:t>Engines</w:t>
      </w:r>
      <w:proofErr w:type="spellEnd"/>
      <w:r w:rsidR="00B94947">
        <w:t xml:space="preserve"> nr T3895 z dnia 11.08.2004 r., którego aktualizacja jest ważna </w:t>
      </w:r>
      <w:r w:rsidR="00B94947" w:rsidRPr="007A61BD">
        <w:t xml:space="preserve">do dnia </w:t>
      </w:r>
      <w:r w:rsidR="00B94947" w:rsidRPr="007A61BD">
        <w:rPr>
          <w:b/>
        </w:rPr>
        <w:t xml:space="preserve">ważna do dnia </w:t>
      </w:r>
      <w:r w:rsidRPr="007A61BD">
        <w:rPr>
          <w:b/>
        </w:rPr>
        <w:t>31</w:t>
      </w:r>
      <w:r w:rsidR="00B94947" w:rsidRPr="007A61BD">
        <w:rPr>
          <w:b/>
        </w:rPr>
        <w:t>.12.202</w:t>
      </w:r>
      <w:r w:rsidRPr="007A61BD">
        <w:rPr>
          <w:b/>
        </w:rPr>
        <w:t>4</w:t>
      </w:r>
      <w:r w:rsidR="00B94947" w:rsidRPr="007A61BD">
        <w:rPr>
          <w:b/>
        </w:rPr>
        <w:t xml:space="preserve"> r.</w:t>
      </w:r>
    </w:p>
    <w:p w14:paraId="1B9B9586" w14:textId="77777777" w:rsidR="00B94947" w:rsidRDefault="007A61BD" w:rsidP="001B69AF">
      <w:pPr>
        <w:pStyle w:val="2poziomELO"/>
        <w:numPr>
          <w:ilvl w:val="0"/>
          <w:numId w:val="0"/>
        </w:numPr>
        <w:ind w:left="720"/>
        <w:jc w:val="both"/>
      </w:pPr>
      <w:r>
        <w:t xml:space="preserve">Grupa Badawcza: Badania </w:t>
      </w:r>
      <w:r w:rsidR="00B94947">
        <w:t xml:space="preserve">Materiałów dla Energetyki posiada Świadectwo Uznania Laboratorium wydane przez </w:t>
      </w:r>
      <w:r w:rsidR="001179FB">
        <w:t>Urząd Dozoru Technicznego, nr</w:t>
      </w:r>
      <w:r w:rsidR="00B94947">
        <w:t xml:space="preserve"> L</w:t>
      </w:r>
      <w:r w:rsidR="001179FB">
        <w:t>BU – 022/07-</w:t>
      </w:r>
      <w:r>
        <w:t>23 z dnia 23.01.</w:t>
      </w:r>
      <w:r w:rsidRPr="007A61BD">
        <w:t xml:space="preserve">2023r. </w:t>
      </w:r>
      <w:r w:rsidR="00B94947" w:rsidRPr="007A61BD">
        <w:rPr>
          <w:b/>
        </w:rPr>
        <w:t xml:space="preserve">Ważność świadectwa do </w:t>
      </w:r>
      <w:r w:rsidR="001179FB" w:rsidRPr="007A61BD">
        <w:rPr>
          <w:b/>
        </w:rPr>
        <w:t>dnia 19.12.202</w:t>
      </w:r>
      <w:r w:rsidRPr="007A61BD">
        <w:rPr>
          <w:b/>
        </w:rPr>
        <w:t>3</w:t>
      </w:r>
      <w:r w:rsidR="00B94947" w:rsidRPr="007A61BD">
        <w:rPr>
          <w:b/>
        </w:rPr>
        <w:t xml:space="preserve"> r</w:t>
      </w:r>
      <w:r w:rsidR="00B94947" w:rsidRPr="007A61BD">
        <w:t>.</w:t>
      </w:r>
    </w:p>
    <w:p w14:paraId="3AC3E722" w14:textId="77777777" w:rsidR="00CC753F" w:rsidRPr="00CC753F" w:rsidRDefault="00CC753F" w:rsidP="003979E1">
      <w:pPr>
        <w:spacing w:before="100" w:beforeAutospacing="1" w:after="100" w:afterAutospacing="1" w:line="240" w:lineRule="auto"/>
        <w:ind w:left="709"/>
        <w:jc w:val="both"/>
        <w:rPr>
          <w:b/>
          <w:bCs/>
        </w:rPr>
      </w:pPr>
      <w:r w:rsidRPr="00CC753F">
        <w:rPr>
          <w:b/>
          <w:bCs/>
        </w:rPr>
        <w:t>Certyfikaty posiadane przez Łukasiewicz-G</w:t>
      </w:r>
      <w:r>
        <w:rPr>
          <w:b/>
          <w:bCs/>
        </w:rPr>
        <w:t>órnośląski Instytut Technologiczny</w:t>
      </w:r>
      <w:r w:rsidRPr="00CC753F">
        <w:rPr>
          <w:b/>
          <w:bCs/>
        </w:rPr>
        <w:t>, stosowane przez były I</w:t>
      </w:r>
      <w:r>
        <w:rPr>
          <w:b/>
          <w:bCs/>
        </w:rPr>
        <w:t>nstytut Spawalnictwa</w:t>
      </w:r>
      <w:r w:rsidRPr="00CC753F">
        <w:rPr>
          <w:b/>
          <w:bCs/>
        </w:rPr>
        <w:t>.</w:t>
      </w:r>
    </w:p>
    <w:p w14:paraId="0886D8B3" w14:textId="77777777" w:rsidR="003979E1" w:rsidRPr="003979E1" w:rsidRDefault="003979E1" w:rsidP="003979E1">
      <w:pPr>
        <w:spacing w:before="100" w:beforeAutospacing="1" w:after="100" w:afterAutospacing="1" w:line="240" w:lineRule="auto"/>
        <w:ind w:left="709"/>
        <w:jc w:val="both"/>
      </w:pPr>
      <w:r w:rsidRPr="003979E1">
        <w:t>Certyfikacja jest prowadzona w Łukasiewicz – Górnośląskim Instytucie Technologicznym, Centrum Spawalnictwa przez Dział Ośrodek Certyfikacji (SC).</w:t>
      </w:r>
    </w:p>
    <w:p w14:paraId="3833FA3C" w14:textId="77777777" w:rsidR="003979E1" w:rsidRPr="003979E1" w:rsidRDefault="003979E1" w:rsidP="003979E1">
      <w:pPr>
        <w:spacing w:before="100" w:beforeAutospacing="1" w:after="100" w:afterAutospacing="1" w:line="240" w:lineRule="auto"/>
        <w:ind w:left="709"/>
        <w:jc w:val="both"/>
      </w:pPr>
      <w:r w:rsidRPr="003979E1">
        <w:t>Dział Ośrodek Certyfikacji (SC) jest jednostką kwalifikującą i certyfikującą:</w:t>
      </w:r>
    </w:p>
    <w:p w14:paraId="3D1393E8" w14:textId="77777777" w:rsidR="003979E1" w:rsidRPr="003979E1" w:rsidRDefault="006832FE" w:rsidP="002A2BE7">
      <w:pPr>
        <w:pStyle w:val="Akapitzlist"/>
        <w:numPr>
          <w:ilvl w:val="0"/>
          <w:numId w:val="35"/>
        </w:numPr>
        <w:spacing w:before="100" w:beforeAutospacing="1" w:after="100" w:afterAutospacing="1"/>
        <w:ind w:left="709" w:firstLine="0"/>
        <w:jc w:val="both"/>
      </w:pPr>
      <w:hyperlink r:id="rId8" w:history="1">
        <w:r w:rsidR="003979E1" w:rsidRPr="003979E1">
          <w:t>systemy zarządzania jakością wg wymagań normy PN-EN ISO 9001: 2015 i systemów zarządzania jakością w spawalnictwie wg wymagań norm PN-EN ISO 3834-2:2021-09, PN-EN ISO 3834-3:2021-09, PN-EN ISO 3834-4:2021-09 oraz wg systemu EWF EN ISO 3834</w:t>
        </w:r>
      </w:hyperlink>
    </w:p>
    <w:p w14:paraId="331E0964" w14:textId="77777777" w:rsidR="003979E1" w:rsidRPr="003979E1" w:rsidRDefault="006832FE" w:rsidP="002A2BE7">
      <w:pPr>
        <w:pStyle w:val="Akapitzlist"/>
        <w:numPr>
          <w:ilvl w:val="0"/>
          <w:numId w:val="35"/>
        </w:numPr>
        <w:spacing w:before="100" w:beforeAutospacing="1" w:after="100" w:afterAutospacing="1"/>
        <w:ind w:left="709" w:firstLine="0"/>
        <w:jc w:val="both"/>
      </w:pPr>
      <w:hyperlink r:id="rId9" w:history="1">
        <w:r w:rsidR="003979E1" w:rsidRPr="003979E1">
          <w:t>personel spawalniczy (Instytut wydaje niżej wyszczególnione dyplomy uznawane w krajach Unii Europejskiej i poza Europą: Międzynarodowy/Europejski Inżynier Spawalnik (I/EWE), Międzynarodowy/Europejski Technolog Spawalnik (I/EWT), Międzynarodowy Inspektor Spawalnik (IWI-P), Międzynarodowy/Europejski Mistrz Spawalnik (I/EWS), Międzynarodowy/Europejski Instruktor Spawalniczy (I/EWP), Europejski Spawacz (EW)</w:t>
        </w:r>
      </w:hyperlink>
    </w:p>
    <w:p w14:paraId="225B2090" w14:textId="77777777" w:rsidR="003979E1" w:rsidRPr="003979E1" w:rsidRDefault="006832FE" w:rsidP="002A2BE7">
      <w:pPr>
        <w:pStyle w:val="Akapitzlist"/>
        <w:numPr>
          <w:ilvl w:val="0"/>
          <w:numId w:val="35"/>
        </w:numPr>
        <w:spacing w:before="100" w:beforeAutospacing="1" w:after="100" w:afterAutospacing="1" w:line="240" w:lineRule="auto"/>
        <w:ind w:left="709" w:firstLine="0"/>
        <w:jc w:val="both"/>
      </w:pPr>
      <w:hyperlink r:id="rId10" w:history="1">
        <w:r w:rsidR="003979E1" w:rsidRPr="003979E1">
          <w:t>personel badań nieniszczących wg normy PN-EN ISO 9712 w metodach badań: wizualnej, penetracyjnej, magnetyczno-proszkowej, radiograficznej i ultradźwiękowej</w:t>
        </w:r>
      </w:hyperlink>
    </w:p>
    <w:p w14:paraId="1CFD08FC" w14:textId="77777777" w:rsidR="003979E1" w:rsidRPr="003979E1" w:rsidRDefault="006832FE" w:rsidP="002A2BE7">
      <w:pPr>
        <w:pStyle w:val="Akapitzlist"/>
        <w:numPr>
          <w:ilvl w:val="0"/>
          <w:numId w:val="35"/>
        </w:numPr>
        <w:spacing w:before="100" w:beforeAutospacing="1" w:after="100" w:afterAutospacing="1" w:line="240" w:lineRule="auto"/>
        <w:ind w:left="709" w:firstLine="0"/>
        <w:jc w:val="both"/>
      </w:pPr>
      <w:hyperlink r:id="rId11" w:history="1">
        <w:r w:rsidR="003979E1" w:rsidRPr="003979E1">
          <w:t>procesy spawalnicze. Celem certyfikacji procesów spawania jest potwierdzenie, że procesy te spełniają wymagania jakościowe według norm PN-EN ISO 3834-2:2021-09, PN-EN ISO 3834-3:2021-09 i PN-EN ISO 3834-4:2021-09 oraz wymagania Systemu IIW/EWF EN ISO 3834.</w:t>
        </w:r>
      </w:hyperlink>
    </w:p>
    <w:p w14:paraId="324E68C4" w14:textId="77777777" w:rsidR="003979E1" w:rsidRDefault="006832FE" w:rsidP="003979E1">
      <w:pPr>
        <w:pStyle w:val="2poziomELO"/>
        <w:numPr>
          <w:ilvl w:val="0"/>
          <w:numId w:val="0"/>
        </w:numPr>
        <w:ind w:left="709"/>
        <w:jc w:val="both"/>
      </w:pPr>
      <w:hyperlink r:id="rId12" w:history="1">
        <w:r w:rsidR="003979E1" w:rsidRPr="003979E1">
          <w:t>Zakładowa Kontrola Produkcji dla producentów i projektantów konstrukcji stalowych i aluminiowych wprowadzanych na rynek wyrobów budowlanych według normy PN-EN 1090</w:t>
        </w:r>
      </w:hyperlink>
      <w:r w:rsidR="00CC753F">
        <w:t>.</w:t>
      </w:r>
    </w:p>
    <w:p w14:paraId="0515EA0B" w14:textId="77777777" w:rsidR="00CC753F" w:rsidRPr="00CC753F" w:rsidRDefault="00CC753F" w:rsidP="00CC753F">
      <w:pPr>
        <w:spacing w:before="100" w:beforeAutospacing="1" w:after="100" w:afterAutospacing="1" w:line="240" w:lineRule="auto"/>
        <w:ind w:left="709"/>
        <w:jc w:val="both"/>
        <w:rPr>
          <w:b/>
          <w:bCs/>
        </w:rPr>
      </w:pPr>
      <w:r w:rsidRPr="00CC753F">
        <w:rPr>
          <w:b/>
          <w:bCs/>
        </w:rPr>
        <w:t>Ośrodek Certyfikacji (SC) Łukasiewicz – Górnośląskiego Instytutu Technologicznego, Centrum Spawalnictwa, wydzielony organizacyjnie w strukturze Instytutu jest:</w:t>
      </w:r>
    </w:p>
    <w:p w14:paraId="34C05C5F" w14:textId="77777777" w:rsidR="00CC753F" w:rsidRPr="00CC753F" w:rsidRDefault="00CC753F" w:rsidP="002A2BE7">
      <w:pPr>
        <w:numPr>
          <w:ilvl w:val="0"/>
          <w:numId w:val="36"/>
        </w:numPr>
        <w:spacing w:before="100" w:beforeAutospacing="1" w:after="100" w:afterAutospacing="1" w:line="240" w:lineRule="auto"/>
        <w:jc w:val="both"/>
      </w:pPr>
      <w:r w:rsidRPr="00CC753F">
        <w:t>akredytowany przez Polskie Centrum Akredytacji (PCA) w zakresie certyfikowania procesów spawalniczych, systemów zarządzania jakością, systemów zakładowej kontroli produkcji, personelu spawalniczego i personelu badań nieniszczących</w:t>
      </w:r>
      <w:r>
        <w:t>,</w:t>
      </w:r>
    </w:p>
    <w:p w14:paraId="52A48113" w14:textId="77777777" w:rsidR="00CC753F" w:rsidRPr="00CC753F" w:rsidRDefault="00CC753F" w:rsidP="002A2BE7">
      <w:pPr>
        <w:numPr>
          <w:ilvl w:val="0"/>
          <w:numId w:val="36"/>
        </w:numPr>
        <w:spacing w:before="100" w:beforeAutospacing="1" w:after="100" w:afterAutospacing="1" w:line="240" w:lineRule="auto"/>
        <w:jc w:val="both"/>
      </w:pPr>
      <w:r w:rsidRPr="00CC753F">
        <w:t>autoryzowany przez Europejską Federację Spawalniczą (EWF) w zakresie kwalifikowania i certyfikowania personelu spawalniczego oraz certyfikowania procesów spawalniczych (ważność autoryzacji do 15.01.2024 r.)</w:t>
      </w:r>
      <w:r>
        <w:t>,</w:t>
      </w:r>
    </w:p>
    <w:p w14:paraId="0BF8AA92" w14:textId="77777777" w:rsidR="00CC753F" w:rsidRPr="00CC753F" w:rsidRDefault="00CC753F" w:rsidP="002A2BE7">
      <w:pPr>
        <w:numPr>
          <w:ilvl w:val="0"/>
          <w:numId w:val="36"/>
        </w:numPr>
        <w:spacing w:before="100" w:beforeAutospacing="1" w:after="100" w:afterAutospacing="1" w:line="240" w:lineRule="auto"/>
        <w:jc w:val="both"/>
      </w:pPr>
      <w:r w:rsidRPr="00CC753F">
        <w:t>autoryzowany przez Międzynarodowy Instytut Spawalnictwa (IIW) w zakresie kwalifikowania i certyfikowania personelu spawalniczego oraz certyfikowania procesów spawalniczych.</w:t>
      </w:r>
    </w:p>
    <w:p w14:paraId="5DB44F65" w14:textId="77777777" w:rsidR="00CC753F" w:rsidRPr="00CC753F" w:rsidRDefault="00CC753F" w:rsidP="00CC753F">
      <w:pPr>
        <w:spacing w:before="100" w:beforeAutospacing="1" w:after="100" w:afterAutospacing="1" w:line="240" w:lineRule="auto"/>
        <w:ind w:left="709"/>
        <w:jc w:val="both"/>
        <w:rPr>
          <w:b/>
          <w:bCs/>
        </w:rPr>
      </w:pPr>
      <w:r w:rsidRPr="00CC753F">
        <w:rPr>
          <w:b/>
          <w:bCs/>
        </w:rPr>
        <w:t>Certyfikaty posiadane przez Departament Kwalifikowania i Certyfikowania Łukasiewicz – Górnośląskiego Instytutu Technologicznego, Centrum Spawalnictwa:</w:t>
      </w:r>
    </w:p>
    <w:p w14:paraId="6956C3E9" w14:textId="77777777" w:rsidR="00CC753F" w:rsidRPr="00CC753F" w:rsidRDefault="006832FE" w:rsidP="002A2BE7">
      <w:pPr>
        <w:numPr>
          <w:ilvl w:val="0"/>
          <w:numId w:val="36"/>
        </w:numPr>
        <w:spacing w:before="100" w:beforeAutospacing="1" w:after="100" w:afterAutospacing="1" w:line="240" w:lineRule="auto"/>
        <w:jc w:val="both"/>
      </w:pPr>
      <w:hyperlink r:id="rId13" w:history="1">
        <w:r w:rsidR="00CC753F" w:rsidRPr="00CC753F">
          <w:t>Certyfikat Autoryzacji Organizacji Krajowej upoważnionej do działania w imieniu Europejskiej Federacji Spawalniczej (EWF) na terenie Polski w zakresie Certyfikowania Przedsiębiorstw Produkcji Spawalniczej (ANBCC) ANBCC EWF Nr 4/5 wydany przez Europejska Federację Spawalniczą</w:t>
        </w:r>
      </w:hyperlink>
    </w:p>
    <w:p w14:paraId="40A6A2E7" w14:textId="77777777" w:rsidR="00CC753F" w:rsidRPr="00CC753F" w:rsidRDefault="006832FE" w:rsidP="002A2BE7">
      <w:pPr>
        <w:numPr>
          <w:ilvl w:val="0"/>
          <w:numId w:val="36"/>
        </w:numPr>
        <w:spacing w:before="100" w:beforeAutospacing="1" w:after="100" w:afterAutospacing="1" w:line="240" w:lineRule="auto"/>
        <w:jc w:val="both"/>
      </w:pPr>
      <w:hyperlink r:id="rId14" w:history="1">
        <w:r w:rsidR="00CC753F" w:rsidRPr="00CC753F">
          <w:t>Certyfikat Autoryzacji Organizacji Krajowej upoważnionej do działania w imieniu Europejskiej Federacji Spawalniczej (EWF) na terenie Polski wydany przez Europejską Federację Spawalniczą ANB EWF Nr 16/5</w:t>
        </w:r>
      </w:hyperlink>
      <w:r w:rsidR="00CC753F" w:rsidRPr="00CC753F">
        <w:t xml:space="preserve"> </w:t>
      </w:r>
      <w:hyperlink r:id="rId15" w:tgtFrame="_blank" w:history="1">
        <w:r w:rsidR="00CC753F" w:rsidRPr="00CC753F">
          <w:t>(pismo informujące o przedłużeniu certyfikatu do 13.01.2024)</w:t>
        </w:r>
      </w:hyperlink>
    </w:p>
    <w:p w14:paraId="53C448EA" w14:textId="77777777" w:rsidR="00CC753F" w:rsidRPr="00CC753F" w:rsidRDefault="006832FE" w:rsidP="002A2BE7">
      <w:pPr>
        <w:numPr>
          <w:ilvl w:val="0"/>
          <w:numId w:val="36"/>
        </w:numPr>
        <w:spacing w:before="100" w:beforeAutospacing="1" w:after="100" w:afterAutospacing="1" w:line="240" w:lineRule="auto"/>
        <w:jc w:val="both"/>
      </w:pPr>
      <w:hyperlink r:id="rId16" w:history="1">
        <w:r w:rsidR="00CC753F" w:rsidRPr="00CC753F">
          <w:t>Certyfikat Autoryzacji Organizacji Krajowej upoważnionej do działania w imieniu Międzynarodowego Instytutu Spawalnictwa (IIW) na terenie Polski (IIW ANBCC Nr 4/3 wydany przez Międzynarodowy Instytut Spawalnictwa) w zakresie certyfikowania zakładów zgodnie z ISO 3834</w:t>
        </w:r>
      </w:hyperlink>
    </w:p>
    <w:p w14:paraId="2C2E2069" w14:textId="77777777" w:rsidR="00CC753F" w:rsidRPr="00CC753F" w:rsidRDefault="006832FE" w:rsidP="002A2BE7">
      <w:pPr>
        <w:numPr>
          <w:ilvl w:val="0"/>
          <w:numId w:val="36"/>
        </w:numPr>
        <w:spacing w:before="100" w:beforeAutospacing="1" w:after="100" w:afterAutospacing="1" w:line="240" w:lineRule="auto"/>
        <w:jc w:val="both"/>
      </w:pPr>
      <w:hyperlink r:id="rId17" w:history="1">
        <w:r w:rsidR="00CC753F" w:rsidRPr="00CC753F">
          <w:t>Certyfikat Autoryzacji Organizacji Krajowej upoważnionej do działania w imieniu Międzynarodowego Instytutu Spawalnictwa (IIW) na terenie Polski (IIW ANB Nr 11/5 wydany przez Międzynarodowy Instytut Spawalnictwa)</w:t>
        </w:r>
      </w:hyperlink>
      <w:r w:rsidR="00CC753F" w:rsidRPr="00CC753F">
        <w:t xml:space="preserve"> </w:t>
      </w:r>
      <w:hyperlink r:id="rId18" w:tgtFrame="_blank" w:history="1">
        <w:r w:rsidR="00CC753F" w:rsidRPr="00CC753F">
          <w:t>(pismo informujące o przedłużeniu certyfikatu do 13.01.2024)</w:t>
        </w:r>
      </w:hyperlink>
    </w:p>
    <w:p w14:paraId="009E291A" w14:textId="77777777" w:rsidR="00CC753F" w:rsidRPr="00CC753F" w:rsidRDefault="006832FE" w:rsidP="002A2BE7">
      <w:pPr>
        <w:numPr>
          <w:ilvl w:val="0"/>
          <w:numId w:val="36"/>
        </w:numPr>
        <w:spacing w:before="100" w:beforeAutospacing="1" w:after="100" w:afterAutospacing="1" w:line="240" w:lineRule="auto"/>
        <w:jc w:val="both"/>
      </w:pPr>
      <w:hyperlink r:id="rId19" w:history="1">
        <w:r w:rsidR="00CC753F" w:rsidRPr="00CC753F">
          <w:t>Certyfikat Akredytacji Jednostki Certyfikującej Osoby Nr AC 054</w:t>
        </w:r>
      </w:hyperlink>
      <w:r w:rsidR="00CC753F" w:rsidRPr="00CC753F">
        <w:t xml:space="preserve"> (</w:t>
      </w:r>
      <w:hyperlink r:id="rId20" w:tgtFrame="_blank" w:history="1">
        <w:r w:rsidR="00CC753F" w:rsidRPr="00CC753F">
          <w:t>zakres akredytacji</w:t>
        </w:r>
      </w:hyperlink>
      <w:r w:rsidR="00CC753F" w:rsidRPr="00CC753F">
        <w:t>)</w:t>
      </w:r>
    </w:p>
    <w:p w14:paraId="4E9B6C76" w14:textId="77777777" w:rsidR="00CC753F" w:rsidRPr="00CC753F" w:rsidRDefault="006832FE" w:rsidP="002A2BE7">
      <w:pPr>
        <w:numPr>
          <w:ilvl w:val="0"/>
          <w:numId w:val="36"/>
        </w:numPr>
        <w:spacing w:before="100" w:beforeAutospacing="1" w:after="100" w:afterAutospacing="1" w:line="240" w:lineRule="auto"/>
        <w:jc w:val="both"/>
      </w:pPr>
      <w:hyperlink r:id="rId21" w:history="1">
        <w:r w:rsidR="00CC753F" w:rsidRPr="00CC753F">
          <w:t>Certyfikat Akredytacji Jednostki Certyfikującej Wyroby, Nr AC 029, wydany przez Polskie Centrum Akredytacji</w:t>
        </w:r>
      </w:hyperlink>
      <w:r w:rsidR="00CC753F" w:rsidRPr="00CC753F">
        <w:t xml:space="preserve"> (</w:t>
      </w:r>
      <w:hyperlink r:id="rId22" w:history="1">
        <w:r w:rsidR="00CC753F" w:rsidRPr="00CC753F">
          <w:t>zakres akredytacji</w:t>
        </w:r>
      </w:hyperlink>
      <w:r w:rsidR="00CC753F" w:rsidRPr="00CC753F">
        <w:t>)</w:t>
      </w:r>
    </w:p>
    <w:p w14:paraId="3B9CD68A" w14:textId="77777777" w:rsidR="00CC753F" w:rsidRPr="00CC753F" w:rsidRDefault="006832FE" w:rsidP="002A2BE7">
      <w:pPr>
        <w:numPr>
          <w:ilvl w:val="0"/>
          <w:numId w:val="36"/>
        </w:numPr>
        <w:spacing w:before="100" w:beforeAutospacing="1" w:after="100" w:afterAutospacing="1" w:line="240" w:lineRule="auto"/>
        <w:jc w:val="both"/>
      </w:pPr>
      <w:hyperlink r:id="rId23" w:history="1">
        <w:r w:rsidR="00CC753F" w:rsidRPr="00CC753F">
          <w:t>Certyfikat Akredytacji Jednostki Certyfikującej Systemy Jakości Nr AC 058 wydany przez Polskie Centrum Akredytacji</w:t>
        </w:r>
      </w:hyperlink>
      <w:r w:rsidR="00CC753F" w:rsidRPr="00CC753F">
        <w:t xml:space="preserve"> (</w:t>
      </w:r>
      <w:hyperlink r:id="rId24" w:history="1">
        <w:r w:rsidR="00CC753F" w:rsidRPr="00CC753F">
          <w:t>zakres akredytacji</w:t>
        </w:r>
      </w:hyperlink>
      <w:r w:rsidR="00CC753F" w:rsidRPr="00CC753F">
        <w:t>)</w:t>
      </w:r>
    </w:p>
    <w:p w14:paraId="0ADF521D" w14:textId="77777777" w:rsidR="00CC753F" w:rsidRPr="00CC753F" w:rsidRDefault="00CC753F" w:rsidP="00CC753F">
      <w:pPr>
        <w:spacing w:before="100" w:beforeAutospacing="1" w:after="100" w:afterAutospacing="1" w:line="240" w:lineRule="auto"/>
        <w:jc w:val="both"/>
        <w:rPr>
          <w:b/>
          <w:bCs/>
        </w:rPr>
      </w:pPr>
      <w:r w:rsidRPr="00CC753F">
        <w:rPr>
          <w:b/>
          <w:bCs/>
        </w:rPr>
        <w:t xml:space="preserve">Ponadto Łukasiewicz – Górnośląskiego Instytutu Technologicznego posiada certyfikaty (stosowane przez były </w:t>
      </w:r>
      <w:r>
        <w:rPr>
          <w:b/>
          <w:bCs/>
        </w:rPr>
        <w:t xml:space="preserve">Instytut Napędów i Maszyn Elektrycznych </w:t>
      </w:r>
      <w:r w:rsidRPr="00CC753F">
        <w:rPr>
          <w:b/>
          <w:bCs/>
        </w:rPr>
        <w:t>Komel):</w:t>
      </w:r>
    </w:p>
    <w:p w14:paraId="345DDE2E" w14:textId="77777777" w:rsidR="00CC753F" w:rsidRPr="00CC753F" w:rsidRDefault="00CC753F" w:rsidP="002A2BE7">
      <w:pPr>
        <w:numPr>
          <w:ilvl w:val="0"/>
          <w:numId w:val="36"/>
        </w:numPr>
        <w:spacing w:before="100" w:beforeAutospacing="1" w:after="100" w:afterAutospacing="1" w:line="240" w:lineRule="auto"/>
        <w:jc w:val="both"/>
      </w:pPr>
      <w:r w:rsidRPr="00CC753F">
        <w:t>Certyfikat „Urządzenia i systemy ochronne przeznaczone do użytku w atmosferze potencjalnie wybuchowej Dyrektywa 2014/34/UE” z dn.18.05.2023r. wydany przez Główny Instytut Górnictwa, nr powiadomienia GIG 23 ATEXQ 119. Ważny do 17 maja 2026 r.</w:t>
      </w:r>
    </w:p>
    <w:p w14:paraId="102154AB" w14:textId="77777777" w:rsidR="00CC753F" w:rsidRPr="00CC753F" w:rsidRDefault="00CC753F" w:rsidP="002A2BE7">
      <w:pPr>
        <w:numPr>
          <w:ilvl w:val="0"/>
          <w:numId w:val="36"/>
        </w:numPr>
        <w:spacing w:before="100" w:beforeAutospacing="1" w:after="100" w:afterAutospacing="1" w:line="240" w:lineRule="auto"/>
        <w:jc w:val="both"/>
      </w:pPr>
      <w:r w:rsidRPr="00CC753F">
        <w:t>Certyfikat ISO 9001:2015 w zakresie „Projektowanie, rozwój oraz produkcja napędów i maszyn elektrycznych” z dn.15.03.2023r. wydany przez Wojskową Akademię Techniczną Centrum Certyfikacji Jakości. Ważny do 12.09.2024 r.</w:t>
      </w:r>
    </w:p>
    <w:p w14:paraId="69B9E24F" w14:textId="77777777" w:rsidR="00CC753F" w:rsidRPr="00CC753F" w:rsidRDefault="00CC753F" w:rsidP="002A2BE7">
      <w:pPr>
        <w:numPr>
          <w:ilvl w:val="0"/>
          <w:numId w:val="36"/>
        </w:numPr>
        <w:spacing w:before="100" w:beforeAutospacing="1" w:after="100" w:afterAutospacing="1" w:line="240" w:lineRule="auto"/>
        <w:jc w:val="both"/>
      </w:pPr>
      <w:r w:rsidRPr="00CC753F">
        <w:t>Certyfikat AQAP 2110:2016 dotyczący miejsca prowadzenia działalności oraz wykorzystania AQAP 2070 w procesie operacyjnym „Projektowanie, rozwój oraz produkcja napędów i maszyn elektrycznych” z dn.15.03.2023r. wydany przez Wojskową Akademię Techniczną Centrum Certyfikacji Jakości. Ważny do 12.09.2024 r.</w:t>
      </w:r>
    </w:p>
    <w:p w14:paraId="449F1A3C" w14:textId="2E988CC1" w:rsidR="0034542B" w:rsidRDefault="0034542B" w:rsidP="0034542B">
      <w:pPr>
        <w:pStyle w:val="Nagwek2"/>
      </w:pPr>
      <w:bookmarkStart w:id="14" w:name="_Toc141097860"/>
      <w:r>
        <w:t xml:space="preserve">Rozdział 3 – </w:t>
      </w:r>
      <w:r w:rsidR="00A764ED">
        <w:t>Postanowienia wspólne dotyczące wszystkich rodzajów mienia</w:t>
      </w:r>
      <w:bookmarkEnd w:id="14"/>
    </w:p>
    <w:p w14:paraId="26BE40DF" w14:textId="77777777" w:rsidR="00D9549B" w:rsidRPr="00D9549B" w:rsidRDefault="00D9549B" w:rsidP="00AD2228">
      <w:pPr>
        <w:spacing w:after="0" w:line="240" w:lineRule="auto"/>
      </w:pPr>
    </w:p>
    <w:p w14:paraId="53B596B8" w14:textId="7EFF3480" w:rsidR="00A764ED" w:rsidRDefault="00A764ED" w:rsidP="002A2BE7">
      <w:pPr>
        <w:pStyle w:val="Akapitzlist"/>
        <w:numPr>
          <w:ilvl w:val="0"/>
          <w:numId w:val="5"/>
        </w:numPr>
        <w:outlineLvl w:val="2"/>
        <w:rPr>
          <w:b/>
        </w:rPr>
      </w:pPr>
      <w:bookmarkStart w:id="15" w:name="_Toc141097861"/>
      <w:r>
        <w:rPr>
          <w:b/>
        </w:rPr>
        <w:t>Płatność składek/rat składek dla wszystkich rodzajów ubezpieczeń</w:t>
      </w:r>
      <w:bookmarkEnd w:id="15"/>
    </w:p>
    <w:p w14:paraId="4C247BED" w14:textId="7E9192E1" w:rsidR="00327CF1" w:rsidRPr="009A1087" w:rsidRDefault="003509D0" w:rsidP="002A2BE7">
      <w:pPr>
        <w:pStyle w:val="Akapitzlist"/>
        <w:numPr>
          <w:ilvl w:val="0"/>
          <w:numId w:val="43"/>
        </w:numPr>
        <w:rPr>
          <w:u w:val="single"/>
        </w:rPr>
      </w:pPr>
      <w:r w:rsidRPr="009A1087">
        <w:rPr>
          <w:u w:val="single"/>
        </w:rPr>
        <w:t xml:space="preserve">Dla Zadania I </w:t>
      </w:r>
    </w:p>
    <w:p w14:paraId="418DAE67" w14:textId="3591DFF7" w:rsidR="003509D0" w:rsidRDefault="003509D0" w:rsidP="003509D0">
      <w:pPr>
        <w:pStyle w:val="Akapitzlist"/>
      </w:pPr>
      <w:r>
        <w:t>2 raty w rocznym okresie ubezpieczenia;</w:t>
      </w:r>
    </w:p>
    <w:p w14:paraId="05BD4CC4" w14:textId="579038BA" w:rsidR="003509D0" w:rsidRDefault="003509D0" w:rsidP="003509D0">
      <w:pPr>
        <w:pStyle w:val="Akapitzlist"/>
      </w:pPr>
      <w:r>
        <w:t>I rata płatna do 15.08.2023</w:t>
      </w:r>
    </w:p>
    <w:p w14:paraId="098C714E" w14:textId="6CB5023D" w:rsidR="003509D0" w:rsidRDefault="003509D0" w:rsidP="003509D0">
      <w:pPr>
        <w:pStyle w:val="Akapitzlist"/>
      </w:pPr>
      <w:r>
        <w:t>II rata płatna od 15.02.2024</w:t>
      </w:r>
    </w:p>
    <w:p w14:paraId="3586AE00" w14:textId="77777777" w:rsidR="003509D0" w:rsidRDefault="003509D0" w:rsidP="003509D0">
      <w:pPr>
        <w:pStyle w:val="Akapitzlist"/>
      </w:pPr>
    </w:p>
    <w:p w14:paraId="1DF4A4C7" w14:textId="31BCB50E" w:rsidR="003509D0" w:rsidRPr="009A1087" w:rsidRDefault="003509D0" w:rsidP="002A2BE7">
      <w:pPr>
        <w:pStyle w:val="Akapitzlist"/>
        <w:numPr>
          <w:ilvl w:val="0"/>
          <w:numId w:val="43"/>
        </w:numPr>
        <w:rPr>
          <w:u w:val="single"/>
        </w:rPr>
      </w:pPr>
      <w:r w:rsidRPr="009A1087">
        <w:rPr>
          <w:u w:val="single"/>
        </w:rPr>
        <w:t>Dla Zadania II</w:t>
      </w:r>
    </w:p>
    <w:p w14:paraId="1BA1DB0B" w14:textId="7820DBE5" w:rsidR="003509D0" w:rsidRDefault="003509D0" w:rsidP="003509D0">
      <w:pPr>
        <w:pStyle w:val="Akapitzlist"/>
      </w:pPr>
      <w:r>
        <w:t>Składki płatne jednorazowo w termin</w:t>
      </w:r>
      <w:r w:rsidR="00886AB8">
        <w:t>ie 14 od daty</w:t>
      </w:r>
      <w:r>
        <w:t xml:space="preserve"> wystawiania polis ubezpieczenia poszczególnych pojazdów.</w:t>
      </w:r>
    </w:p>
    <w:p w14:paraId="5FC8D027" w14:textId="77777777" w:rsidR="00144F39" w:rsidRDefault="00144F39" w:rsidP="003509D0">
      <w:pPr>
        <w:pStyle w:val="Akapitzlist"/>
      </w:pPr>
    </w:p>
    <w:p w14:paraId="12E7FA0C" w14:textId="7D383EDE" w:rsidR="00A764ED" w:rsidRDefault="00A764ED" w:rsidP="002A2BE7">
      <w:pPr>
        <w:pStyle w:val="Akapitzlist"/>
        <w:numPr>
          <w:ilvl w:val="0"/>
          <w:numId w:val="5"/>
        </w:numPr>
        <w:outlineLvl w:val="2"/>
        <w:rPr>
          <w:b/>
        </w:rPr>
      </w:pPr>
      <w:bookmarkStart w:id="16" w:name="_Toc141097862"/>
      <w:r>
        <w:rPr>
          <w:b/>
        </w:rPr>
        <w:t>Podatek VAT</w:t>
      </w:r>
      <w:bookmarkEnd w:id="16"/>
    </w:p>
    <w:p w14:paraId="76F820D1" w14:textId="20D97014" w:rsidR="00433485" w:rsidRPr="00A764ED" w:rsidRDefault="00433485" w:rsidP="007D0ECA">
      <w:pPr>
        <w:ind w:left="426"/>
      </w:pPr>
      <w:r w:rsidRPr="00433485">
        <w:rPr>
          <w:u w:val="single"/>
        </w:rPr>
        <w:t>Sumy ubezpieczenia pojazdów</w:t>
      </w:r>
      <w:r w:rsidRPr="00433485">
        <w:t xml:space="preserve"> AC zawierają 50% podatek VAT lub nie zawierają VAT zgodnie z opisem w III części zamówienia.</w:t>
      </w:r>
    </w:p>
    <w:p w14:paraId="6BCB7304" w14:textId="2D5C9464" w:rsidR="00D9549B" w:rsidRDefault="00D9549B" w:rsidP="002A2BE7">
      <w:pPr>
        <w:pStyle w:val="Akapitzlist"/>
        <w:numPr>
          <w:ilvl w:val="0"/>
          <w:numId w:val="5"/>
        </w:numPr>
        <w:outlineLvl w:val="2"/>
        <w:rPr>
          <w:b/>
        </w:rPr>
      </w:pPr>
      <w:bookmarkStart w:id="17" w:name="_Toc141097863"/>
      <w:r w:rsidRPr="00543561">
        <w:rPr>
          <w:b/>
        </w:rPr>
        <w:t>Postanowienia wspólne dotyczące wszystkich rodzajów ubezpieczeń</w:t>
      </w:r>
      <w:bookmarkEnd w:id="17"/>
      <w:r w:rsidRPr="00543561">
        <w:rPr>
          <w:b/>
        </w:rPr>
        <w:t xml:space="preserve"> </w:t>
      </w:r>
    </w:p>
    <w:p w14:paraId="432CE73F" w14:textId="77777777" w:rsidR="00993122" w:rsidRDefault="00993122" w:rsidP="002A2BE7">
      <w:pPr>
        <w:pStyle w:val="Akapitzlist"/>
        <w:numPr>
          <w:ilvl w:val="0"/>
          <w:numId w:val="41"/>
        </w:numPr>
        <w:jc w:val="both"/>
      </w:pPr>
      <w:r>
        <w:t>Ubezpieczyciel akceptuje podane definicje oraz treści klauzul wskazanych w opisie przedmiotu zamówienia.</w:t>
      </w:r>
    </w:p>
    <w:p w14:paraId="7E57BA42" w14:textId="03D894D4" w:rsidR="00993122" w:rsidRDefault="00993122" w:rsidP="002A2BE7">
      <w:pPr>
        <w:pStyle w:val="Akapitzlist"/>
        <w:numPr>
          <w:ilvl w:val="0"/>
          <w:numId w:val="41"/>
        </w:numPr>
        <w:jc w:val="both"/>
      </w:pPr>
      <w:r>
        <w:t>W umowie ubezpieczenia nie będą miały zastosowania żadne inne franszyzy ani udziały własne za wyjątkiem określonych w niniejszej specyfikacji.</w:t>
      </w:r>
    </w:p>
    <w:p w14:paraId="3D9D241E" w14:textId="0225DDCC" w:rsidR="00993122" w:rsidRDefault="00993122" w:rsidP="002A2BE7">
      <w:pPr>
        <w:pStyle w:val="Akapitzlist"/>
        <w:numPr>
          <w:ilvl w:val="0"/>
          <w:numId w:val="41"/>
        </w:numPr>
        <w:jc w:val="both"/>
      </w:pPr>
      <w:r>
        <w:t>Uzgadnia się, że początek ochrony ubezpieczeniowej rozpoczyna się w dniu wskazanym w OPZ i polisie jako początek okresu ubezpieczenia, mimo opłacenia składki lub jej pierwszej raty w terminie późniejszym</w:t>
      </w:r>
      <w:r w:rsidR="00C649EA">
        <w:t>.</w:t>
      </w:r>
    </w:p>
    <w:p w14:paraId="19640332" w14:textId="7D6D2CCE" w:rsidR="00170901" w:rsidRDefault="00170901" w:rsidP="002A2BE7">
      <w:pPr>
        <w:pStyle w:val="Akapitzlist"/>
        <w:numPr>
          <w:ilvl w:val="0"/>
          <w:numId w:val="41"/>
        </w:numPr>
        <w:jc w:val="both"/>
      </w:pPr>
      <w:r>
        <w:lastRenderedPageBreak/>
        <w:t>W przypadku zmiany organizacyjnej polegającej na wyodrębnieniu ze struktur Instytutu kolejnej jednostki organizacyjnej, Ubezpieczyciel obejmie automatyczną ochroną działalność takiej jednostki od pierwszego dnia jej powstania i przejęcia mienia na warunkach określonych w niniejszej umowie i SWZ, jeżeli będzie prowadzić taką samą działalność, jak pozostali Ubezpieczeni. Ubezpieczyciel wystawi stosowne dokumenty potwierdzające ochronę ubezpieczeniową dla takiej jednostki w terminie 7 dni od zgłoszenia zmiany.</w:t>
      </w:r>
    </w:p>
    <w:p w14:paraId="2CDB5F45" w14:textId="481ADC6A" w:rsidR="00170901" w:rsidRDefault="00170901" w:rsidP="002A2BE7">
      <w:pPr>
        <w:pStyle w:val="Akapitzlist"/>
        <w:numPr>
          <w:ilvl w:val="0"/>
          <w:numId w:val="41"/>
        </w:numPr>
        <w:jc w:val="both"/>
      </w:pPr>
      <w:r>
        <w:t>W przypadku wygaśnięcia ochrony ubezpieczeniowej w odniesieniu do któregokolwiek składnika mienia w związku z jego zbyciem lub likwidacją, w trakcie trwania okresu ubezpieczenia, Ubezpieczającemu/Ubezpieczonemu przysługuje zwrot składki za okres niewykorzystanej ochrony ubezpieczeniowej. Nadpłata zostanie rozliczona na podstawie noty obciążeniowej wystawionej przez Ubezpieczającego/Ubezpieczonego.</w:t>
      </w:r>
    </w:p>
    <w:p w14:paraId="2A433E80" w14:textId="7DC53EC1" w:rsidR="00425842" w:rsidRDefault="00170901" w:rsidP="002A2BE7">
      <w:pPr>
        <w:pStyle w:val="Akapitzlist"/>
        <w:numPr>
          <w:ilvl w:val="0"/>
          <w:numId w:val="41"/>
        </w:numPr>
        <w:jc w:val="both"/>
      </w:pPr>
      <w:r>
        <w:t>Wszelkie płatności powstałe w związku z umową ubezpieczenia (wynikające w szczególności z włączania ochrony krótkoterminowej dla mienia, konieczności dopłaty składek, zwrotu składek oraz innych rozliczeń) dokonywane będą proporcjonalnie w systemie „pro rata temporis” co do liczby dni. Ubezpieczyciel nie będzie stosował składki minimalnej dla poszczególnych polis oraz potrąceń z tytułu kosztów manipulacyjnych.</w:t>
      </w:r>
    </w:p>
    <w:p w14:paraId="43CAC2D5" w14:textId="77777777" w:rsidR="008514C1" w:rsidRDefault="008514C1" w:rsidP="002A2BE7">
      <w:pPr>
        <w:pStyle w:val="Akapitzlist"/>
        <w:numPr>
          <w:ilvl w:val="0"/>
          <w:numId w:val="41"/>
        </w:numPr>
        <w:jc w:val="both"/>
      </w:pPr>
      <w:r>
        <w:t>Uzgadnia się, że Ubezpieczyciel przedłuży termin zapłaty składki ubezpieczeniowej lub raty składki o czternaście dni - bez obciążania Ubezpieczającego/Ubezpieczonego ustawowymi odsetkami za zwłokę - pod warunkiem złożenia pisemnego wniosku przez Ubezpieczającego/ Ubezpieczonego do Ubezpieczyciela, przed upływem terminu płatności składki ubezpieczeniowej lub raty składki.</w:t>
      </w:r>
    </w:p>
    <w:p w14:paraId="3019911A" w14:textId="560B3C56" w:rsidR="008514C1" w:rsidRDefault="008514C1" w:rsidP="002A2BE7">
      <w:pPr>
        <w:pStyle w:val="Akapitzlist"/>
        <w:numPr>
          <w:ilvl w:val="0"/>
          <w:numId w:val="41"/>
        </w:numPr>
        <w:jc w:val="both"/>
      </w:pPr>
      <w:r w:rsidRPr="008514C1">
        <w:t>W przypadku wypłaty odszkodowania, Ubezpieczyciel nie jest uprawniony do potrącenia z kwoty odszkodowania rat jeszcze nie wymagalnych oraz nie może żądać zapłaty pozostałych rat.</w:t>
      </w:r>
    </w:p>
    <w:p w14:paraId="1FB0BFC1" w14:textId="77777777" w:rsidR="008514C1" w:rsidRDefault="008514C1" w:rsidP="002A2BE7">
      <w:pPr>
        <w:pStyle w:val="Akapitzlist"/>
        <w:numPr>
          <w:ilvl w:val="0"/>
          <w:numId w:val="41"/>
        </w:numPr>
        <w:jc w:val="both"/>
      </w:pPr>
      <w:r>
        <w:t>Skutki niezawiadomienia Ubezpieczyciela o szkodzie w odpowiednim terminie zapisane w Ogólnych Warunkach Ubezpieczenia Ubezpieczyciela (OWU), mają zastosowanie tylko w sytuacji, kiedy niezawiadomienie w terminie uniemożliwiło Ubezpieczycielowi ustalenie odpowiedzialności lub rozmiaru szkody.</w:t>
      </w:r>
    </w:p>
    <w:p w14:paraId="2D867429" w14:textId="77777777" w:rsidR="00A75A93" w:rsidRDefault="00A75A93" w:rsidP="002A2BE7">
      <w:pPr>
        <w:pStyle w:val="Akapitzlist"/>
        <w:numPr>
          <w:ilvl w:val="0"/>
          <w:numId w:val="41"/>
        </w:numPr>
        <w:jc w:val="both"/>
      </w:pPr>
      <w:r>
        <w:t xml:space="preserve">Za miejsce ubezpieczenia w odniesieniu do Umowy uważa się wszystkie lokalizacje stałe (nazwane) placówki Ubezpieczającego uruchomione przed podpisaniem umowy ubezpieczenia, jak i uruchamiane w trakcie jej obowiązywania. </w:t>
      </w:r>
    </w:p>
    <w:p w14:paraId="4902E439" w14:textId="77777777" w:rsidR="007D0945" w:rsidRDefault="007D0945" w:rsidP="002A2BE7">
      <w:pPr>
        <w:pStyle w:val="Akapitzlist"/>
        <w:numPr>
          <w:ilvl w:val="0"/>
          <w:numId w:val="41"/>
        </w:numPr>
        <w:jc w:val="both"/>
      </w:pPr>
      <w:r>
        <w:t>Strony akceptują formę komunikacji za pośrednictwem faksu lub poczty elektronicznej z wyjątkiem składania oświadczeń woli o wypowiedzeniu umowy, które powinno zostać złożone w formie pisemnej pod rygorem nieważności.</w:t>
      </w:r>
    </w:p>
    <w:p w14:paraId="43340AEC" w14:textId="5A5631F4" w:rsidR="007D0945" w:rsidRDefault="007D0945" w:rsidP="002A2BE7">
      <w:pPr>
        <w:pStyle w:val="Akapitzlist"/>
        <w:numPr>
          <w:ilvl w:val="0"/>
          <w:numId w:val="41"/>
        </w:numPr>
      </w:pPr>
      <w:r>
        <w:t>Ubezpieczyciel wystawi dokument Umowy Ubezpieczenia, zawierający wszystkie postanowienia zgodnie z dokumentami dołączonymi do SWZ, podpisany przez osoby posiadające właściwe pełnomocnictwa ze strony Ubezpieczyciela w dwóch egzemplarzach. Ubezpieczający zwróci podpisany ze swej strony jeden egzemplarz Umowy Ubezpieczenia do Ubezpieczyciela. Alternatywnie możliwe jest wystawienie dokumentów elektronicznie z kwalifikowanym podpisem elektronicznym.</w:t>
      </w:r>
    </w:p>
    <w:p w14:paraId="457D2D05" w14:textId="47025600" w:rsidR="0042124F" w:rsidRDefault="0042124F" w:rsidP="002A2BE7">
      <w:pPr>
        <w:pStyle w:val="Akapitzlist"/>
        <w:numPr>
          <w:ilvl w:val="0"/>
          <w:numId w:val="41"/>
        </w:numPr>
      </w:pPr>
      <w:r>
        <w:t>W sprawach nieuregulowanych w SWZ zastosowanie mają przepisy prawa oraz Ogólne Warunki Ubezpieczenia (OWU), w tym zapisy klauzul dodatkowych i postanowieniach dodatkowych.</w:t>
      </w:r>
    </w:p>
    <w:p w14:paraId="2E7310FE" w14:textId="77777777" w:rsidR="00BA6631" w:rsidRPr="00543561" w:rsidRDefault="00BA6631" w:rsidP="00BA6631">
      <w:pPr>
        <w:pStyle w:val="Akapitzlist"/>
        <w:ind w:left="360"/>
      </w:pPr>
    </w:p>
    <w:p w14:paraId="0FF212B1" w14:textId="77777777" w:rsidR="00642224" w:rsidRDefault="00642224" w:rsidP="002A2BE7">
      <w:pPr>
        <w:pStyle w:val="Akapitzlist"/>
        <w:numPr>
          <w:ilvl w:val="0"/>
          <w:numId w:val="5"/>
        </w:numPr>
        <w:outlineLvl w:val="2"/>
        <w:rPr>
          <w:b/>
        </w:rPr>
      </w:pPr>
      <w:bookmarkStart w:id="18" w:name="_Toc141097864"/>
      <w:r w:rsidRPr="00BA6631">
        <w:rPr>
          <w:b/>
        </w:rPr>
        <w:t>Postanowienia dotyczące wysokości wypłaty odszkodowania</w:t>
      </w:r>
      <w:bookmarkEnd w:id="18"/>
    </w:p>
    <w:p w14:paraId="7517FC84" w14:textId="77777777" w:rsidR="00642224" w:rsidRPr="001A3035" w:rsidRDefault="00642224" w:rsidP="002A2BE7">
      <w:pPr>
        <w:pStyle w:val="Akapitzlist"/>
        <w:numPr>
          <w:ilvl w:val="2"/>
          <w:numId w:val="40"/>
        </w:numPr>
        <w:ind w:left="426" w:hanging="426"/>
        <w:rPr>
          <w:b/>
          <w:color w:val="000000" w:themeColor="text1"/>
        </w:rPr>
      </w:pPr>
      <w:r w:rsidRPr="001A3035">
        <w:rPr>
          <w:snapToGrid w:val="0"/>
          <w:color w:val="000000" w:themeColor="text1"/>
        </w:rPr>
        <w:t>Szkoda całkowita ma miejsce, kiedy przedmiot ubezpieczenia nie nadaje się do użytkowania, a naprawa przedmiotu nie jest możliwa i/lub ekonomicznie nieuzasadniona lub kiedy przedmiot ubezpieczenia nadaje się do użytkowania, ale jego naprawa jest ekonomicznie nieuzasadniona tzn. koszt naprawy przewyższa przyjętą wartość przedmiotu ubezpieczenia.</w:t>
      </w:r>
    </w:p>
    <w:p w14:paraId="343F386F" w14:textId="77777777" w:rsidR="00642224" w:rsidRPr="001A3035" w:rsidRDefault="00642224" w:rsidP="002A2BE7">
      <w:pPr>
        <w:pStyle w:val="Akapitzlist"/>
        <w:numPr>
          <w:ilvl w:val="2"/>
          <w:numId w:val="40"/>
        </w:numPr>
        <w:ind w:left="426" w:hanging="426"/>
        <w:jc w:val="both"/>
        <w:rPr>
          <w:snapToGrid w:val="0"/>
          <w:color w:val="000000" w:themeColor="text1"/>
        </w:rPr>
      </w:pPr>
      <w:r w:rsidRPr="001A3035">
        <w:rPr>
          <w:snapToGrid w:val="0"/>
          <w:color w:val="000000" w:themeColor="text1"/>
        </w:rPr>
        <w:t xml:space="preserve">Szkoda częściowa ma miejsce, kiedy stan techniczny przedmiotu po szkodzie pozwala na dokonanie odbudowy/naprawy poszczególnych uszkodzonych elementów i odbudowa ta jest ekonomicznie uzasadniona z zastrzeżeniem postanowień klauzuli likwidacji szkód częściowych. </w:t>
      </w:r>
    </w:p>
    <w:p w14:paraId="6255A2B1" w14:textId="77777777" w:rsidR="00CD608A" w:rsidRDefault="00CD608A" w:rsidP="0072754D">
      <w:pPr>
        <w:ind w:left="426" w:hanging="426"/>
        <w:rPr>
          <w:rFonts w:asciiTheme="majorHAnsi" w:eastAsiaTheme="majorEastAsia" w:hAnsiTheme="majorHAnsi" w:cstheme="majorBidi"/>
          <w:b/>
          <w:bCs/>
          <w:color w:val="4F81BD" w:themeColor="accent1"/>
          <w:sz w:val="26"/>
          <w:szCs w:val="26"/>
        </w:rPr>
      </w:pPr>
      <w:r>
        <w:br w:type="page"/>
      </w:r>
    </w:p>
    <w:p w14:paraId="271BC4D1" w14:textId="77777777" w:rsidR="00C748DC" w:rsidRPr="0044131D" w:rsidRDefault="0044131D" w:rsidP="0044131D">
      <w:pPr>
        <w:pStyle w:val="Nagwek2"/>
        <w:spacing w:before="0"/>
        <w:jc w:val="both"/>
      </w:pPr>
      <w:bookmarkStart w:id="19" w:name="_Toc141097865"/>
      <w:r w:rsidRPr="00BC2985">
        <w:lastRenderedPageBreak/>
        <w:t xml:space="preserve">Zadanie 2  - </w:t>
      </w:r>
      <w:r w:rsidR="00C748DC" w:rsidRPr="00BC2985">
        <w:rPr>
          <w:sz w:val="28"/>
        </w:rPr>
        <w:t>Ubezpieczenie odpowiedzialności cywilnej</w:t>
      </w:r>
      <w:r w:rsidRPr="00BC2985">
        <w:rPr>
          <w:sz w:val="28"/>
        </w:rPr>
        <w:t xml:space="preserve"> z tytułu prowadzonej działalności i posiadanego mienia</w:t>
      </w:r>
      <w:bookmarkEnd w:id="19"/>
    </w:p>
    <w:p w14:paraId="6F5A4AEF" w14:textId="77777777" w:rsidR="0010074B" w:rsidRDefault="0010074B" w:rsidP="0010074B">
      <w:pPr>
        <w:pStyle w:val="Akapitzlist"/>
        <w:ind w:left="360"/>
        <w:rPr>
          <w:b/>
        </w:rPr>
      </w:pPr>
    </w:p>
    <w:p w14:paraId="75F997D3" w14:textId="77777777" w:rsidR="00CD608A" w:rsidRDefault="00CD608A" w:rsidP="0010074B">
      <w:pPr>
        <w:pStyle w:val="Akapitzlist"/>
        <w:ind w:left="360"/>
        <w:rPr>
          <w:b/>
        </w:rPr>
      </w:pPr>
    </w:p>
    <w:p w14:paraId="0342742A" w14:textId="77777777" w:rsidR="00765DDE" w:rsidRPr="00F371E9" w:rsidRDefault="00765DDE" w:rsidP="002A2BE7">
      <w:pPr>
        <w:pStyle w:val="Akapitzlist"/>
        <w:numPr>
          <w:ilvl w:val="1"/>
          <w:numId w:val="50"/>
        </w:numPr>
        <w:jc w:val="both"/>
        <w:outlineLvl w:val="2"/>
        <w:rPr>
          <w:b/>
        </w:rPr>
      </w:pPr>
      <w:bookmarkStart w:id="20" w:name="_Toc141097866"/>
      <w:r w:rsidRPr="00F371E9">
        <w:rPr>
          <w:b/>
        </w:rPr>
        <w:t>Przedmiot i zakres ubezpieczenia</w:t>
      </w:r>
      <w:bookmarkEnd w:id="20"/>
    </w:p>
    <w:p w14:paraId="6ABFABC1" w14:textId="77777777" w:rsidR="003F32C3" w:rsidRDefault="003F32C3" w:rsidP="003F32C3">
      <w:pPr>
        <w:pStyle w:val="Akapitzlist"/>
        <w:ind w:left="792"/>
        <w:jc w:val="both"/>
      </w:pPr>
      <w:r>
        <w:t>Odpowiedzialność cywilna (odpowiedzialność deliktowa, kontraktowa oraz deliktowo-kontraktowa) wynikająca z powszechnie obowiązujących przepisów prawa w związku z faktycznie prowadzoną działalnością i z tytułu posiadanego mienia bez względu na jego rodzaj i przeznaczenie oraz odpowiedzialność za produkt i usługi.</w:t>
      </w:r>
    </w:p>
    <w:p w14:paraId="562D0971" w14:textId="77777777" w:rsidR="003F32C3" w:rsidRDefault="003F32C3" w:rsidP="003F32C3">
      <w:pPr>
        <w:pStyle w:val="Akapitzlist"/>
        <w:ind w:left="792"/>
        <w:jc w:val="both"/>
      </w:pPr>
      <w:r>
        <w:t>Ubezpieczenie odpowiedzialności cywilnej obejmuje szkody wyrządzone na skutek wypadków polegających na:</w:t>
      </w:r>
    </w:p>
    <w:p w14:paraId="18D01755" w14:textId="77777777" w:rsidR="003F32C3" w:rsidRDefault="003F32C3" w:rsidP="003F32C3">
      <w:pPr>
        <w:pStyle w:val="Akapitzlist"/>
        <w:ind w:left="792"/>
        <w:jc w:val="both"/>
      </w:pPr>
      <w:r>
        <w:t>1. spowodowaniu śmierci, uszkodzenia ciała lub rozstroju zdrowia osoby oraz na stratach i utraconych korzyściach będące następstwem śmierci, uszkodzenia ciała lub rozstroju zdrowia, a także obejmującym zadośćuczynienie, jeżeli obowiązek jego wypłaty powstał na skutek śmierci, uszkodzenia ciała lub rozstroju zdrowia (szkoda osobowa),</w:t>
      </w:r>
    </w:p>
    <w:p w14:paraId="021BE536" w14:textId="77777777" w:rsidR="003F32C3" w:rsidRDefault="003F32C3" w:rsidP="003F32C3">
      <w:pPr>
        <w:pStyle w:val="Akapitzlist"/>
        <w:ind w:left="792"/>
        <w:jc w:val="both"/>
      </w:pPr>
      <w:r>
        <w:t>2. uszkodzeniu, zniszczeniu, utracie lub zaginięciu mienia, w tym na wszelkich stratach i utraconych korzyściach będących następstwem uszkodzenia, zniszczenia, utraty lub zaginięcia mienia (szkody rzeczowe),</w:t>
      </w:r>
    </w:p>
    <w:p w14:paraId="09790376" w14:textId="0334E71E" w:rsidR="003F32C3" w:rsidRDefault="003F32C3" w:rsidP="003F32C3">
      <w:pPr>
        <w:pStyle w:val="Akapitzlist"/>
        <w:ind w:left="792"/>
        <w:jc w:val="both"/>
      </w:pPr>
      <w:r>
        <w:t>3. poniesionym rzeczywistym uszczerbku i utraconych korzyściach wyrażonych w pieniądzu niewynikających ze szkód osobowych bądź rzeczowych (czysta szkoda majątkowa).</w:t>
      </w:r>
    </w:p>
    <w:p w14:paraId="76A3FECD" w14:textId="77777777" w:rsidR="003F32C3" w:rsidRDefault="003F32C3" w:rsidP="00F371E9">
      <w:pPr>
        <w:pStyle w:val="Akapitzlist"/>
        <w:ind w:left="792"/>
        <w:jc w:val="both"/>
      </w:pPr>
    </w:p>
    <w:p w14:paraId="05DE23EC" w14:textId="77777777" w:rsidR="00920A0D" w:rsidRPr="00F371E9" w:rsidRDefault="00920A0D" w:rsidP="00F371E9">
      <w:pPr>
        <w:pStyle w:val="Akapitzlist"/>
        <w:ind w:left="792"/>
        <w:jc w:val="both"/>
      </w:pPr>
    </w:p>
    <w:p w14:paraId="3614DB8B" w14:textId="77777777" w:rsidR="00920A0D" w:rsidRPr="00F371E9" w:rsidRDefault="00920A0D" w:rsidP="002A2BE7">
      <w:pPr>
        <w:pStyle w:val="Akapitzlist"/>
        <w:numPr>
          <w:ilvl w:val="1"/>
          <w:numId w:val="50"/>
        </w:numPr>
        <w:jc w:val="both"/>
        <w:outlineLvl w:val="2"/>
        <w:rPr>
          <w:b/>
        </w:rPr>
      </w:pPr>
      <w:bookmarkStart w:id="21" w:name="_Toc141097867"/>
      <w:r w:rsidRPr="00F371E9">
        <w:rPr>
          <w:b/>
        </w:rPr>
        <w:t xml:space="preserve">Zakres czasowy – </w:t>
      </w:r>
      <w:proofErr w:type="spellStart"/>
      <w:r w:rsidRPr="00F371E9">
        <w:rPr>
          <w:b/>
        </w:rPr>
        <w:t>triger</w:t>
      </w:r>
      <w:bookmarkEnd w:id="21"/>
      <w:proofErr w:type="spellEnd"/>
      <w:r w:rsidRPr="00F371E9">
        <w:rPr>
          <w:b/>
        </w:rPr>
        <w:t xml:space="preserve"> </w:t>
      </w:r>
    </w:p>
    <w:p w14:paraId="35EBF221" w14:textId="77777777" w:rsidR="00585EF4" w:rsidRDefault="00585EF4" w:rsidP="00F371E9">
      <w:pPr>
        <w:pStyle w:val="Akapitzlist"/>
        <w:ind w:left="792"/>
        <w:jc w:val="both"/>
      </w:pPr>
    </w:p>
    <w:p w14:paraId="6CD46C0D" w14:textId="5AF04F54" w:rsidR="00585EF4" w:rsidRDefault="00D54487" w:rsidP="00585EF4">
      <w:pPr>
        <w:pStyle w:val="Akapitzlist"/>
        <w:ind w:left="792"/>
        <w:rPr>
          <w:b/>
        </w:rPr>
      </w:pPr>
      <w:r w:rsidRPr="00F371E9">
        <w:t>Ochrona ubezpieczeniowa dotyczyć będzie odpowiedzialności cywilnej z tytułu wypadków powstałych w okresie ubezpieczenia</w:t>
      </w:r>
      <w:r w:rsidR="00585EF4">
        <w:t xml:space="preserve"> i </w:t>
      </w:r>
      <w:r w:rsidRPr="00F371E9">
        <w:t xml:space="preserve">zgłoszenia </w:t>
      </w:r>
      <w:r w:rsidR="00585EF4">
        <w:t>roszczenia z tego tytuł</w:t>
      </w:r>
      <w:r w:rsidR="00585EF4" w:rsidRPr="00585EF4">
        <w:t>u  przed upływem terminu przedawnienia przewidzianego przepisami prawa</w:t>
      </w:r>
      <w:r w:rsidRPr="00585EF4">
        <w:t>(</w:t>
      </w:r>
      <w:proofErr w:type="spellStart"/>
      <w:r w:rsidRPr="00585EF4">
        <w:t>trigger</w:t>
      </w:r>
      <w:proofErr w:type="spellEnd"/>
      <w:r w:rsidRPr="00585EF4">
        <w:t xml:space="preserve"> </w:t>
      </w:r>
      <w:proofErr w:type="spellStart"/>
      <w:r w:rsidRPr="00585EF4">
        <w:t>loss</w:t>
      </w:r>
      <w:proofErr w:type="spellEnd"/>
      <w:r w:rsidRPr="00585EF4">
        <w:t xml:space="preserve"> </w:t>
      </w:r>
      <w:proofErr w:type="spellStart"/>
      <w:r w:rsidRPr="00585EF4">
        <w:t>occurrence</w:t>
      </w:r>
      <w:proofErr w:type="spellEnd"/>
      <w:r w:rsidRPr="00585EF4">
        <w:t>).</w:t>
      </w:r>
      <w:r w:rsidR="00585EF4" w:rsidRPr="00585EF4">
        <w:t xml:space="preserve"> Przy czym ubezpieczyciel uznaje, iż wypadek miał miejsce w okresie ubezpieczenia, o ile początek takiego wypadku wystąpił w okresie ubezpieczenia, nawet, jeżeli strata lub część takich strat lub konsekwencji szkody rzeczowej lub osobowej wystąpi po okresie ubezpieczenia.</w:t>
      </w:r>
    </w:p>
    <w:p w14:paraId="660E602C" w14:textId="77777777" w:rsidR="00585EF4" w:rsidRPr="00585EF4" w:rsidRDefault="00585EF4" w:rsidP="00585EF4">
      <w:pPr>
        <w:pStyle w:val="Akapitzlist"/>
        <w:ind w:left="792"/>
        <w:rPr>
          <w:b/>
        </w:rPr>
      </w:pPr>
    </w:p>
    <w:p w14:paraId="1B5D9AE8" w14:textId="77777777" w:rsidR="00585EF4" w:rsidRPr="00031742" w:rsidRDefault="00585EF4" w:rsidP="00585EF4">
      <w:pPr>
        <w:pStyle w:val="Akapitzlist"/>
        <w:ind w:left="792"/>
        <w:rPr>
          <w:bCs/>
        </w:rPr>
      </w:pPr>
      <w:r w:rsidRPr="00031742">
        <w:rPr>
          <w:bCs/>
        </w:rPr>
        <w:t>Szkody, które powstały wskutek tej samej przyczyny traktuje się jako jeden wypadek ubezpieczeniowy przyjmując jako datę wystąpienia szkody datę pierwszej z serii powstałych w ten sposób szkód nawet jeśli ostatnia wystąpiła po zakończeniu okresu ubezpieczenia.</w:t>
      </w:r>
    </w:p>
    <w:p w14:paraId="25279485" w14:textId="77777777" w:rsidR="003F32C3" w:rsidRPr="00031742" w:rsidRDefault="003F32C3" w:rsidP="00411CC7">
      <w:pPr>
        <w:pStyle w:val="Akapitzlist"/>
        <w:ind w:left="792"/>
        <w:rPr>
          <w:bCs/>
          <w:highlight w:val="yellow"/>
        </w:rPr>
      </w:pPr>
    </w:p>
    <w:p w14:paraId="1F768095" w14:textId="77777777" w:rsidR="003F32C3" w:rsidRDefault="003F32C3" w:rsidP="00411CC7">
      <w:pPr>
        <w:pStyle w:val="Akapitzlist"/>
        <w:ind w:left="792"/>
        <w:rPr>
          <w:b/>
        </w:rPr>
      </w:pPr>
    </w:p>
    <w:p w14:paraId="006A28F9" w14:textId="77777777" w:rsidR="00920A0D" w:rsidRDefault="00920A0D" w:rsidP="002A2BE7">
      <w:pPr>
        <w:pStyle w:val="Akapitzlist"/>
        <w:numPr>
          <w:ilvl w:val="1"/>
          <w:numId w:val="50"/>
        </w:numPr>
        <w:outlineLvl w:val="2"/>
        <w:rPr>
          <w:b/>
        </w:rPr>
      </w:pPr>
      <w:bookmarkStart w:id="22" w:name="_Toc141097868"/>
      <w:r>
        <w:rPr>
          <w:b/>
        </w:rPr>
        <w:t>Podstawowe definicje</w:t>
      </w:r>
      <w:bookmarkEnd w:id="22"/>
    </w:p>
    <w:p w14:paraId="03B289FD" w14:textId="77777777" w:rsidR="00411CC7" w:rsidRDefault="00411CC7" w:rsidP="00D736EA">
      <w:pPr>
        <w:pStyle w:val="Akapitzlist"/>
        <w:ind w:left="792"/>
        <w:jc w:val="both"/>
        <w:rPr>
          <w:b/>
        </w:rPr>
      </w:pPr>
    </w:p>
    <w:p w14:paraId="628B761B" w14:textId="3041B4A6" w:rsidR="00044BE7" w:rsidRPr="00A4461D" w:rsidRDefault="00044BE7" w:rsidP="002A2BE7">
      <w:pPr>
        <w:pStyle w:val="Default"/>
        <w:numPr>
          <w:ilvl w:val="0"/>
          <w:numId w:val="51"/>
        </w:numPr>
        <w:jc w:val="both"/>
        <w:rPr>
          <w:rFonts w:asciiTheme="minorHAnsi" w:hAnsiTheme="minorHAnsi" w:cstheme="minorBidi"/>
          <w:bCs/>
          <w:color w:val="auto"/>
          <w:sz w:val="22"/>
          <w:szCs w:val="22"/>
        </w:rPr>
      </w:pPr>
      <w:r w:rsidRPr="00A4461D">
        <w:rPr>
          <w:rFonts w:asciiTheme="minorHAnsi" w:hAnsiTheme="minorHAnsi" w:cstheme="minorBidi"/>
          <w:b/>
          <w:color w:val="auto"/>
          <w:sz w:val="22"/>
          <w:szCs w:val="22"/>
        </w:rPr>
        <w:t>Szkoda</w:t>
      </w:r>
      <w:r w:rsidRPr="00A4461D">
        <w:rPr>
          <w:rFonts w:asciiTheme="minorHAnsi" w:hAnsiTheme="minorHAnsi" w:cstheme="minorBidi"/>
          <w:bCs/>
          <w:color w:val="auto"/>
          <w:sz w:val="22"/>
          <w:szCs w:val="22"/>
        </w:rPr>
        <w:t xml:space="preserve"> – szkoda na osobie lub szkoda rzeczowa oraz w zakresie opisanym rozszerzeniem również czysta szkoda majątkowa</w:t>
      </w:r>
      <w:r w:rsidR="00406E68">
        <w:rPr>
          <w:rFonts w:asciiTheme="minorHAnsi" w:hAnsiTheme="minorHAnsi" w:cstheme="minorBidi"/>
          <w:bCs/>
          <w:color w:val="auto"/>
          <w:sz w:val="22"/>
          <w:szCs w:val="22"/>
        </w:rPr>
        <w:t>.</w:t>
      </w:r>
    </w:p>
    <w:p w14:paraId="1B3ED5B5" w14:textId="2FC93D28" w:rsidR="00044BE7" w:rsidRPr="00A4461D" w:rsidRDefault="00044BE7" w:rsidP="002A2BE7">
      <w:pPr>
        <w:pStyle w:val="Default"/>
        <w:numPr>
          <w:ilvl w:val="0"/>
          <w:numId w:val="51"/>
        </w:numPr>
        <w:jc w:val="both"/>
        <w:rPr>
          <w:rFonts w:asciiTheme="minorHAnsi" w:hAnsiTheme="minorHAnsi" w:cstheme="minorBidi"/>
          <w:bCs/>
          <w:color w:val="auto"/>
          <w:sz w:val="22"/>
          <w:szCs w:val="22"/>
        </w:rPr>
      </w:pPr>
      <w:r w:rsidRPr="00A4461D">
        <w:rPr>
          <w:rFonts w:asciiTheme="minorHAnsi" w:hAnsiTheme="minorHAnsi" w:cstheme="minorBidi"/>
          <w:b/>
          <w:color w:val="auto"/>
          <w:sz w:val="22"/>
          <w:szCs w:val="22"/>
        </w:rPr>
        <w:t>Szkoda rzeczowa</w:t>
      </w:r>
      <w:r w:rsidRPr="00A4461D">
        <w:rPr>
          <w:rFonts w:asciiTheme="minorHAnsi" w:hAnsiTheme="minorHAnsi" w:cstheme="minorBidi"/>
          <w:bCs/>
          <w:color w:val="auto"/>
          <w:sz w:val="22"/>
          <w:szCs w:val="22"/>
        </w:rPr>
        <w:t xml:space="preserve"> – utrata, zniszczenie lub uszkodzenie rzeczy, pozbawianie możliwości do korzystania z rzeczy, w tym także utracone korzyści tego samego poszkodowanego, które mógłby osiągnąć, gdyby nie nastąpiła utrata, zniszczenie lub uszkodzenie rzeczy. </w:t>
      </w:r>
    </w:p>
    <w:p w14:paraId="549949CF" w14:textId="563BF1A2" w:rsidR="00044BE7" w:rsidRPr="00A4461D" w:rsidRDefault="00044BE7" w:rsidP="002A2BE7">
      <w:pPr>
        <w:pStyle w:val="Default"/>
        <w:numPr>
          <w:ilvl w:val="0"/>
          <w:numId w:val="51"/>
        </w:numPr>
        <w:jc w:val="both"/>
        <w:rPr>
          <w:rFonts w:asciiTheme="minorHAnsi" w:hAnsiTheme="minorHAnsi" w:cstheme="minorBidi"/>
          <w:bCs/>
          <w:color w:val="auto"/>
          <w:sz w:val="22"/>
          <w:szCs w:val="22"/>
        </w:rPr>
      </w:pPr>
      <w:r w:rsidRPr="00A4461D">
        <w:rPr>
          <w:rFonts w:asciiTheme="minorHAnsi" w:hAnsiTheme="minorHAnsi" w:cstheme="minorBidi"/>
          <w:b/>
          <w:color w:val="auto"/>
          <w:sz w:val="22"/>
          <w:szCs w:val="22"/>
        </w:rPr>
        <w:t>Szkoda osobowa</w:t>
      </w:r>
      <w:r w:rsidRPr="00A4461D">
        <w:rPr>
          <w:rFonts w:asciiTheme="minorHAnsi" w:hAnsiTheme="minorHAnsi" w:cstheme="minorBidi"/>
          <w:bCs/>
          <w:color w:val="auto"/>
          <w:sz w:val="22"/>
          <w:szCs w:val="22"/>
        </w:rPr>
        <w:t xml:space="preserve"> – śmierć, uszkodzenie ciała lub rozstrój zdrowia, w tym także utracone korzyści poszkodowanego, które mógłby osiągnąć, gdyby nie doznał uszkodzenia ciała lub rozstroju zdrowia, a także zadośćuczynienie, jeżeli obowiązek jego wypłaty powstał na skutek śmierci, uszkodzenia ciała lub rozstroju zdrowia. </w:t>
      </w:r>
    </w:p>
    <w:p w14:paraId="6DB9354D" w14:textId="4A630650" w:rsidR="00A4461D" w:rsidRPr="006A42B2" w:rsidRDefault="006A42B2" w:rsidP="002A2BE7">
      <w:pPr>
        <w:pStyle w:val="Default"/>
        <w:numPr>
          <w:ilvl w:val="0"/>
          <w:numId w:val="51"/>
        </w:numPr>
        <w:jc w:val="both"/>
        <w:rPr>
          <w:rFonts w:asciiTheme="minorHAnsi" w:hAnsiTheme="minorHAnsi" w:cstheme="minorBidi"/>
          <w:bCs/>
          <w:color w:val="auto"/>
          <w:sz w:val="22"/>
          <w:szCs w:val="22"/>
        </w:rPr>
      </w:pPr>
      <w:r w:rsidRPr="00730A5F">
        <w:rPr>
          <w:rFonts w:asciiTheme="minorHAnsi" w:hAnsiTheme="minorHAnsi" w:cstheme="minorBidi"/>
          <w:b/>
          <w:color w:val="auto"/>
          <w:sz w:val="22"/>
          <w:szCs w:val="22"/>
        </w:rPr>
        <w:lastRenderedPageBreak/>
        <w:t>Czysta szkoda majątkowa</w:t>
      </w:r>
      <w:r w:rsidRPr="00730A5F">
        <w:rPr>
          <w:rFonts w:asciiTheme="minorHAnsi" w:hAnsiTheme="minorHAnsi" w:cstheme="minorBidi"/>
          <w:bCs/>
          <w:color w:val="auto"/>
          <w:sz w:val="22"/>
          <w:szCs w:val="22"/>
        </w:rPr>
        <w:t xml:space="preserve"> – poniesiony przez osoby trzecie rzeczywisty uszczerbek i utracone korzyści wyrażone w pieniądzu, o ile nie wynikają one ze szkody osobowej lub szkody rzeczowej.</w:t>
      </w:r>
    </w:p>
    <w:p w14:paraId="62D96819" w14:textId="63BC0018" w:rsidR="006A42B2" w:rsidRPr="006A42B2" w:rsidRDefault="006A42B2" w:rsidP="002A2BE7">
      <w:pPr>
        <w:pStyle w:val="Default"/>
        <w:numPr>
          <w:ilvl w:val="0"/>
          <w:numId w:val="51"/>
        </w:numPr>
        <w:jc w:val="both"/>
        <w:rPr>
          <w:rFonts w:asciiTheme="minorHAnsi" w:hAnsiTheme="minorHAnsi" w:cstheme="minorBidi"/>
          <w:bCs/>
          <w:color w:val="auto"/>
          <w:sz w:val="22"/>
          <w:szCs w:val="22"/>
        </w:rPr>
      </w:pPr>
      <w:r w:rsidRPr="006A42B2">
        <w:rPr>
          <w:rFonts w:asciiTheme="minorHAnsi" w:hAnsiTheme="minorHAnsi" w:cstheme="minorBidi"/>
          <w:b/>
          <w:color w:val="auto"/>
          <w:sz w:val="22"/>
          <w:szCs w:val="22"/>
        </w:rPr>
        <w:t>Produkt</w:t>
      </w:r>
      <w:r w:rsidRPr="006A42B2">
        <w:rPr>
          <w:rFonts w:asciiTheme="minorHAnsi" w:hAnsiTheme="minorHAnsi" w:cstheme="minorBidi"/>
          <w:bCs/>
          <w:color w:val="auto"/>
          <w:sz w:val="22"/>
          <w:szCs w:val="22"/>
        </w:rPr>
        <w:t xml:space="preserve"> - rzecz ruchoma, chociażby została połączona z inną rzeczą, a także zwierzęta, energia, sprzedane lub dostarczone przez Ubezpieczającego/Ubezpieczonego</w:t>
      </w:r>
      <w:r w:rsidR="00406E68">
        <w:rPr>
          <w:rFonts w:asciiTheme="minorHAnsi" w:hAnsiTheme="minorHAnsi" w:cstheme="minorBidi"/>
          <w:bCs/>
          <w:color w:val="auto"/>
          <w:sz w:val="22"/>
          <w:szCs w:val="22"/>
        </w:rPr>
        <w:t>.</w:t>
      </w:r>
    </w:p>
    <w:p w14:paraId="736464DB" w14:textId="3E5C96F9" w:rsidR="00411CC7" w:rsidRDefault="00411CC7" w:rsidP="002A2BE7">
      <w:pPr>
        <w:pStyle w:val="Default"/>
        <w:numPr>
          <w:ilvl w:val="0"/>
          <w:numId w:val="51"/>
        </w:numPr>
        <w:jc w:val="both"/>
        <w:rPr>
          <w:rFonts w:asciiTheme="minorHAnsi" w:hAnsiTheme="minorHAnsi" w:cstheme="minorBidi"/>
          <w:bCs/>
          <w:color w:val="auto"/>
          <w:sz w:val="22"/>
          <w:szCs w:val="22"/>
        </w:rPr>
      </w:pPr>
      <w:r w:rsidRPr="006A42B2">
        <w:rPr>
          <w:rFonts w:asciiTheme="minorHAnsi" w:hAnsiTheme="minorHAnsi" w:cstheme="minorBidi"/>
          <w:b/>
          <w:color w:val="auto"/>
          <w:sz w:val="22"/>
          <w:szCs w:val="22"/>
        </w:rPr>
        <w:t>Wypadek ubezpieczeniowy</w:t>
      </w:r>
      <w:r w:rsidRPr="006A42B2">
        <w:rPr>
          <w:rFonts w:asciiTheme="minorHAnsi" w:hAnsiTheme="minorHAnsi" w:cstheme="minorBidi"/>
          <w:bCs/>
          <w:color w:val="auto"/>
          <w:sz w:val="22"/>
          <w:szCs w:val="22"/>
        </w:rPr>
        <w:t xml:space="preserve"> </w:t>
      </w:r>
      <w:r w:rsidR="006A42B2" w:rsidRPr="006A42B2">
        <w:rPr>
          <w:rFonts w:asciiTheme="minorHAnsi" w:hAnsiTheme="minorHAnsi" w:cstheme="minorBidi"/>
          <w:bCs/>
          <w:color w:val="auto"/>
          <w:sz w:val="22"/>
          <w:szCs w:val="22"/>
        </w:rPr>
        <w:t>powstanie szkody w okresie ubezpieczenia</w:t>
      </w:r>
      <w:r w:rsidR="00406E68">
        <w:rPr>
          <w:rFonts w:asciiTheme="minorHAnsi" w:hAnsiTheme="minorHAnsi" w:cstheme="minorBidi"/>
          <w:bCs/>
          <w:color w:val="auto"/>
          <w:sz w:val="22"/>
          <w:szCs w:val="22"/>
        </w:rPr>
        <w:t>.</w:t>
      </w:r>
    </w:p>
    <w:p w14:paraId="76B1A55F" w14:textId="14221581" w:rsidR="00730A5F" w:rsidRDefault="00730A5F" w:rsidP="002A2BE7">
      <w:pPr>
        <w:pStyle w:val="Default"/>
        <w:numPr>
          <w:ilvl w:val="0"/>
          <w:numId w:val="51"/>
        </w:numPr>
        <w:jc w:val="both"/>
        <w:rPr>
          <w:rFonts w:asciiTheme="minorHAnsi" w:hAnsiTheme="minorHAnsi" w:cstheme="minorBidi"/>
          <w:bCs/>
          <w:color w:val="auto"/>
          <w:sz w:val="22"/>
          <w:szCs w:val="22"/>
        </w:rPr>
      </w:pPr>
      <w:r w:rsidRPr="00406E68">
        <w:rPr>
          <w:rFonts w:asciiTheme="minorHAnsi" w:hAnsiTheme="minorHAnsi" w:cstheme="minorBidi"/>
          <w:b/>
          <w:color w:val="auto"/>
          <w:sz w:val="22"/>
          <w:szCs w:val="22"/>
        </w:rPr>
        <w:t>Pracownik</w:t>
      </w:r>
      <w:r w:rsidRPr="00E94D3B">
        <w:rPr>
          <w:rFonts w:asciiTheme="minorHAnsi" w:hAnsiTheme="minorHAnsi" w:cstheme="minorBidi"/>
          <w:bCs/>
          <w:color w:val="auto"/>
          <w:sz w:val="22"/>
          <w:szCs w:val="22"/>
        </w:rPr>
        <w:t xml:space="preserve"> – rozumiany jako osoba fizyczna obejmuje wszystkie możliwe formy współpracy dopuszczone przez kodeks pracy jak i wszelkie formy umów cywilnoprawnych (np. zlecenie, umowa o dzieło, kontrakty menedżerskie). Za pracownika uznaje się także osobę zatrudnioną przez agencję pracy tymczasowej w celu wykonywania pracy tymczasowej na rzecz i pod kierownictwem Ubezpieczonego będącego pracodawcą użytkownikiem, praktykanta, stażystę, wolontariusza, osobę skierowaną do wykonywania nieodpłatnych prac społecznie użytecznych wyrokiem sądu, osobę skazaną skierowaną do wykonywania nieodpłatnych prac społecznie użytecznych przez zakład karny oraz osobę skierowaną do prac interwencyjnych z Urzędu Pracy, któremu Ubezpieczony powierzył wykonywanie pracy. </w:t>
      </w:r>
    </w:p>
    <w:p w14:paraId="75F5316C" w14:textId="77777777" w:rsidR="000367FA" w:rsidRPr="001F5CCE" w:rsidRDefault="000367FA" w:rsidP="002A2BE7">
      <w:pPr>
        <w:pStyle w:val="Akapitzlist"/>
        <w:numPr>
          <w:ilvl w:val="0"/>
          <w:numId w:val="51"/>
        </w:numPr>
        <w:rPr>
          <w:b/>
        </w:rPr>
      </w:pPr>
      <w:r w:rsidRPr="005F6864">
        <w:rPr>
          <w:b/>
        </w:rPr>
        <w:t>Szkody seryjne</w:t>
      </w:r>
      <w:r w:rsidRPr="00854B26">
        <w:t xml:space="preserve"> – szkody będące wynikiem tej samej przyczyny (pierwsza szkoda w okresie ubezpieczenia); dla wszystkich szkód będących wynikiem tej samej przyczyny zastosowanie będzie miała jedna franszyza,</w:t>
      </w:r>
    </w:p>
    <w:p w14:paraId="04A60769" w14:textId="77777777" w:rsidR="00411CC7" w:rsidRPr="00F67C1E" w:rsidRDefault="00411CC7" w:rsidP="00F67C1E">
      <w:pPr>
        <w:jc w:val="both"/>
        <w:rPr>
          <w:b/>
        </w:rPr>
      </w:pPr>
    </w:p>
    <w:p w14:paraId="7076FDD7" w14:textId="77777777" w:rsidR="00920A0D" w:rsidRDefault="00920A0D" w:rsidP="002A2BE7">
      <w:pPr>
        <w:pStyle w:val="Akapitzlist"/>
        <w:numPr>
          <w:ilvl w:val="1"/>
          <w:numId w:val="50"/>
        </w:numPr>
        <w:jc w:val="both"/>
        <w:outlineLvl w:val="2"/>
        <w:rPr>
          <w:b/>
        </w:rPr>
      </w:pPr>
      <w:bookmarkStart w:id="23" w:name="_Toc141097869"/>
      <w:r>
        <w:rPr>
          <w:b/>
        </w:rPr>
        <w:t>Suma gwarancyjna</w:t>
      </w:r>
      <w:bookmarkEnd w:id="23"/>
    </w:p>
    <w:p w14:paraId="1FF511E0" w14:textId="5EFB2160" w:rsidR="00E94E8E" w:rsidRDefault="00E94E8E" w:rsidP="00D736EA">
      <w:pPr>
        <w:pStyle w:val="Akapitzlist"/>
        <w:ind w:left="792"/>
        <w:jc w:val="both"/>
      </w:pPr>
      <w:r w:rsidRPr="00E94E8E">
        <w:t>Suma gwarancyjna</w:t>
      </w:r>
      <w:r w:rsidR="007E72DA">
        <w:t xml:space="preserve"> zagregowana na wszystkie jednostki</w:t>
      </w:r>
      <w:r w:rsidRPr="00E94E8E">
        <w:t xml:space="preserve">: </w:t>
      </w:r>
      <w:r w:rsidR="009E6BD7">
        <w:t>6 0</w:t>
      </w:r>
      <w:r w:rsidRPr="00E94E8E">
        <w:t>00 000 zł na jedno i wszystkie wypadki w okresie ubezpieczenia</w:t>
      </w:r>
    </w:p>
    <w:p w14:paraId="1C5EA68A" w14:textId="77777777" w:rsidR="007E72DA" w:rsidRDefault="007E72DA" w:rsidP="00D736EA">
      <w:pPr>
        <w:pStyle w:val="Akapitzlist"/>
        <w:ind w:left="792"/>
        <w:jc w:val="both"/>
      </w:pPr>
    </w:p>
    <w:p w14:paraId="66F77A43" w14:textId="77777777" w:rsidR="00692F86" w:rsidRDefault="00692F86" w:rsidP="002A2BE7">
      <w:pPr>
        <w:pStyle w:val="Akapitzlist"/>
        <w:numPr>
          <w:ilvl w:val="1"/>
          <w:numId w:val="50"/>
        </w:numPr>
        <w:jc w:val="both"/>
        <w:outlineLvl w:val="2"/>
        <w:rPr>
          <w:b/>
        </w:rPr>
      </w:pPr>
      <w:bookmarkStart w:id="24" w:name="_Toc141097870"/>
      <w:r>
        <w:rPr>
          <w:b/>
        </w:rPr>
        <w:t>Zakres terytorialny</w:t>
      </w:r>
      <w:bookmarkEnd w:id="24"/>
    </w:p>
    <w:p w14:paraId="0E95A367" w14:textId="77777777" w:rsidR="009E6BD7" w:rsidRPr="009E6BD7" w:rsidRDefault="009E6BD7" w:rsidP="009E6BD7">
      <w:pPr>
        <w:pStyle w:val="Default"/>
        <w:ind w:left="851"/>
        <w:jc w:val="both"/>
        <w:rPr>
          <w:rFonts w:asciiTheme="minorHAnsi" w:hAnsiTheme="minorHAnsi" w:cstheme="minorBidi"/>
          <w:color w:val="auto"/>
          <w:sz w:val="22"/>
          <w:szCs w:val="22"/>
        </w:rPr>
      </w:pPr>
      <w:r w:rsidRPr="009E6BD7">
        <w:rPr>
          <w:rFonts w:asciiTheme="minorHAnsi" w:hAnsiTheme="minorHAnsi" w:cstheme="minorBidi"/>
          <w:color w:val="auto"/>
          <w:sz w:val="22"/>
          <w:szCs w:val="22"/>
        </w:rPr>
        <w:t xml:space="preserve">Ubezpieczenie w pełnym zakresie, także w odniesieniu do OC za produkt obejmuje swym zakresem całe terytorium Rzeczpospolitej Polskiej z rozszerzeniem o terytorium całego Świata z wyłączeniem USA, Kanady, Australii, Nowej Zelandii. </w:t>
      </w:r>
    </w:p>
    <w:p w14:paraId="6ECACFC8" w14:textId="2A4D0724" w:rsidR="00692F86" w:rsidRDefault="009E6BD7" w:rsidP="009E6BD7">
      <w:pPr>
        <w:pStyle w:val="Akapitzlist"/>
        <w:ind w:left="851"/>
        <w:jc w:val="both"/>
      </w:pPr>
      <w:r w:rsidRPr="009E6BD7">
        <w:t xml:space="preserve">Ochrona obejmuje także wypadki ubezpieczeniowe powstałe w związku ze służbowymi podróżami pracowników, delegacjami (m.in. konferencjami, targami, szkoleniami, stażami, praktykami) na terytorium całego świata. </w:t>
      </w:r>
    </w:p>
    <w:p w14:paraId="75921C0C" w14:textId="77777777" w:rsidR="00CD608A" w:rsidRPr="00692F86" w:rsidRDefault="00CD608A" w:rsidP="00D736EA">
      <w:pPr>
        <w:pStyle w:val="Akapitzlist"/>
        <w:ind w:left="792"/>
        <w:jc w:val="both"/>
      </w:pPr>
    </w:p>
    <w:p w14:paraId="014AE3E3" w14:textId="77777777" w:rsidR="00920A0D" w:rsidRPr="00D53081" w:rsidRDefault="00920A0D" w:rsidP="002A2BE7">
      <w:pPr>
        <w:pStyle w:val="Akapitzlist"/>
        <w:numPr>
          <w:ilvl w:val="1"/>
          <w:numId w:val="50"/>
        </w:numPr>
        <w:jc w:val="both"/>
        <w:outlineLvl w:val="2"/>
        <w:rPr>
          <w:b/>
        </w:rPr>
      </w:pPr>
      <w:bookmarkStart w:id="25" w:name="_Toc141097871"/>
      <w:r w:rsidRPr="00D53081">
        <w:rPr>
          <w:b/>
        </w:rPr>
        <w:t>Rozszerzenie zakresu ubezpieczenia</w:t>
      </w:r>
      <w:bookmarkEnd w:id="25"/>
    </w:p>
    <w:p w14:paraId="311521C1" w14:textId="77777777" w:rsidR="00EF2BA9" w:rsidRPr="00D53081" w:rsidRDefault="00EF2BA9" w:rsidP="008E1F59">
      <w:pPr>
        <w:pStyle w:val="Akapitzlist"/>
        <w:ind w:left="792"/>
        <w:jc w:val="both"/>
      </w:pPr>
      <w:r w:rsidRPr="00D53081">
        <w:t>Ochrona ubezpieczeniowe zostanie rozszerzona na podstawie poniższych zapisów (rozszerzenie do pełnej sumy gwarancyjnej, z zastrzeżeniem wskazanych limitów odpowiedzialności</w:t>
      </w:r>
      <w:r w:rsidR="0017130C" w:rsidRPr="00D53081">
        <w:t xml:space="preserve"> na jedno i wszystkie wypadki w okresie ubezpieczenia</w:t>
      </w:r>
      <w:r w:rsidRPr="00D53081">
        <w:t>)</w:t>
      </w:r>
      <w:r w:rsidR="00F63892" w:rsidRPr="00D53081">
        <w:t xml:space="preserve"> o:</w:t>
      </w:r>
    </w:p>
    <w:p w14:paraId="12BCBBFD" w14:textId="77777777" w:rsidR="00327327" w:rsidRDefault="00327327" w:rsidP="00D736EA">
      <w:pPr>
        <w:pStyle w:val="Akapitzlist"/>
        <w:ind w:left="792"/>
        <w:jc w:val="both"/>
        <w:rPr>
          <w:b/>
        </w:rPr>
      </w:pPr>
    </w:p>
    <w:p w14:paraId="6D8493D7" w14:textId="466B2131" w:rsidR="00EF2BA9" w:rsidRPr="005F6864" w:rsidRDefault="00EF2BA9" w:rsidP="002A2BE7">
      <w:pPr>
        <w:pStyle w:val="Akapitzlist"/>
        <w:numPr>
          <w:ilvl w:val="0"/>
          <w:numId w:val="39"/>
        </w:numPr>
        <w:rPr>
          <w:b/>
        </w:rPr>
      </w:pPr>
      <w:r>
        <w:t>S</w:t>
      </w:r>
      <w:r w:rsidR="00854B26" w:rsidRPr="00854B26">
        <w:t xml:space="preserve">zkody </w:t>
      </w:r>
      <w:r w:rsidR="00854B26" w:rsidRPr="005F6864">
        <w:rPr>
          <w:b/>
        </w:rPr>
        <w:t>powstałe po wykonaniu pracy</w:t>
      </w:r>
      <w:r w:rsidR="00854B26" w:rsidRPr="00854B26">
        <w:t>, usługi lub przekazaniu wykonanej pracy w użytkowanie odbiorcy wynikające z wadliwego wykonania czynności,</w:t>
      </w:r>
    </w:p>
    <w:p w14:paraId="122886C6" w14:textId="78BFAE1A" w:rsidR="00EF2BA9" w:rsidRPr="000367FA" w:rsidRDefault="00EF2BA9" w:rsidP="002A2BE7">
      <w:pPr>
        <w:pStyle w:val="Akapitzlist"/>
        <w:numPr>
          <w:ilvl w:val="0"/>
          <w:numId w:val="39"/>
        </w:numPr>
        <w:rPr>
          <w:b/>
        </w:rPr>
      </w:pPr>
      <w:r>
        <w:t>S</w:t>
      </w:r>
      <w:r w:rsidR="00854B26" w:rsidRPr="00854B26">
        <w:t xml:space="preserve">zkody wyrządzone </w:t>
      </w:r>
      <w:r w:rsidR="00854B26" w:rsidRPr="005F6864">
        <w:rPr>
          <w:b/>
        </w:rPr>
        <w:t>wskutek rażącego niedbalstwa</w:t>
      </w:r>
      <w:r w:rsidR="00EC00E9">
        <w:t xml:space="preserve"> Ubezpieczającego lub osób za które ponosi odpowiedzialność,</w:t>
      </w:r>
    </w:p>
    <w:p w14:paraId="28C5EF74" w14:textId="4345ED75" w:rsidR="000C3C9C" w:rsidRPr="000C3C9C" w:rsidRDefault="000367FA" w:rsidP="002A2BE7">
      <w:pPr>
        <w:pStyle w:val="Akapitzlist"/>
        <w:numPr>
          <w:ilvl w:val="0"/>
          <w:numId w:val="39"/>
        </w:numPr>
        <w:rPr>
          <w:b/>
        </w:rPr>
      </w:pPr>
      <w:r>
        <w:t xml:space="preserve">Szkody </w:t>
      </w:r>
      <w:r w:rsidRPr="00D864E9">
        <w:rPr>
          <w:b/>
          <w:bCs/>
        </w:rPr>
        <w:t>wyrządzone umyślnie</w:t>
      </w:r>
      <w:r>
        <w:t xml:space="preserve">, </w:t>
      </w:r>
      <w:r w:rsidRPr="000367FA">
        <w:t>za wyjątkiem szkód wyrządzonych przez reprezentantów Ubezpieczającego/Ubezpieczonego (reprezentant Ubezpieczającego/Ubezpieczonego zgodnie z zapisami Klauzuli reprezentantów).</w:t>
      </w:r>
      <w:r>
        <w:t xml:space="preserve"> – </w:t>
      </w:r>
      <w:proofErr w:type="spellStart"/>
      <w:r w:rsidRPr="009534FF">
        <w:t>Podlimit</w:t>
      </w:r>
      <w:proofErr w:type="spellEnd"/>
      <w:r w:rsidRPr="009534FF">
        <w:t xml:space="preserve"> sumy gwarancyjnej 1 000 000 zł</w:t>
      </w:r>
      <w:r w:rsidR="00B9681C" w:rsidRPr="009534FF">
        <w:t>,</w:t>
      </w:r>
    </w:p>
    <w:p w14:paraId="3DA06DCA" w14:textId="17019FEF" w:rsidR="008E7402" w:rsidRPr="008E7402" w:rsidRDefault="008E7402" w:rsidP="002A2BE7">
      <w:pPr>
        <w:pStyle w:val="Akapitzlist"/>
        <w:numPr>
          <w:ilvl w:val="0"/>
          <w:numId w:val="39"/>
        </w:numPr>
        <w:rPr>
          <w:b/>
        </w:rPr>
      </w:pPr>
      <w:r w:rsidRPr="008E7402">
        <w:rPr>
          <w:bCs/>
        </w:rPr>
        <w:t>Dla szkód powstałych w związku z prowadzeniem</w:t>
      </w:r>
      <w:r>
        <w:rPr>
          <w:b/>
        </w:rPr>
        <w:t xml:space="preserve"> ośrodka wypoczynkowego w Ustroniu – </w:t>
      </w:r>
      <w:r w:rsidRPr="008E7402">
        <w:rPr>
          <w:bCs/>
        </w:rPr>
        <w:t>2 000 000 zł</w:t>
      </w:r>
      <w:r>
        <w:rPr>
          <w:bCs/>
        </w:rPr>
        <w:t>,</w:t>
      </w:r>
    </w:p>
    <w:p w14:paraId="15F00481" w14:textId="47B5E84B" w:rsidR="008E7402" w:rsidRPr="008E7402" w:rsidRDefault="008E7402" w:rsidP="002A2BE7">
      <w:pPr>
        <w:pStyle w:val="Akapitzlist"/>
        <w:numPr>
          <w:ilvl w:val="0"/>
          <w:numId w:val="39"/>
        </w:numPr>
        <w:rPr>
          <w:b/>
        </w:rPr>
      </w:pPr>
      <w:r>
        <w:rPr>
          <w:bCs/>
        </w:rPr>
        <w:t xml:space="preserve">Dla szkód powstałych w związku z działalnością </w:t>
      </w:r>
      <w:r w:rsidRPr="008E7402">
        <w:rPr>
          <w:b/>
        </w:rPr>
        <w:t xml:space="preserve">Laboratorium Badawczego Spawalnictwa i Ośrodka Certyfikacji </w:t>
      </w:r>
      <w:r>
        <w:rPr>
          <w:bCs/>
        </w:rPr>
        <w:t>– 3 000 000 zł</w:t>
      </w:r>
    </w:p>
    <w:p w14:paraId="468FC6AF" w14:textId="01E15C59" w:rsidR="000C3C9C" w:rsidRPr="00D53081" w:rsidRDefault="000C3C9C" w:rsidP="002A2BE7">
      <w:pPr>
        <w:pStyle w:val="Akapitzlist"/>
        <w:numPr>
          <w:ilvl w:val="0"/>
          <w:numId w:val="39"/>
        </w:numPr>
        <w:rPr>
          <w:b/>
        </w:rPr>
      </w:pPr>
      <w:r w:rsidRPr="000C3C9C">
        <w:t xml:space="preserve">szkody wyrządzone przez </w:t>
      </w:r>
      <w:r w:rsidRPr="00291184">
        <w:rPr>
          <w:b/>
          <w:bCs/>
        </w:rPr>
        <w:t>wadliwy produkt</w:t>
      </w:r>
      <w:r w:rsidRPr="000C3C9C">
        <w:t xml:space="preserve"> Ubezpieczającego/Ubezpieczonego (niezależnie od tego czy jest on produktem finalnym, komponentem, czy innym wyrobem) z włączeniem szkód wynikłych w </w:t>
      </w:r>
      <w:r w:rsidRPr="000C3C9C">
        <w:lastRenderedPageBreak/>
        <w:t>bieżącym okresie, a związanych z produktami wprowadzonymi do obrotu wcześniej</w:t>
      </w:r>
      <w:r w:rsidR="00291184">
        <w:t xml:space="preserve"> – </w:t>
      </w:r>
      <w:proofErr w:type="spellStart"/>
      <w:r w:rsidR="00291184" w:rsidRPr="005E275B">
        <w:rPr>
          <w:b/>
          <w:bCs/>
        </w:rPr>
        <w:t>podlimit</w:t>
      </w:r>
      <w:proofErr w:type="spellEnd"/>
      <w:r w:rsidR="00291184" w:rsidRPr="005E275B">
        <w:rPr>
          <w:b/>
          <w:bCs/>
        </w:rPr>
        <w:t xml:space="preserve"> sumy gwarancyjnej 1 000 000 zł</w:t>
      </w:r>
    </w:p>
    <w:p w14:paraId="42FDDDE5" w14:textId="677C764F" w:rsidR="00D53081" w:rsidRPr="00D53081" w:rsidRDefault="00D53081" w:rsidP="002A2BE7">
      <w:pPr>
        <w:pStyle w:val="Akapitzlist"/>
        <w:numPr>
          <w:ilvl w:val="0"/>
          <w:numId w:val="39"/>
        </w:numPr>
        <w:rPr>
          <w:b/>
          <w:bCs/>
        </w:rPr>
      </w:pPr>
      <w:r w:rsidRPr="00D53081">
        <w:rPr>
          <w:b/>
          <w:bCs/>
        </w:rPr>
        <w:t>OC za produkt dla części lotniczych w tym dla silników dla lotnictwa – 250 000 zł</w:t>
      </w:r>
    </w:p>
    <w:p w14:paraId="23D83E84" w14:textId="48871045" w:rsidR="0086520B" w:rsidRPr="00A62E29" w:rsidRDefault="001F5CCE" w:rsidP="002A2BE7">
      <w:pPr>
        <w:pStyle w:val="Akapitzlist"/>
        <w:numPr>
          <w:ilvl w:val="0"/>
          <w:numId w:val="39"/>
        </w:numPr>
        <w:rPr>
          <w:color w:val="FF0000"/>
        </w:rPr>
      </w:pPr>
      <w:r w:rsidRPr="00A62E29">
        <w:rPr>
          <w:b/>
          <w:color w:val="000000" w:themeColor="text1"/>
        </w:rPr>
        <w:t>Odpowiedzialność cywilną pracodawcy</w:t>
      </w:r>
      <w:r w:rsidRPr="00A62E29">
        <w:rPr>
          <w:color w:val="000000" w:themeColor="text1"/>
        </w:rPr>
        <w:t xml:space="preserve"> wobec pracowników (niezależnie od formy zatrudnienia - ) za następstwa wypadków przy pracy - </w:t>
      </w:r>
      <w:r w:rsidRPr="00A62E29">
        <w:rPr>
          <w:b/>
          <w:color w:val="000000" w:themeColor="text1"/>
        </w:rPr>
        <w:t>do pełnej sumy gwarancyjnej</w:t>
      </w:r>
      <w:r w:rsidR="00A62E29" w:rsidRPr="00A62E29">
        <w:rPr>
          <w:b/>
          <w:color w:val="000000" w:themeColor="text1"/>
        </w:rPr>
        <w:t xml:space="preserve">. </w:t>
      </w:r>
      <w:r w:rsidR="0086520B" w:rsidRPr="00A62E29">
        <w:rPr>
          <w:color w:val="000000" w:themeColor="text1"/>
        </w:rPr>
        <w:t xml:space="preserve">Zakres ubezpieczenia rozszerzony o szkody wyrządzone w pojazdach mechanicznych pracowników </w:t>
      </w:r>
      <w:r w:rsidR="00A62E29" w:rsidRPr="00A62E29">
        <w:rPr>
          <w:color w:val="000000" w:themeColor="text1"/>
        </w:rPr>
        <w:t xml:space="preserve">– </w:t>
      </w:r>
      <w:proofErr w:type="spellStart"/>
      <w:r w:rsidR="00A62E29" w:rsidRPr="00A62E29">
        <w:rPr>
          <w:color w:val="000000" w:themeColor="text1"/>
        </w:rPr>
        <w:t>podlimit</w:t>
      </w:r>
      <w:proofErr w:type="spellEnd"/>
      <w:r w:rsidR="00A62E29" w:rsidRPr="00A62E29">
        <w:rPr>
          <w:color w:val="000000" w:themeColor="text1"/>
        </w:rPr>
        <w:t xml:space="preserve"> </w:t>
      </w:r>
      <w:r w:rsidR="0086520B" w:rsidRPr="00A62E29">
        <w:rPr>
          <w:color w:val="000000" w:themeColor="text1"/>
        </w:rPr>
        <w:t>50 000 zł na jedno i wszystkie wypadki w okresie ubezpieczenia,</w:t>
      </w:r>
    </w:p>
    <w:p w14:paraId="2D0324BB" w14:textId="04FD6C18" w:rsidR="000C1354" w:rsidRPr="000C1354" w:rsidRDefault="000C1354" w:rsidP="002A2BE7">
      <w:pPr>
        <w:pStyle w:val="Akapitzlist"/>
        <w:numPr>
          <w:ilvl w:val="0"/>
          <w:numId w:val="39"/>
        </w:numPr>
        <w:spacing w:after="0"/>
        <w:rPr>
          <w:color w:val="000000" w:themeColor="text1"/>
        </w:rPr>
      </w:pPr>
      <w:r w:rsidRPr="000C1354">
        <w:rPr>
          <w:color w:val="000000" w:themeColor="text1"/>
        </w:rPr>
        <w:t xml:space="preserve">szkody powstałe </w:t>
      </w:r>
      <w:r w:rsidRPr="000C1354">
        <w:rPr>
          <w:b/>
          <w:bCs/>
          <w:color w:val="000000" w:themeColor="text1"/>
        </w:rPr>
        <w:t>w mieniu przekazanym w celu wykonania usługi</w:t>
      </w:r>
      <w:r w:rsidRPr="000C1354">
        <w:rPr>
          <w:color w:val="000000" w:themeColor="text1"/>
        </w:rPr>
        <w:t xml:space="preserve">, jak również </w:t>
      </w:r>
      <w:r w:rsidRPr="00765C6D">
        <w:rPr>
          <w:b/>
          <w:bCs/>
          <w:color w:val="000000" w:themeColor="text1"/>
        </w:rPr>
        <w:t>po wykonaniu pracy</w:t>
      </w:r>
      <w:r w:rsidRPr="000C1354">
        <w:rPr>
          <w:color w:val="000000" w:themeColor="text1"/>
        </w:rPr>
        <w:t xml:space="preserve">, usługi czy też kontraktu oraz za szkody powstałe </w:t>
      </w:r>
      <w:r w:rsidRPr="00765C6D">
        <w:rPr>
          <w:b/>
          <w:bCs/>
          <w:color w:val="000000" w:themeColor="text1"/>
        </w:rPr>
        <w:t>po przekazaniu odbiorcy</w:t>
      </w:r>
      <w:r w:rsidRPr="000C1354">
        <w:rPr>
          <w:color w:val="000000" w:themeColor="text1"/>
        </w:rPr>
        <w:t xml:space="preserve"> przedmiotu czynności, prac lub usług świadczonych przez Ubezpieczającego/ Ubezpieczonego wynikłe z ich wadliwego wykonania</w:t>
      </w:r>
    </w:p>
    <w:p w14:paraId="7342DE46" w14:textId="77777777" w:rsidR="00F27CEC" w:rsidRDefault="00B163F2" w:rsidP="002A2BE7">
      <w:pPr>
        <w:pStyle w:val="Default"/>
        <w:numPr>
          <w:ilvl w:val="0"/>
          <w:numId w:val="39"/>
        </w:numPr>
        <w:jc w:val="both"/>
        <w:rPr>
          <w:rFonts w:asciiTheme="minorHAnsi" w:hAnsiTheme="minorHAnsi" w:cstheme="minorBidi"/>
          <w:color w:val="000000" w:themeColor="text1"/>
          <w:sz w:val="22"/>
          <w:szCs w:val="22"/>
        </w:rPr>
      </w:pPr>
      <w:r w:rsidRPr="00F27CEC">
        <w:rPr>
          <w:rFonts w:asciiTheme="minorHAnsi" w:hAnsiTheme="minorHAnsi" w:cstheme="minorBidi"/>
          <w:color w:val="000000" w:themeColor="text1"/>
          <w:sz w:val="22"/>
          <w:szCs w:val="22"/>
        </w:rPr>
        <w:t>S</w:t>
      </w:r>
      <w:r w:rsidR="00361C16" w:rsidRPr="00F27CEC">
        <w:rPr>
          <w:rFonts w:asciiTheme="minorHAnsi" w:hAnsiTheme="minorHAnsi" w:cstheme="minorBidi"/>
          <w:color w:val="000000" w:themeColor="text1"/>
          <w:sz w:val="22"/>
          <w:szCs w:val="22"/>
        </w:rPr>
        <w:t xml:space="preserve">zkody powstałe </w:t>
      </w:r>
      <w:r w:rsidR="00361C16" w:rsidRPr="00C64B8A">
        <w:rPr>
          <w:rFonts w:asciiTheme="minorHAnsi" w:hAnsiTheme="minorHAnsi" w:cstheme="minorBidi"/>
          <w:b/>
          <w:bCs/>
          <w:color w:val="000000" w:themeColor="text1"/>
          <w:sz w:val="22"/>
          <w:szCs w:val="22"/>
        </w:rPr>
        <w:t>w nieruchomościach</w:t>
      </w:r>
      <w:r w:rsidR="00F27CEC" w:rsidRPr="00F27CEC">
        <w:rPr>
          <w:rFonts w:asciiTheme="minorHAnsi" w:hAnsiTheme="minorHAnsi" w:cstheme="minorBidi"/>
          <w:color w:val="000000" w:themeColor="text1"/>
          <w:sz w:val="22"/>
          <w:szCs w:val="22"/>
        </w:rPr>
        <w:t xml:space="preserve"> użytkowanych przez Ubezpieczającego/Ubezpieczonego na podstawie umowy najmu, dzierżawy, leasingu lub innego tytułu prawnego. </w:t>
      </w:r>
    </w:p>
    <w:p w14:paraId="56D11C06" w14:textId="136A9016" w:rsidR="00F27CEC" w:rsidRPr="008E7402" w:rsidRDefault="00094440" w:rsidP="002A2BE7">
      <w:pPr>
        <w:pStyle w:val="Default"/>
        <w:numPr>
          <w:ilvl w:val="0"/>
          <w:numId w:val="39"/>
        </w:numPr>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Szkody </w:t>
      </w:r>
      <w:r w:rsidRPr="00F65A89">
        <w:rPr>
          <w:rFonts w:asciiTheme="minorHAnsi" w:hAnsiTheme="minorHAnsi" w:cstheme="minorBidi"/>
          <w:b/>
          <w:bCs/>
          <w:color w:val="000000" w:themeColor="text1"/>
          <w:sz w:val="22"/>
          <w:szCs w:val="22"/>
        </w:rPr>
        <w:t>w mieniu ruchomym</w:t>
      </w:r>
      <w:r w:rsidRPr="00094440">
        <w:rPr>
          <w:rFonts w:asciiTheme="minorHAnsi" w:hAnsiTheme="minorHAnsi" w:cstheme="minorBidi"/>
          <w:color w:val="000000" w:themeColor="text1"/>
          <w:sz w:val="22"/>
          <w:szCs w:val="22"/>
        </w:rPr>
        <w:t xml:space="preserve"> użytkowanym przez Ubezpieczonego na podstawie umów najmu, dzierżawy, leasingu, użyczenia lub innej podobnej umowy</w:t>
      </w:r>
      <w:r w:rsidRPr="008E7402">
        <w:rPr>
          <w:rFonts w:asciiTheme="minorHAnsi" w:hAnsiTheme="minorHAnsi" w:cstheme="minorBidi"/>
          <w:color w:val="000000" w:themeColor="text1"/>
          <w:sz w:val="22"/>
          <w:szCs w:val="22"/>
        </w:rPr>
        <w:t>. – limit</w:t>
      </w:r>
      <w:r w:rsidR="008E7402" w:rsidRPr="008E7402">
        <w:rPr>
          <w:rFonts w:asciiTheme="minorHAnsi" w:hAnsiTheme="minorHAnsi" w:cstheme="minorBidi"/>
          <w:color w:val="000000" w:themeColor="text1"/>
          <w:sz w:val="22"/>
          <w:szCs w:val="22"/>
        </w:rPr>
        <w:t xml:space="preserve"> 200 000 zł</w:t>
      </w:r>
    </w:p>
    <w:p w14:paraId="72AB4105" w14:textId="77777777" w:rsidR="00765C6D" w:rsidRPr="008E7402" w:rsidRDefault="00A96FBD" w:rsidP="002A2BE7">
      <w:pPr>
        <w:pStyle w:val="Default"/>
        <w:numPr>
          <w:ilvl w:val="0"/>
          <w:numId w:val="39"/>
        </w:numPr>
        <w:jc w:val="both"/>
        <w:rPr>
          <w:rFonts w:asciiTheme="minorHAnsi" w:hAnsiTheme="minorHAnsi" w:cstheme="minorBidi"/>
          <w:color w:val="000000" w:themeColor="text1"/>
          <w:sz w:val="22"/>
          <w:szCs w:val="22"/>
        </w:rPr>
      </w:pPr>
      <w:r w:rsidRPr="008E7402">
        <w:rPr>
          <w:rFonts w:asciiTheme="minorHAnsi" w:hAnsiTheme="minorHAnsi" w:cstheme="minorBidi"/>
          <w:color w:val="000000" w:themeColor="text1"/>
          <w:sz w:val="22"/>
          <w:szCs w:val="22"/>
        </w:rPr>
        <w:t>szkody powstałe w związku z posiadaniem, zarządzaniem/ administrowaniem, wynajmem i zarządzaniem nieruchomościami własnymi lub dzierżawionymi,</w:t>
      </w:r>
    </w:p>
    <w:p w14:paraId="5DAF605F" w14:textId="4F8567CC" w:rsidR="00765C6D" w:rsidRDefault="00765C6D" w:rsidP="002A2BE7">
      <w:pPr>
        <w:pStyle w:val="Default"/>
        <w:numPr>
          <w:ilvl w:val="0"/>
          <w:numId w:val="39"/>
        </w:numPr>
        <w:jc w:val="both"/>
        <w:rPr>
          <w:rFonts w:asciiTheme="minorHAnsi" w:hAnsiTheme="minorHAnsi" w:cstheme="minorBidi"/>
          <w:color w:val="000000" w:themeColor="text1"/>
          <w:sz w:val="22"/>
          <w:szCs w:val="22"/>
        </w:rPr>
      </w:pPr>
      <w:r w:rsidRPr="008E7402">
        <w:rPr>
          <w:rFonts w:asciiTheme="minorHAnsi" w:hAnsiTheme="minorHAnsi" w:cstheme="minorBidi"/>
          <w:color w:val="000000" w:themeColor="text1"/>
          <w:sz w:val="22"/>
          <w:szCs w:val="22"/>
        </w:rPr>
        <w:t xml:space="preserve">szkody w mieniu znajdującym </w:t>
      </w:r>
      <w:r w:rsidRPr="008E7402">
        <w:rPr>
          <w:rFonts w:asciiTheme="minorHAnsi" w:hAnsiTheme="minorHAnsi" w:cstheme="minorBidi"/>
          <w:b/>
          <w:bCs/>
          <w:color w:val="000000" w:themeColor="text1"/>
          <w:sz w:val="22"/>
          <w:szCs w:val="22"/>
        </w:rPr>
        <w:t xml:space="preserve">się w pieczy, pod dozorem </w:t>
      </w:r>
      <w:r w:rsidRPr="008E7402">
        <w:rPr>
          <w:rFonts w:asciiTheme="minorHAnsi" w:hAnsiTheme="minorHAnsi" w:cstheme="minorBidi"/>
          <w:color w:val="000000" w:themeColor="text1"/>
          <w:sz w:val="22"/>
          <w:szCs w:val="22"/>
        </w:rPr>
        <w:t xml:space="preserve">lub kontrolą Zamawiającego lub podwykonawców z uwzględnieniem pojazdów na parkingach przy budynkach (niepłatne i niestrzeżone – w tym przypadku odpowiedzialność w zakresie deliktowym) – </w:t>
      </w:r>
      <w:proofErr w:type="spellStart"/>
      <w:r w:rsidRPr="008E7402">
        <w:rPr>
          <w:rFonts w:asciiTheme="minorHAnsi" w:hAnsiTheme="minorHAnsi" w:cstheme="minorBidi"/>
          <w:color w:val="000000" w:themeColor="text1"/>
          <w:sz w:val="22"/>
          <w:szCs w:val="22"/>
        </w:rPr>
        <w:t>podlimit</w:t>
      </w:r>
      <w:proofErr w:type="spellEnd"/>
      <w:r w:rsidRPr="008E7402">
        <w:rPr>
          <w:rFonts w:asciiTheme="minorHAnsi" w:hAnsiTheme="minorHAnsi" w:cstheme="minorBidi"/>
          <w:color w:val="000000" w:themeColor="text1"/>
          <w:sz w:val="22"/>
          <w:szCs w:val="22"/>
        </w:rPr>
        <w:t xml:space="preserve"> odpowiedzialności – </w:t>
      </w:r>
      <w:r w:rsidR="008E7402">
        <w:rPr>
          <w:rFonts w:asciiTheme="minorHAnsi" w:hAnsiTheme="minorHAnsi" w:cstheme="minorBidi"/>
          <w:color w:val="000000" w:themeColor="text1"/>
          <w:sz w:val="22"/>
          <w:szCs w:val="22"/>
        </w:rPr>
        <w:t>20</w:t>
      </w:r>
      <w:r w:rsidRPr="008E7402">
        <w:rPr>
          <w:rFonts w:asciiTheme="minorHAnsi" w:hAnsiTheme="minorHAnsi" w:cstheme="minorBidi"/>
          <w:color w:val="000000" w:themeColor="text1"/>
          <w:sz w:val="22"/>
          <w:szCs w:val="22"/>
        </w:rPr>
        <w:t xml:space="preserve">0 000 zł </w:t>
      </w:r>
    </w:p>
    <w:p w14:paraId="326B30E6" w14:textId="6410ED3A" w:rsidR="008E7402" w:rsidRPr="008E7402" w:rsidRDefault="008E7402" w:rsidP="002A2BE7">
      <w:pPr>
        <w:pStyle w:val="Default"/>
        <w:numPr>
          <w:ilvl w:val="0"/>
          <w:numId w:val="39"/>
        </w:numPr>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szkody w mieniu ruchomym przekazanym w celu wykonania usługi  - </w:t>
      </w:r>
      <w:proofErr w:type="spellStart"/>
      <w:r>
        <w:rPr>
          <w:rFonts w:asciiTheme="minorHAnsi" w:hAnsiTheme="minorHAnsi" w:cstheme="minorBidi"/>
          <w:color w:val="000000" w:themeColor="text1"/>
          <w:sz w:val="22"/>
          <w:szCs w:val="22"/>
        </w:rPr>
        <w:t>podlimit</w:t>
      </w:r>
      <w:proofErr w:type="spellEnd"/>
      <w:r>
        <w:rPr>
          <w:rFonts w:asciiTheme="minorHAnsi" w:hAnsiTheme="minorHAnsi" w:cstheme="minorBidi"/>
          <w:color w:val="000000" w:themeColor="text1"/>
          <w:sz w:val="22"/>
          <w:szCs w:val="22"/>
        </w:rPr>
        <w:t xml:space="preserve"> 1 000 000 zł</w:t>
      </w:r>
    </w:p>
    <w:p w14:paraId="25EB47A6" w14:textId="31CF21DD" w:rsidR="002814DC" w:rsidRPr="008E7402" w:rsidRDefault="002814DC" w:rsidP="002A2BE7">
      <w:pPr>
        <w:pStyle w:val="Akapitzlist"/>
        <w:numPr>
          <w:ilvl w:val="0"/>
          <w:numId w:val="39"/>
        </w:numPr>
        <w:rPr>
          <w:color w:val="000000" w:themeColor="text1"/>
        </w:rPr>
      </w:pPr>
      <w:r w:rsidRPr="008E7402">
        <w:rPr>
          <w:color w:val="000000" w:themeColor="text1"/>
        </w:rPr>
        <w:t xml:space="preserve">Szkody wynikłe </w:t>
      </w:r>
      <w:r w:rsidRPr="008E7402">
        <w:rPr>
          <w:b/>
          <w:bCs/>
          <w:color w:val="000000" w:themeColor="text1"/>
        </w:rPr>
        <w:t>z zanieczyszczenia środowiska</w:t>
      </w:r>
      <w:r w:rsidR="00EE07AC" w:rsidRPr="008E7402">
        <w:rPr>
          <w:color w:val="000000" w:themeColor="text1"/>
        </w:rPr>
        <w:t xml:space="preserve"> powstałych bezpośrednio lub pośrednio w wyniku wycieku lub innej formy przedostania się do wody, gruntu, powietrza jakichkolwiek substancji niebezpiecznych</w:t>
      </w:r>
      <w:r w:rsidRPr="008E7402">
        <w:rPr>
          <w:color w:val="000000" w:themeColor="text1"/>
        </w:rPr>
        <w:t xml:space="preserve"> (OC za szkody środowiskowe), a także wszelakie koszty związane z usunięciem, oczyszczeniem i utylizacją jakichkolwiek zanieczyszcz</w:t>
      </w:r>
      <w:r w:rsidR="008A241A" w:rsidRPr="008E7402">
        <w:rPr>
          <w:color w:val="000000" w:themeColor="text1"/>
        </w:rPr>
        <w:t>e</w:t>
      </w:r>
      <w:r w:rsidRPr="008E7402">
        <w:rPr>
          <w:color w:val="000000" w:themeColor="text1"/>
        </w:rPr>
        <w:t xml:space="preserve">ń. </w:t>
      </w:r>
      <w:proofErr w:type="spellStart"/>
      <w:r w:rsidR="00EE07AC" w:rsidRPr="008E7402">
        <w:rPr>
          <w:color w:val="000000" w:themeColor="text1"/>
        </w:rPr>
        <w:t>P</w:t>
      </w:r>
      <w:r w:rsidRPr="008E7402">
        <w:rPr>
          <w:color w:val="000000" w:themeColor="text1"/>
        </w:rPr>
        <w:t>odlimitem</w:t>
      </w:r>
      <w:proofErr w:type="spellEnd"/>
      <w:r w:rsidRPr="008E7402">
        <w:rPr>
          <w:color w:val="000000" w:themeColor="text1"/>
        </w:rPr>
        <w:t xml:space="preserve"> odpowiedzialności </w:t>
      </w:r>
      <w:r w:rsidR="008E7402" w:rsidRPr="008E7402">
        <w:rPr>
          <w:color w:val="000000" w:themeColor="text1"/>
        </w:rPr>
        <w:t>1</w:t>
      </w:r>
      <w:r w:rsidR="00EE07AC" w:rsidRPr="008E7402">
        <w:rPr>
          <w:color w:val="000000" w:themeColor="text1"/>
        </w:rPr>
        <w:t xml:space="preserve"> 00</w:t>
      </w:r>
      <w:r w:rsidRPr="008E7402">
        <w:rPr>
          <w:color w:val="000000" w:themeColor="text1"/>
        </w:rPr>
        <w:t xml:space="preserve">0.000,00 zł </w:t>
      </w:r>
    </w:p>
    <w:p w14:paraId="4E2878C8" w14:textId="27411628" w:rsidR="00361C16" w:rsidRDefault="00352285" w:rsidP="002A2BE7">
      <w:pPr>
        <w:pStyle w:val="Akapitzlist"/>
        <w:numPr>
          <w:ilvl w:val="0"/>
          <w:numId w:val="39"/>
        </w:numPr>
        <w:rPr>
          <w:color w:val="000000" w:themeColor="text1"/>
        </w:rPr>
      </w:pPr>
      <w:r w:rsidRPr="001F5CCE">
        <w:rPr>
          <w:color w:val="000000" w:themeColor="text1"/>
        </w:rPr>
        <w:t xml:space="preserve">Szkody wyrządzone </w:t>
      </w:r>
      <w:r w:rsidRPr="00615C08">
        <w:rPr>
          <w:b/>
          <w:bCs/>
          <w:color w:val="000000" w:themeColor="text1"/>
        </w:rPr>
        <w:t>przez podwykonawców</w:t>
      </w:r>
      <w:r w:rsidR="001F5CCE" w:rsidRPr="00615C08">
        <w:rPr>
          <w:b/>
          <w:bCs/>
          <w:color w:val="000000" w:themeColor="text1"/>
        </w:rPr>
        <w:t xml:space="preserve"> Ubezpieczonego</w:t>
      </w:r>
      <w:r w:rsidRPr="001F5CCE">
        <w:rPr>
          <w:color w:val="000000" w:themeColor="text1"/>
        </w:rPr>
        <w:t xml:space="preserve">, </w:t>
      </w:r>
      <w:r w:rsidR="001F5CCE" w:rsidRPr="001F5CCE">
        <w:rPr>
          <w:color w:val="000000" w:themeColor="text1"/>
        </w:rPr>
        <w:t xml:space="preserve">tj. szkody wyrządzone przez osoby (podmioty), którym Ubezpieczający/Ubezpieczony powierzył wykonanie czynności prawnych lub faktycznych, bez względu na formę prawną zawartej umowy </w:t>
      </w:r>
      <w:r w:rsidRPr="001F5CCE">
        <w:rPr>
          <w:color w:val="000000" w:themeColor="text1"/>
        </w:rPr>
        <w:t>z zachowaniem Ubezpieczyciela prawa do regresu,</w:t>
      </w:r>
    </w:p>
    <w:p w14:paraId="56EE433E" w14:textId="20FE6331" w:rsidR="00615C08" w:rsidRPr="000C1354" w:rsidRDefault="00615C08" w:rsidP="002A2BE7">
      <w:pPr>
        <w:pStyle w:val="Akapitzlist"/>
        <w:numPr>
          <w:ilvl w:val="0"/>
          <w:numId w:val="39"/>
        </w:numPr>
        <w:rPr>
          <w:color w:val="000000" w:themeColor="text1"/>
        </w:rPr>
      </w:pPr>
      <w:r w:rsidRPr="00615C08">
        <w:rPr>
          <w:color w:val="000000" w:themeColor="text1"/>
        </w:rPr>
        <w:t xml:space="preserve">za szkody wyrządzone </w:t>
      </w:r>
      <w:r w:rsidRPr="00615C08">
        <w:rPr>
          <w:b/>
          <w:bCs/>
          <w:color w:val="000000" w:themeColor="text1"/>
        </w:rPr>
        <w:t>przez Ubezpieczającego/Ubezpieczonego podwykonawcom</w:t>
      </w:r>
      <w:r w:rsidR="000C1354">
        <w:rPr>
          <w:b/>
          <w:bCs/>
          <w:color w:val="000000" w:themeColor="text1"/>
        </w:rPr>
        <w:t>,</w:t>
      </w:r>
    </w:p>
    <w:p w14:paraId="4070B79E" w14:textId="0004E1C3" w:rsidR="000C1354" w:rsidRPr="001F5CCE" w:rsidRDefault="000C1354" w:rsidP="002A2BE7">
      <w:pPr>
        <w:pStyle w:val="Akapitzlist"/>
        <w:numPr>
          <w:ilvl w:val="0"/>
          <w:numId w:val="39"/>
        </w:numPr>
        <w:rPr>
          <w:color w:val="000000" w:themeColor="text1"/>
        </w:rPr>
      </w:pPr>
      <w:r w:rsidRPr="000C1354">
        <w:rPr>
          <w:color w:val="000000" w:themeColor="text1"/>
        </w:rPr>
        <w:t xml:space="preserve">odpowiedzialność Zamawiającego </w:t>
      </w:r>
      <w:r w:rsidRPr="000C1354">
        <w:rPr>
          <w:b/>
          <w:bCs/>
          <w:color w:val="000000" w:themeColor="text1"/>
        </w:rPr>
        <w:t>wobec najemców</w:t>
      </w:r>
      <w:r w:rsidRPr="000C1354">
        <w:rPr>
          <w:color w:val="000000" w:themeColor="text1"/>
        </w:rPr>
        <w:t xml:space="preserve"> za szkody powstałe w następstwie zalania wodą wskutek opadów atmosferycznych lub topniejącego śniegu przez nieszczelności dachu, stolarki, spoin, złączy ścian zewnętrznych lub na skutek niedrożności orynnowania. Ochrona ubezpieczeniowa obejmuje szkody powstałe w następstwie zalania przez wody stojące, płynące, lub innych podobnych czynników</w:t>
      </w:r>
      <w:r>
        <w:rPr>
          <w:color w:val="000000" w:themeColor="text1"/>
        </w:rPr>
        <w:t>,</w:t>
      </w:r>
    </w:p>
    <w:p w14:paraId="01AE6375" w14:textId="1AE3B540" w:rsidR="00B163F2" w:rsidRPr="002A603C" w:rsidRDefault="001E4256" w:rsidP="002A2BE7">
      <w:pPr>
        <w:pStyle w:val="Akapitzlist"/>
        <w:numPr>
          <w:ilvl w:val="0"/>
          <w:numId w:val="39"/>
        </w:numPr>
        <w:rPr>
          <w:color w:val="000000" w:themeColor="text1"/>
        </w:rPr>
      </w:pPr>
      <w:r w:rsidRPr="002A603C">
        <w:rPr>
          <w:color w:val="000000" w:themeColor="text1"/>
        </w:rPr>
        <w:t xml:space="preserve">Szkody powstałe w następstwie (wskutek) działania i/lub </w:t>
      </w:r>
      <w:r w:rsidRPr="002A603C">
        <w:rPr>
          <w:b/>
          <w:color w:val="000000" w:themeColor="text1"/>
        </w:rPr>
        <w:t>awarii urządzeń wodociągowych,</w:t>
      </w:r>
      <w:r w:rsidRPr="002A603C">
        <w:rPr>
          <w:color w:val="000000" w:themeColor="text1"/>
        </w:rPr>
        <w:t xml:space="preserve"> kanalizacyjnych, centralnego ogrzewania i klimatyzacyjnych w tym w wyniku cofnięcia się cieczy</w:t>
      </w:r>
      <w:r w:rsidR="002A603C" w:rsidRPr="002A603C">
        <w:rPr>
          <w:color w:val="000000" w:themeColor="text1"/>
        </w:rPr>
        <w:t xml:space="preserve"> w systemach wodno-kanalizacyjnych,</w:t>
      </w:r>
    </w:p>
    <w:p w14:paraId="1A2A27F8" w14:textId="7E13ACCC" w:rsidR="00F63892" w:rsidRPr="00F65A89" w:rsidRDefault="00B163F2" w:rsidP="002A2BE7">
      <w:pPr>
        <w:pStyle w:val="Akapitzlist"/>
        <w:numPr>
          <w:ilvl w:val="0"/>
          <w:numId w:val="39"/>
        </w:numPr>
        <w:rPr>
          <w:color w:val="000000" w:themeColor="text1"/>
        </w:rPr>
      </w:pPr>
      <w:r w:rsidRPr="00F65A89">
        <w:rPr>
          <w:color w:val="000000" w:themeColor="text1"/>
        </w:rPr>
        <w:t>Sz</w:t>
      </w:r>
      <w:r w:rsidR="00F63892" w:rsidRPr="00F65A89">
        <w:rPr>
          <w:color w:val="000000" w:themeColor="text1"/>
        </w:rPr>
        <w:t xml:space="preserve">kody wynikłe w trakcie prowadzenia, przez lub na zlecenie Ubezpieczającego/Ubezpieczonego, w obrębie ubezpieczonych lokalizacji, </w:t>
      </w:r>
      <w:r w:rsidR="00F63892" w:rsidRPr="00F65A89">
        <w:rPr>
          <w:b/>
          <w:color w:val="000000" w:themeColor="text1"/>
        </w:rPr>
        <w:t>drobnych prac remontowo–budowlanych</w:t>
      </w:r>
      <w:r w:rsidR="00F63892" w:rsidRPr="00F65A89">
        <w:rPr>
          <w:color w:val="000000" w:themeColor="text1"/>
        </w:rPr>
        <w:t xml:space="preserve"> i naprawczych lub konserwacyjnych, z zachowaniem prawa do regresu</w:t>
      </w:r>
      <w:r w:rsidR="00F65A89">
        <w:rPr>
          <w:color w:val="000000" w:themeColor="text1"/>
        </w:rPr>
        <w:t xml:space="preserve"> </w:t>
      </w:r>
      <w:r w:rsidR="00F65A89" w:rsidRPr="008E7402">
        <w:rPr>
          <w:color w:val="000000" w:themeColor="text1"/>
        </w:rPr>
        <w:t>– limit</w:t>
      </w:r>
      <w:r w:rsidR="008E7402" w:rsidRPr="008E7402">
        <w:rPr>
          <w:color w:val="000000" w:themeColor="text1"/>
        </w:rPr>
        <w:t>500 000 zł</w:t>
      </w:r>
    </w:p>
    <w:p w14:paraId="5E4C0BDE" w14:textId="2ABB8341" w:rsidR="00A66513" w:rsidRPr="009538BC" w:rsidRDefault="00A66513" w:rsidP="002A2BE7">
      <w:pPr>
        <w:pStyle w:val="Akapitzlist"/>
        <w:numPr>
          <w:ilvl w:val="0"/>
          <w:numId w:val="39"/>
        </w:numPr>
        <w:rPr>
          <w:color w:val="000000" w:themeColor="text1"/>
        </w:rPr>
      </w:pPr>
      <w:r w:rsidRPr="009538BC">
        <w:rPr>
          <w:color w:val="000000" w:themeColor="text1"/>
        </w:rPr>
        <w:t xml:space="preserve">Szkody wynikłe </w:t>
      </w:r>
      <w:r w:rsidRPr="009538BC">
        <w:rPr>
          <w:b/>
          <w:color w:val="000000" w:themeColor="text1"/>
        </w:rPr>
        <w:t>podczas organizowania/współorganizowania imprez</w:t>
      </w:r>
      <w:r w:rsidRPr="009538BC">
        <w:rPr>
          <w:color w:val="000000" w:themeColor="text1"/>
        </w:rPr>
        <w:t>, spotkań i uroczystości, wyrządzone gościom, uczestnikom oraz służbom sanitarnym/ ratunkowym / porządkowym  (nie mających charakteru imprezy podlegającej obowiązkowemu ubezpieczeniu odpowiedzialności cywilnej</w:t>
      </w:r>
      <w:r w:rsidR="009538BC" w:rsidRPr="009538BC">
        <w:rPr>
          <w:color w:val="000000" w:themeColor="text1"/>
        </w:rPr>
        <w:t xml:space="preserve"> w rozumieniu Ustawy z dnia 20.03.2009r. o bezpieczeństwie imprez masowych</w:t>
      </w:r>
      <w:r w:rsidRPr="009538BC">
        <w:rPr>
          <w:color w:val="000000" w:themeColor="text1"/>
        </w:rPr>
        <w:t>).</w:t>
      </w:r>
    </w:p>
    <w:p w14:paraId="26702C07" w14:textId="77777777" w:rsidR="001A3A9F" w:rsidRPr="00C64B8A" w:rsidRDefault="001A3A9F" w:rsidP="002A2BE7">
      <w:pPr>
        <w:pStyle w:val="Akapitzlist"/>
        <w:numPr>
          <w:ilvl w:val="0"/>
          <w:numId w:val="39"/>
        </w:numPr>
        <w:rPr>
          <w:color w:val="000000" w:themeColor="text1"/>
        </w:rPr>
      </w:pPr>
      <w:r w:rsidRPr="00C64B8A">
        <w:rPr>
          <w:color w:val="000000" w:themeColor="text1"/>
        </w:rPr>
        <w:t xml:space="preserve">Szkody powstałe w </w:t>
      </w:r>
      <w:r w:rsidRPr="00C64B8A">
        <w:rPr>
          <w:b/>
          <w:color w:val="000000" w:themeColor="text1"/>
        </w:rPr>
        <w:t>związku z podróżami służbowymi</w:t>
      </w:r>
      <w:r w:rsidR="00352CBB" w:rsidRPr="00C64B8A">
        <w:rPr>
          <w:color w:val="000000" w:themeColor="text1"/>
        </w:rPr>
        <w:t>. Z</w:t>
      </w:r>
      <w:r w:rsidRPr="00C64B8A">
        <w:rPr>
          <w:color w:val="000000" w:themeColor="text1"/>
        </w:rPr>
        <w:t>akres ubezpieczenia cały świat</w:t>
      </w:r>
      <w:r w:rsidR="00352CBB" w:rsidRPr="00C64B8A">
        <w:rPr>
          <w:color w:val="000000" w:themeColor="text1"/>
        </w:rPr>
        <w:t xml:space="preserve"> z włączeniem </w:t>
      </w:r>
    </w:p>
    <w:p w14:paraId="3855BCFE" w14:textId="77777777" w:rsidR="001A3A9F" w:rsidRPr="00C64B8A" w:rsidRDefault="001A3A9F" w:rsidP="002A2BE7">
      <w:pPr>
        <w:pStyle w:val="Akapitzlist"/>
        <w:numPr>
          <w:ilvl w:val="0"/>
          <w:numId w:val="39"/>
        </w:numPr>
        <w:rPr>
          <w:color w:val="000000" w:themeColor="text1"/>
        </w:rPr>
      </w:pPr>
      <w:r w:rsidRPr="00C64B8A">
        <w:rPr>
          <w:color w:val="000000" w:themeColor="text1"/>
        </w:rPr>
        <w:t xml:space="preserve">Szkody powstałe w związku z udziałem </w:t>
      </w:r>
      <w:r w:rsidRPr="00C64B8A">
        <w:rPr>
          <w:b/>
          <w:color w:val="000000" w:themeColor="text1"/>
        </w:rPr>
        <w:t>w targach, wystawach i konferencjach</w:t>
      </w:r>
      <w:r w:rsidRPr="00C64B8A">
        <w:rPr>
          <w:color w:val="000000" w:themeColor="text1"/>
        </w:rPr>
        <w:t>, w których uczestniczą pracownicy Ubezpieczonego</w:t>
      </w:r>
      <w:r w:rsidR="00352CBB" w:rsidRPr="00C64B8A">
        <w:rPr>
          <w:color w:val="000000" w:themeColor="text1"/>
        </w:rPr>
        <w:t>,</w:t>
      </w:r>
    </w:p>
    <w:p w14:paraId="4C403BCE" w14:textId="6598DDA3" w:rsidR="00BF1E59" w:rsidRDefault="00D14D89" w:rsidP="002A2BE7">
      <w:pPr>
        <w:pStyle w:val="Akapitzlist"/>
        <w:numPr>
          <w:ilvl w:val="0"/>
          <w:numId w:val="39"/>
        </w:numPr>
        <w:rPr>
          <w:color w:val="000000" w:themeColor="text1"/>
        </w:rPr>
      </w:pPr>
      <w:r w:rsidRPr="00C64B8A">
        <w:rPr>
          <w:color w:val="000000" w:themeColor="text1"/>
        </w:rPr>
        <w:t xml:space="preserve">Szkody wyrządzone przez </w:t>
      </w:r>
      <w:r w:rsidRPr="00C64B8A">
        <w:rPr>
          <w:b/>
          <w:color w:val="000000" w:themeColor="text1"/>
        </w:rPr>
        <w:t>pojazdy nie podlegające obowiązkowemu ubezpieczeniu OC</w:t>
      </w:r>
      <w:r w:rsidRPr="00C64B8A">
        <w:rPr>
          <w:color w:val="000000" w:themeColor="text1"/>
        </w:rPr>
        <w:t xml:space="preserve"> oraz pojazdy wolnobieżne,</w:t>
      </w:r>
      <w:r w:rsidR="00C64B8A" w:rsidRPr="00C64B8A">
        <w:rPr>
          <w:color w:val="000000" w:themeColor="text1"/>
        </w:rPr>
        <w:t xml:space="preserve"> w tym wózków widłowych i meleksów,</w:t>
      </w:r>
    </w:p>
    <w:p w14:paraId="2DC53144" w14:textId="4AF26EC5" w:rsidR="00884722" w:rsidRDefault="00884722" w:rsidP="002A2BE7">
      <w:pPr>
        <w:pStyle w:val="Akapitzlist"/>
        <w:numPr>
          <w:ilvl w:val="0"/>
          <w:numId w:val="39"/>
        </w:numPr>
      </w:pPr>
      <w:r w:rsidRPr="00884722">
        <w:rPr>
          <w:b/>
          <w:bCs/>
          <w:sz w:val="20"/>
          <w:szCs w:val="20"/>
        </w:rPr>
        <w:lastRenderedPageBreak/>
        <w:t>szkody powstałe w związku z wykonywaniem operacji załadunku</w:t>
      </w:r>
      <w:r w:rsidRPr="00884722">
        <w:rPr>
          <w:sz w:val="20"/>
          <w:szCs w:val="20"/>
        </w:rPr>
        <w:t xml:space="preserve"> lub wyładunku zarówno w środku transportu jak i w przedmiocie załadunku/wyładunku – </w:t>
      </w:r>
      <w:r w:rsidRPr="008E7402">
        <w:rPr>
          <w:sz w:val="20"/>
          <w:szCs w:val="20"/>
        </w:rPr>
        <w:t xml:space="preserve">limit odpowiedzialności </w:t>
      </w:r>
      <w:r w:rsidR="008E7402" w:rsidRPr="008E7402">
        <w:rPr>
          <w:sz w:val="20"/>
          <w:szCs w:val="20"/>
        </w:rPr>
        <w:t>2</w:t>
      </w:r>
      <w:r w:rsidRPr="008E7402">
        <w:rPr>
          <w:sz w:val="20"/>
          <w:szCs w:val="20"/>
        </w:rPr>
        <w:t>00 000 zł</w:t>
      </w:r>
    </w:p>
    <w:p w14:paraId="227997E7" w14:textId="2482BBC5" w:rsidR="00884722" w:rsidRPr="00403DFC" w:rsidRDefault="00403DFC" w:rsidP="002A2BE7">
      <w:pPr>
        <w:pStyle w:val="Akapitzlist"/>
        <w:numPr>
          <w:ilvl w:val="0"/>
          <w:numId w:val="39"/>
        </w:numPr>
        <w:rPr>
          <w:color w:val="000000" w:themeColor="text1"/>
        </w:rPr>
      </w:pPr>
      <w:r w:rsidRPr="00403DFC">
        <w:rPr>
          <w:sz w:val="20"/>
          <w:szCs w:val="20"/>
        </w:rPr>
        <w:t xml:space="preserve">szkody wynikłe z utraty, zniszczenia lub </w:t>
      </w:r>
      <w:r w:rsidRPr="00403DFC">
        <w:rPr>
          <w:b/>
          <w:bCs/>
          <w:sz w:val="20"/>
          <w:szCs w:val="20"/>
        </w:rPr>
        <w:t>zaginięcia dokumentów powierzonych</w:t>
      </w:r>
      <w:r>
        <w:rPr>
          <w:b/>
          <w:bCs/>
          <w:sz w:val="20"/>
          <w:szCs w:val="20"/>
        </w:rPr>
        <w:t xml:space="preserve"> – </w:t>
      </w:r>
      <w:r w:rsidRPr="00403DFC">
        <w:rPr>
          <w:sz w:val="20"/>
          <w:szCs w:val="20"/>
        </w:rPr>
        <w:t>limit odpowiedzialności 200</w:t>
      </w:r>
      <w:r w:rsidR="00C168A5">
        <w:rPr>
          <w:sz w:val="20"/>
          <w:szCs w:val="20"/>
        </w:rPr>
        <w:t>.</w:t>
      </w:r>
      <w:r w:rsidRPr="00403DFC">
        <w:rPr>
          <w:sz w:val="20"/>
          <w:szCs w:val="20"/>
        </w:rPr>
        <w:t xml:space="preserve">000 </w:t>
      </w:r>
      <w:r w:rsidR="00C168A5">
        <w:rPr>
          <w:sz w:val="20"/>
          <w:szCs w:val="20"/>
        </w:rPr>
        <w:t>PLN</w:t>
      </w:r>
    </w:p>
    <w:p w14:paraId="57433E61" w14:textId="290F699E" w:rsidR="00B32143" w:rsidRPr="00796CB0" w:rsidRDefault="00B32143" w:rsidP="002A2BE7">
      <w:pPr>
        <w:pStyle w:val="Akapitzlist"/>
        <w:numPr>
          <w:ilvl w:val="0"/>
          <w:numId w:val="39"/>
        </w:numPr>
        <w:rPr>
          <w:color w:val="000000" w:themeColor="text1"/>
        </w:rPr>
      </w:pPr>
      <w:r w:rsidRPr="00796CB0">
        <w:rPr>
          <w:color w:val="000000" w:themeColor="text1"/>
        </w:rPr>
        <w:t xml:space="preserve">Szkody majątkowe mające </w:t>
      </w:r>
      <w:r w:rsidRPr="00796CB0">
        <w:rPr>
          <w:b/>
          <w:color w:val="000000" w:themeColor="text1"/>
        </w:rPr>
        <w:t>postać czystych strat finansowych</w:t>
      </w:r>
      <w:r w:rsidR="00796CB0" w:rsidRPr="00796CB0">
        <w:rPr>
          <w:color w:val="000000" w:themeColor="text1"/>
        </w:rPr>
        <w:t xml:space="preserve"> – </w:t>
      </w:r>
      <w:proofErr w:type="spellStart"/>
      <w:r w:rsidR="00796CB0" w:rsidRPr="008E7402">
        <w:rPr>
          <w:color w:val="000000" w:themeColor="text1"/>
        </w:rPr>
        <w:t>podlimit</w:t>
      </w:r>
      <w:proofErr w:type="spellEnd"/>
      <w:r w:rsidR="00796CB0" w:rsidRPr="008E7402">
        <w:rPr>
          <w:color w:val="000000" w:themeColor="text1"/>
        </w:rPr>
        <w:t xml:space="preserve"> sumy gwarancyjnej </w:t>
      </w:r>
      <w:r w:rsidR="008E7402" w:rsidRPr="008E7402">
        <w:rPr>
          <w:color w:val="000000" w:themeColor="text1"/>
        </w:rPr>
        <w:t>1</w:t>
      </w:r>
      <w:r w:rsidR="00796CB0" w:rsidRPr="008E7402">
        <w:rPr>
          <w:color w:val="000000" w:themeColor="text1"/>
        </w:rPr>
        <w:t>00.000 PLN</w:t>
      </w:r>
    </w:p>
    <w:p w14:paraId="18DD1AA3" w14:textId="46A1C521" w:rsidR="00826C72" w:rsidRPr="00AE2FCD" w:rsidRDefault="00826C72" w:rsidP="002A2BE7">
      <w:pPr>
        <w:pStyle w:val="Akapitzlist"/>
        <w:numPr>
          <w:ilvl w:val="0"/>
          <w:numId w:val="39"/>
        </w:numPr>
      </w:pPr>
      <w:r w:rsidRPr="00002A15">
        <w:rPr>
          <w:color w:val="000000" w:themeColor="text1"/>
        </w:rPr>
        <w:t>Ochrona ubezpieczeniowa ubezpieczenia obejmuje szkody powstałe w związku z realizowaniem działań własnych bądź zleconych</w:t>
      </w:r>
      <w:r w:rsidR="00AE2FCD">
        <w:rPr>
          <w:color w:val="000000" w:themeColor="text1"/>
        </w:rPr>
        <w:t>,</w:t>
      </w:r>
    </w:p>
    <w:p w14:paraId="75BB05D8" w14:textId="5846AA4B" w:rsidR="00AE2FCD" w:rsidRDefault="00AE2FCD" w:rsidP="002A2BE7">
      <w:pPr>
        <w:pStyle w:val="Akapitzlist"/>
        <w:numPr>
          <w:ilvl w:val="0"/>
          <w:numId w:val="39"/>
        </w:numPr>
      </w:pPr>
      <w:r w:rsidRPr="00C168A5">
        <w:rPr>
          <w:b/>
          <w:bCs/>
        </w:rPr>
        <w:t>roszczenia regresowe</w:t>
      </w:r>
      <w:r w:rsidRPr="00AE2FCD">
        <w:t xml:space="preserve"> skierowane do Ubezpieczającego/Ubezpieczonego z tytułu kar umownych</w:t>
      </w:r>
      <w:r>
        <w:t xml:space="preserve">, </w:t>
      </w:r>
      <w:proofErr w:type="spellStart"/>
      <w:r>
        <w:t>podlimit</w:t>
      </w:r>
      <w:proofErr w:type="spellEnd"/>
      <w:r w:rsidRPr="00AE2FCD">
        <w:t xml:space="preserve"> sumy gwarancyjnej w wysokości </w:t>
      </w:r>
      <w:r>
        <w:t>5</w:t>
      </w:r>
      <w:r w:rsidRPr="00AE2FCD">
        <w:t>00.000 PLN na jeden i wszystkie wypadki w okresie ubezpieczenia</w:t>
      </w:r>
      <w:r>
        <w:t>,</w:t>
      </w:r>
    </w:p>
    <w:p w14:paraId="52B690E9" w14:textId="06FAA8C7" w:rsidR="00AE07CC" w:rsidRDefault="00AE07CC" w:rsidP="002A2BE7">
      <w:pPr>
        <w:pStyle w:val="Akapitzlist"/>
        <w:numPr>
          <w:ilvl w:val="0"/>
          <w:numId w:val="39"/>
        </w:numPr>
      </w:pPr>
      <w:r w:rsidRPr="00AE07CC">
        <w:t xml:space="preserve">Odpowiedzialność obejmuje </w:t>
      </w:r>
      <w:r w:rsidRPr="00AE07CC">
        <w:rPr>
          <w:b/>
          <w:bCs/>
        </w:rPr>
        <w:t>akcje marketingowe i sprzedażowe</w:t>
      </w:r>
      <w:r w:rsidRPr="00AE07CC">
        <w:t xml:space="preserve"> mające na celu promocję prowadzonej działalności, w tym publikację materiałów reklamowych i promocyjnych dotyczących działalności własnej</w:t>
      </w:r>
      <w:r w:rsidR="00291482">
        <w:t>,</w:t>
      </w:r>
    </w:p>
    <w:p w14:paraId="19CF86BF" w14:textId="1863A03D" w:rsidR="00D53081" w:rsidRDefault="00D53081" w:rsidP="002A2BE7">
      <w:pPr>
        <w:pStyle w:val="Akapitzlist"/>
        <w:numPr>
          <w:ilvl w:val="0"/>
          <w:numId w:val="39"/>
        </w:numPr>
      </w:pPr>
    </w:p>
    <w:p w14:paraId="7661A805" w14:textId="398F3D5F" w:rsidR="00884722" w:rsidRPr="00826C72" w:rsidRDefault="00884722" w:rsidP="00884722">
      <w:r w:rsidRPr="00884722">
        <w:t>Do umowy ubezpieczenia odpowiedzialności cywilnej będą miały zastosowanie klauzule obligatoryjne do Zamówienia dotyczące ubezpieczenia OC.</w:t>
      </w:r>
    </w:p>
    <w:p w14:paraId="67C04E09" w14:textId="77777777" w:rsidR="00913699" w:rsidRDefault="00913699" w:rsidP="00D84549">
      <w:pPr>
        <w:spacing w:after="0"/>
        <w:jc w:val="both"/>
        <w:rPr>
          <w:rFonts w:ascii="Verdana" w:hAnsi="Verdana" w:cs="Verdana"/>
          <w:color w:val="548DD4" w:themeColor="text2" w:themeTint="99"/>
          <w:sz w:val="20"/>
          <w:szCs w:val="20"/>
        </w:rPr>
      </w:pPr>
    </w:p>
    <w:p w14:paraId="3866176B" w14:textId="77777777" w:rsidR="00533AF8" w:rsidRDefault="00533AF8" w:rsidP="002A2BE7">
      <w:pPr>
        <w:pStyle w:val="Akapitzlist"/>
        <w:numPr>
          <w:ilvl w:val="1"/>
          <w:numId w:val="50"/>
        </w:numPr>
        <w:jc w:val="both"/>
        <w:outlineLvl w:val="2"/>
        <w:rPr>
          <w:b/>
        </w:rPr>
      </w:pPr>
      <w:bookmarkStart w:id="26" w:name="_Toc141097872"/>
      <w:r>
        <w:rPr>
          <w:b/>
        </w:rPr>
        <w:t>Franszyzy i udziały własne</w:t>
      </w:r>
      <w:bookmarkEnd w:id="26"/>
    </w:p>
    <w:p w14:paraId="5A59219B" w14:textId="77777777" w:rsidR="00510313" w:rsidRDefault="00510313" w:rsidP="002A2BE7">
      <w:pPr>
        <w:pStyle w:val="Akapitzlist"/>
        <w:numPr>
          <w:ilvl w:val="0"/>
          <w:numId w:val="13"/>
        </w:numPr>
        <w:jc w:val="both"/>
      </w:pPr>
      <w:r>
        <w:t>Franszyza integralna – nie ma zastosowania,</w:t>
      </w:r>
    </w:p>
    <w:p w14:paraId="3F9D36D1" w14:textId="05CE672F" w:rsidR="00040DB9" w:rsidRPr="00040DB9" w:rsidRDefault="00040DB9" w:rsidP="002A2BE7">
      <w:pPr>
        <w:pStyle w:val="Akapitzlist"/>
        <w:numPr>
          <w:ilvl w:val="0"/>
          <w:numId w:val="13"/>
        </w:numPr>
        <w:jc w:val="both"/>
      </w:pPr>
      <w:r w:rsidRPr="00040DB9">
        <w:t>W szkodach osobowych – franszyzy zniesione w całości</w:t>
      </w:r>
    </w:p>
    <w:p w14:paraId="0D4CCCB1" w14:textId="77777777" w:rsidR="00040DB9" w:rsidRDefault="00040DB9" w:rsidP="002A2BE7">
      <w:pPr>
        <w:pStyle w:val="Akapitzlist"/>
        <w:numPr>
          <w:ilvl w:val="0"/>
          <w:numId w:val="13"/>
        </w:numPr>
        <w:spacing w:after="0"/>
        <w:jc w:val="both"/>
      </w:pPr>
      <w:r w:rsidRPr="00040DB9">
        <w:t xml:space="preserve">W szkodach </w:t>
      </w:r>
      <w:r>
        <w:t xml:space="preserve">majątkowych </w:t>
      </w:r>
    </w:p>
    <w:p w14:paraId="32CEA068" w14:textId="77777777" w:rsidR="00510313" w:rsidRPr="00510313" w:rsidRDefault="00510313" w:rsidP="002A2BE7">
      <w:pPr>
        <w:pStyle w:val="Default"/>
        <w:numPr>
          <w:ilvl w:val="1"/>
          <w:numId w:val="13"/>
        </w:numPr>
        <w:jc w:val="both"/>
        <w:rPr>
          <w:rFonts w:asciiTheme="minorHAnsi" w:hAnsiTheme="minorHAnsi" w:cstheme="minorBidi"/>
          <w:color w:val="auto"/>
          <w:sz w:val="22"/>
          <w:szCs w:val="22"/>
        </w:rPr>
      </w:pPr>
      <w:r w:rsidRPr="00510313">
        <w:rPr>
          <w:rFonts w:asciiTheme="minorHAnsi" w:hAnsiTheme="minorHAnsi" w:cstheme="minorBidi"/>
          <w:color w:val="auto"/>
          <w:sz w:val="22"/>
          <w:szCs w:val="22"/>
        </w:rPr>
        <w:t xml:space="preserve">dla czystej szkody majątkowej - 2 000 PLN </w:t>
      </w:r>
    </w:p>
    <w:p w14:paraId="3BEC93BE" w14:textId="5CC449A0" w:rsidR="00510313" w:rsidRPr="00510313" w:rsidRDefault="00510313" w:rsidP="002A2BE7">
      <w:pPr>
        <w:pStyle w:val="Default"/>
        <w:numPr>
          <w:ilvl w:val="1"/>
          <w:numId w:val="13"/>
        </w:numPr>
        <w:jc w:val="both"/>
        <w:rPr>
          <w:rFonts w:asciiTheme="minorHAnsi" w:hAnsiTheme="minorHAnsi" w:cstheme="minorBidi"/>
          <w:color w:val="auto"/>
          <w:sz w:val="22"/>
          <w:szCs w:val="22"/>
        </w:rPr>
      </w:pPr>
      <w:r w:rsidRPr="00510313">
        <w:rPr>
          <w:rFonts w:asciiTheme="minorHAnsi" w:hAnsiTheme="minorHAnsi" w:cstheme="minorBidi"/>
          <w:color w:val="auto"/>
          <w:sz w:val="22"/>
          <w:szCs w:val="22"/>
        </w:rPr>
        <w:t xml:space="preserve">dla szkód poza terytoriom RP - 1 000 PLN </w:t>
      </w:r>
    </w:p>
    <w:p w14:paraId="7DECB151" w14:textId="71496673" w:rsidR="00510313" w:rsidRDefault="00510313" w:rsidP="002A2BE7">
      <w:pPr>
        <w:pStyle w:val="Default"/>
        <w:numPr>
          <w:ilvl w:val="1"/>
          <w:numId w:val="13"/>
        </w:numPr>
        <w:jc w:val="both"/>
        <w:rPr>
          <w:rFonts w:asciiTheme="minorHAnsi" w:hAnsiTheme="minorHAnsi" w:cstheme="minorBidi"/>
          <w:color w:val="auto"/>
          <w:sz w:val="22"/>
          <w:szCs w:val="22"/>
        </w:rPr>
      </w:pPr>
      <w:r w:rsidRPr="00510313">
        <w:rPr>
          <w:rFonts w:asciiTheme="minorHAnsi" w:hAnsiTheme="minorHAnsi" w:cstheme="minorBidi"/>
          <w:color w:val="auto"/>
          <w:sz w:val="22"/>
          <w:szCs w:val="22"/>
        </w:rPr>
        <w:t xml:space="preserve">dla pozostałych szkód – 500 PLN </w:t>
      </w:r>
    </w:p>
    <w:p w14:paraId="3D313B51" w14:textId="1F20A579" w:rsidR="001847ED" w:rsidRPr="00510313" w:rsidRDefault="001847ED" w:rsidP="002A2BE7">
      <w:pPr>
        <w:pStyle w:val="Default"/>
        <w:numPr>
          <w:ilvl w:val="1"/>
          <w:numId w:val="13"/>
        </w:numPr>
        <w:jc w:val="both"/>
        <w:rPr>
          <w:rFonts w:asciiTheme="minorHAnsi" w:hAnsiTheme="minorHAnsi" w:cstheme="minorBidi"/>
          <w:color w:val="auto"/>
          <w:sz w:val="22"/>
          <w:szCs w:val="22"/>
        </w:rPr>
      </w:pPr>
      <w:r>
        <w:rPr>
          <w:rFonts w:asciiTheme="minorHAnsi" w:hAnsiTheme="minorHAnsi" w:cstheme="minorBidi"/>
          <w:color w:val="auto"/>
          <w:sz w:val="22"/>
          <w:szCs w:val="22"/>
        </w:rPr>
        <w:t>dla szkód w spowodowanych przez produkt dla części lotniczych – 10% nie mniej niż 10 000 zł</w:t>
      </w:r>
    </w:p>
    <w:p w14:paraId="67099C99" w14:textId="77777777" w:rsidR="007E72DA" w:rsidRDefault="007E72DA" w:rsidP="007E72DA">
      <w:pPr>
        <w:autoSpaceDE w:val="0"/>
        <w:autoSpaceDN w:val="0"/>
        <w:adjustRightInd w:val="0"/>
        <w:spacing w:after="0" w:line="240" w:lineRule="auto"/>
        <w:jc w:val="both"/>
        <w:rPr>
          <w:rFonts w:ascii="Calibri" w:hAnsi="Calibri" w:cs="Calibri"/>
          <w:sz w:val="24"/>
          <w:szCs w:val="24"/>
        </w:rPr>
      </w:pPr>
    </w:p>
    <w:p w14:paraId="3CF73CD8" w14:textId="0AED3A18" w:rsidR="00CA3AEF" w:rsidRPr="00CA3AEF" w:rsidRDefault="00CA3AEF" w:rsidP="002A2BE7">
      <w:pPr>
        <w:pStyle w:val="Akapitzlist"/>
        <w:numPr>
          <w:ilvl w:val="1"/>
          <w:numId w:val="50"/>
        </w:numPr>
        <w:jc w:val="both"/>
        <w:outlineLvl w:val="2"/>
        <w:rPr>
          <w:b/>
        </w:rPr>
      </w:pPr>
      <w:bookmarkStart w:id="27" w:name="_Toc141097873"/>
      <w:r w:rsidRPr="00CA3AEF">
        <w:rPr>
          <w:b/>
          <w:bCs/>
          <w:sz w:val="20"/>
          <w:szCs w:val="20"/>
        </w:rPr>
        <w:t>Dodatkowe koszty/ świadczenia</w:t>
      </w:r>
      <w:bookmarkEnd w:id="27"/>
      <w:r w:rsidRPr="00CA3AEF">
        <w:rPr>
          <w:b/>
          <w:bCs/>
          <w:sz w:val="20"/>
          <w:szCs w:val="20"/>
        </w:rPr>
        <w:t xml:space="preserve"> </w:t>
      </w:r>
    </w:p>
    <w:p w14:paraId="76C97C2F" w14:textId="2FB3D25E" w:rsidR="007E72DA" w:rsidRPr="007E72DA" w:rsidRDefault="007E72DA" w:rsidP="002A2BE7">
      <w:pPr>
        <w:pStyle w:val="Akapitzlist"/>
        <w:numPr>
          <w:ilvl w:val="0"/>
          <w:numId w:val="52"/>
        </w:numPr>
        <w:autoSpaceDE w:val="0"/>
        <w:autoSpaceDN w:val="0"/>
        <w:adjustRightInd w:val="0"/>
        <w:spacing w:after="0" w:line="240" w:lineRule="auto"/>
        <w:jc w:val="both"/>
      </w:pPr>
      <w:r w:rsidRPr="007E72DA">
        <w:t xml:space="preserve">Pokrycia kosztów wynagrodzeń rzeczoznawców/ekspertów powołanych w celu ustalenia okoliczności, przyczyn i rozmiaru szkody. </w:t>
      </w:r>
    </w:p>
    <w:p w14:paraId="2AAE18C7" w14:textId="34DD5EAC" w:rsidR="007E72DA" w:rsidRPr="007E72DA" w:rsidRDefault="007E72DA" w:rsidP="002A2BE7">
      <w:pPr>
        <w:pStyle w:val="Akapitzlist"/>
        <w:numPr>
          <w:ilvl w:val="0"/>
          <w:numId w:val="52"/>
        </w:numPr>
        <w:autoSpaceDE w:val="0"/>
        <w:autoSpaceDN w:val="0"/>
        <w:adjustRightInd w:val="0"/>
        <w:spacing w:after="0" w:line="240" w:lineRule="auto"/>
        <w:jc w:val="both"/>
      </w:pPr>
      <w:r w:rsidRPr="007E72DA">
        <w:t xml:space="preserve">Pokrycia kosztów obrony sądowej przed roszczeniami poszkodowanych w sporze cywilnym prowadzonym zgodnie z zaleceniami Ubezpieczyciela. </w:t>
      </w:r>
    </w:p>
    <w:p w14:paraId="73F94DF3" w14:textId="00AE1342" w:rsidR="007E72DA" w:rsidRPr="007E72DA" w:rsidRDefault="007E72DA" w:rsidP="002A2BE7">
      <w:pPr>
        <w:pStyle w:val="Akapitzlist"/>
        <w:numPr>
          <w:ilvl w:val="0"/>
          <w:numId w:val="52"/>
        </w:numPr>
        <w:autoSpaceDE w:val="0"/>
        <w:autoSpaceDN w:val="0"/>
        <w:adjustRightInd w:val="0"/>
        <w:spacing w:after="0" w:line="240" w:lineRule="auto"/>
        <w:jc w:val="both"/>
      </w:pPr>
      <w:r w:rsidRPr="007E72DA">
        <w:t xml:space="preserve">Pokrycia kosztów poniesionych przez Ubezpieczającego/Ubezpieczonego w celu zapobieżenia szkodzie lub zmniejszenia rozmiarów szkody, jeżeli środki te były właściwe, chociażby okazały się bezskuteczne. </w:t>
      </w:r>
    </w:p>
    <w:p w14:paraId="3E30644E" w14:textId="1AC9A810" w:rsidR="007E72DA" w:rsidRPr="007E72DA" w:rsidRDefault="007E72DA" w:rsidP="002A2BE7">
      <w:pPr>
        <w:pStyle w:val="Akapitzlist"/>
        <w:numPr>
          <w:ilvl w:val="0"/>
          <w:numId w:val="52"/>
        </w:numPr>
        <w:autoSpaceDE w:val="0"/>
        <w:autoSpaceDN w:val="0"/>
        <w:adjustRightInd w:val="0"/>
        <w:spacing w:after="0" w:line="240" w:lineRule="auto"/>
        <w:jc w:val="both"/>
      </w:pPr>
      <w:r w:rsidRPr="007E72DA">
        <w:t xml:space="preserve">Zbadania zasadności wysuwanych przeciwko Ubezpieczonemu roszczeń. </w:t>
      </w:r>
    </w:p>
    <w:p w14:paraId="6184D615" w14:textId="42F7FA24" w:rsidR="007E72DA" w:rsidRPr="007E72DA" w:rsidRDefault="007E72DA" w:rsidP="002A2BE7">
      <w:pPr>
        <w:pStyle w:val="Akapitzlist"/>
        <w:numPr>
          <w:ilvl w:val="0"/>
          <w:numId w:val="52"/>
        </w:numPr>
        <w:autoSpaceDE w:val="0"/>
        <w:autoSpaceDN w:val="0"/>
        <w:adjustRightInd w:val="0"/>
        <w:spacing w:after="0" w:line="240" w:lineRule="auto"/>
        <w:jc w:val="both"/>
      </w:pPr>
      <w:r w:rsidRPr="007E72DA">
        <w:t xml:space="preserve">Udzielenia Ubezpieczonemu wszelkiej niezbędnej pomocy prawnej w przypadku niezasadności roszczeń, a także związanej z zaspokojeniem roszczeń zasadnych. </w:t>
      </w:r>
    </w:p>
    <w:p w14:paraId="4015C3FD" w14:textId="63AC534A" w:rsidR="007E72DA" w:rsidRPr="007E72DA" w:rsidRDefault="007E72DA" w:rsidP="002A2BE7">
      <w:pPr>
        <w:pStyle w:val="Akapitzlist"/>
        <w:numPr>
          <w:ilvl w:val="0"/>
          <w:numId w:val="52"/>
        </w:numPr>
        <w:autoSpaceDE w:val="0"/>
        <w:autoSpaceDN w:val="0"/>
        <w:adjustRightInd w:val="0"/>
        <w:spacing w:after="0" w:line="240" w:lineRule="auto"/>
        <w:jc w:val="both"/>
      </w:pPr>
      <w:r w:rsidRPr="007E72DA">
        <w:t xml:space="preserve">Pokrycia uzasadnionych kosztów pomocy prawnej. </w:t>
      </w:r>
    </w:p>
    <w:p w14:paraId="1E0C8B04" w14:textId="77777777" w:rsidR="007E72DA" w:rsidRPr="007E72DA" w:rsidRDefault="007E72DA" w:rsidP="007E72DA">
      <w:pPr>
        <w:autoSpaceDE w:val="0"/>
        <w:autoSpaceDN w:val="0"/>
        <w:adjustRightInd w:val="0"/>
        <w:spacing w:after="0" w:line="240" w:lineRule="auto"/>
        <w:jc w:val="both"/>
        <w:rPr>
          <w:rFonts w:ascii="Calibri" w:hAnsi="Calibri" w:cs="Calibri"/>
          <w:color w:val="000000"/>
          <w:sz w:val="20"/>
          <w:szCs w:val="20"/>
        </w:rPr>
      </w:pPr>
    </w:p>
    <w:p w14:paraId="5E33B31A" w14:textId="77777777" w:rsidR="00CD608A" w:rsidRDefault="00CD608A" w:rsidP="008F1875">
      <w:pPr>
        <w:pStyle w:val="Akapitzlist"/>
        <w:ind w:left="2232"/>
        <w:jc w:val="both"/>
      </w:pPr>
    </w:p>
    <w:p w14:paraId="2EDB1237" w14:textId="77777777" w:rsidR="00455545" w:rsidRDefault="00455545" w:rsidP="00F32B9B">
      <w:pPr>
        <w:pStyle w:val="Akapitzlist"/>
        <w:ind w:left="1224"/>
        <w:jc w:val="both"/>
        <w:rPr>
          <w:highlight w:val="yellow"/>
        </w:rPr>
      </w:pPr>
    </w:p>
    <w:p w14:paraId="25568739" w14:textId="77777777" w:rsidR="001E5294" w:rsidRDefault="001E5294">
      <w:pPr>
        <w:rPr>
          <w:b/>
        </w:rPr>
      </w:pPr>
      <w:r>
        <w:rPr>
          <w:b/>
        </w:rPr>
        <w:br w:type="page"/>
      </w:r>
    </w:p>
    <w:p w14:paraId="065ACD93" w14:textId="77777777" w:rsidR="009F2AAF" w:rsidRPr="00C85A8E" w:rsidRDefault="00C46203" w:rsidP="002A2BE7">
      <w:pPr>
        <w:pStyle w:val="Akapitzlist"/>
        <w:numPr>
          <w:ilvl w:val="0"/>
          <w:numId w:val="50"/>
        </w:numPr>
        <w:spacing w:after="0"/>
        <w:jc w:val="both"/>
        <w:outlineLvl w:val="2"/>
        <w:rPr>
          <w:b/>
          <w:sz w:val="28"/>
          <w:highlight w:val="yellow"/>
        </w:rPr>
      </w:pPr>
      <w:bookmarkStart w:id="28" w:name="_Toc141097874"/>
      <w:r w:rsidRPr="00C85A8E">
        <w:rPr>
          <w:b/>
          <w:sz w:val="28"/>
          <w:highlight w:val="yellow"/>
        </w:rPr>
        <w:lastRenderedPageBreak/>
        <w:t xml:space="preserve">Klauzule dodatkowe – dotyczące poszczególnych rodzajów </w:t>
      </w:r>
      <w:proofErr w:type="spellStart"/>
      <w:r w:rsidRPr="00C85A8E">
        <w:rPr>
          <w:b/>
          <w:sz w:val="28"/>
          <w:highlight w:val="yellow"/>
        </w:rPr>
        <w:t>ryzyk</w:t>
      </w:r>
      <w:bookmarkEnd w:id="28"/>
      <w:proofErr w:type="spellEnd"/>
      <w:r w:rsidR="00CF5134" w:rsidRPr="00C85A8E">
        <w:rPr>
          <w:b/>
          <w:sz w:val="28"/>
          <w:highlight w:val="yellow"/>
        </w:rPr>
        <w:t xml:space="preserve"> </w:t>
      </w:r>
    </w:p>
    <w:p w14:paraId="3108AB0A" w14:textId="269F5905" w:rsidR="00291482" w:rsidRPr="00C85A8E" w:rsidRDefault="00291482" w:rsidP="002A2BE7">
      <w:pPr>
        <w:pStyle w:val="Akapitzlist"/>
        <w:numPr>
          <w:ilvl w:val="1"/>
          <w:numId w:val="50"/>
        </w:numPr>
        <w:spacing w:after="0"/>
        <w:jc w:val="both"/>
        <w:outlineLvl w:val="2"/>
        <w:rPr>
          <w:b/>
          <w:sz w:val="24"/>
          <w:szCs w:val="20"/>
          <w:highlight w:val="yellow"/>
        </w:rPr>
      </w:pPr>
      <w:bookmarkStart w:id="29" w:name="_Toc141097875"/>
      <w:r w:rsidRPr="00C85A8E">
        <w:rPr>
          <w:b/>
          <w:sz w:val="24"/>
          <w:szCs w:val="20"/>
          <w:highlight w:val="yellow"/>
        </w:rPr>
        <w:t>Klauzule ob</w:t>
      </w:r>
      <w:r w:rsidR="006E5248" w:rsidRPr="00C85A8E">
        <w:rPr>
          <w:b/>
          <w:sz w:val="24"/>
          <w:szCs w:val="20"/>
          <w:highlight w:val="yellow"/>
        </w:rPr>
        <w:t>l</w:t>
      </w:r>
      <w:r w:rsidRPr="00C85A8E">
        <w:rPr>
          <w:b/>
          <w:sz w:val="24"/>
          <w:szCs w:val="20"/>
          <w:highlight w:val="yellow"/>
        </w:rPr>
        <w:t>igatoryjne</w:t>
      </w:r>
      <w:bookmarkEnd w:id="29"/>
    </w:p>
    <w:tbl>
      <w:tblPr>
        <w:tblW w:w="10416"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951"/>
        <w:gridCol w:w="8465"/>
      </w:tblGrid>
      <w:tr w:rsidR="006E5248" w:rsidRPr="002F5BE3" w14:paraId="22C6DC39" w14:textId="77777777" w:rsidTr="002F5BE3">
        <w:trPr>
          <w:trHeight w:val="93"/>
        </w:trPr>
        <w:tc>
          <w:tcPr>
            <w:tcW w:w="10416" w:type="dxa"/>
            <w:gridSpan w:val="2"/>
            <w:tcBorders>
              <w:top w:val="none" w:sz="6" w:space="0" w:color="auto"/>
              <w:bottom w:val="none" w:sz="6" w:space="0" w:color="auto"/>
            </w:tcBorders>
            <w:shd w:val="clear" w:color="auto" w:fill="D9D9D9" w:themeFill="background1" w:themeFillShade="D9"/>
          </w:tcPr>
          <w:p w14:paraId="2BBA3D1A" w14:textId="77777777" w:rsidR="006E5248" w:rsidRPr="002F5BE3" w:rsidRDefault="006E5248">
            <w:pPr>
              <w:pStyle w:val="Default"/>
              <w:rPr>
                <w:rFonts w:asciiTheme="minorHAnsi" w:hAnsiTheme="minorHAnsi" w:cstheme="minorHAnsi"/>
                <w:sz w:val="20"/>
                <w:szCs w:val="20"/>
              </w:rPr>
            </w:pPr>
            <w:r w:rsidRPr="002F5BE3">
              <w:rPr>
                <w:rFonts w:asciiTheme="minorHAnsi" w:hAnsiTheme="minorHAnsi" w:cstheme="minorHAnsi"/>
                <w:b/>
                <w:bCs/>
                <w:sz w:val="20"/>
                <w:szCs w:val="20"/>
              </w:rPr>
              <w:t xml:space="preserve">KLAUZULE OBLIGATORYJNE (ZGODNIE Z ZAZNACZENIEM DO DANEJ CZĘŚCI ZAMÓWIENIA) </w:t>
            </w:r>
          </w:p>
        </w:tc>
      </w:tr>
      <w:tr w:rsidR="00D463A0" w:rsidRPr="002F5BE3" w14:paraId="0C9F9947" w14:textId="77777777" w:rsidTr="00F67C1E">
        <w:trPr>
          <w:trHeight w:val="531"/>
        </w:trPr>
        <w:tc>
          <w:tcPr>
            <w:tcW w:w="1951" w:type="dxa"/>
            <w:tcBorders>
              <w:top w:val="none" w:sz="6" w:space="0" w:color="auto"/>
              <w:bottom w:val="none" w:sz="6" w:space="0" w:color="auto"/>
              <w:right w:val="none" w:sz="6" w:space="0" w:color="auto"/>
            </w:tcBorders>
          </w:tcPr>
          <w:p w14:paraId="38D00974" w14:textId="77777777" w:rsidR="00D463A0" w:rsidRPr="00F67D78" w:rsidRDefault="00D463A0" w:rsidP="002A2BE7">
            <w:pPr>
              <w:pStyle w:val="Default"/>
              <w:numPr>
                <w:ilvl w:val="0"/>
                <w:numId w:val="58"/>
              </w:numPr>
              <w:rPr>
                <w:rFonts w:asciiTheme="minorHAnsi" w:hAnsiTheme="minorHAnsi" w:cstheme="minorHAnsi"/>
                <w:b/>
                <w:bCs/>
                <w:color w:val="auto"/>
                <w:sz w:val="20"/>
                <w:szCs w:val="20"/>
              </w:rPr>
            </w:pPr>
            <w:r w:rsidRPr="00F67D78">
              <w:rPr>
                <w:rFonts w:asciiTheme="minorHAnsi" w:hAnsiTheme="minorHAnsi" w:cstheme="minorHAnsi"/>
                <w:b/>
                <w:bCs/>
                <w:sz w:val="20"/>
                <w:szCs w:val="20"/>
              </w:rPr>
              <w:t xml:space="preserve">Klauzula reprezentantów </w:t>
            </w:r>
          </w:p>
          <w:p w14:paraId="7734A0AC" w14:textId="77777777" w:rsidR="00D463A0" w:rsidRPr="00F67D78" w:rsidRDefault="00D463A0" w:rsidP="00D463A0">
            <w:pPr>
              <w:pStyle w:val="Default"/>
              <w:rPr>
                <w:rFonts w:asciiTheme="minorHAnsi" w:hAnsiTheme="minorHAnsi" w:cstheme="minorHAnsi"/>
                <w:b/>
                <w:bCs/>
                <w:color w:val="auto"/>
                <w:sz w:val="20"/>
                <w:szCs w:val="20"/>
              </w:rPr>
            </w:pPr>
          </w:p>
        </w:tc>
        <w:tc>
          <w:tcPr>
            <w:tcW w:w="8465" w:type="dxa"/>
            <w:tcBorders>
              <w:top w:val="none" w:sz="6" w:space="0" w:color="auto"/>
              <w:left w:val="none" w:sz="6" w:space="0" w:color="auto"/>
              <w:bottom w:val="none" w:sz="6" w:space="0" w:color="auto"/>
            </w:tcBorders>
          </w:tcPr>
          <w:p w14:paraId="200782EE" w14:textId="77777777" w:rsidR="00D463A0" w:rsidRPr="002F5BE3" w:rsidRDefault="00D463A0" w:rsidP="00D463A0">
            <w:pPr>
              <w:pStyle w:val="Default"/>
              <w:rPr>
                <w:rFonts w:asciiTheme="minorHAnsi" w:hAnsiTheme="minorHAnsi" w:cstheme="minorHAnsi"/>
                <w:sz w:val="20"/>
                <w:szCs w:val="20"/>
              </w:rPr>
            </w:pPr>
            <w:r w:rsidRPr="002F5BE3">
              <w:rPr>
                <w:rFonts w:asciiTheme="minorHAnsi" w:hAnsiTheme="minorHAnsi" w:cstheme="minorHAnsi"/>
                <w:sz w:val="20"/>
                <w:szCs w:val="20"/>
              </w:rPr>
              <w:t xml:space="preserve">Z zachowaniem pozostałych, nie zmienionych niniejszą klauzulą, postanowień umowy ubezpieczenia strony uzgodniły, że Ubezpieczyciel jest wolny od odpowiedzialności za szkody powstałe wyłącznie wskutek rażącego niedbalstwa, winy umyślnej reprezentantów Ubezpieczającego/Ubezpieczonego. Dla celów niniejszej umowy za reprezentantów Ubezpieczającego/Ubezpieczonego uważa się wyłącznie Dyrektora Instytutu, Zastępców Dyrektora Instytutu oraz Dyrektorów Oddziałów Instytutu. Za szkody powstałe wskutek winy umyślnej lub rażącego niedbalstwa wszystkich pozostałych osób (w szczególności pozostałych pracowników i współpracowników Ubezpieczającego/Ubezpieczonego), Ubezpieczyciel ponosi odpowiedzialność do wysokości sum ubezpieczenia i sumy gwarancyjnej. </w:t>
            </w:r>
          </w:p>
          <w:p w14:paraId="3904EA5C" w14:textId="5B36AB7E" w:rsidR="00D463A0" w:rsidRPr="002F5BE3" w:rsidRDefault="00D463A0" w:rsidP="00D463A0">
            <w:pPr>
              <w:pStyle w:val="Default"/>
              <w:rPr>
                <w:rFonts w:asciiTheme="minorHAnsi" w:hAnsiTheme="minorHAnsi" w:cstheme="minorHAnsi"/>
                <w:sz w:val="20"/>
                <w:szCs w:val="20"/>
                <w:u w:val="single"/>
              </w:rPr>
            </w:pPr>
            <w:r w:rsidRPr="002F5BE3">
              <w:rPr>
                <w:rFonts w:asciiTheme="minorHAnsi" w:hAnsiTheme="minorHAnsi" w:cstheme="minorHAnsi"/>
                <w:sz w:val="20"/>
                <w:szCs w:val="20"/>
                <w:u w:val="single"/>
              </w:rPr>
              <w:t xml:space="preserve">Dotyczy : AR, EEI, OC </w:t>
            </w:r>
          </w:p>
        </w:tc>
      </w:tr>
      <w:tr w:rsidR="00FB6EE2" w:rsidRPr="002F5BE3" w14:paraId="23C9AB52" w14:textId="77777777" w:rsidTr="00CF75F2">
        <w:trPr>
          <w:trHeight w:val="1242"/>
        </w:trPr>
        <w:tc>
          <w:tcPr>
            <w:tcW w:w="1951" w:type="dxa"/>
            <w:tcBorders>
              <w:top w:val="none" w:sz="6" w:space="0" w:color="auto"/>
              <w:bottom w:val="none" w:sz="6" w:space="0" w:color="auto"/>
              <w:right w:val="none" w:sz="6" w:space="0" w:color="auto"/>
            </w:tcBorders>
          </w:tcPr>
          <w:p w14:paraId="31612D7B" w14:textId="77777777" w:rsidR="00FB6EE2" w:rsidRPr="002F5BE3" w:rsidRDefault="00FB6EE2" w:rsidP="002A2BE7">
            <w:pPr>
              <w:pStyle w:val="Default"/>
              <w:numPr>
                <w:ilvl w:val="0"/>
                <w:numId w:val="58"/>
              </w:numPr>
              <w:rPr>
                <w:rFonts w:asciiTheme="minorHAnsi" w:hAnsiTheme="minorHAnsi" w:cstheme="minorHAnsi"/>
                <w:color w:val="auto"/>
                <w:sz w:val="20"/>
                <w:szCs w:val="20"/>
              </w:rPr>
            </w:pPr>
            <w:r w:rsidRPr="002F5BE3">
              <w:rPr>
                <w:rFonts w:asciiTheme="minorHAnsi" w:hAnsiTheme="minorHAnsi" w:cstheme="minorHAnsi"/>
                <w:b/>
                <w:bCs/>
                <w:sz w:val="20"/>
                <w:szCs w:val="20"/>
              </w:rPr>
              <w:t xml:space="preserve">Klauzula rozliczania składek </w:t>
            </w:r>
          </w:p>
          <w:p w14:paraId="443915AF" w14:textId="77777777" w:rsidR="00FB6EE2" w:rsidRPr="002F5BE3" w:rsidRDefault="00FB6EE2" w:rsidP="00FB6EE2">
            <w:pPr>
              <w:pStyle w:val="Default"/>
              <w:rPr>
                <w:rFonts w:asciiTheme="minorHAnsi" w:hAnsiTheme="minorHAnsi" w:cstheme="minorHAnsi"/>
                <w:color w:val="auto"/>
                <w:sz w:val="20"/>
                <w:szCs w:val="20"/>
              </w:rPr>
            </w:pPr>
          </w:p>
        </w:tc>
        <w:tc>
          <w:tcPr>
            <w:tcW w:w="8465" w:type="dxa"/>
            <w:tcBorders>
              <w:top w:val="none" w:sz="6" w:space="0" w:color="auto"/>
              <w:left w:val="none" w:sz="6" w:space="0" w:color="auto"/>
              <w:bottom w:val="none" w:sz="6" w:space="0" w:color="auto"/>
            </w:tcBorders>
          </w:tcPr>
          <w:p w14:paraId="781AA02C" w14:textId="77777777" w:rsidR="00FB6EE2" w:rsidRPr="002F5BE3" w:rsidRDefault="00FB6EE2" w:rsidP="00FB6EE2">
            <w:pPr>
              <w:pStyle w:val="Default"/>
              <w:rPr>
                <w:rFonts w:asciiTheme="minorHAnsi" w:hAnsiTheme="minorHAnsi" w:cstheme="minorHAnsi"/>
                <w:sz w:val="20"/>
                <w:szCs w:val="20"/>
              </w:rPr>
            </w:pPr>
            <w:r w:rsidRPr="002F5BE3">
              <w:rPr>
                <w:rFonts w:asciiTheme="minorHAnsi" w:hAnsiTheme="minorHAnsi" w:cstheme="minorHAnsi"/>
                <w:sz w:val="20"/>
                <w:szCs w:val="20"/>
              </w:rPr>
              <w:t xml:space="preserve">Z zachowaniem pozostałych, nie zmienionych niniejszą klauzulą, postanowień umowy ubezpieczenia określonych we wniosku, SWZ i ogólnych warunkach ubezpieczenia strony uzgodniły, iż wszelkie płatności powstałe na tle niniejszej umowy ubezpieczenia (wynikające w szczególności z konieczności dopłaty składek, zwrotu składek oraz innych rozliczeń) dokonywane będą w systemie pro rata temporis za każdy dzień ochrony ubezpieczeniowej. </w:t>
            </w:r>
          </w:p>
          <w:p w14:paraId="5D01A953" w14:textId="307FA5AE" w:rsidR="00FB6EE2" w:rsidRPr="002F5BE3" w:rsidRDefault="00FB6EE2" w:rsidP="00FB6EE2">
            <w:pPr>
              <w:pStyle w:val="Default"/>
              <w:rPr>
                <w:rFonts w:asciiTheme="minorHAnsi" w:hAnsiTheme="minorHAnsi" w:cstheme="minorHAnsi"/>
                <w:sz w:val="20"/>
                <w:szCs w:val="20"/>
              </w:rPr>
            </w:pPr>
            <w:r w:rsidRPr="002F5BE3">
              <w:rPr>
                <w:rFonts w:asciiTheme="minorHAnsi" w:hAnsiTheme="minorHAnsi" w:cstheme="minorHAnsi"/>
                <w:sz w:val="20"/>
                <w:szCs w:val="20"/>
              </w:rPr>
              <w:t xml:space="preserve">Dotyczy: AR, EEI, OC </w:t>
            </w:r>
          </w:p>
        </w:tc>
      </w:tr>
      <w:tr w:rsidR="00FB6EE2" w:rsidRPr="002F5BE3" w14:paraId="37816B4B" w14:textId="77777777" w:rsidTr="00CF75F2">
        <w:trPr>
          <w:trHeight w:val="1242"/>
        </w:trPr>
        <w:tc>
          <w:tcPr>
            <w:tcW w:w="1951" w:type="dxa"/>
            <w:tcBorders>
              <w:top w:val="none" w:sz="6" w:space="0" w:color="auto"/>
              <w:bottom w:val="none" w:sz="6" w:space="0" w:color="auto"/>
              <w:right w:val="none" w:sz="6" w:space="0" w:color="auto"/>
            </w:tcBorders>
          </w:tcPr>
          <w:p w14:paraId="375D00AD" w14:textId="1C4A022D" w:rsidR="00FB6EE2" w:rsidRPr="002F5BE3" w:rsidRDefault="00FB6EE2" w:rsidP="002A2BE7">
            <w:pPr>
              <w:pStyle w:val="Default"/>
              <w:numPr>
                <w:ilvl w:val="0"/>
                <w:numId w:val="58"/>
              </w:numPr>
              <w:rPr>
                <w:rFonts w:asciiTheme="minorHAnsi" w:hAnsiTheme="minorHAnsi" w:cstheme="minorHAnsi"/>
                <w:color w:val="auto"/>
                <w:sz w:val="20"/>
                <w:szCs w:val="20"/>
              </w:rPr>
            </w:pPr>
            <w:r w:rsidRPr="002F5BE3">
              <w:rPr>
                <w:rFonts w:asciiTheme="minorHAnsi" w:hAnsiTheme="minorHAnsi" w:cstheme="minorHAnsi"/>
                <w:b/>
                <w:bCs/>
                <w:sz w:val="20"/>
                <w:szCs w:val="20"/>
              </w:rPr>
              <w:t xml:space="preserve">Klauzula terminu zapłaty </w:t>
            </w:r>
          </w:p>
          <w:p w14:paraId="737321B6" w14:textId="77777777" w:rsidR="00FB6EE2" w:rsidRPr="002F5BE3" w:rsidRDefault="00FB6EE2" w:rsidP="00FB6EE2">
            <w:pPr>
              <w:pStyle w:val="Default"/>
              <w:rPr>
                <w:rFonts w:asciiTheme="minorHAnsi" w:hAnsiTheme="minorHAnsi" w:cstheme="minorHAnsi"/>
                <w:color w:val="auto"/>
                <w:sz w:val="20"/>
                <w:szCs w:val="20"/>
              </w:rPr>
            </w:pPr>
          </w:p>
        </w:tc>
        <w:tc>
          <w:tcPr>
            <w:tcW w:w="8465" w:type="dxa"/>
            <w:tcBorders>
              <w:top w:val="none" w:sz="6" w:space="0" w:color="auto"/>
              <w:left w:val="none" w:sz="6" w:space="0" w:color="auto"/>
              <w:bottom w:val="none" w:sz="6" w:space="0" w:color="auto"/>
            </w:tcBorders>
          </w:tcPr>
          <w:p w14:paraId="05EFBE60" w14:textId="77777777" w:rsidR="00FB6EE2" w:rsidRPr="002F5BE3" w:rsidRDefault="00FB6EE2" w:rsidP="00FB6EE2">
            <w:pPr>
              <w:pStyle w:val="Default"/>
              <w:rPr>
                <w:rFonts w:asciiTheme="minorHAnsi" w:hAnsiTheme="minorHAnsi" w:cstheme="minorHAnsi"/>
                <w:sz w:val="20"/>
                <w:szCs w:val="20"/>
              </w:rPr>
            </w:pPr>
            <w:r w:rsidRPr="002F5BE3">
              <w:rPr>
                <w:rFonts w:asciiTheme="minorHAnsi" w:hAnsiTheme="minorHAnsi" w:cstheme="minorHAnsi"/>
                <w:sz w:val="20"/>
                <w:szCs w:val="20"/>
              </w:rPr>
              <w:t xml:space="preserve">W sytuacji gdy zapłata należnej Ubezpieczycielowi składki dokonywana jest w formie przelewu bankowego lub przekazu pocztowego, za zapłatę uważa się datę złożenia zlecenia w banku, urzędzie pocztowym lub systemie elektronicznym na właściwy rachunek ubezpieczyciela, pod warunkiem, że na rachunku Ubezpieczającego/Ubezpieczonego zgromadzona była odpowiednia ilość środków wystarczających na pokrycie wymaganej składki lub raty składki. </w:t>
            </w:r>
          </w:p>
          <w:p w14:paraId="22E14785" w14:textId="59670DF7" w:rsidR="00FB6EE2" w:rsidRPr="002F5BE3" w:rsidRDefault="00FB6EE2" w:rsidP="00FB6EE2">
            <w:pPr>
              <w:pStyle w:val="Default"/>
              <w:rPr>
                <w:rFonts w:asciiTheme="minorHAnsi" w:hAnsiTheme="minorHAnsi" w:cstheme="minorHAnsi"/>
                <w:sz w:val="20"/>
                <w:szCs w:val="20"/>
              </w:rPr>
            </w:pPr>
            <w:r w:rsidRPr="002F5BE3">
              <w:rPr>
                <w:rFonts w:asciiTheme="minorHAnsi" w:hAnsiTheme="minorHAnsi" w:cstheme="minorHAnsi"/>
                <w:sz w:val="20"/>
                <w:szCs w:val="20"/>
              </w:rPr>
              <w:t xml:space="preserve">Dotyczy: AR, EEI, OC </w:t>
            </w:r>
          </w:p>
        </w:tc>
      </w:tr>
      <w:tr w:rsidR="00FB6EE2" w:rsidRPr="002F5BE3" w14:paraId="6A517C0F" w14:textId="77777777" w:rsidTr="00CF75F2">
        <w:trPr>
          <w:trHeight w:val="1242"/>
        </w:trPr>
        <w:tc>
          <w:tcPr>
            <w:tcW w:w="1951" w:type="dxa"/>
            <w:tcBorders>
              <w:top w:val="none" w:sz="6" w:space="0" w:color="auto"/>
              <w:bottom w:val="none" w:sz="6" w:space="0" w:color="auto"/>
              <w:right w:val="none" w:sz="6" w:space="0" w:color="auto"/>
            </w:tcBorders>
          </w:tcPr>
          <w:p w14:paraId="459E77CC" w14:textId="048E08F6" w:rsidR="00FB6EE2" w:rsidRPr="002F5BE3" w:rsidRDefault="00FB6EE2" w:rsidP="002A2BE7">
            <w:pPr>
              <w:pStyle w:val="Default"/>
              <w:numPr>
                <w:ilvl w:val="0"/>
                <w:numId w:val="58"/>
              </w:numPr>
              <w:rPr>
                <w:rFonts w:asciiTheme="minorHAnsi" w:hAnsiTheme="minorHAnsi" w:cstheme="minorHAnsi"/>
                <w:color w:val="auto"/>
                <w:sz w:val="20"/>
                <w:szCs w:val="20"/>
              </w:rPr>
            </w:pPr>
            <w:r w:rsidRPr="002F5BE3">
              <w:rPr>
                <w:rFonts w:asciiTheme="minorHAnsi" w:hAnsiTheme="minorHAnsi" w:cstheme="minorHAnsi"/>
                <w:b/>
                <w:bCs/>
                <w:sz w:val="20"/>
                <w:szCs w:val="20"/>
              </w:rPr>
              <w:t xml:space="preserve">Klauzula czasu ochrony </w:t>
            </w:r>
          </w:p>
          <w:p w14:paraId="697BCECF" w14:textId="77777777" w:rsidR="00FB6EE2" w:rsidRPr="002F5BE3" w:rsidRDefault="00FB6EE2" w:rsidP="00FB6EE2">
            <w:pPr>
              <w:pStyle w:val="Default"/>
              <w:rPr>
                <w:rFonts w:asciiTheme="minorHAnsi" w:hAnsiTheme="minorHAnsi" w:cstheme="minorHAnsi"/>
                <w:color w:val="auto"/>
                <w:sz w:val="20"/>
                <w:szCs w:val="20"/>
              </w:rPr>
            </w:pPr>
          </w:p>
        </w:tc>
        <w:tc>
          <w:tcPr>
            <w:tcW w:w="8465" w:type="dxa"/>
            <w:tcBorders>
              <w:top w:val="none" w:sz="6" w:space="0" w:color="auto"/>
              <w:left w:val="none" w:sz="6" w:space="0" w:color="auto"/>
              <w:bottom w:val="none" w:sz="6" w:space="0" w:color="auto"/>
            </w:tcBorders>
          </w:tcPr>
          <w:p w14:paraId="6B66A2AD" w14:textId="77777777" w:rsidR="00FB6EE2" w:rsidRPr="002F5BE3" w:rsidRDefault="00FB6EE2" w:rsidP="00FB6EE2">
            <w:pPr>
              <w:pStyle w:val="Default"/>
              <w:rPr>
                <w:rFonts w:asciiTheme="minorHAnsi" w:hAnsiTheme="minorHAnsi" w:cstheme="minorHAnsi"/>
                <w:sz w:val="20"/>
                <w:szCs w:val="20"/>
              </w:rPr>
            </w:pPr>
            <w:r w:rsidRPr="002F5BE3">
              <w:rPr>
                <w:rFonts w:asciiTheme="minorHAnsi" w:hAnsiTheme="minorHAnsi" w:cstheme="minorHAnsi"/>
                <w:sz w:val="20"/>
                <w:szCs w:val="20"/>
              </w:rPr>
              <w:t xml:space="preserve">Brak wpłaty przez Zamawiającego/Ubezpieczonego składki, bądź pierwszej z rat w terminie przewidzianym w umowie ubezpieczenia nie powoduje wygaśnięcia (rozwiązania) umowy ubezpieczenia, nie skutkuje także zawieszeniem udzielanej ochrony ubezpieczeniowej. W takim przypadku Ubezpieczyciel wezwie Ubezpieczającego/Ubezpieczonego do zapłaty zaległej składki wyznaczając nowy termin zapłaty. Dopiero nie opłacenie zaległej składki w nowym wyznaczonym terminie uprawnia Ubezpieczyciela do wypowiedzenia umowy ubezpieczenia. Ubezpieczycielowi przysługuje roszczenie zapłaty składki do Ubezpieczającego/Ubezpieczonego za okres rzeczywiście udzielonej ochrony ubezpieczeniowej. </w:t>
            </w:r>
          </w:p>
          <w:p w14:paraId="4DB9C1ED" w14:textId="5B7BB152" w:rsidR="00FB6EE2" w:rsidRPr="002F5BE3" w:rsidRDefault="00FB6EE2" w:rsidP="00FB6EE2">
            <w:pPr>
              <w:pStyle w:val="Default"/>
              <w:rPr>
                <w:rFonts w:asciiTheme="minorHAnsi" w:hAnsiTheme="minorHAnsi" w:cstheme="minorHAnsi"/>
                <w:sz w:val="20"/>
                <w:szCs w:val="20"/>
              </w:rPr>
            </w:pPr>
            <w:r w:rsidRPr="002F5BE3">
              <w:rPr>
                <w:rFonts w:asciiTheme="minorHAnsi" w:hAnsiTheme="minorHAnsi" w:cstheme="minorHAnsi"/>
                <w:sz w:val="20"/>
                <w:szCs w:val="20"/>
              </w:rPr>
              <w:t xml:space="preserve">Dotyczy : AR, EEI, OC </w:t>
            </w:r>
          </w:p>
        </w:tc>
      </w:tr>
      <w:tr w:rsidR="00FB6EE2" w:rsidRPr="002F5BE3" w14:paraId="5718D554" w14:textId="77777777" w:rsidTr="00CF75F2">
        <w:trPr>
          <w:trHeight w:val="1242"/>
        </w:trPr>
        <w:tc>
          <w:tcPr>
            <w:tcW w:w="1951" w:type="dxa"/>
            <w:tcBorders>
              <w:top w:val="none" w:sz="6" w:space="0" w:color="auto"/>
              <w:bottom w:val="none" w:sz="6" w:space="0" w:color="auto"/>
              <w:right w:val="none" w:sz="6" w:space="0" w:color="auto"/>
            </w:tcBorders>
          </w:tcPr>
          <w:p w14:paraId="63EA5AA8" w14:textId="5EEC80F0" w:rsidR="00FB6EE2" w:rsidRPr="002F5BE3" w:rsidRDefault="00FB6EE2" w:rsidP="002A2BE7">
            <w:pPr>
              <w:pStyle w:val="Default"/>
              <w:numPr>
                <w:ilvl w:val="0"/>
                <w:numId w:val="58"/>
              </w:numPr>
              <w:rPr>
                <w:rFonts w:asciiTheme="minorHAnsi" w:hAnsiTheme="minorHAnsi" w:cstheme="minorHAnsi"/>
                <w:color w:val="auto"/>
                <w:sz w:val="20"/>
                <w:szCs w:val="20"/>
              </w:rPr>
            </w:pPr>
            <w:r w:rsidRPr="002F5BE3">
              <w:rPr>
                <w:rFonts w:asciiTheme="minorHAnsi" w:hAnsiTheme="minorHAnsi" w:cstheme="minorHAnsi"/>
                <w:b/>
                <w:bCs/>
                <w:sz w:val="20"/>
                <w:szCs w:val="20"/>
              </w:rPr>
              <w:t xml:space="preserve">Klauzula wyłączenia regresu </w:t>
            </w:r>
          </w:p>
          <w:p w14:paraId="531138EB" w14:textId="77777777" w:rsidR="00FB6EE2" w:rsidRPr="002F5BE3" w:rsidRDefault="00FB6EE2" w:rsidP="00FB6EE2">
            <w:pPr>
              <w:pStyle w:val="Default"/>
              <w:rPr>
                <w:rFonts w:asciiTheme="minorHAnsi" w:hAnsiTheme="minorHAnsi" w:cstheme="minorHAnsi"/>
                <w:color w:val="auto"/>
                <w:sz w:val="20"/>
                <w:szCs w:val="20"/>
              </w:rPr>
            </w:pPr>
          </w:p>
        </w:tc>
        <w:tc>
          <w:tcPr>
            <w:tcW w:w="8465" w:type="dxa"/>
            <w:tcBorders>
              <w:top w:val="none" w:sz="6" w:space="0" w:color="auto"/>
              <w:left w:val="none" w:sz="6" w:space="0" w:color="auto"/>
              <w:bottom w:val="none" w:sz="6" w:space="0" w:color="auto"/>
            </w:tcBorders>
          </w:tcPr>
          <w:p w14:paraId="30A4D5F2" w14:textId="39760BC3" w:rsidR="00FB6EE2" w:rsidRPr="002F5BE3" w:rsidRDefault="00FB6EE2" w:rsidP="00FB6EE2">
            <w:pPr>
              <w:pStyle w:val="Default"/>
              <w:rPr>
                <w:rFonts w:asciiTheme="minorHAnsi" w:hAnsiTheme="minorHAnsi" w:cstheme="minorHAnsi"/>
                <w:sz w:val="20"/>
                <w:szCs w:val="20"/>
              </w:rPr>
            </w:pPr>
            <w:r w:rsidRPr="002F5BE3">
              <w:rPr>
                <w:rFonts w:asciiTheme="minorHAnsi" w:hAnsiTheme="minorHAnsi" w:cstheme="minorHAnsi"/>
                <w:sz w:val="20"/>
                <w:szCs w:val="20"/>
              </w:rPr>
              <w:t xml:space="preserve">Z zachowaniem pozostałych, nie zmienionych niniejszą klauzulą, postanowień umowy ubezpieczenia określonych we wniosku, SWZ i ogólnych warunkach ubezpieczenia strony uzgodniły, iż nie przechodzą na Ubezpieczyciela roszczenia przeciwko pracownikom Ubezpieczonego. Nie przechodzą na Ubezpieczyciela również roszczenia przeciwko osobom fizycznym prowadzącym działalność gospodarczą wyłącznie na rzecz Zamawiającego/ Ubezpieczonego (samozatrudnienie). Wyłączenie prawa do regresu nie ma zastosowania w sytuacji, gdy sprawca wyrządził szkodę umyślnie. </w:t>
            </w:r>
          </w:p>
          <w:p w14:paraId="56C177AC" w14:textId="3EB06281" w:rsidR="00FB6EE2" w:rsidRPr="002F5BE3" w:rsidRDefault="00FB6EE2" w:rsidP="00FB6EE2">
            <w:pPr>
              <w:pStyle w:val="Default"/>
              <w:rPr>
                <w:rFonts w:asciiTheme="minorHAnsi" w:hAnsiTheme="minorHAnsi" w:cstheme="minorHAnsi"/>
                <w:sz w:val="20"/>
                <w:szCs w:val="20"/>
              </w:rPr>
            </w:pPr>
            <w:r w:rsidRPr="002F5BE3">
              <w:rPr>
                <w:rFonts w:asciiTheme="minorHAnsi" w:hAnsiTheme="minorHAnsi" w:cstheme="minorHAnsi"/>
                <w:sz w:val="20"/>
                <w:szCs w:val="20"/>
              </w:rPr>
              <w:t xml:space="preserve">Dotyczy : AR, EEI, OC </w:t>
            </w:r>
          </w:p>
        </w:tc>
      </w:tr>
      <w:tr w:rsidR="00FB6EE2" w:rsidRPr="002F5BE3" w14:paraId="7D3EA947" w14:textId="77777777" w:rsidTr="00CF75F2">
        <w:trPr>
          <w:trHeight w:val="1242"/>
        </w:trPr>
        <w:tc>
          <w:tcPr>
            <w:tcW w:w="1951" w:type="dxa"/>
            <w:tcBorders>
              <w:top w:val="none" w:sz="6" w:space="0" w:color="auto"/>
              <w:bottom w:val="none" w:sz="6" w:space="0" w:color="auto"/>
              <w:right w:val="none" w:sz="6" w:space="0" w:color="auto"/>
            </w:tcBorders>
          </w:tcPr>
          <w:p w14:paraId="6A4305D8" w14:textId="77777777" w:rsidR="00FB6EE2" w:rsidRPr="002F5BE3" w:rsidRDefault="00FB6EE2" w:rsidP="002A2BE7">
            <w:pPr>
              <w:pStyle w:val="Default"/>
              <w:numPr>
                <w:ilvl w:val="0"/>
                <w:numId w:val="58"/>
              </w:numPr>
              <w:rPr>
                <w:rFonts w:asciiTheme="minorHAnsi" w:hAnsiTheme="minorHAnsi" w:cstheme="minorHAnsi"/>
                <w:color w:val="auto"/>
                <w:sz w:val="20"/>
                <w:szCs w:val="20"/>
              </w:rPr>
            </w:pPr>
            <w:r w:rsidRPr="002F5BE3">
              <w:rPr>
                <w:rFonts w:asciiTheme="minorHAnsi" w:hAnsiTheme="minorHAnsi" w:cstheme="minorHAnsi"/>
                <w:b/>
                <w:bCs/>
                <w:sz w:val="20"/>
                <w:szCs w:val="20"/>
              </w:rPr>
              <w:t xml:space="preserve">Klauzula usunięcia i zastąpienia </w:t>
            </w:r>
          </w:p>
          <w:p w14:paraId="54912F16" w14:textId="77777777" w:rsidR="00FB6EE2" w:rsidRPr="002F5BE3" w:rsidRDefault="00FB6EE2" w:rsidP="00FB6EE2">
            <w:pPr>
              <w:pStyle w:val="Default"/>
              <w:rPr>
                <w:rFonts w:asciiTheme="minorHAnsi" w:hAnsiTheme="minorHAnsi" w:cstheme="minorHAnsi"/>
                <w:color w:val="auto"/>
                <w:sz w:val="20"/>
                <w:szCs w:val="20"/>
              </w:rPr>
            </w:pPr>
          </w:p>
        </w:tc>
        <w:tc>
          <w:tcPr>
            <w:tcW w:w="8465" w:type="dxa"/>
            <w:tcBorders>
              <w:top w:val="none" w:sz="6" w:space="0" w:color="auto"/>
              <w:left w:val="none" w:sz="6" w:space="0" w:color="auto"/>
              <w:bottom w:val="none" w:sz="6" w:space="0" w:color="auto"/>
            </w:tcBorders>
          </w:tcPr>
          <w:p w14:paraId="28442EB3" w14:textId="77777777" w:rsidR="00FB6EE2" w:rsidRPr="002F5BE3" w:rsidRDefault="00FB6EE2" w:rsidP="00FB6EE2">
            <w:pPr>
              <w:pStyle w:val="Default"/>
              <w:rPr>
                <w:rFonts w:asciiTheme="minorHAnsi" w:hAnsiTheme="minorHAnsi" w:cstheme="minorHAnsi"/>
                <w:sz w:val="20"/>
                <w:szCs w:val="20"/>
              </w:rPr>
            </w:pPr>
            <w:r w:rsidRPr="002F5BE3">
              <w:rPr>
                <w:rFonts w:asciiTheme="minorHAnsi" w:hAnsiTheme="minorHAnsi" w:cstheme="minorHAnsi"/>
                <w:sz w:val="20"/>
                <w:szCs w:val="20"/>
              </w:rPr>
              <w:t xml:space="preserve">W ramach niniejszej klauzuli Ubezpieczyciel pokryje na rzecz osoby trzeciej: </w:t>
            </w:r>
          </w:p>
          <w:p w14:paraId="5AC04CD6" w14:textId="77777777" w:rsidR="00FB6EE2" w:rsidRPr="002F5BE3" w:rsidRDefault="00FB6EE2" w:rsidP="00FB6EE2">
            <w:pPr>
              <w:pStyle w:val="Default"/>
              <w:rPr>
                <w:rFonts w:asciiTheme="minorHAnsi" w:hAnsiTheme="minorHAnsi" w:cstheme="minorHAnsi"/>
                <w:sz w:val="20"/>
                <w:szCs w:val="20"/>
              </w:rPr>
            </w:pPr>
            <w:r w:rsidRPr="002F5BE3">
              <w:rPr>
                <w:rFonts w:asciiTheme="minorHAnsi" w:hAnsiTheme="minorHAnsi" w:cstheme="minorHAnsi"/>
                <w:sz w:val="20"/>
                <w:szCs w:val="20"/>
              </w:rPr>
              <w:t xml:space="preserve">(a) niezbędne i uzasadnione koszty wymiany wadliwego produktu dostarczonego przez Ubezpieczonego tj. koszty usunięcia, demontażu lub odsłonięcia wadliwego produktu oraz montażu, umocowania lub położenia produktów niewadliwych, w tym koszty odszukania produktu uznanego za wadliwy, koszty podróży, diet, koszty noclegu, dodatki z tytułu nadgodzin, koszty rusztowań, dźwigów i innych urządzeń; </w:t>
            </w:r>
          </w:p>
          <w:p w14:paraId="1E509658" w14:textId="77777777" w:rsidR="00FB6EE2" w:rsidRPr="002F5BE3" w:rsidRDefault="00FB6EE2" w:rsidP="00FB6EE2">
            <w:pPr>
              <w:pStyle w:val="Default"/>
              <w:rPr>
                <w:rFonts w:asciiTheme="minorHAnsi" w:hAnsiTheme="minorHAnsi" w:cstheme="minorHAnsi"/>
                <w:sz w:val="20"/>
                <w:szCs w:val="20"/>
              </w:rPr>
            </w:pPr>
            <w:r w:rsidRPr="002F5BE3">
              <w:rPr>
                <w:rFonts w:asciiTheme="minorHAnsi" w:hAnsiTheme="minorHAnsi" w:cstheme="minorHAnsi"/>
                <w:sz w:val="20"/>
                <w:szCs w:val="20"/>
              </w:rPr>
              <w:t xml:space="preserve">(b) koszt ponownej dostawy produktu niewadliwego, pomniejszony jednakże o koszt pierwotnej dostawy produktu. </w:t>
            </w:r>
          </w:p>
          <w:p w14:paraId="14A47754" w14:textId="77777777" w:rsidR="00FB6EE2" w:rsidRPr="002F5BE3" w:rsidRDefault="00FB6EE2" w:rsidP="00FB6EE2">
            <w:pPr>
              <w:pStyle w:val="Default"/>
              <w:rPr>
                <w:rFonts w:asciiTheme="minorHAnsi" w:hAnsiTheme="minorHAnsi" w:cstheme="minorHAnsi"/>
                <w:sz w:val="20"/>
                <w:szCs w:val="20"/>
              </w:rPr>
            </w:pPr>
            <w:r w:rsidRPr="002F5BE3">
              <w:rPr>
                <w:rFonts w:asciiTheme="minorHAnsi" w:hAnsiTheme="minorHAnsi" w:cstheme="minorHAnsi"/>
                <w:sz w:val="20"/>
                <w:szCs w:val="20"/>
              </w:rPr>
              <w:t xml:space="preserve">Ochrona ubezpieczeniowa obejmie również koszty poniesione przez osobę trzecią w wyniku zlecenia Ubezpieczonemu realizacji którejkolwiek z czynności wymienionych powyżej, przy czym zysk Ubezpieczonego nie jest objęty ubezpieczeniem. Jeżeli usługę może wykonać inny podmiot, ochrona obejmuje koszty maksymalnie do wysokości kosztów jakie byłyby pokryte na rzecz Ubezpieczonego. </w:t>
            </w:r>
          </w:p>
          <w:p w14:paraId="04827E54" w14:textId="77777777" w:rsidR="00FB6EE2" w:rsidRPr="002F5BE3" w:rsidRDefault="00FB6EE2" w:rsidP="00FB6EE2">
            <w:pPr>
              <w:pStyle w:val="Default"/>
              <w:rPr>
                <w:rFonts w:asciiTheme="minorHAnsi" w:hAnsiTheme="minorHAnsi" w:cstheme="minorHAnsi"/>
                <w:sz w:val="20"/>
                <w:szCs w:val="20"/>
              </w:rPr>
            </w:pPr>
            <w:r w:rsidRPr="002F5BE3">
              <w:rPr>
                <w:rFonts w:asciiTheme="minorHAnsi" w:hAnsiTheme="minorHAnsi" w:cstheme="minorHAnsi"/>
                <w:sz w:val="20"/>
                <w:szCs w:val="20"/>
              </w:rPr>
              <w:t xml:space="preserve">W przypadku, gdy Ubezpieczony sam dokonał instalacji lub montażu wadliwego produktu lub też został on zainstalowany lub zamontowany według jego instrukcji, na jego rachunek lub pod jego nadzorem, ochrona istnieje wyłącznie pod warunkiem, że Ubezpieczony wykaże, że szkoda nie powstała na skutek instalacji, montażu, instrukcji lub sprawowania nadzoru, lecz wyłącznie na skutek wady produktu. </w:t>
            </w:r>
          </w:p>
          <w:p w14:paraId="1D350175" w14:textId="415E95CD" w:rsidR="00FB6EE2" w:rsidRPr="002F5BE3" w:rsidRDefault="00FB6EE2" w:rsidP="00FB6EE2">
            <w:pPr>
              <w:pStyle w:val="Default"/>
              <w:rPr>
                <w:rFonts w:asciiTheme="minorHAnsi" w:hAnsiTheme="minorHAnsi" w:cstheme="minorHAnsi"/>
                <w:sz w:val="20"/>
                <w:szCs w:val="20"/>
              </w:rPr>
            </w:pPr>
            <w:r w:rsidRPr="002F5BE3">
              <w:rPr>
                <w:rFonts w:asciiTheme="minorHAnsi" w:hAnsiTheme="minorHAnsi" w:cstheme="minorHAnsi"/>
                <w:sz w:val="20"/>
                <w:szCs w:val="20"/>
              </w:rPr>
              <w:t xml:space="preserve">Limit odpowiedzialności </w:t>
            </w:r>
            <w:r w:rsidR="001A3035">
              <w:rPr>
                <w:rFonts w:asciiTheme="minorHAnsi" w:hAnsiTheme="minorHAnsi" w:cstheme="minorHAnsi"/>
                <w:sz w:val="20"/>
                <w:szCs w:val="20"/>
              </w:rPr>
              <w:t>2</w:t>
            </w:r>
            <w:r w:rsidRPr="002F5BE3">
              <w:rPr>
                <w:rFonts w:asciiTheme="minorHAnsi" w:hAnsiTheme="minorHAnsi" w:cstheme="minorHAnsi"/>
                <w:sz w:val="20"/>
                <w:szCs w:val="20"/>
              </w:rPr>
              <w:t xml:space="preserve">00.000 zł </w:t>
            </w:r>
          </w:p>
          <w:p w14:paraId="60C83FA6" w14:textId="1585AE0A" w:rsidR="00FB6EE2" w:rsidRPr="002F5BE3" w:rsidRDefault="00FB6EE2" w:rsidP="00FB6EE2">
            <w:pPr>
              <w:pStyle w:val="Default"/>
              <w:rPr>
                <w:rFonts w:asciiTheme="minorHAnsi" w:hAnsiTheme="minorHAnsi" w:cstheme="minorHAnsi"/>
                <w:sz w:val="20"/>
                <w:szCs w:val="20"/>
              </w:rPr>
            </w:pPr>
            <w:r w:rsidRPr="002F5BE3">
              <w:rPr>
                <w:rFonts w:asciiTheme="minorHAnsi" w:hAnsiTheme="minorHAnsi" w:cstheme="minorHAnsi"/>
                <w:sz w:val="20"/>
                <w:szCs w:val="20"/>
              </w:rPr>
              <w:t xml:space="preserve">Dotyczy: OC </w:t>
            </w:r>
          </w:p>
        </w:tc>
      </w:tr>
      <w:tr w:rsidR="00FB6EE2" w:rsidRPr="002F5BE3" w14:paraId="12389BCD" w14:textId="77777777" w:rsidTr="001A3035">
        <w:trPr>
          <w:trHeight w:val="390"/>
        </w:trPr>
        <w:tc>
          <w:tcPr>
            <w:tcW w:w="1951" w:type="dxa"/>
            <w:tcBorders>
              <w:top w:val="none" w:sz="6" w:space="0" w:color="auto"/>
              <w:bottom w:val="none" w:sz="6" w:space="0" w:color="auto"/>
              <w:right w:val="none" w:sz="6" w:space="0" w:color="auto"/>
            </w:tcBorders>
          </w:tcPr>
          <w:p w14:paraId="199FD54C" w14:textId="48A624CE" w:rsidR="00FB6EE2" w:rsidRPr="002F5BE3" w:rsidRDefault="00FB6EE2" w:rsidP="000022D7">
            <w:pPr>
              <w:pStyle w:val="Default"/>
              <w:rPr>
                <w:rFonts w:asciiTheme="minorHAnsi" w:hAnsiTheme="minorHAnsi" w:cstheme="minorHAnsi"/>
                <w:color w:val="auto"/>
                <w:sz w:val="20"/>
                <w:szCs w:val="20"/>
              </w:rPr>
            </w:pPr>
          </w:p>
        </w:tc>
        <w:tc>
          <w:tcPr>
            <w:tcW w:w="8465" w:type="dxa"/>
            <w:tcBorders>
              <w:top w:val="none" w:sz="6" w:space="0" w:color="auto"/>
              <w:left w:val="none" w:sz="6" w:space="0" w:color="auto"/>
              <w:bottom w:val="none" w:sz="6" w:space="0" w:color="auto"/>
            </w:tcBorders>
          </w:tcPr>
          <w:p w14:paraId="23C68713" w14:textId="5C920A79" w:rsidR="00C23847" w:rsidRPr="002F5BE3" w:rsidRDefault="00C23847" w:rsidP="00FB6EE2">
            <w:pPr>
              <w:pStyle w:val="Default"/>
              <w:rPr>
                <w:rFonts w:asciiTheme="minorHAnsi" w:hAnsiTheme="minorHAnsi" w:cstheme="minorHAnsi"/>
                <w:sz w:val="20"/>
                <w:szCs w:val="20"/>
              </w:rPr>
            </w:pPr>
          </w:p>
        </w:tc>
      </w:tr>
    </w:tbl>
    <w:p w14:paraId="771850FF" w14:textId="62D4E1AA" w:rsidR="00291482" w:rsidRDefault="00291482" w:rsidP="002A2BE7">
      <w:pPr>
        <w:pStyle w:val="Akapitzlist"/>
        <w:numPr>
          <w:ilvl w:val="1"/>
          <w:numId w:val="50"/>
        </w:numPr>
        <w:spacing w:after="0"/>
        <w:jc w:val="both"/>
        <w:outlineLvl w:val="2"/>
        <w:rPr>
          <w:b/>
          <w:sz w:val="28"/>
        </w:rPr>
      </w:pPr>
      <w:bookmarkStart w:id="30" w:name="_Toc141097876"/>
      <w:r>
        <w:rPr>
          <w:b/>
          <w:sz w:val="28"/>
        </w:rPr>
        <w:t>Klauzule fakultatywne</w:t>
      </w:r>
      <w:bookmarkEnd w:id="30"/>
      <w:r>
        <w:rPr>
          <w:b/>
          <w:sz w:val="28"/>
        </w:rPr>
        <w:t xml:space="preserve"> </w:t>
      </w:r>
    </w:p>
    <w:tbl>
      <w:tblPr>
        <w:tblStyle w:val="Tabela-Siatka"/>
        <w:tblW w:w="0" w:type="auto"/>
        <w:tblLook w:val="04A0" w:firstRow="1" w:lastRow="0" w:firstColumn="1" w:lastColumn="0" w:noHBand="0" w:noVBand="1"/>
      </w:tblPr>
      <w:tblGrid>
        <w:gridCol w:w="2132"/>
        <w:gridCol w:w="7920"/>
      </w:tblGrid>
      <w:tr w:rsidR="006E5248" w:rsidRPr="002F5BE3" w14:paraId="37F45A0B" w14:textId="77777777" w:rsidTr="009B19D1">
        <w:tc>
          <w:tcPr>
            <w:tcW w:w="10052" w:type="dxa"/>
            <w:gridSpan w:val="2"/>
            <w:shd w:val="clear" w:color="auto" w:fill="BFBFBF" w:themeFill="background1" w:themeFillShade="BF"/>
          </w:tcPr>
          <w:p w14:paraId="20D21ECD" w14:textId="04F2FB9A" w:rsidR="006E5248" w:rsidRPr="002F5BE3" w:rsidRDefault="006E5248" w:rsidP="003C0672">
            <w:pPr>
              <w:rPr>
                <w:b/>
                <w:sz w:val="20"/>
                <w:szCs w:val="20"/>
              </w:rPr>
            </w:pPr>
            <w:r w:rsidRPr="002F5BE3">
              <w:rPr>
                <w:b/>
                <w:sz w:val="20"/>
                <w:szCs w:val="20"/>
              </w:rPr>
              <w:t>Klauzule dla zadania I</w:t>
            </w:r>
            <w:r w:rsidR="009C0223" w:rsidRPr="002F5BE3">
              <w:rPr>
                <w:b/>
                <w:sz w:val="20"/>
                <w:szCs w:val="20"/>
              </w:rPr>
              <w:t xml:space="preserve"> – ubezpieczenie mienia, sprzętu elektronicznego, maszyn od awarii i uszkodzeń</w:t>
            </w:r>
          </w:p>
        </w:tc>
      </w:tr>
      <w:tr w:rsidR="003C0672" w:rsidRPr="002F5BE3" w14:paraId="6F11B219" w14:textId="77777777" w:rsidTr="009B19D1">
        <w:tc>
          <w:tcPr>
            <w:tcW w:w="10052" w:type="dxa"/>
            <w:gridSpan w:val="2"/>
            <w:shd w:val="clear" w:color="auto" w:fill="BFBFBF" w:themeFill="background1" w:themeFillShade="BF"/>
          </w:tcPr>
          <w:p w14:paraId="2DE2C0F8" w14:textId="4ED54D23" w:rsidR="003C0672" w:rsidRPr="002F5BE3" w:rsidRDefault="006E5248" w:rsidP="003C0672">
            <w:pPr>
              <w:rPr>
                <w:sz w:val="20"/>
                <w:szCs w:val="20"/>
              </w:rPr>
            </w:pPr>
            <w:r w:rsidRPr="002F5BE3">
              <w:rPr>
                <w:b/>
                <w:sz w:val="20"/>
                <w:szCs w:val="20"/>
              </w:rPr>
              <w:t>Klauzule dla zadania II</w:t>
            </w:r>
            <w:r w:rsidR="00575096" w:rsidRPr="002F5BE3">
              <w:rPr>
                <w:b/>
                <w:sz w:val="20"/>
                <w:szCs w:val="20"/>
              </w:rPr>
              <w:t xml:space="preserve"> – OC działalności</w:t>
            </w:r>
          </w:p>
        </w:tc>
      </w:tr>
      <w:tr w:rsidR="003C0672" w:rsidRPr="002F5BE3" w14:paraId="03A33704" w14:textId="77777777" w:rsidTr="009B19D1">
        <w:tc>
          <w:tcPr>
            <w:tcW w:w="2132" w:type="dxa"/>
          </w:tcPr>
          <w:p w14:paraId="14EA5847" w14:textId="74379ADF" w:rsidR="003C0672" w:rsidRPr="00C77940" w:rsidRDefault="003C0672" w:rsidP="002A2BE7">
            <w:pPr>
              <w:pStyle w:val="Akapitzlist"/>
              <w:numPr>
                <w:ilvl w:val="0"/>
                <w:numId w:val="54"/>
              </w:numPr>
              <w:rPr>
                <w:b/>
                <w:bCs/>
                <w:sz w:val="20"/>
                <w:szCs w:val="20"/>
              </w:rPr>
            </w:pPr>
            <w:r w:rsidRPr="00C77940">
              <w:rPr>
                <w:b/>
                <w:bCs/>
                <w:sz w:val="20"/>
                <w:szCs w:val="20"/>
              </w:rPr>
              <w:t xml:space="preserve">Przetwarzanie danych osobowych </w:t>
            </w:r>
          </w:p>
        </w:tc>
        <w:tc>
          <w:tcPr>
            <w:tcW w:w="7920" w:type="dxa"/>
          </w:tcPr>
          <w:p w14:paraId="7D49648C" w14:textId="4B82B49A" w:rsidR="003C0672" w:rsidRPr="002F5BE3" w:rsidRDefault="003C0672" w:rsidP="003C0672">
            <w:pPr>
              <w:rPr>
                <w:sz w:val="20"/>
                <w:szCs w:val="20"/>
              </w:rPr>
            </w:pPr>
            <w:r w:rsidRPr="002F5BE3">
              <w:rPr>
                <w:sz w:val="20"/>
                <w:szCs w:val="20"/>
              </w:rPr>
              <w:t xml:space="preserve">OC za szkody wynikające z błędów podczas i w związku z przetwarzaniem danych osobowych – limit odpowiedzialności 500 000 zł </w:t>
            </w:r>
          </w:p>
        </w:tc>
      </w:tr>
      <w:tr w:rsidR="003C0672" w:rsidRPr="002F5BE3" w14:paraId="222E899C" w14:textId="77777777" w:rsidTr="009B19D1">
        <w:tc>
          <w:tcPr>
            <w:tcW w:w="2132" w:type="dxa"/>
          </w:tcPr>
          <w:p w14:paraId="27823426" w14:textId="19AC953D" w:rsidR="003C0672" w:rsidRPr="00C77940" w:rsidRDefault="003C0672" w:rsidP="002A2BE7">
            <w:pPr>
              <w:pStyle w:val="Akapitzlist"/>
              <w:numPr>
                <w:ilvl w:val="0"/>
                <w:numId w:val="54"/>
              </w:numPr>
              <w:rPr>
                <w:b/>
                <w:bCs/>
                <w:sz w:val="20"/>
                <w:szCs w:val="20"/>
              </w:rPr>
            </w:pPr>
            <w:r w:rsidRPr="00C77940">
              <w:rPr>
                <w:b/>
                <w:bCs/>
                <w:sz w:val="20"/>
                <w:szCs w:val="20"/>
              </w:rPr>
              <w:t>Czyste straty finansowe związane z produktem/usługą</w:t>
            </w:r>
          </w:p>
        </w:tc>
        <w:tc>
          <w:tcPr>
            <w:tcW w:w="7920" w:type="dxa"/>
          </w:tcPr>
          <w:p w14:paraId="49176946" w14:textId="70575394" w:rsidR="003C0672" w:rsidRPr="002F5BE3" w:rsidRDefault="003C0672" w:rsidP="003C0672">
            <w:pPr>
              <w:rPr>
                <w:sz w:val="20"/>
                <w:szCs w:val="20"/>
              </w:rPr>
            </w:pPr>
            <w:r w:rsidRPr="002F5BE3">
              <w:rPr>
                <w:sz w:val="20"/>
                <w:szCs w:val="20"/>
              </w:rPr>
              <w:t xml:space="preserve">Czyste straty finansowe </w:t>
            </w:r>
            <w:r w:rsidRPr="002F5BE3">
              <w:rPr>
                <w:b/>
                <w:sz w:val="20"/>
                <w:szCs w:val="20"/>
              </w:rPr>
              <w:t xml:space="preserve">obejmujące także szkody związane z produktem/usługą </w:t>
            </w:r>
            <w:r w:rsidRPr="002F5BE3">
              <w:rPr>
                <w:sz w:val="20"/>
                <w:szCs w:val="20"/>
              </w:rPr>
              <w:t>– limit 500 000 zł</w:t>
            </w:r>
          </w:p>
        </w:tc>
      </w:tr>
      <w:tr w:rsidR="003C0672" w:rsidRPr="002F5BE3" w14:paraId="461A551D" w14:textId="77777777" w:rsidTr="009B19D1">
        <w:tc>
          <w:tcPr>
            <w:tcW w:w="2132" w:type="dxa"/>
          </w:tcPr>
          <w:p w14:paraId="6E61DDB7" w14:textId="3FA86989" w:rsidR="003C0672" w:rsidRPr="00C77940" w:rsidRDefault="003C0672" w:rsidP="002A2BE7">
            <w:pPr>
              <w:pStyle w:val="Akapitzlist"/>
              <w:numPr>
                <w:ilvl w:val="0"/>
                <w:numId w:val="54"/>
              </w:numPr>
              <w:rPr>
                <w:b/>
                <w:bCs/>
                <w:sz w:val="20"/>
                <w:szCs w:val="20"/>
              </w:rPr>
            </w:pPr>
            <w:r w:rsidRPr="00C77940">
              <w:rPr>
                <w:b/>
                <w:bCs/>
                <w:sz w:val="20"/>
                <w:szCs w:val="20"/>
              </w:rPr>
              <w:t>Klauzula oddziaływania energii jądrowej</w:t>
            </w:r>
          </w:p>
        </w:tc>
        <w:tc>
          <w:tcPr>
            <w:tcW w:w="7920" w:type="dxa"/>
          </w:tcPr>
          <w:p w14:paraId="3B83B097" w14:textId="612E5A96" w:rsidR="003C0672" w:rsidRPr="002F5BE3" w:rsidRDefault="003C0672" w:rsidP="003C0672">
            <w:pPr>
              <w:rPr>
                <w:sz w:val="20"/>
                <w:szCs w:val="20"/>
              </w:rPr>
            </w:pPr>
            <w:r w:rsidRPr="002F5BE3">
              <w:rPr>
                <w:sz w:val="20"/>
                <w:szCs w:val="20"/>
              </w:rPr>
              <w:t>Szkody powstałe w następstwie oddziaływania energii jądrowej lub paliwa jądrowego, promieniowania jonizującego, skażenia radioaktywnego, odpadów nuklearnych, izotopów promieniotwórczych, promieni laserowych i maserowych oraz pola magnetycznego i elektromagnetycznego; - Instytut wykorzystuje w swojej działalności dyfraktometr oraz mikroskop elektronowy</w:t>
            </w:r>
          </w:p>
        </w:tc>
      </w:tr>
      <w:tr w:rsidR="003C0672" w:rsidRPr="002F5BE3" w14:paraId="6AE826C1" w14:textId="77777777" w:rsidTr="009B19D1">
        <w:tc>
          <w:tcPr>
            <w:tcW w:w="2132" w:type="dxa"/>
          </w:tcPr>
          <w:p w14:paraId="7B402594" w14:textId="22C35321" w:rsidR="003C0672" w:rsidRPr="00C77940" w:rsidRDefault="003C0672" w:rsidP="002A2BE7">
            <w:pPr>
              <w:pStyle w:val="Akapitzlist"/>
              <w:numPr>
                <w:ilvl w:val="0"/>
                <w:numId w:val="54"/>
              </w:numPr>
              <w:rPr>
                <w:b/>
                <w:bCs/>
                <w:sz w:val="20"/>
                <w:szCs w:val="20"/>
              </w:rPr>
            </w:pPr>
            <w:r w:rsidRPr="00C77940">
              <w:rPr>
                <w:b/>
                <w:bCs/>
                <w:sz w:val="20"/>
                <w:szCs w:val="20"/>
              </w:rPr>
              <w:t xml:space="preserve">Franszyza redukcyjna </w:t>
            </w:r>
          </w:p>
        </w:tc>
        <w:tc>
          <w:tcPr>
            <w:tcW w:w="7920" w:type="dxa"/>
          </w:tcPr>
          <w:p w14:paraId="66EE9C1E" w14:textId="4A561637" w:rsidR="003C0672" w:rsidRPr="002F5BE3" w:rsidRDefault="003C0672" w:rsidP="003C0672">
            <w:pPr>
              <w:rPr>
                <w:sz w:val="20"/>
                <w:szCs w:val="20"/>
              </w:rPr>
            </w:pPr>
            <w:r w:rsidRPr="002F5BE3">
              <w:rPr>
                <w:sz w:val="20"/>
                <w:szCs w:val="20"/>
              </w:rPr>
              <w:t>Obniżenie franszyzy redukcyjnej w szkodach majątkowych do poziomu  500 zł</w:t>
            </w:r>
          </w:p>
        </w:tc>
      </w:tr>
    </w:tbl>
    <w:p w14:paraId="4D9D4CFB" w14:textId="77777777" w:rsidR="00291482" w:rsidRPr="001E5294" w:rsidRDefault="00291482" w:rsidP="00291482"/>
    <w:p w14:paraId="237A1596" w14:textId="77777777" w:rsidR="003459FB" w:rsidRDefault="003459FB" w:rsidP="00D2154A">
      <w:pPr>
        <w:pStyle w:val="Nagwek2"/>
        <w:spacing w:before="0"/>
        <w:jc w:val="both"/>
        <w:rPr>
          <w:highlight w:val="red"/>
        </w:rPr>
      </w:pPr>
    </w:p>
    <w:p w14:paraId="1D9AD4F7" w14:textId="77777777" w:rsidR="005A533C" w:rsidRPr="00C52529" w:rsidRDefault="005A533C" w:rsidP="00D2154A">
      <w:pPr>
        <w:pStyle w:val="Nagwek2"/>
        <w:spacing w:before="0"/>
        <w:jc w:val="both"/>
      </w:pPr>
      <w:bookmarkStart w:id="31" w:name="_Toc141097877"/>
      <w:r w:rsidRPr="00C52529">
        <w:t xml:space="preserve">Zadanie </w:t>
      </w:r>
      <w:r w:rsidR="003459FB" w:rsidRPr="00C52529">
        <w:t>3</w:t>
      </w:r>
      <w:r w:rsidRPr="00C52529">
        <w:t xml:space="preserve">  - Ubezpieczenia komunikacyjne</w:t>
      </w:r>
      <w:bookmarkEnd w:id="31"/>
    </w:p>
    <w:p w14:paraId="57E8C76B" w14:textId="77777777" w:rsidR="00807E40" w:rsidRDefault="00807E40" w:rsidP="00D2154A">
      <w:pPr>
        <w:spacing w:after="0"/>
        <w:jc w:val="both"/>
      </w:pPr>
    </w:p>
    <w:p w14:paraId="18373CD9" w14:textId="77777777" w:rsidR="001E5294" w:rsidRPr="00D2154A" w:rsidRDefault="001E5294" w:rsidP="00D2154A">
      <w:pPr>
        <w:spacing w:after="0"/>
        <w:jc w:val="both"/>
      </w:pPr>
    </w:p>
    <w:p w14:paraId="1A2616AB" w14:textId="77777777" w:rsidR="00840281" w:rsidRPr="00C52529" w:rsidRDefault="00413CD8" w:rsidP="002A2BE7">
      <w:pPr>
        <w:pStyle w:val="Akapitzlist"/>
        <w:numPr>
          <w:ilvl w:val="0"/>
          <w:numId w:val="14"/>
        </w:numPr>
        <w:spacing w:after="0"/>
        <w:jc w:val="both"/>
        <w:outlineLvl w:val="2"/>
        <w:rPr>
          <w:b/>
        </w:rPr>
      </w:pPr>
      <w:bookmarkStart w:id="32" w:name="_Toc141097878"/>
      <w:r w:rsidRPr="00C52529">
        <w:rPr>
          <w:b/>
        </w:rPr>
        <w:t>Przedmiot ubezpieczenia</w:t>
      </w:r>
      <w:bookmarkEnd w:id="32"/>
    </w:p>
    <w:p w14:paraId="42405CB0" w14:textId="77777777" w:rsidR="00840281" w:rsidRPr="00C52529" w:rsidRDefault="00E25147" w:rsidP="002A2BE7">
      <w:pPr>
        <w:pStyle w:val="Akapitzlist"/>
        <w:numPr>
          <w:ilvl w:val="1"/>
          <w:numId w:val="14"/>
        </w:numPr>
        <w:spacing w:after="0"/>
        <w:jc w:val="both"/>
        <w:rPr>
          <w:b/>
        </w:rPr>
      </w:pPr>
      <w:r w:rsidRPr="00C52529">
        <w:rPr>
          <w:b/>
        </w:rPr>
        <w:t>Przedmiot ubezpieczeń będzie obejmował:</w:t>
      </w:r>
    </w:p>
    <w:p w14:paraId="3A30991D" w14:textId="77777777" w:rsidR="00E25147" w:rsidRPr="00D2154A" w:rsidRDefault="00E25147" w:rsidP="00D2154A">
      <w:pPr>
        <w:pStyle w:val="Akapitzlist"/>
        <w:spacing w:after="0"/>
        <w:ind w:left="792"/>
        <w:jc w:val="both"/>
        <w:rPr>
          <w:b/>
        </w:rPr>
      </w:pPr>
    </w:p>
    <w:p w14:paraId="756ECAD1" w14:textId="77777777" w:rsidR="00E25147" w:rsidRPr="00D2154A" w:rsidRDefault="00E25147" w:rsidP="002A2BE7">
      <w:pPr>
        <w:pStyle w:val="Akapitzlist"/>
        <w:numPr>
          <w:ilvl w:val="0"/>
          <w:numId w:val="15"/>
        </w:numPr>
        <w:spacing w:after="0"/>
        <w:ind w:left="1077" w:hanging="357"/>
        <w:jc w:val="both"/>
      </w:pPr>
      <w:r w:rsidRPr="00D2154A">
        <w:t>Odpowiedzialność cywilną posiadacza pojazdów mechanicznych zgodnie z Ustawą z dnia 22 maja 2003r. o ubezpieczeniach obowiązkowy</w:t>
      </w:r>
      <w:r w:rsidR="00B927BF" w:rsidRPr="00D2154A">
        <w:t xml:space="preserve">ch, UFG i </w:t>
      </w:r>
      <w:proofErr w:type="spellStart"/>
      <w:r w:rsidR="00B927BF" w:rsidRPr="00D2154A">
        <w:t>PBUiK</w:t>
      </w:r>
      <w:proofErr w:type="spellEnd"/>
      <w:r w:rsidR="00B927BF" w:rsidRPr="00D2154A">
        <w:t>,</w:t>
      </w:r>
    </w:p>
    <w:p w14:paraId="3667B999" w14:textId="77777777" w:rsidR="00B927BF" w:rsidRPr="00D2154A" w:rsidRDefault="00B927BF" w:rsidP="002A2BE7">
      <w:pPr>
        <w:pStyle w:val="Akapitzlist"/>
        <w:numPr>
          <w:ilvl w:val="0"/>
          <w:numId w:val="15"/>
        </w:numPr>
        <w:spacing w:after="0"/>
        <w:ind w:left="1077" w:hanging="357"/>
        <w:jc w:val="both"/>
      </w:pPr>
      <w:r w:rsidRPr="00D2154A">
        <w:t xml:space="preserve">Ubezpieczenie </w:t>
      </w:r>
      <w:r w:rsidR="006768D2" w:rsidRPr="00D2154A">
        <w:t>odpowiedzialności cywilnej posiadacza pojazdu mechanicznego w ruchu zagranicznym (Zielona Karta),</w:t>
      </w:r>
    </w:p>
    <w:p w14:paraId="4447FE38" w14:textId="77777777" w:rsidR="00E25147" w:rsidRPr="00D2154A" w:rsidRDefault="00E25147" w:rsidP="002A2BE7">
      <w:pPr>
        <w:numPr>
          <w:ilvl w:val="0"/>
          <w:numId w:val="15"/>
        </w:numPr>
        <w:spacing w:after="0"/>
        <w:ind w:left="1077" w:hanging="357"/>
        <w:jc w:val="both"/>
        <w:rPr>
          <w:rFonts w:cs="Tahoma"/>
        </w:rPr>
      </w:pPr>
      <w:r w:rsidRPr="00D2154A">
        <w:rPr>
          <w:rFonts w:cs="Tahoma"/>
        </w:rPr>
        <w:t>Ubezpieczenie autocasco z kradzieżą i rabunkiem (AC/KR)</w:t>
      </w:r>
      <w:r w:rsidR="00B927BF" w:rsidRPr="00D2154A">
        <w:rPr>
          <w:rFonts w:cs="Tahoma"/>
        </w:rPr>
        <w:t>,</w:t>
      </w:r>
    </w:p>
    <w:p w14:paraId="18F089CE" w14:textId="77777777" w:rsidR="00E25147" w:rsidRPr="00D2154A" w:rsidRDefault="00E25147" w:rsidP="002A2BE7">
      <w:pPr>
        <w:pStyle w:val="Akapitzlist"/>
        <w:numPr>
          <w:ilvl w:val="0"/>
          <w:numId w:val="15"/>
        </w:numPr>
        <w:spacing w:after="0"/>
        <w:ind w:left="1077" w:hanging="357"/>
        <w:jc w:val="both"/>
      </w:pPr>
      <w:r w:rsidRPr="00D2154A">
        <w:t>Ubezpieczenie następstw nieszczęśliwych wypadków</w:t>
      </w:r>
      <w:r w:rsidR="006768D2" w:rsidRPr="00D2154A">
        <w:t xml:space="preserve"> kierowców i pasażerów pojazdów,</w:t>
      </w:r>
    </w:p>
    <w:p w14:paraId="5EE3670C" w14:textId="77777777" w:rsidR="0046360D" w:rsidRPr="00D2154A" w:rsidRDefault="0046360D" w:rsidP="002A2BE7">
      <w:pPr>
        <w:pStyle w:val="Akapitzlist"/>
        <w:numPr>
          <w:ilvl w:val="0"/>
          <w:numId w:val="15"/>
        </w:numPr>
        <w:spacing w:after="0"/>
        <w:ind w:left="1077" w:hanging="357"/>
        <w:jc w:val="both"/>
      </w:pPr>
      <w:r w:rsidRPr="00D2154A">
        <w:t>Ubezpieczenie Assistance</w:t>
      </w:r>
      <w:r w:rsidR="006768D2" w:rsidRPr="00D2154A">
        <w:t>.</w:t>
      </w:r>
    </w:p>
    <w:p w14:paraId="583D07B9" w14:textId="77777777" w:rsidR="00607A07" w:rsidRPr="00D2154A" w:rsidRDefault="00607A07" w:rsidP="00D2154A">
      <w:pPr>
        <w:pStyle w:val="Akapitzlist"/>
        <w:spacing w:after="0"/>
        <w:ind w:left="792"/>
        <w:jc w:val="both"/>
        <w:rPr>
          <w:b/>
        </w:rPr>
      </w:pPr>
    </w:p>
    <w:p w14:paraId="75B53292" w14:textId="77777777" w:rsidR="00840281" w:rsidRPr="00E20635" w:rsidRDefault="00840281" w:rsidP="00D2154A">
      <w:pPr>
        <w:pStyle w:val="Akapitzlist"/>
        <w:spacing w:after="0"/>
        <w:ind w:left="792"/>
        <w:jc w:val="both"/>
        <w:rPr>
          <w:b/>
          <w:color w:val="FF0000"/>
        </w:rPr>
      </w:pPr>
    </w:p>
    <w:p w14:paraId="43620DF0" w14:textId="77777777" w:rsidR="007E6DEA" w:rsidRPr="00B6430E" w:rsidRDefault="007E6DEA" w:rsidP="002A2BE7">
      <w:pPr>
        <w:pStyle w:val="Akapitzlist"/>
        <w:numPr>
          <w:ilvl w:val="0"/>
          <w:numId w:val="14"/>
        </w:numPr>
        <w:spacing w:after="0"/>
        <w:jc w:val="both"/>
        <w:outlineLvl w:val="2"/>
        <w:rPr>
          <w:b/>
          <w:color w:val="000000" w:themeColor="text1"/>
        </w:rPr>
      </w:pPr>
      <w:bookmarkStart w:id="33" w:name="_Toc141097879"/>
      <w:r w:rsidRPr="00B6430E">
        <w:rPr>
          <w:b/>
          <w:color w:val="000000" w:themeColor="text1"/>
        </w:rPr>
        <w:t>Założenia wspólne</w:t>
      </w:r>
      <w:bookmarkEnd w:id="33"/>
    </w:p>
    <w:p w14:paraId="23BD969E" w14:textId="77777777" w:rsidR="00B071AB" w:rsidRPr="00E20635" w:rsidRDefault="00B071AB" w:rsidP="002A2BE7">
      <w:pPr>
        <w:pStyle w:val="Akapitzlist"/>
        <w:numPr>
          <w:ilvl w:val="0"/>
          <w:numId w:val="46"/>
        </w:numPr>
      </w:pPr>
      <w:r w:rsidRPr="00E20635">
        <w:t>Wykonawca, którego ofertę wybrano, zobowiązany będzie wystawiać i doręczać polisy lub inne dokumenty potwierdzające zawarcie ubezpieczeń komunikacyjnych uwzględniające indywidualny okres ubezpieczenia, najpóźniej na trzy dni przed jego rozpoczęciem;</w:t>
      </w:r>
    </w:p>
    <w:p w14:paraId="3B47EA7D" w14:textId="389742B7" w:rsidR="00B071AB" w:rsidRPr="00E20635" w:rsidRDefault="00B071AB" w:rsidP="002A2BE7">
      <w:pPr>
        <w:pStyle w:val="Akapitzlist"/>
        <w:numPr>
          <w:ilvl w:val="0"/>
          <w:numId w:val="46"/>
        </w:numPr>
      </w:pPr>
      <w:r w:rsidRPr="00E20635">
        <w:t>Rozliczenie składki za pojazdy sprzedane, wyrejestrowane, wycofane - pro rata temporis</w:t>
      </w:r>
      <w:r w:rsidR="00C85A8E">
        <w:t>.</w:t>
      </w:r>
    </w:p>
    <w:p w14:paraId="50FB9500" w14:textId="77777777" w:rsidR="00151324" w:rsidRPr="00E20635" w:rsidRDefault="00B071AB" w:rsidP="002A2BE7">
      <w:pPr>
        <w:pStyle w:val="Akapitzlist"/>
        <w:numPr>
          <w:ilvl w:val="0"/>
          <w:numId w:val="46"/>
        </w:numPr>
      </w:pPr>
      <w:r w:rsidRPr="00E20635">
        <w:t xml:space="preserve">Przedmiot ubezpieczenia są pojazdy należące lub będące w posiadaniu (np. w ramach umowy leasingu, dzierżawy lub użyczenia) Ubezpieczonego i wyszczególnione w załączonym wykazie lub zgłoszone do ubezpieczenia w późniejszym terminie. </w:t>
      </w:r>
    </w:p>
    <w:p w14:paraId="5E9007CD" w14:textId="1DE727AC" w:rsidR="00B071AB" w:rsidRPr="00E20635" w:rsidRDefault="00B071AB" w:rsidP="002A2BE7">
      <w:pPr>
        <w:pStyle w:val="Akapitzlist"/>
        <w:numPr>
          <w:ilvl w:val="0"/>
          <w:numId w:val="46"/>
        </w:numPr>
      </w:pPr>
      <w:r w:rsidRPr="00E20635">
        <w:t>Ochroną ubezpieczeniową zostają objęte pojazdy pod warunkiem, iż są napędzane silnikiem z własnego źródła energii - nawet pojazdy nie podlegające rejestracji w myśl ustawy Prawo o Ruchu Drogowym z dnia 20 czerwca 1997 r. z późniejszymi zmianami.</w:t>
      </w:r>
    </w:p>
    <w:p w14:paraId="56882567" w14:textId="77777777" w:rsidR="00247F39" w:rsidRPr="00E20635" w:rsidRDefault="00151324" w:rsidP="002A2BE7">
      <w:pPr>
        <w:pStyle w:val="Akapitzlist"/>
        <w:numPr>
          <w:ilvl w:val="0"/>
          <w:numId w:val="46"/>
        </w:numPr>
      </w:pPr>
      <w:r w:rsidRPr="00E20635">
        <w:t>Nowo zakupione w okresie ubezpieczenia pojazdy obejmowane będą ochroną ubezpieczeniową na warunkach nie gorszych, aniżeli wynikających z treści oferty złożonej przez Wykonawcę.</w:t>
      </w:r>
    </w:p>
    <w:p w14:paraId="38BC4CE1" w14:textId="77777777" w:rsidR="00250543" w:rsidRDefault="00250543" w:rsidP="002A2BE7">
      <w:pPr>
        <w:pStyle w:val="Akapitzlist"/>
        <w:numPr>
          <w:ilvl w:val="0"/>
          <w:numId w:val="46"/>
        </w:numPr>
      </w:pPr>
      <w:r w:rsidRPr="00E20635">
        <w:t xml:space="preserve">Dla ryzyka auto-casco, dla pojazdów których okres eksploatacji nie przekroczył 12 miesięcy, wartością rynkową określaną do celów wypłaty odszkodowania będzie jego wartość fakturowa. </w:t>
      </w:r>
    </w:p>
    <w:p w14:paraId="6993D909" w14:textId="64E5ACCA" w:rsidR="00F94401" w:rsidRPr="00E20635" w:rsidRDefault="00F94401" w:rsidP="002A2BE7">
      <w:pPr>
        <w:pStyle w:val="Akapitzlist"/>
        <w:numPr>
          <w:ilvl w:val="0"/>
          <w:numId w:val="46"/>
        </w:numPr>
      </w:pPr>
      <w:r>
        <w:lastRenderedPageBreak/>
        <w:t>Wartość fakturowa przyjmowana jest wyłącznie dla pojazdów fabrycznie nowych, w pozostałych przypadkach wartość wyliczana będzie na podstawie programu „</w:t>
      </w:r>
      <w:proofErr w:type="spellStart"/>
      <w:r>
        <w:t>InfoExpert</w:t>
      </w:r>
      <w:proofErr w:type="spellEnd"/>
      <w:r>
        <w:t>” lub „</w:t>
      </w:r>
      <w:proofErr w:type="spellStart"/>
      <w:r>
        <w:t>Eurotax</w:t>
      </w:r>
      <w:proofErr w:type="spellEnd"/>
      <w:r>
        <w:t>”,</w:t>
      </w:r>
    </w:p>
    <w:p w14:paraId="07E79C82" w14:textId="77777777" w:rsidR="002F21E4" w:rsidRDefault="002F21E4" w:rsidP="002A2BE7">
      <w:pPr>
        <w:pStyle w:val="Akapitzlist"/>
        <w:numPr>
          <w:ilvl w:val="0"/>
          <w:numId w:val="16"/>
        </w:numPr>
        <w:spacing w:after="0"/>
        <w:jc w:val="both"/>
      </w:pPr>
      <w:r>
        <w:t>Dla pojazdów nowych, zakupionych w czasie trwania ubezpieczenia,  okres ubezpieczenia rozpoczyna się od dnia zakupu (na podstawie faktury) lub z dniem podpisania stosownej umowy, pod warunkiem zgłoszenia do Ubezpieczyciela wniosku nie później niż 3 dni od dnia rejestracji pojazdu;</w:t>
      </w:r>
    </w:p>
    <w:p w14:paraId="5B6BE8F0" w14:textId="77777777" w:rsidR="002F21E4" w:rsidRDefault="002F21E4" w:rsidP="002A2BE7">
      <w:pPr>
        <w:pStyle w:val="Akapitzlist"/>
        <w:numPr>
          <w:ilvl w:val="0"/>
          <w:numId w:val="16"/>
        </w:numPr>
        <w:spacing w:after="0"/>
        <w:jc w:val="both"/>
      </w:pPr>
      <w:r>
        <w:t>Dla pojazdów nowych, przyjętych w posiadanie lub w leasing  w czasie trwania ubezpieczenia,  okres ubezpieczenia rozpoczyna się od dnia zakupu (na podstawie faktury), z dniem podpisania stosownej umowy, najpóźniej z dniem rejestracji.</w:t>
      </w:r>
    </w:p>
    <w:p w14:paraId="042A544C" w14:textId="11AC0A0B" w:rsidR="003E4496" w:rsidRPr="00D2154A" w:rsidRDefault="003E4496" w:rsidP="002A2BE7">
      <w:pPr>
        <w:pStyle w:val="Akapitzlist"/>
        <w:numPr>
          <w:ilvl w:val="0"/>
          <w:numId w:val="16"/>
        </w:numPr>
        <w:spacing w:after="0"/>
        <w:jc w:val="both"/>
      </w:pPr>
      <w:r>
        <w:t xml:space="preserve">Wykaz pojazdów należących lub </w:t>
      </w:r>
      <w:r w:rsidRPr="00607A07">
        <w:t>będąc</w:t>
      </w:r>
      <w:r>
        <w:t>ych</w:t>
      </w:r>
      <w:r w:rsidRPr="00607A07">
        <w:t xml:space="preserve"> w posiadaniu Zamawiającego</w:t>
      </w:r>
      <w:r>
        <w:t xml:space="preserve"> zgodnie z </w:t>
      </w:r>
      <w:r w:rsidR="006E41E4">
        <w:rPr>
          <w:b/>
          <w:bCs/>
        </w:rPr>
        <w:t>Załącznikiem nr 5</w:t>
      </w:r>
      <w:r w:rsidRPr="00664F5D">
        <w:rPr>
          <w:b/>
          <w:bCs/>
        </w:rPr>
        <w:t xml:space="preserve"> </w:t>
      </w:r>
      <w:r w:rsidR="00A6723B">
        <w:rPr>
          <w:b/>
          <w:bCs/>
        </w:rPr>
        <w:t>– wykaz pojazdów</w:t>
      </w:r>
    </w:p>
    <w:p w14:paraId="6F266815" w14:textId="77777777" w:rsidR="00E53E0B" w:rsidRDefault="00E53E0B" w:rsidP="00D2154A">
      <w:pPr>
        <w:pStyle w:val="remtrak"/>
        <w:spacing w:line="276" w:lineRule="auto"/>
        <w:jc w:val="both"/>
        <w:rPr>
          <w:rFonts w:asciiTheme="minorHAnsi" w:hAnsiTheme="minorHAnsi"/>
          <w:sz w:val="22"/>
          <w:szCs w:val="22"/>
          <w:highlight w:val="yellow"/>
        </w:rPr>
      </w:pPr>
    </w:p>
    <w:p w14:paraId="4F0CECBF" w14:textId="77777777" w:rsidR="00FE0A62" w:rsidRPr="00D2154A" w:rsidRDefault="00FE0A62" w:rsidP="00D2154A">
      <w:pPr>
        <w:pStyle w:val="remtrak"/>
        <w:spacing w:line="276" w:lineRule="auto"/>
        <w:jc w:val="both"/>
        <w:rPr>
          <w:rFonts w:asciiTheme="minorHAnsi" w:hAnsiTheme="minorHAnsi"/>
          <w:sz w:val="22"/>
          <w:szCs w:val="22"/>
          <w:highlight w:val="yellow"/>
        </w:rPr>
      </w:pPr>
    </w:p>
    <w:p w14:paraId="55FEE56F" w14:textId="77777777" w:rsidR="003578FE" w:rsidRPr="00F50AC1" w:rsidRDefault="00E20635" w:rsidP="002A2BE7">
      <w:pPr>
        <w:pStyle w:val="Akapitzlist"/>
        <w:numPr>
          <w:ilvl w:val="0"/>
          <w:numId w:val="14"/>
        </w:numPr>
        <w:spacing w:after="0"/>
        <w:jc w:val="both"/>
        <w:outlineLvl w:val="2"/>
        <w:rPr>
          <w:b/>
          <w:color w:val="1F497D" w:themeColor="text2"/>
        </w:rPr>
      </w:pPr>
      <w:bookmarkStart w:id="34" w:name="_Toc141097880"/>
      <w:r w:rsidRPr="00F50AC1">
        <w:rPr>
          <w:b/>
          <w:color w:val="1F497D" w:themeColor="text2"/>
        </w:rPr>
        <w:t>Obowiązkowe ubezpieczenie odpowiedzialności cywilnej posiadaczy pojazdów mechanicznych za szkody powstałe w związku z ruchem pojazdów.</w:t>
      </w:r>
      <w:bookmarkEnd w:id="34"/>
    </w:p>
    <w:p w14:paraId="2EB4BAA7" w14:textId="77777777" w:rsidR="00E20635" w:rsidRPr="00D2154A" w:rsidRDefault="00E20635" w:rsidP="00E20635">
      <w:pPr>
        <w:pStyle w:val="Akapitzlist"/>
        <w:spacing w:after="0"/>
        <w:ind w:left="792"/>
        <w:jc w:val="both"/>
        <w:rPr>
          <w:b/>
        </w:rPr>
      </w:pPr>
    </w:p>
    <w:p w14:paraId="66695EA6" w14:textId="77777777" w:rsidR="003578FE" w:rsidRPr="00D2154A" w:rsidRDefault="003578FE" w:rsidP="002A2BE7">
      <w:pPr>
        <w:pStyle w:val="Akapitzlist"/>
        <w:numPr>
          <w:ilvl w:val="1"/>
          <w:numId w:val="14"/>
        </w:numPr>
        <w:spacing w:after="0"/>
        <w:jc w:val="both"/>
        <w:rPr>
          <w:b/>
        </w:rPr>
      </w:pPr>
      <w:r w:rsidRPr="00D2154A">
        <w:rPr>
          <w:b/>
        </w:rPr>
        <w:t>Przedmiot ubezpieczenia</w:t>
      </w:r>
    </w:p>
    <w:p w14:paraId="7360F92B" w14:textId="77777777" w:rsidR="004D6F3C" w:rsidRDefault="003578FE" w:rsidP="00D2154A">
      <w:pPr>
        <w:pStyle w:val="Akapitzlist"/>
        <w:spacing w:after="0"/>
        <w:ind w:left="792"/>
        <w:jc w:val="both"/>
      </w:pPr>
      <w:r w:rsidRPr="00D2154A">
        <w:tab/>
        <w:t xml:space="preserve">Ochroną ubezpieczeniową objęte zostaną wszystkie pojazdy mechaniczne stanowiące własność, będące w posiadaniu lub użytkowaniu Ubezpieczającego podlegające obowiązkowemu ubezpieczeniu odpowiedzialności cywilnej posiadaczy pojazdów mechanicznych za szkody powstałe w związku z ruchem tych pojazdów - zgodnie z obowiązującym w momencie szkody aktem normatywnym (Ustawą z dnia 22 maja 2003 r. o ubezpieczeniach obowiązkowych, Ubezpieczeniowym Funduszu Gwarancyjnym i Polskim Biurze Ubezpieczycieli Komunikacyjnych (Dz. U. z 2003 r., nr 124, poz. 1152 z późniejszymi zmianami). </w:t>
      </w:r>
      <w:r w:rsidR="00E20635">
        <w:t xml:space="preserve"> </w:t>
      </w:r>
    </w:p>
    <w:p w14:paraId="6A43D1EB" w14:textId="0BC4EC21" w:rsidR="003578FE" w:rsidRDefault="00E20635" w:rsidP="002A2BE7">
      <w:pPr>
        <w:pStyle w:val="Akapitzlist"/>
        <w:numPr>
          <w:ilvl w:val="0"/>
          <w:numId w:val="34"/>
        </w:numPr>
        <w:spacing w:after="0"/>
        <w:jc w:val="both"/>
      </w:pPr>
      <w:r>
        <w:t xml:space="preserve">Okres ubezpieczenia zgodnie z załącznikiem, od momentu ekspiracji obowiązujących polis, zgodnie z zapisami </w:t>
      </w:r>
      <w:r w:rsidRPr="00E20635">
        <w:t>Ustawy z dnia 23 kwietnia 1964 Kodeks cywilny, Ustawy z dnia 22 maja 2003 r. o ubezpieczeniach obowiązkowych, Ubezpieczeniowym Funduszu Gwarancyjnym i Polskim Biurze Ubezpieczycieli Komunikacyjnych (w ich każdorazowo aktualnym brzmieniu).</w:t>
      </w:r>
    </w:p>
    <w:p w14:paraId="01932D27" w14:textId="77777777" w:rsidR="003578FE" w:rsidRPr="00D2154A" w:rsidRDefault="003578FE" w:rsidP="00D2154A">
      <w:pPr>
        <w:pStyle w:val="Akapitzlist"/>
        <w:spacing w:after="0"/>
        <w:ind w:left="792"/>
        <w:jc w:val="both"/>
      </w:pPr>
    </w:p>
    <w:p w14:paraId="0637EE03" w14:textId="77777777" w:rsidR="003578FE" w:rsidRPr="00D2154A" w:rsidRDefault="003578FE" w:rsidP="002A2BE7">
      <w:pPr>
        <w:pStyle w:val="Akapitzlist"/>
        <w:numPr>
          <w:ilvl w:val="1"/>
          <w:numId w:val="14"/>
        </w:numPr>
        <w:spacing w:after="0"/>
        <w:jc w:val="both"/>
        <w:rPr>
          <w:b/>
        </w:rPr>
      </w:pPr>
      <w:r w:rsidRPr="00D2154A">
        <w:rPr>
          <w:b/>
        </w:rPr>
        <w:t xml:space="preserve">Suma </w:t>
      </w:r>
      <w:r w:rsidR="00E20635">
        <w:rPr>
          <w:b/>
        </w:rPr>
        <w:t xml:space="preserve">gwarancyjna </w:t>
      </w:r>
    </w:p>
    <w:p w14:paraId="2AB2AF73" w14:textId="77777777" w:rsidR="003578FE" w:rsidRPr="00D2154A" w:rsidRDefault="00E20635" w:rsidP="00D2154A">
      <w:pPr>
        <w:pStyle w:val="Akapitzlist"/>
        <w:spacing w:after="0"/>
        <w:ind w:left="792"/>
        <w:jc w:val="both"/>
      </w:pPr>
      <w:r>
        <w:t>M</w:t>
      </w:r>
      <w:r w:rsidRPr="00E20635">
        <w:t>inimalna ustawowa, obowiązująca na podstawie aktualnych przepisów prawa (w przypadku zwiększenia przez ustawodawcę minimalnej ustawowej sumy gwarancyjnej, składka za ubezpieczenie pozostaje bez zmian).</w:t>
      </w:r>
    </w:p>
    <w:p w14:paraId="2401A342" w14:textId="77777777" w:rsidR="00E20635" w:rsidRPr="00607A07" w:rsidRDefault="00E20635" w:rsidP="00E20635">
      <w:pPr>
        <w:pStyle w:val="Tekstpodstawowy32"/>
        <w:pBdr>
          <w:top w:val="none" w:sz="0" w:space="0" w:color="auto"/>
          <w:left w:val="none" w:sz="0" w:space="0" w:color="auto"/>
          <w:bottom w:val="none" w:sz="0" w:space="0" w:color="auto"/>
          <w:right w:val="none" w:sz="0" w:space="0" w:color="auto"/>
        </w:pBdr>
        <w:spacing w:line="276" w:lineRule="auto"/>
        <w:jc w:val="both"/>
        <w:rPr>
          <w:rFonts w:ascii="Arial" w:hAnsi="Arial" w:cs="Arial"/>
          <w:color w:val="FF0000"/>
          <w:sz w:val="18"/>
          <w:szCs w:val="18"/>
        </w:rPr>
      </w:pPr>
    </w:p>
    <w:p w14:paraId="06C68537" w14:textId="77777777" w:rsidR="00AE4408" w:rsidRPr="00D2154A" w:rsidRDefault="00AE4408" w:rsidP="00D2154A">
      <w:pPr>
        <w:pStyle w:val="Akapitzlist"/>
        <w:spacing w:after="0"/>
        <w:ind w:left="792"/>
        <w:jc w:val="both"/>
      </w:pPr>
    </w:p>
    <w:p w14:paraId="08F153EB" w14:textId="77777777" w:rsidR="006E7F82" w:rsidRPr="00F50AC1" w:rsidRDefault="006E7F82" w:rsidP="002A2BE7">
      <w:pPr>
        <w:pStyle w:val="Akapitzlist"/>
        <w:numPr>
          <w:ilvl w:val="0"/>
          <w:numId w:val="14"/>
        </w:numPr>
        <w:spacing w:after="0"/>
        <w:jc w:val="both"/>
        <w:outlineLvl w:val="2"/>
        <w:rPr>
          <w:b/>
          <w:color w:val="1F497D" w:themeColor="text2"/>
        </w:rPr>
      </w:pPr>
      <w:bookmarkStart w:id="35" w:name="_Toc141097882"/>
      <w:r w:rsidRPr="00F50AC1">
        <w:rPr>
          <w:b/>
          <w:color w:val="1F497D" w:themeColor="text2"/>
        </w:rPr>
        <w:t>Ubezpieczenie Auto-Casco</w:t>
      </w:r>
      <w:bookmarkEnd w:id="35"/>
    </w:p>
    <w:p w14:paraId="2D2D160B" w14:textId="77777777" w:rsidR="00481761" w:rsidRPr="00D2154A" w:rsidRDefault="00481761" w:rsidP="00213287"/>
    <w:p w14:paraId="35B37C43" w14:textId="77777777" w:rsidR="00AA302A" w:rsidRPr="00D2154A" w:rsidRDefault="00AA302A" w:rsidP="002A2BE7">
      <w:pPr>
        <w:pStyle w:val="Akapitzlist"/>
        <w:numPr>
          <w:ilvl w:val="1"/>
          <w:numId w:val="14"/>
        </w:numPr>
        <w:spacing w:after="0"/>
        <w:jc w:val="both"/>
        <w:outlineLvl w:val="2"/>
      </w:pPr>
      <w:bookmarkStart w:id="36" w:name="_Toc141097883"/>
      <w:r w:rsidRPr="00481761">
        <w:rPr>
          <w:b/>
        </w:rPr>
        <w:t>Zakres terytorialny</w:t>
      </w:r>
      <w:r w:rsidR="00481761">
        <w:rPr>
          <w:b/>
        </w:rPr>
        <w:t xml:space="preserve"> – </w:t>
      </w:r>
      <w:r w:rsidR="00481761" w:rsidRPr="00481761">
        <w:rPr>
          <w:bCs/>
        </w:rPr>
        <w:t xml:space="preserve">RP </w:t>
      </w:r>
      <w:r w:rsidRPr="00D2154A">
        <w:t>i Europa</w:t>
      </w:r>
      <w:bookmarkEnd w:id="36"/>
    </w:p>
    <w:p w14:paraId="41B2EF21" w14:textId="77777777" w:rsidR="00AA302A" w:rsidRPr="00D2154A" w:rsidRDefault="00AA302A" w:rsidP="00CA4D5D">
      <w:pPr>
        <w:pStyle w:val="Akapitzlist"/>
        <w:spacing w:after="0"/>
        <w:ind w:left="2221"/>
        <w:jc w:val="both"/>
      </w:pPr>
    </w:p>
    <w:p w14:paraId="088CA832" w14:textId="77777777" w:rsidR="00000F84" w:rsidRPr="00D2154A" w:rsidRDefault="00000F84" w:rsidP="002A2BE7">
      <w:pPr>
        <w:pStyle w:val="Akapitzlist"/>
        <w:numPr>
          <w:ilvl w:val="1"/>
          <w:numId w:val="14"/>
        </w:numPr>
        <w:spacing w:after="0"/>
        <w:jc w:val="both"/>
        <w:outlineLvl w:val="2"/>
      </w:pPr>
      <w:bookmarkStart w:id="37" w:name="_Toc141097884"/>
      <w:r w:rsidRPr="00481761">
        <w:rPr>
          <w:b/>
        </w:rPr>
        <w:t>Zakres ubezpieczenia</w:t>
      </w:r>
      <w:r w:rsidR="00481761">
        <w:rPr>
          <w:b/>
        </w:rPr>
        <w:t xml:space="preserve"> </w:t>
      </w:r>
      <w:r w:rsidR="00922A35">
        <w:rPr>
          <w:b/>
        </w:rPr>
        <w:t>–</w:t>
      </w:r>
      <w:r w:rsidR="00481761">
        <w:rPr>
          <w:b/>
        </w:rPr>
        <w:t xml:space="preserve"> </w:t>
      </w:r>
      <w:r w:rsidR="00922A35">
        <w:t xml:space="preserve">Ubezpieczyciel ponosi odpowiedzialność w zakresie pełnym, </w:t>
      </w:r>
      <w:r w:rsidRPr="00D2154A">
        <w:t>z rozszerzeniem o ryzyko kradzieży i rabunku</w:t>
      </w:r>
      <w:r w:rsidR="00481761">
        <w:t xml:space="preserve"> całego pojazdu lub jego części</w:t>
      </w:r>
      <w:r w:rsidR="00922A35">
        <w:t>, w szczególności za:</w:t>
      </w:r>
      <w:bookmarkEnd w:id="37"/>
    </w:p>
    <w:p w14:paraId="171D4C86" w14:textId="77777777" w:rsidR="00000F84" w:rsidRPr="00D2154A" w:rsidRDefault="00000F84" w:rsidP="00D2154A">
      <w:pPr>
        <w:pStyle w:val="Akapitzlist"/>
        <w:spacing w:after="0"/>
        <w:ind w:left="1224"/>
        <w:jc w:val="both"/>
        <w:rPr>
          <w:b/>
        </w:rPr>
      </w:pPr>
    </w:p>
    <w:p w14:paraId="5A0D79A9" w14:textId="77777777" w:rsidR="002B7D4C" w:rsidRPr="00D2154A" w:rsidRDefault="00922A35" w:rsidP="002A2BE7">
      <w:pPr>
        <w:pStyle w:val="Akapitzlist"/>
        <w:numPr>
          <w:ilvl w:val="0"/>
          <w:numId w:val="17"/>
        </w:numPr>
        <w:spacing w:after="0"/>
        <w:jc w:val="both"/>
      </w:pPr>
      <w:r>
        <w:t xml:space="preserve">Szkody powstałe wskutek </w:t>
      </w:r>
      <w:r w:rsidR="002B7D4C" w:rsidRPr="00D2154A">
        <w:t>nagłego działania siły mechanicznej w momencie zetknięcia się pojazdu z osobami, przedmiotami lub zwierzętami pochodzącymi z zewnątrz jak i wewnątrz pojazdu, (jak również szkód spowodowanych przez przesunięcie się przewożonego towaru o ile został on zabezpieczony przy zachowaniu należytej staranności), ochrona nie dotyczy szkód wyrządzonych przez przedmioty przewożone w kabinie pojazdu,</w:t>
      </w:r>
    </w:p>
    <w:p w14:paraId="10126EE7" w14:textId="647B4A80" w:rsidR="006C3892" w:rsidRPr="00D2154A" w:rsidRDefault="002B7D4C" w:rsidP="006C3892">
      <w:pPr>
        <w:pStyle w:val="Akapitzlist"/>
        <w:numPr>
          <w:ilvl w:val="0"/>
          <w:numId w:val="17"/>
        </w:numPr>
        <w:spacing w:after="0"/>
        <w:jc w:val="both"/>
      </w:pPr>
      <w:r w:rsidRPr="00D2154A">
        <w:t xml:space="preserve">wszelkich wypadków i kolizji drogowych, w tym wypadnięcia z trasy, dachowania, wpadnięcia w poślizg itp. </w:t>
      </w:r>
    </w:p>
    <w:p w14:paraId="2E355A94" w14:textId="55FA1AC8" w:rsidR="002B7D4C" w:rsidRPr="00D2154A" w:rsidRDefault="002B7D4C" w:rsidP="002A2BE7">
      <w:pPr>
        <w:pStyle w:val="Akapitzlist"/>
        <w:numPr>
          <w:ilvl w:val="0"/>
          <w:numId w:val="17"/>
        </w:numPr>
        <w:spacing w:after="0"/>
        <w:jc w:val="both"/>
      </w:pPr>
      <w:r w:rsidRPr="00D2154A">
        <w:t>pochodzące z zewnątrz pojazdu</w:t>
      </w:r>
      <w:r w:rsidR="00922A35">
        <w:t xml:space="preserve"> </w:t>
      </w:r>
      <w:r w:rsidRPr="00D2154A">
        <w:t>(np. dewastacja)</w:t>
      </w:r>
      <w:r w:rsidR="00FF0080" w:rsidRPr="00D2154A">
        <w:t>,</w:t>
      </w:r>
    </w:p>
    <w:p w14:paraId="4FE09E41" w14:textId="77777777" w:rsidR="002B7D4C" w:rsidRPr="00D2154A" w:rsidRDefault="002B7D4C" w:rsidP="002A2BE7">
      <w:pPr>
        <w:pStyle w:val="Akapitzlist"/>
        <w:numPr>
          <w:ilvl w:val="0"/>
          <w:numId w:val="17"/>
        </w:numPr>
        <w:spacing w:after="0"/>
        <w:jc w:val="both"/>
      </w:pPr>
      <w:r w:rsidRPr="00D2154A">
        <w:lastRenderedPageBreak/>
        <w:t>pożaru i wybuchu (powstałego z zewnątrz jak i wewnątrz kabiny oraz przestrzeni ładunkowej), przez wybuch rozumie się także eksplozję materiałów wybuchowych (np. wybuch niewypału, podłożenie bomby</w:t>
      </w:r>
      <w:r w:rsidR="00922A35">
        <w:t xml:space="preserve"> itp.),</w:t>
      </w:r>
    </w:p>
    <w:p w14:paraId="7724102E" w14:textId="77777777" w:rsidR="002B7D4C" w:rsidRPr="00D2154A" w:rsidRDefault="002B7D4C" w:rsidP="002A2BE7">
      <w:pPr>
        <w:pStyle w:val="Akapitzlist"/>
        <w:numPr>
          <w:ilvl w:val="0"/>
          <w:numId w:val="17"/>
        </w:numPr>
        <w:spacing w:after="0"/>
        <w:jc w:val="both"/>
      </w:pPr>
      <w:r w:rsidRPr="00D2154A">
        <w:t>zatopienia, powodzi, pioruna, opadu atmosferycznego, huraganu, osuwania lub zapadania się ziemi</w:t>
      </w:r>
      <w:r w:rsidR="004E4D50" w:rsidRPr="00D2154A">
        <w:t>, upadek drzewa, słupa</w:t>
      </w:r>
      <w:r w:rsidR="00922A35">
        <w:t>, masztu</w:t>
      </w:r>
      <w:r w:rsidR="004E4D50" w:rsidRPr="00D2154A">
        <w:t xml:space="preserve"> itp.</w:t>
      </w:r>
      <w:r w:rsidRPr="00D2154A">
        <w:t xml:space="preserve"> oraz działania innych sił przyrody, niezależnie od miejsca ich powstania,</w:t>
      </w:r>
    </w:p>
    <w:p w14:paraId="5706218E" w14:textId="77777777" w:rsidR="00ED1BD0" w:rsidRPr="00D2154A" w:rsidRDefault="00ED1BD0" w:rsidP="002A2BE7">
      <w:pPr>
        <w:pStyle w:val="Akapitzlist"/>
        <w:numPr>
          <w:ilvl w:val="0"/>
          <w:numId w:val="17"/>
        </w:numPr>
        <w:spacing w:after="0"/>
        <w:jc w:val="both"/>
      </w:pPr>
      <w:r w:rsidRPr="00D2154A">
        <w:t>przedostania się cieczy do ubezpieczonego pojazdu wskutek deszczu, wydostania z przewodów i urządzeń kanalizacyjnych, wodociągowych lub grzewczych,</w:t>
      </w:r>
    </w:p>
    <w:p w14:paraId="5D847B66" w14:textId="77777777" w:rsidR="002B7D4C" w:rsidRDefault="002B7D4C" w:rsidP="002A2BE7">
      <w:pPr>
        <w:pStyle w:val="Akapitzlist"/>
        <w:numPr>
          <w:ilvl w:val="0"/>
          <w:numId w:val="17"/>
        </w:numPr>
        <w:spacing w:after="0"/>
        <w:jc w:val="both"/>
      </w:pPr>
      <w:r w:rsidRPr="00D2154A">
        <w:t>szkody spowodowane przerwaniem pracy urządzeń specjalnych, zamontowanych na tym pojeździe w następstwie zdarzeń o</w:t>
      </w:r>
      <w:r w:rsidR="00E50A38" w:rsidRPr="00D2154A">
        <w:t>bjętych ochroną ubezpieczeniową,</w:t>
      </w:r>
    </w:p>
    <w:p w14:paraId="3E7EEBF8" w14:textId="77777777" w:rsidR="00922A35" w:rsidRDefault="00922A35" w:rsidP="002A2BE7">
      <w:pPr>
        <w:pStyle w:val="Akapitzlist"/>
        <w:numPr>
          <w:ilvl w:val="0"/>
          <w:numId w:val="17"/>
        </w:numPr>
        <w:spacing w:after="0"/>
        <w:jc w:val="both"/>
      </w:pPr>
      <w:r>
        <w:t>użycia pojazdu w związku z koniecznością ratowania życia lub zdrowia ludzkiego,</w:t>
      </w:r>
    </w:p>
    <w:p w14:paraId="262F62DC" w14:textId="77777777" w:rsidR="00922A35" w:rsidRDefault="005B61A2" w:rsidP="002A2BE7">
      <w:pPr>
        <w:pStyle w:val="Akapitzlist"/>
        <w:numPr>
          <w:ilvl w:val="0"/>
          <w:numId w:val="17"/>
        </w:numPr>
        <w:spacing w:after="0"/>
        <w:jc w:val="both"/>
      </w:pPr>
      <w:r>
        <w:t>szkody powstałe w momencie, gdy ubezpieczany pojazd nie posiadał ważnych badań technicznych, o ile nie miało to wpływu na rozmiar lub zaistnienie szkody,</w:t>
      </w:r>
    </w:p>
    <w:p w14:paraId="5A1E43A2" w14:textId="77777777" w:rsidR="008346F4" w:rsidRPr="00D2154A" w:rsidRDefault="008346F4" w:rsidP="008346F4">
      <w:pPr>
        <w:pStyle w:val="Akapitzlist"/>
        <w:spacing w:after="0"/>
        <w:ind w:left="1584"/>
        <w:jc w:val="both"/>
      </w:pPr>
    </w:p>
    <w:p w14:paraId="56159211" w14:textId="77777777" w:rsidR="002B7D4C" w:rsidRPr="00D2154A" w:rsidRDefault="002B7D4C" w:rsidP="001C6E31">
      <w:pPr>
        <w:spacing w:after="0"/>
        <w:ind w:firstLine="708"/>
        <w:jc w:val="both"/>
        <w:rPr>
          <w:b/>
        </w:rPr>
      </w:pPr>
      <w:r w:rsidRPr="00D2154A">
        <w:rPr>
          <w:b/>
        </w:rPr>
        <w:t>KR (kradzież):</w:t>
      </w:r>
    </w:p>
    <w:p w14:paraId="14917C75" w14:textId="77777777" w:rsidR="002B7D4C" w:rsidRPr="00D2154A" w:rsidRDefault="002B7D4C" w:rsidP="001C6E31">
      <w:pPr>
        <w:pStyle w:val="Akapitzlist"/>
        <w:spacing w:after="0"/>
        <w:ind w:left="567" w:firstLine="284"/>
        <w:jc w:val="both"/>
      </w:pPr>
      <w:r w:rsidRPr="00D2154A">
        <w:t>Ochroną ubezpieczeniową objęte są również szkody polegające na:</w:t>
      </w:r>
    </w:p>
    <w:p w14:paraId="2C6045A9" w14:textId="28722AEA" w:rsidR="002B7D4C" w:rsidRPr="00D2154A" w:rsidRDefault="002B7D4C" w:rsidP="001C6E31">
      <w:pPr>
        <w:pStyle w:val="Akapitzlist"/>
        <w:spacing w:after="0"/>
        <w:ind w:left="567" w:firstLine="284"/>
        <w:jc w:val="both"/>
      </w:pPr>
      <w:r w:rsidRPr="00D2154A">
        <w:t>•</w:t>
      </w:r>
      <w:r w:rsidRPr="00D2154A">
        <w:tab/>
        <w:t xml:space="preserve">kradzieży, rabunku pojazdu, jego części lub wyposażenia, bez względu na miejsce parkowania, </w:t>
      </w:r>
    </w:p>
    <w:p w14:paraId="034F8D57" w14:textId="77777777" w:rsidR="002B7D4C" w:rsidRPr="00D2154A" w:rsidRDefault="002B7D4C" w:rsidP="001C6E31">
      <w:pPr>
        <w:pStyle w:val="Akapitzlist"/>
        <w:spacing w:after="0"/>
        <w:ind w:left="567" w:firstLine="284"/>
        <w:jc w:val="both"/>
      </w:pPr>
      <w:r w:rsidRPr="00D2154A">
        <w:t>•</w:t>
      </w:r>
      <w:r w:rsidRPr="00D2154A">
        <w:tab/>
        <w:t>użycia pojazdu w związku z przewozem osób, którym ma być udzielona pomoc lekarska.</w:t>
      </w:r>
    </w:p>
    <w:p w14:paraId="1DEE0538" w14:textId="77777777" w:rsidR="004E4D50" w:rsidRPr="00D2154A" w:rsidRDefault="004E4D50" w:rsidP="00D2154A">
      <w:pPr>
        <w:pStyle w:val="Akapitzlist"/>
        <w:spacing w:after="0"/>
        <w:ind w:left="1224"/>
        <w:jc w:val="both"/>
      </w:pPr>
    </w:p>
    <w:p w14:paraId="70D021F8" w14:textId="77777777" w:rsidR="004E4D50" w:rsidRDefault="004E4D50" w:rsidP="00D2154A">
      <w:pPr>
        <w:pStyle w:val="Akapitzlist"/>
        <w:spacing w:after="0"/>
        <w:ind w:left="1224"/>
        <w:jc w:val="both"/>
      </w:pPr>
    </w:p>
    <w:p w14:paraId="6FC96901" w14:textId="77777777" w:rsidR="006C3892" w:rsidRDefault="006C3892" w:rsidP="00D2154A">
      <w:pPr>
        <w:pStyle w:val="Akapitzlist"/>
        <w:spacing w:after="0"/>
        <w:ind w:left="1224"/>
        <w:jc w:val="both"/>
      </w:pPr>
    </w:p>
    <w:p w14:paraId="314FAA2F" w14:textId="77777777" w:rsidR="006C3892" w:rsidRPr="00D2154A" w:rsidRDefault="006C3892" w:rsidP="00D2154A">
      <w:pPr>
        <w:pStyle w:val="Akapitzlist"/>
        <w:spacing w:after="0"/>
        <w:ind w:left="1224"/>
        <w:jc w:val="both"/>
      </w:pPr>
    </w:p>
    <w:p w14:paraId="7BB4122A" w14:textId="77777777" w:rsidR="00AA302A" w:rsidRPr="00D2154A" w:rsidRDefault="005C414A" w:rsidP="002A2BE7">
      <w:pPr>
        <w:pStyle w:val="Akapitzlist"/>
        <w:numPr>
          <w:ilvl w:val="1"/>
          <w:numId w:val="14"/>
        </w:numPr>
        <w:spacing w:after="0"/>
        <w:jc w:val="both"/>
        <w:outlineLvl w:val="2"/>
        <w:rPr>
          <w:b/>
        </w:rPr>
      </w:pPr>
      <w:bookmarkStart w:id="38" w:name="_Toc141097885"/>
      <w:r w:rsidRPr="00D2154A">
        <w:rPr>
          <w:b/>
        </w:rPr>
        <w:t>Warunki szczególne</w:t>
      </w:r>
      <w:bookmarkStart w:id="39" w:name="_Hlk139459239"/>
      <w:bookmarkEnd w:id="38"/>
    </w:p>
    <w:bookmarkEnd w:id="39"/>
    <w:p w14:paraId="4B70BE53" w14:textId="33D8060C" w:rsidR="005C414A" w:rsidRPr="00D2154A" w:rsidRDefault="005C414A" w:rsidP="002A2BE7">
      <w:pPr>
        <w:pStyle w:val="Akapitzlist"/>
        <w:numPr>
          <w:ilvl w:val="0"/>
          <w:numId w:val="18"/>
        </w:numPr>
        <w:spacing w:after="0"/>
        <w:jc w:val="both"/>
      </w:pPr>
      <w:r w:rsidRPr="00D2154A">
        <w:t>W ubezpieczeniu auto-casco zastosowanie mieć będzie serwisowy (warsztatowy) system likwidacji szkody</w:t>
      </w:r>
      <w:r w:rsidR="001E13C5">
        <w:t xml:space="preserve"> – dla pojazdów do 15 roku eksploatacji, </w:t>
      </w:r>
    </w:p>
    <w:p w14:paraId="3F4250AB" w14:textId="77777777" w:rsidR="005C414A" w:rsidRPr="00D2154A" w:rsidRDefault="005C414A" w:rsidP="002A2BE7">
      <w:pPr>
        <w:pStyle w:val="Akapitzlist"/>
        <w:numPr>
          <w:ilvl w:val="0"/>
          <w:numId w:val="18"/>
        </w:numPr>
        <w:spacing w:after="0"/>
        <w:jc w:val="both"/>
      </w:pPr>
      <w:r w:rsidRPr="00D2154A">
        <w:t>W ubezpieczeniu autocasco zniesiona zostaj</w:t>
      </w:r>
      <w:r w:rsidR="00BB3A56" w:rsidRPr="00D2154A">
        <w:t>e konsumpcja sumy ubezpieczenia,</w:t>
      </w:r>
    </w:p>
    <w:p w14:paraId="6E1D73C7" w14:textId="77777777" w:rsidR="00BB3A56" w:rsidRPr="00D2154A" w:rsidRDefault="00BB3A56" w:rsidP="002A2BE7">
      <w:pPr>
        <w:pStyle w:val="Akapitzlist"/>
        <w:numPr>
          <w:ilvl w:val="0"/>
          <w:numId w:val="18"/>
        </w:numPr>
        <w:spacing w:after="0"/>
        <w:jc w:val="both"/>
      </w:pPr>
      <w:r w:rsidRPr="00D2154A">
        <w:t>Nie stosuje się jakiegokolwiek udziału własnego posiadacza pojazdu w ubezpieczeniu AC,</w:t>
      </w:r>
    </w:p>
    <w:p w14:paraId="7E142133" w14:textId="016CD075" w:rsidR="00537D9D" w:rsidRDefault="00537D9D" w:rsidP="001E13C5">
      <w:pPr>
        <w:pStyle w:val="Akapitzlist"/>
        <w:spacing w:after="0"/>
        <w:ind w:left="1296"/>
        <w:jc w:val="both"/>
      </w:pPr>
    </w:p>
    <w:p w14:paraId="0B7234A0" w14:textId="77777777" w:rsidR="00213287" w:rsidRPr="00213287" w:rsidRDefault="00213287" w:rsidP="008B5B2D">
      <w:pPr>
        <w:ind w:left="851"/>
        <w:rPr>
          <w:b/>
          <w:bCs/>
        </w:rPr>
      </w:pPr>
      <w:r w:rsidRPr="00213287">
        <w:rPr>
          <w:b/>
          <w:bCs/>
        </w:rPr>
        <w:t>Niezależnie od odszkodowania ustalonego według zasad określonych w umowie ubezpieczenia autocasco (z uwzględnieniem postanowień assistance) ubezpieczającemu przysługuje zwrot poniesionych kosztów:</w:t>
      </w:r>
    </w:p>
    <w:p w14:paraId="375986D0" w14:textId="77777777" w:rsidR="00213287" w:rsidRPr="00D2154A" w:rsidRDefault="00213287" w:rsidP="00213287">
      <w:pPr>
        <w:pStyle w:val="Akapitzlist"/>
        <w:spacing w:after="0"/>
        <w:ind w:left="1224"/>
        <w:jc w:val="both"/>
      </w:pPr>
      <w:r w:rsidRPr="00D2154A">
        <w:t>•</w:t>
      </w:r>
      <w:r w:rsidRPr="00D2154A">
        <w:tab/>
        <w:t xml:space="preserve">działań podjętych w celu </w:t>
      </w:r>
      <w:r>
        <w:t xml:space="preserve">ratowania pojazdu, </w:t>
      </w:r>
      <w:r w:rsidRPr="00D2154A">
        <w:t>zapobieżenia</w:t>
      </w:r>
      <w:r>
        <w:t xml:space="preserve"> lub zmniejszeniu</w:t>
      </w:r>
      <w:r w:rsidRPr="00D2154A">
        <w:t xml:space="preserve"> się szkody,</w:t>
      </w:r>
    </w:p>
    <w:p w14:paraId="0095A53F" w14:textId="083699ED" w:rsidR="00213287" w:rsidRPr="00D2154A" w:rsidRDefault="00213287" w:rsidP="00213287">
      <w:pPr>
        <w:pStyle w:val="Akapitzlist"/>
        <w:spacing w:after="0"/>
        <w:ind w:left="1224"/>
        <w:jc w:val="both"/>
      </w:pPr>
      <w:r w:rsidRPr="00D2154A">
        <w:t>•</w:t>
      </w:r>
      <w:r w:rsidRPr="00D2154A">
        <w:tab/>
        <w:t xml:space="preserve">holowania lub transportu uszkodzonego pojazdu </w:t>
      </w:r>
      <w:r>
        <w:t xml:space="preserve">z miejsca zdarzenia </w:t>
      </w:r>
      <w:r w:rsidRPr="00D2154A">
        <w:t xml:space="preserve">do </w:t>
      </w:r>
      <w:r>
        <w:t>warsztatu</w:t>
      </w:r>
      <w:r w:rsidRPr="00D2154A">
        <w:t xml:space="preserve"> naprawczego, najdalej do miejsca garażowania pojazdu</w:t>
      </w:r>
      <w:r w:rsidR="001E13C5">
        <w:t>,</w:t>
      </w:r>
    </w:p>
    <w:p w14:paraId="07F10089" w14:textId="77777777" w:rsidR="00213287" w:rsidRPr="00D2154A" w:rsidRDefault="00213287" w:rsidP="00213287">
      <w:pPr>
        <w:pStyle w:val="Akapitzlist"/>
        <w:spacing w:after="0"/>
        <w:ind w:left="1224"/>
        <w:jc w:val="both"/>
      </w:pPr>
      <w:r w:rsidRPr="00D2154A">
        <w:t>•</w:t>
      </w:r>
      <w:r w:rsidRPr="00D2154A">
        <w:tab/>
        <w:t>kosztów akcji ratowniczej,</w:t>
      </w:r>
    </w:p>
    <w:p w14:paraId="43AE4669" w14:textId="77777777" w:rsidR="00213287" w:rsidRDefault="00213287" w:rsidP="00213287">
      <w:pPr>
        <w:pStyle w:val="Akapitzlist"/>
        <w:spacing w:after="0"/>
        <w:ind w:left="1224"/>
        <w:jc w:val="both"/>
      </w:pPr>
      <w:r w:rsidRPr="00D2154A">
        <w:t>•</w:t>
      </w:r>
      <w:r w:rsidRPr="00D2154A">
        <w:tab/>
        <w:t>parkowania po szkodzie</w:t>
      </w:r>
      <w:r>
        <w:t xml:space="preserve"> okresie nie dłuższym niż 5 dni po dokonaniu oględzin i sporządzenia powypadkowej kalkulacji kosztów naprawy pojazdów lub protokołu szkody.</w:t>
      </w:r>
    </w:p>
    <w:p w14:paraId="0FD009CB" w14:textId="77777777" w:rsidR="00213287" w:rsidRDefault="00213287" w:rsidP="00213287">
      <w:pPr>
        <w:pStyle w:val="Akapitzlist"/>
        <w:spacing w:after="0"/>
        <w:ind w:left="1224"/>
        <w:jc w:val="both"/>
      </w:pPr>
    </w:p>
    <w:p w14:paraId="3B14723C" w14:textId="606EE8E0" w:rsidR="00213287" w:rsidRDefault="00213287" w:rsidP="00213287">
      <w:pPr>
        <w:pStyle w:val="Akapitzlist"/>
        <w:spacing w:after="0"/>
        <w:ind w:left="1224"/>
        <w:jc w:val="both"/>
      </w:pPr>
      <w:r w:rsidRPr="003D066E">
        <w:t>Wysokość kosztów, o których mowa powyżej nie może przekroczyć 1</w:t>
      </w:r>
      <w:r w:rsidR="003D066E" w:rsidRPr="003D066E">
        <w:t>0</w:t>
      </w:r>
      <w:r w:rsidRPr="003D066E">
        <w:t>% sumy ubezpieczenia danego pojazdu. Koszty te pokrywane są niezależnie od odszkodowania ustalonego według zasad określonych w umowie ubezpieczenia autocasco ponad sumę ubezpieczenia danego pojazdu.</w:t>
      </w:r>
    </w:p>
    <w:p w14:paraId="5566FA05" w14:textId="77777777" w:rsidR="00213287" w:rsidRPr="00213287" w:rsidRDefault="00213287" w:rsidP="00213287">
      <w:pPr>
        <w:pStyle w:val="Akapitzlist"/>
        <w:spacing w:after="0"/>
        <w:ind w:left="1224"/>
        <w:jc w:val="both"/>
        <w:rPr>
          <w:b/>
          <w:bCs/>
        </w:rPr>
      </w:pPr>
    </w:p>
    <w:p w14:paraId="654A98F6" w14:textId="77777777" w:rsidR="00D43099" w:rsidRDefault="00D43099" w:rsidP="00D43099">
      <w:pPr>
        <w:pStyle w:val="Akapitzlist"/>
        <w:spacing w:after="0"/>
        <w:ind w:left="1296"/>
        <w:jc w:val="both"/>
      </w:pPr>
    </w:p>
    <w:p w14:paraId="79DB03E2" w14:textId="77777777" w:rsidR="00D43099" w:rsidRPr="00D2154A" w:rsidRDefault="00D43099" w:rsidP="002A2BE7">
      <w:pPr>
        <w:pStyle w:val="Akapitzlist"/>
        <w:numPr>
          <w:ilvl w:val="1"/>
          <w:numId w:val="14"/>
        </w:numPr>
        <w:spacing w:after="0"/>
        <w:jc w:val="both"/>
        <w:outlineLvl w:val="2"/>
        <w:rPr>
          <w:b/>
        </w:rPr>
      </w:pPr>
      <w:bookmarkStart w:id="40" w:name="_Toc141097886"/>
      <w:r>
        <w:rPr>
          <w:b/>
        </w:rPr>
        <w:t>Sum</w:t>
      </w:r>
      <w:r w:rsidR="00F624EA">
        <w:rPr>
          <w:b/>
        </w:rPr>
        <w:t>a</w:t>
      </w:r>
      <w:r>
        <w:rPr>
          <w:b/>
        </w:rPr>
        <w:t xml:space="preserve"> ubezpieczenia</w:t>
      </w:r>
      <w:bookmarkEnd w:id="40"/>
    </w:p>
    <w:p w14:paraId="6230F23B" w14:textId="6751B3AE" w:rsidR="000A2E31" w:rsidRDefault="000A2E31" w:rsidP="002A2BE7">
      <w:pPr>
        <w:pStyle w:val="Akapitzlist"/>
        <w:numPr>
          <w:ilvl w:val="0"/>
          <w:numId w:val="18"/>
        </w:numPr>
        <w:spacing w:after="0"/>
        <w:jc w:val="both"/>
      </w:pPr>
      <w:r>
        <w:t>Suma ubezpieczenia została wskazana w wykazie pojazdów</w:t>
      </w:r>
      <w:r w:rsidR="00314CEB">
        <w:t xml:space="preserve"> </w:t>
      </w:r>
      <w:r w:rsidRPr="003823EA">
        <w:rPr>
          <w:color w:val="000000" w:themeColor="text1"/>
        </w:rPr>
        <w:t>(</w:t>
      </w:r>
      <w:r w:rsidR="00664F5D" w:rsidRPr="00664F5D">
        <w:rPr>
          <w:b/>
          <w:bCs/>
          <w:color w:val="000000" w:themeColor="text1"/>
        </w:rPr>
        <w:t>D</w:t>
      </w:r>
      <w:r w:rsidR="008B5B2D" w:rsidRPr="00664F5D">
        <w:rPr>
          <w:b/>
          <w:bCs/>
          <w:color w:val="000000" w:themeColor="text1"/>
        </w:rPr>
        <w:t xml:space="preserve">odatek nr </w:t>
      </w:r>
      <w:r w:rsidR="001E13C5">
        <w:rPr>
          <w:b/>
          <w:bCs/>
          <w:color w:val="000000" w:themeColor="text1"/>
        </w:rPr>
        <w:t>5</w:t>
      </w:r>
      <w:r w:rsidR="008B5B2D" w:rsidRPr="00664F5D">
        <w:rPr>
          <w:b/>
          <w:bCs/>
          <w:color w:val="000000" w:themeColor="text1"/>
        </w:rPr>
        <w:t>– wykaz pojazdów</w:t>
      </w:r>
      <w:r w:rsidRPr="003823EA">
        <w:rPr>
          <w:color w:val="000000" w:themeColor="text1"/>
        </w:rPr>
        <w:t>)</w:t>
      </w:r>
      <w:r w:rsidR="00314CEB" w:rsidRPr="008B5B2D">
        <w:rPr>
          <w:color w:val="000000" w:themeColor="text1"/>
        </w:rPr>
        <w:t xml:space="preserve"> </w:t>
      </w:r>
      <w:r w:rsidR="00314CEB" w:rsidRPr="00314CEB">
        <w:t>i zostanie zaktualizowana w chwili złożenia wniosku do Ubezpieczyciela.</w:t>
      </w:r>
    </w:p>
    <w:p w14:paraId="75508756" w14:textId="30C5ABE8" w:rsidR="001A1E6B" w:rsidRDefault="001A1E6B" w:rsidP="002A2BE7">
      <w:pPr>
        <w:pStyle w:val="Akapitzlist"/>
        <w:numPr>
          <w:ilvl w:val="0"/>
          <w:numId w:val="18"/>
        </w:numPr>
        <w:spacing w:after="0"/>
        <w:jc w:val="both"/>
      </w:pPr>
      <w:r>
        <w:lastRenderedPageBreak/>
        <w:t xml:space="preserve">Gwarantowana suma ubezpieczenia </w:t>
      </w:r>
      <w:r w:rsidR="00C776E2">
        <w:t>–</w:t>
      </w:r>
      <w:r>
        <w:t xml:space="preserve"> </w:t>
      </w:r>
      <w:r w:rsidR="00C776E2">
        <w:t xml:space="preserve">w przypadku szkody całkowitej, utraty lub kradzieży pojazdów osobowych i innych niż osobowe, których wiek pojazdu nie przekracza 12 miesięcy – odszkodowanie wypłacone jest według faktury zakupu. </w:t>
      </w:r>
      <w:r w:rsidR="00F60CA9">
        <w:t>W</w:t>
      </w:r>
      <w:r w:rsidR="00C776E2">
        <w:t xml:space="preserve"> przypadku szkody całkowitej odszkodowanie odpowiada kwocie stanowiącej różnicę pomiędzy gwarantowaną sumą ubezpieczenia, a wartością pozostałości po szkodzie.</w:t>
      </w:r>
    </w:p>
    <w:p w14:paraId="2D64F198" w14:textId="77777777" w:rsidR="00C4239A" w:rsidRDefault="00C4239A" w:rsidP="009D0204">
      <w:pPr>
        <w:spacing w:after="0"/>
        <w:jc w:val="both"/>
      </w:pPr>
    </w:p>
    <w:p w14:paraId="149517BB" w14:textId="77777777" w:rsidR="00C4239A" w:rsidRDefault="00C4239A" w:rsidP="002A2BE7">
      <w:pPr>
        <w:pStyle w:val="Akapitzlist"/>
        <w:numPr>
          <w:ilvl w:val="1"/>
          <w:numId w:val="14"/>
        </w:numPr>
        <w:spacing w:after="0"/>
        <w:jc w:val="both"/>
        <w:outlineLvl w:val="2"/>
        <w:rPr>
          <w:b/>
        </w:rPr>
      </w:pPr>
      <w:bookmarkStart w:id="41" w:name="_Toc141097887"/>
      <w:r>
        <w:rPr>
          <w:b/>
        </w:rPr>
        <w:t>Likwidacja szkód</w:t>
      </w:r>
      <w:bookmarkEnd w:id="41"/>
    </w:p>
    <w:p w14:paraId="36BC2DA9" w14:textId="77777777" w:rsidR="00C4239A" w:rsidRPr="007D3F0B" w:rsidRDefault="00C4239A" w:rsidP="002A2BE7">
      <w:pPr>
        <w:pStyle w:val="Akapitzlist"/>
        <w:numPr>
          <w:ilvl w:val="0"/>
          <w:numId w:val="18"/>
        </w:numPr>
        <w:spacing w:after="0"/>
        <w:jc w:val="both"/>
        <w:rPr>
          <w:color w:val="000000" w:themeColor="text1"/>
        </w:rPr>
      </w:pPr>
      <w:r w:rsidRPr="007D3F0B">
        <w:rPr>
          <w:color w:val="000000" w:themeColor="text1"/>
        </w:rPr>
        <w:t>przyjmuje się, że szkody będą rozliczane według faktycznie poniesionych kosztów napraw, udokumentowanych fakturami,</w:t>
      </w:r>
    </w:p>
    <w:p w14:paraId="1C9A7D79" w14:textId="73AD2C0B" w:rsidR="00C4239A" w:rsidRPr="007D3F0B" w:rsidRDefault="00C4239A" w:rsidP="002A2BE7">
      <w:pPr>
        <w:pStyle w:val="Akapitzlist"/>
        <w:numPr>
          <w:ilvl w:val="0"/>
          <w:numId w:val="18"/>
        </w:numPr>
        <w:spacing w:after="0"/>
        <w:jc w:val="both"/>
        <w:rPr>
          <w:color w:val="000000" w:themeColor="text1"/>
        </w:rPr>
      </w:pPr>
      <w:r w:rsidRPr="007D3F0B">
        <w:rPr>
          <w:color w:val="000000" w:themeColor="text1"/>
        </w:rPr>
        <w:t xml:space="preserve">dopuszcza się rozliczanie szkód według kosztorysu Ubezpieczyciela na wniosek Ubezpieczającego/Ubezpieczonego, </w:t>
      </w:r>
    </w:p>
    <w:p w14:paraId="6DCC3E21" w14:textId="77777777" w:rsidR="00C4239A" w:rsidRPr="007D3F0B" w:rsidRDefault="00C4239A" w:rsidP="002A2BE7">
      <w:pPr>
        <w:pStyle w:val="Akapitzlist"/>
        <w:numPr>
          <w:ilvl w:val="0"/>
          <w:numId w:val="18"/>
        </w:numPr>
        <w:spacing w:after="0"/>
        <w:jc w:val="both"/>
        <w:rPr>
          <w:color w:val="000000" w:themeColor="text1"/>
        </w:rPr>
      </w:pPr>
      <w:r w:rsidRPr="007D3F0B">
        <w:rPr>
          <w:color w:val="000000" w:themeColor="text1"/>
        </w:rPr>
        <w:t>kosztorys, o którym mowa powyżej, będzie sporządzany w oparciu o programy  komputerowe uwzględniające normy czasu napraw ustalone przez producentów danej marki oraz ceny części zamiennych sugerowane przez generalnych importerów tych części i stosowane przez Autoryzowane Stacje Obsługi danej marki na terenie całego kraju; cena roboczogodziny ustalana jest w oparciu o średnie ceny występujące w zakładach blacharsko-lakierniczych na danym terenie,</w:t>
      </w:r>
    </w:p>
    <w:p w14:paraId="4F787A83" w14:textId="77777777" w:rsidR="00C4239A" w:rsidRPr="007D3F0B" w:rsidRDefault="00C4239A" w:rsidP="002A2BE7">
      <w:pPr>
        <w:pStyle w:val="Akapitzlist"/>
        <w:numPr>
          <w:ilvl w:val="0"/>
          <w:numId w:val="18"/>
        </w:numPr>
        <w:spacing w:after="0"/>
        <w:jc w:val="both"/>
        <w:rPr>
          <w:color w:val="000000" w:themeColor="text1"/>
        </w:rPr>
      </w:pPr>
      <w:r w:rsidRPr="007D3F0B">
        <w:rPr>
          <w:color w:val="000000" w:themeColor="text1"/>
        </w:rPr>
        <w:t>w przypadku rozliczania szkód według faktycznie poniesionych kosztów naprawy, Ubezpieczający/Ubezpieczony przed dokonaniem naprawy, każdorazowo przedstawi Ubezpieczycielowi kosztorys wstępny, wystawiony przez warsztat, który będzie naprawy dokonywał,</w:t>
      </w:r>
    </w:p>
    <w:p w14:paraId="2842AAB3" w14:textId="77777777" w:rsidR="00C4239A" w:rsidRPr="00441372" w:rsidRDefault="00C4239A" w:rsidP="002A2BE7">
      <w:pPr>
        <w:pStyle w:val="Akapitzlist"/>
        <w:numPr>
          <w:ilvl w:val="0"/>
          <w:numId w:val="18"/>
        </w:numPr>
        <w:spacing w:after="0"/>
        <w:jc w:val="both"/>
        <w:rPr>
          <w:color w:val="000000" w:themeColor="text1"/>
        </w:rPr>
      </w:pPr>
      <w:r w:rsidRPr="00441372">
        <w:rPr>
          <w:color w:val="000000" w:themeColor="text1"/>
        </w:rPr>
        <w:t>faktury z napraw</w:t>
      </w:r>
      <w:r w:rsidR="00441372" w:rsidRPr="00441372">
        <w:rPr>
          <w:color w:val="000000" w:themeColor="text1"/>
        </w:rPr>
        <w:t>y</w:t>
      </w:r>
      <w:r w:rsidRPr="00441372">
        <w:rPr>
          <w:color w:val="000000" w:themeColor="text1"/>
        </w:rPr>
        <w:t xml:space="preserve"> będą zweryfikowane w oparciu o przedstawiony wcześniej kosztorys oraz oceny techniczne,</w:t>
      </w:r>
    </w:p>
    <w:p w14:paraId="209B66A0" w14:textId="77777777" w:rsidR="00C4239A" w:rsidRPr="00441372" w:rsidRDefault="00C4239A" w:rsidP="002A2BE7">
      <w:pPr>
        <w:pStyle w:val="Akapitzlist"/>
        <w:numPr>
          <w:ilvl w:val="0"/>
          <w:numId w:val="18"/>
        </w:numPr>
        <w:spacing w:after="0"/>
        <w:jc w:val="both"/>
        <w:rPr>
          <w:color w:val="000000" w:themeColor="text1"/>
        </w:rPr>
      </w:pPr>
      <w:r w:rsidRPr="00441372">
        <w:rPr>
          <w:color w:val="000000" w:themeColor="text1"/>
        </w:rPr>
        <w:t>podmiotowi poszkodowanemu, który nie ma możliwości odliczenia podatku VAT, odszkodowanie ustalone będzie w wartości brutto zgodnie z zawartym ubezpieczeniem,</w:t>
      </w:r>
    </w:p>
    <w:p w14:paraId="04BCDA8D" w14:textId="77777777" w:rsidR="00C4239A" w:rsidRPr="00441372" w:rsidRDefault="00C4239A" w:rsidP="002A2BE7">
      <w:pPr>
        <w:pStyle w:val="Akapitzlist"/>
        <w:numPr>
          <w:ilvl w:val="0"/>
          <w:numId w:val="18"/>
        </w:numPr>
        <w:spacing w:after="0"/>
        <w:jc w:val="both"/>
        <w:rPr>
          <w:color w:val="000000" w:themeColor="text1"/>
        </w:rPr>
      </w:pPr>
      <w:r w:rsidRPr="00441372">
        <w:rPr>
          <w:color w:val="000000" w:themeColor="text1"/>
        </w:rPr>
        <w:t>w wypadku szkody komunikacyjnej, dokonanie przez Ubezpieczyciela oględzin  pojazdu  nastąpi w ciągu 3 dni roboczych od momentu zgłoszenia szkody; w razie niedokonania oględzin w w/w terminie, Ubezpieczający/Ubezpieczony ma prawo do rozpoczęcia naprawy pojazdu,</w:t>
      </w:r>
    </w:p>
    <w:p w14:paraId="5C18FF34" w14:textId="77777777" w:rsidR="00C4239A" w:rsidRPr="00441372" w:rsidRDefault="00C4239A" w:rsidP="002A2BE7">
      <w:pPr>
        <w:pStyle w:val="Akapitzlist"/>
        <w:numPr>
          <w:ilvl w:val="0"/>
          <w:numId w:val="18"/>
        </w:numPr>
        <w:spacing w:after="0"/>
        <w:jc w:val="both"/>
        <w:rPr>
          <w:color w:val="000000" w:themeColor="text1"/>
        </w:rPr>
      </w:pPr>
      <w:r w:rsidRPr="00441372">
        <w:rPr>
          <w:color w:val="000000" w:themeColor="text1"/>
        </w:rPr>
        <w:t>każda szkoda, której przewidywane koszty naprawy przekroczą 70 % wartości pojazdu traktowana będzie jako szkoda całkowita,</w:t>
      </w:r>
    </w:p>
    <w:p w14:paraId="0A78995B" w14:textId="77777777" w:rsidR="00C4239A" w:rsidRPr="00D2154A" w:rsidRDefault="00C4239A" w:rsidP="00C4239A">
      <w:pPr>
        <w:spacing w:after="0"/>
        <w:jc w:val="both"/>
      </w:pPr>
    </w:p>
    <w:p w14:paraId="4F9FE0D2" w14:textId="77777777" w:rsidR="00B57B1D" w:rsidRPr="00D2154A" w:rsidRDefault="00B57B1D" w:rsidP="00D2154A">
      <w:pPr>
        <w:pStyle w:val="Akapitzlist"/>
        <w:spacing w:after="0"/>
        <w:ind w:left="792"/>
        <w:jc w:val="both"/>
        <w:rPr>
          <w:b/>
        </w:rPr>
      </w:pPr>
    </w:p>
    <w:p w14:paraId="4380AAEF" w14:textId="77777777" w:rsidR="00A8766D" w:rsidRDefault="00A8766D" w:rsidP="002A2BE7">
      <w:pPr>
        <w:pStyle w:val="Akapitzlist"/>
        <w:numPr>
          <w:ilvl w:val="0"/>
          <w:numId w:val="14"/>
        </w:numPr>
        <w:spacing w:after="0"/>
        <w:jc w:val="both"/>
        <w:outlineLvl w:val="2"/>
        <w:rPr>
          <w:b/>
        </w:rPr>
      </w:pPr>
      <w:bookmarkStart w:id="42" w:name="_Toc141097888"/>
      <w:r w:rsidRPr="00D2154A">
        <w:rPr>
          <w:b/>
        </w:rPr>
        <w:t xml:space="preserve">Ubezpieczenie </w:t>
      </w:r>
      <w:r w:rsidR="00B16690" w:rsidRPr="00B16690">
        <w:rPr>
          <w:b/>
        </w:rPr>
        <w:t>następstw nieszczęśliwych wypadków powstałych w związku z użytkowaniem pojazdów mechanicznych.</w:t>
      </w:r>
      <w:bookmarkEnd w:id="42"/>
    </w:p>
    <w:p w14:paraId="3A2A7A13" w14:textId="77777777" w:rsidR="00B16690" w:rsidRPr="00D2154A" w:rsidRDefault="00B16690" w:rsidP="00557FD9"/>
    <w:p w14:paraId="0A9A1049" w14:textId="77777777" w:rsidR="00A8766D" w:rsidRPr="00D2154A" w:rsidRDefault="00A8766D" w:rsidP="002A2BE7">
      <w:pPr>
        <w:pStyle w:val="Akapitzlist"/>
        <w:numPr>
          <w:ilvl w:val="1"/>
          <w:numId w:val="14"/>
        </w:numPr>
        <w:spacing w:after="0"/>
        <w:jc w:val="both"/>
        <w:outlineLvl w:val="2"/>
        <w:rPr>
          <w:b/>
        </w:rPr>
      </w:pPr>
      <w:bookmarkStart w:id="43" w:name="_Toc141097889"/>
      <w:r w:rsidRPr="00D2154A">
        <w:rPr>
          <w:b/>
        </w:rPr>
        <w:t>Zakres ubezpieczenia</w:t>
      </w:r>
      <w:bookmarkEnd w:id="43"/>
    </w:p>
    <w:p w14:paraId="536F6AC7" w14:textId="77777777" w:rsidR="00A8766D" w:rsidRPr="00D2154A" w:rsidRDefault="00A8766D" w:rsidP="00D2154A">
      <w:pPr>
        <w:pStyle w:val="Akapitzlist"/>
        <w:spacing w:after="0"/>
        <w:ind w:left="851"/>
        <w:jc w:val="both"/>
      </w:pPr>
      <w:r w:rsidRPr="00D2154A">
        <w:t>Zakresem ubezpieczenia objęte są w szczególności następstwa nieszczęśliwych wypadków powstałych</w:t>
      </w:r>
      <w:r w:rsidR="001116EB">
        <w:t>:</w:t>
      </w:r>
    </w:p>
    <w:p w14:paraId="74603F36" w14:textId="77777777" w:rsidR="00A8766D" w:rsidRPr="00D2154A" w:rsidRDefault="00A8766D" w:rsidP="00D2154A">
      <w:pPr>
        <w:pStyle w:val="Akapitzlist"/>
        <w:spacing w:after="0"/>
        <w:ind w:left="851"/>
        <w:jc w:val="both"/>
      </w:pPr>
      <w:r w:rsidRPr="00D2154A">
        <w:t>•</w:t>
      </w:r>
      <w:r w:rsidRPr="00D2154A">
        <w:tab/>
        <w:t>w związku z ruchem pojazdu,</w:t>
      </w:r>
    </w:p>
    <w:p w14:paraId="2B66028A" w14:textId="77777777" w:rsidR="00A8766D" w:rsidRPr="00D2154A" w:rsidRDefault="00A8766D" w:rsidP="00D2154A">
      <w:pPr>
        <w:pStyle w:val="Akapitzlist"/>
        <w:spacing w:after="0"/>
        <w:ind w:left="851"/>
        <w:jc w:val="both"/>
      </w:pPr>
      <w:r w:rsidRPr="00D2154A">
        <w:t>•</w:t>
      </w:r>
      <w:r w:rsidRPr="00D2154A">
        <w:tab/>
        <w:t>podczas wsiadania i wysiadania z pojazdu,</w:t>
      </w:r>
    </w:p>
    <w:p w14:paraId="037C2ECB" w14:textId="77777777" w:rsidR="00A8766D" w:rsidRPr="00D2154A" w:rsidRDefault="00A8766D" w:rsidP="00D2154A">
      <w:pPr>
        <w:pStyle w:val="Akapitzlist"/>
        <w:spacing w:after="0"/>
        <w:ind w:left="851"/>
        <w:jc w:val="both"/>
      </w:pPr>
      <w:r w:rsidRPr="00D2154A">
        <w:t>•</w:t>
      </w:r>
      <w:r w:rsidRPr="00D2154A">
        <w:tab/>
        <w:t>podczas przebywania w pojeździe</w:t>
      </w:r>
      <w:r w:rsidR="000972E3">
        <w:t xml:space="preserve"> </w:t>
      </w:r>
      <w:r w:rsidRPr="00D2154A">
        <w:t>w przypadku zatrzymania pojazdu,</w:t>
      </w:r>
    </w:p>
    <w:p w14:paraId="4E1BE03C" w14:textId="77777777" w:rsidR="00A8766D" w:rsidRPr="00D2154A" w:rsidRDefault="00A8766D" w:rsidP="00D2154A">
      <w:pPr>
        <w:pStyle w:val="Akapitzlist"/>
        <w:spacing w:after="0"/>
        <w:ind w:left="851"/>
        <w:jc w:val="both"/>
      </w:pPr>
      <w:r w:rsidRPr="00D2154A">
        <w:t>•</w:t>
      </w:r>
      <w:r w:rsidRPr="00D2154A">
        <w:tab/>
        <w:t>podczas postoju lub naprawy pojazdu</w:t>
      </w:r>
      <w:r w:rsidR="000972E3">
        <w:t>,</w:t>
      </w:r>
    </w:p>
    <w:p w14:paraId="1E764A5F" w14:textId="77777777" w:rsidR="00A8766D" w:rsidRPr="00D2154A" w:rsidRDefault="00A8766D" w:rsidP="00D2154A">
      <w:pPr>
        <w:pStyle w:val="Akapitzlist"/>
        <w:spacing w:after="0"/>
        <w:ind w:left="851"/>
        <w:jc w:val="both"/>
      </w:pPr>
      <w:r w:rsidRPr="00D2154A">
        <w:t>•</w:t>
      </w:r>
      <w:r w:rsidRPr="00D2154A">
        <w:tab/>
        <w:t>przy załadunku i rozładunku pojazdu bądź przyczepy (naczepy) zespolonej z pojazdem,</w:t>
      </w:r>
    </w:p>
    <w:p w14:paraId="3B0FD98E" w14:textId="77777777" w:rsidR="00A8766D" w:rsidRDefault="00A8766D" w:rsidP="00D2154A">
      <w:pPr>
        <w:pStyle w:val="Akapitzlist"/>
        <w:spacing w:after="0"/>
        <w:ind w:left="851"/>
        <w:jc w:val="both"/>
      </w:pPr>
      <w:r w:rsidRPr="00D2154A">
        <w:t>•</w:t>
      </w:r>
      <w:r w:rsidRPr="00D2154A">
        <w:tab/>
        <w:t>podczas holowania.</w:t>
      </w:r>
    </w:p>
    <w:p w14:paraId="6A19FB85" w14:textId="77777777" w:rsidR="000972E3" w:rsidRPr="00D2154A" w:rsidRDefault="000972E3" w:rsidP="00D2154A">
      <w:pPr>
        <w:pStyle w:val="Akapitzlist"/>
        <w:spacing w:after="0"/>
        <w:ind w:left="851"/>
        <w:jc w:val="both"/>
      </w:pPr>
    </w:p>
    <w:p w14:paraId="01D2FC7B" w14:textId="77777777" w:rsidR="00A8766D" w:rsidRPr="00D2154A" w:rsidRDefault="00A8766D" w:rsidP="002A2BE7">
      <w:pPr>
        <w:pStyle w:val="Akapitzlist"/>
        <w:numPr>
          <w:ilvl w:val="1"/>
          <w:numId w:val="14"/>
        </w:numPr>
        <w:spacing w:after="0"/>
        <w:jc w:val="both"/>
        <w:outlineLvl w:val="2"/>
        <w:rPr>
          <w:b/>
        </w:rPr>
      </w:pPr>
      <w:bookmarkStart w:id="44" w:name="_Toc141097890"/>
      <w:r w:rsidRPr="00D2154A">
        <w:rPr>
          <w:b/>
        </w:rPr>
        <w:t>Suma</w:t>
      </w:r>
      <w:r w:rsidR="00021BEA" w:rsidRPr="00D2154A">
        <w:rPr>
          <w:b/>
        </w:rPr>
        <w:t xml:space="preserve"> ubezpieczenia</w:t>
      </w:r>
      <w:bookmarkEnd w:id="44"/>
      <w:r w:rsidR="00021BEA" w:rsidRPr="00D2154A">
        <w:rPr>
          <w:b/>
        </w:rPr>
        <w:t xml:space="preserve"> </w:t>
      </w:r>
    </w:p>
    <w:p w14:paraId="162CA206" w14:textId="77777777" w:rsidR="00021BEA" w:rsidRDefault="00021BEA" w:rsidP="00D2154A">
      <w:pPr>
        <w:pStyle w:val="Akapitzlist"/>
        <w:spacing w:after="0"/>
        <w:ind w:left="1224"/>
        <w:jc w:val="both"/>
      </w:pPr>
      <w:r w:rsidRPr="00D2154A">
        <w:rPr>
          <w:b/>
        </w:rPr>
        <w:t>10 000 zł</w:t>
      </w:r>
      <w:r w:rsidRPr="00D2154A">
        <w:t xml:space="preserve"> na każdą osobę w pojeździe (kierowcę i pasażerów)</w:t>
      </w:r>
      <w:r w:rsidR="001116EB">
        <w:t xml:space="preserve">. </w:t>
      </w:r>
      <w:r w:rsidR="001116EB" w:rsidRPr="001116EB">
        <w:t xml:space="preserve">Górną granicę odpowiedzialności w razie śmierci Ubezpieczonego wskutek nieszczęśliwego wypadku, będzie stanowiła kwota </w:t>
      </w:r>
      <w:r w:rsidR="001116EB" w:rsidRPr="001116EB">
        <w:lastRenderedPageBreak/>
        <w:t>odpowiadająca 100% sumy ubezpieczenia. W przypadku trwałego uszczerbku na zdrowiu, świadczenie wypłacane będzie  w wysokości 1% sumy ubezpieczenia, za każdy procent trwałego uszczerbku na zdrowiu.</w:t>
      </w:r>
    </w:p>
    <w:p w14:paraId="49508185" w14:textId="77777777" w:rsidR="00D0164B" w:rsidRDefault="00D0164B" w:rsidP="00D2154A">
      <w:pPr>
        <w:pStyle w:val="Akapitzlist"/>
        <w:spacing w:after="0"/>
        <w:ind w:left="1224"/>
        <w:jc w:val="both"/>
      </w:pPr>
    </w:p>
    <w:p w14:paraId="3085A4C8" w14:textId="77777777" w:rsidR="00D0164B" w:rsidRPr="00D2154A" w:rsidRDefault="00D0164B" w:rsidP="002A2BE7">
      <w:pPr>
        <w:pStyle w:val="Akapitzlist"/>
        <w:numPr>
          <w:ilvl w:val="1"/>
          <w:numId w:val="14"/>
        </w:numPr>
        <w:spacing w:after="0"/>
        <w:jc w:val="both"/>
        <w:outlineLvl w:val="2"/>
        <w:rPr>
          <w:b/>
        </w:rPr>
      </w:pPr>
      <w:bookmarkStart w:id="45" w:name="_Toc141097891"/>
      <w:r>
        <w:rPr>
          <w:b/>
        </w:rPr>
        <w:t xml:space="preserve">Zakres terytorialny ubezpieczenia: </w:t>
      </w:r>
      <w:r>
        <w:rPr>
          <w:bCs/>
        </w:rPr>
        <w:t xml:space="preserve"> RP i Europa</w:t>
      </w:r>
      <w:bookmarkEnd w:id="45"/>
    </w:p>
    <w:p w14:paraId="120F61DA" w14:textId="77777777" w:rsidR="00D0164B" w:rsidRPr="00D2154A" w:rsidRDefault="00D0164B" w:rsidP="00654CFB"/>
    <w:p w14:paraId="7329AFD3" w14:textId="77777777" w:rsidR="001116EB" w:rsidRPr="00D2154A" w:rsidRDefault="001116EB" w:rsidP="00D2154A">
      <w:pPr>
        <w:pStyle w:val="Akapitzlist"/>
        <w:spacing w:after="0"/>
        <w:ind w:left="1224"/>
        <w:jc w:val="both"/>
      </w:pPr>
    </w:p>
    <w:p w14:paraId="214B245F" w14:textId="77777777" w:rsidR="00ED26B5" w:rsidRDefault="00ED26B5" w:rsidP="002A2BE7">
      <w:pPr>
        <w:pStyle w:val="Akapitzlist"/>
        <w:numPr>
          <w:ilvl w:val="0"/>
          <w:numId w:val="14"/>
        </w:numPr>
        <w:spacing w:after="0"/>
        <w:jc w:val="both"/>
        <w:outlineLvl w:val="2"/>
        <w:rPr>
          <w:b/>
        </w:rPr>
      </w:pPr>
      <w:bookmarkStart w:id="46" w:name="_Toc141097892"/>
      <w:r w:rsidRPr="00D2154A">
        <w:rPr>
          <w:b/>
        </w:rPr>
        <w:t>Ubezpieczenie Assistance</w:t>
      </w:r>
      <w:bookmarkEnd w:id="46"/>
    </w:p>
    <w:p w14:paraId="5ABF0795" w14:textId="77777777" w:rsidR="00952B7A" w:rsidRPr="00952B7A" w:rsidRDefault="00952B7A" w:rsidP="00A104CF">
      <w:r w:rsidRPr="005820EE">
        <w:t>Zamawiający zastrzega możliwość zwiększenia wariantu assistance dla danego pojazdu.</w:t>
      </w:r>
      <w:r>
        <w:t xml:space="preserve"> </w:t>
      </w:r>
    </w:p>
    <w:p w14:paraId="33B75245" w14:textId="77777777" w:rsidR="000C7EE8" w:rsidRPr="00D2154A" w:rsidRDefault="00A1491D" w:rsidP="002A2BE7">
      <w:pPr>
        <w:pStyle w:val="Akapitzlist"/>
        <w:numPr>
          <w:ilvl w:val="1"/>
          <w:numId w:val="14"/>
        </w:numPr>
        <w:spacing w:after="0"/>
        <w:jc w:val="both"/>
        <w:outlineLvl w:val="2"/>
        <w:rPr>
          <w:b/>
        </w:rPr>
      </w:pPr>
      <w:bookmarkStart w:id="47" w:name="_Toc141097893"/>
      <w:r w:rsidRPr="00D2154A">
        <w:rPr>
          <w:b/>
        </w:rPr>
        <w:t xml:space="preserve">Zakres </w:t>
      </w:r>
      <w:r w:rsidR="000C7EE8" w:rsidRPr="00D2154A">
        <w:rPr>
          <w:b/>
        </w:rPr>
        <w:t>ubezpieczenia obejmuje interwencję w następstwie n/w zdarzeń</w:t>
      </w:r>
      <w:r w:rsidRPr="00D2154A">
        <w:rPr>
          <w:b/>
        </w:rPr>
        <w:t>:</w:t>
      </w:r>
      <w:bookmarkEnd w:id="47"/>
    </w:p>
    <w:p w14:paraId="1ADC015A" w14:textId="77777777" w:rsidR="004D091D" w:rsidRPr="00D2154A" w:rsidRDefault="004D091D" w:rsidP="002A2BE7">
      <w:pPr>
        <w:pStyle w:val="Akapitzlist"/>
        <w:numPr>
          <w:ilvl w:val="0"/>
          <w:numId w:val="19"/>
        </w:numPr>
        <w:spacing w:after="0"/>
        <w:ind w:hanging="589"/>
        <w:jc w:val="both"/>
      </w:pPr>
      <w:r w:rsidRPr="00D2154A">
        <w:t xml:space="preserve">uszkodzenie, </w:t>
      </w:r>
    </w:p>
    <w:p w14:paraId="052C9CD6" w14:textId="77777777" w:rsidR="004D091D" w:rsidRPr="00D2154A" w:rsidRDefault="004D091D" w:rsidP="002A2BE7">
      <w:pPr>
        <w:pStyle w:val="Akapitzlist"/>
        <w:numPr>
          <w:ilvl w:val="0"/>
          <w:numId w:val="19"/>
        </w:numPr>
        <w:spacing w:after="0"/>
        <w:ind w:hanging="589"/>
        <w:jc w:val="both"/>
      </w:pPr>
      <w:r w:rsidRPr="00D2154A">
        <w:t xml:space="preserve">wypadek, </w:t>
      </w:r>
    </w:p>
    <w:p w14:paraId="1B8967A1" w14:textId="77777777" w:rsidR="004D091D" w:rsidRPr="00D2154A" w:rsidRDefault="004D091D" w:rsidP="002A2BE7">
      <w:pPr>
        <w:pStyle w:val="Akapitzlist"/>
        <w:numPr>
          <w:ilvl w:val="0"/>
          <w:numId w:val="19"/>
        </w:numPr>
        <w:spacing w:after="0"/>
        <w:ind w:hanging="589"/>
        <w:jc w:val="both"/>
      </w:pPr>
      <w:r w:rsidRPr="00D2154A">
        <w:t>kolizja,</w:t>
      </w:r>
    </w:p>
    <w:p w14:paraId="01595393" w14:textId="77777777" w:rsidR="004D091D" w:rsidRPr="00D2154A" w:rsidRDefault="004D091D" w:rsidP="002A2BE7">
      <w:pPr>
        <w:pStyle w:val="Akapitzlist"/>
        <w:numPr>
          <w:ilvl w:val="0"/>
          <w:numId w:val="19"/>
        </w:numPr>
        <w:spacing w:after="0"/>
        <w:ind w:hanging="589"/>
        <w:jc w:val="both"/>
      </w:pPr>
      <w:r w:rsidRPr="00D2154A">
        <w:t>awaria,</w:t>
      </w:r>
    </w:p>
    <w:p w14:paraId="5AE7D7D6" w14:textId="77777777" w:rsidR="004D091D" w:rsidRPr="00D2154A" w:rsidRDefault="004D091D" w:rsidP="002A2BE7">
      <w:pPr>
        <w:pStyle w:val="Akapitzlist"/>
        <w:numPr>
          <w:ilvl w:val="0"/>
          <w:numId w:val="19"/>
        </w:numPr>
        <w:spacing w:after="0"/>
        <w:ind w:hanging="589"/>
        <w:jc w:val="both"/>
      </w:pPr>
      <w:r w:rsidRPr="00D2154A">
        <w:t>unieruchomienie pojazdu z jakiejkolwiek przyczyny</w:t>
      </w:r>
      <w:r w:rsidR="005625A3" w:rsidRPr="00D2154A">
        <w:t>,</w:t>
      </w:r>
    </w:p>
    <w:p w14:paraId="0B5017BF" w14:textId="77777777" w:rsidR="005625A3" w:rsidRPr="00D2154A" w:rsidRDefault="005625A3" w:rsidP="002A2BE7">
      <w:pPr>
        <w:pStyle w:val="Akapitzlist"/>
        <w:numPr>
          <w:ilvl w:val="0"/>
          <w:numId w:val="19"/>
        </w:numPr>
        <w:spacing w:after="0"/>
        <w:ind w:hanging="589"/>
        <w:jc w:val="both"/>
      </w:pPr>
      <w:r w:rsidRPr="00D2154A">
        <w:t>kradzież.</w:t>
      </w:r>
    </w:p>
    <w:p w14:paraId="1AABA1A7" w14:textId="77777777" w:rsidR="004D091D" w:rsidRPr="00D2154A" w:rsidRDefault="004D091D" w:rsidP="00D2154A">
      <w:pPr>
        <w:pStyle w:val="Akapitzlist"/>
        <w:spacing w:after="0"/>
        <w:ind w:left="1224"/>
        <w:jc w:val="both"/>
        <w:rPr>
          <w:b/>
        </w:rPr>
      </w:pPr>
    </w:p>
    <w:p w14:paraId="45653E09" w14:textId="77777777" w:rsidR="004D091D" w:rsidRPr="00D2154A" w:rsidRDefault="004D091D" w:rsidP="002A2BE7">
      <w:pPr>
        <w:pStyle w:val="Akapitzlist"/>
        <w:numPr>
          <w:ilvl w:val="1"/>
          <w:numId w:val="14"/>
        </w:numPr>
        <w:spacing w:after="0"/>
        <w:jc w:val="both"/>
        <w:outlineLvl w:val="2"/>
        <w:rPr>
          <w:b/>
        </w:rPr>
      </w:pPr>
      <w:bookmarkStart w:id="48" w:name="_Toc141097894"/>
      <w:r w:rsidRPr="00D2154A">
        <w:rPr>
          <w:b/>
        </w:rPr>
        <w:t>Zakres</w:t>
      </w:r>
      <w:r w:rsidR="00DB6E48" w:rsidRPr="00D2154A">
        <w:rPr>
          <w:b/>
        </w:rPr>
        <w:t xml:space="preserve"> u</w:t>
      </w:r>
      <w:r w:rsidR="005B12DC" w:rsidRPr="00D2154A">
        <w:rPr>
          <w:b/>
        </w:rPr>
        <w:t>sług</w:t>
      </w:r>
      <w:bookmarkEnd w:id="48"/>
    </w:p>
    <w:p w14:paraId="5809CC37" w14:textId="3C61A7BE" w:rsidR="005F7745" w:rsidRPr="00D2154A" w:rsidRDefault="005F7745" w:rsidP="002A2BE7">
      <w:pPr>
        <w:pStyle w:val="Akapitzlist"/>
        <w:numPr>
          <w:ilvl w:val="0"/>
          <w:numId w:val="20"/>
        </w:numPr>
        <w:spacing w:after="0"/>
        <w:jc w:val="both"/>
      </w:pPr>
      <w:r w:rsidRPr="00D2154A">
        <w:t xml:space="preserve">Holowanie z miejsca wypadku do najbliższego warsztatu położonego nie dalej, niż odległość od miejsca zdarzenia do siedziby Ubezpieczającego lub miejsca zamieszkania osoby uprawnionej do korzystania z pojazdu – nie stosuje się warunku minimalnej odległości miejsca zdarzenia od siedziby/miejsca zamieszkania ubezpieczającego, holowanie bez maksymalnego limitu kilometrów na terytorium RP, poza granicami Kraju limit </w:t>
      </w:r>
      <w:r w:rsidR="006235E9">
        <w:t xml:space="preserve"> max. 5</w:t>
      </w:r>
      <w:r w:rsidR="00017AC7" w:rsidRPr="00D2154A">
        <w:t>00 km,</w:t>
      </w:r>
    </w:p>
    <w:p w14:paraId="0AEC37DF" w14:textId="77777777" w:rsidR="005F7745" w:rsidRPr="00D2154A" w:rsidRDefault="005F7745" w:rsidP="002A2BE7">
      <w:pPr>
        <w:pStyle w:val="Akapitzlist"/>
        <w:numPr>
          <w:ilvl w:val="0"/>
          <w:numId w:val="20"/>
        </w:numPr>
        <w:spacing w:after="0"/>
        <w:jc w:val="both"/>
      </w:pPr>
      <w:r w:rsidRPr="00D2154A">
        <w:t>naprawę pojazdu na miejscu awarii o ile naprawa będzie możliwa. Koszty materiałów i części ponosi ubezpieczający,</w:t>
      </w:r>
    </w:p>
    <w:p w14:paraId="232809FB" w14:textId="77777777" w:rsidR="005F7745" w:rsidRPr="00D2154A" w:rsidRDefault="005F7745" w:rsidP="002A2BE7">
      <w:pPr>
        <w:pStyle w:val="Akapitzlist"/>
        <w:numPr>
          <w:ilvl w:val="0"/>
          <w:numId w:val="20"/>
        </w:numPr>
        <w:spacing w:after="0"/>
        <w:jc w:val="both"/>
      </w:pPr>
      <w:r w:rsidRPr="00D2154A">
        <w:t xml:space="preserve">holowanie pojazdu po awarii – z miejsca zdarzenia do najbliższego warsztatu – nie stosuje się warunku minimalnej odległości miejsca zdarzenia od siedziby/miejsca zamieszkania ubezpieczającego, limit maksymalnej odległości holowania </w:t>
      </w:r>
      <w:r w:rsidR="00017AC7" w:rsidRPr="00D2154A">
        <w:t>–</w:t>
      </w:r>
      <w:r w:rsidRPr="00D2154A">
        <w:t xml:space="preserve"> wykupiony</w:t>
      </w:r>
      <w:r w:rsidR="00017AC7" w:rsidRPr="00D2154A">
        <w:t>,</w:t>
      </w:r>
    </w:p>
    <w:p w14:paraId="52139CDA" w14:textId="77777777" w:rsidR="00705E6E" w:rsidRPr="00D2154A" w:rsidRDefault="005F7745" w:rsidP="002A2BE7">
      <w:pPr>
        <w:pStyle w:val="Akapitzlist"/>
        <w:numPr>
          <w:ilvl w:val="0"/>
          <w:numId w:val="20"/>
        </w:numPr>
        <w:spacing w:after="0"/>
        <w:jc w:val="both"/>
      </w:pPr>
      <w:r w:rsidRPr="00D2154A">
        <w:t>pomoc w przypadku wlania niewłaściwego paliwa do zbiornika pojazdu (organizacja usunięcia niewłaściwego paliwa)</w:t>
      </w:r>
      <w:r w:rsidR="00017AC7" w:rsidRPr="00D2154A">
        <w:t>,</w:t>
      </w:r>
    </w:p>
    <w:p w14:paraId="557539A6" w14:textId="77777777" w:rsidR="005F7745" w:rsidRPr="00D2154A" w:rsidRDefault="00705E6E" w:rsidP="002A2BE7">
      <w:pPr>
        <w:pStyle w:val="Akapitzlist"/>
        <w:numPr>
          <w:ilvl w:val="0"/>
          <w:numId w:val="20"/>
        </w:numPr>
        <w:spacing w:after="0"/>
        <w:jc w:val="both"/>
      </w:pPr>
      <w:r w:rsidRPr="00D2154A">
        <w:t xml:space="preserve">organizacja i pokrycie kosztów wynajmu pojazdu zastępczego na okres minimalnie </w:t>
      </w:r>
      <w:r w:rsidRPr="00D2154A">
        <w:br/>
        <w:t>2 dni w przypadku awarii oraz minimalnie 5 dni w przypadku wypadku lub kradzieży (koszty paliwa pokrywa ubezpieczający), jeżeli nie możliwe jest naprawienie pojazdu tego samego dnia, w którym doszło do awarii/wypadku oraz w przypadku kradzieży</w:t>
      </w:r>
      <w:r w:rsidR="00017AC7" w:rsidRPr="00D2154A">
        <w:t>,</w:t>
      </w:r>
    </w:p>
    <w:p w14:paraId="0D318913" w14:textId="77777777" w:rsidR="005F7745" w:rsidRPr="00D2154A" w:rsidRDefault="005F7745" w:rsidP="002A2BE7">
      <w:pPr>
        <w:pStyle w:val="Akapitzlist"/>
        <w:numPr>
          <w:ilvl w:val="0"/>
          <w:numId w:val="20"/>
        </w:numPr>
        <w:spacing w:after="0"/>
        <w:jc w:val="both"/>
      </w:pPr>
      <w:r w:rsidRPr="00D2154A">
        <w:t>pomoc w otwarciu pojazdu w przypadku zatrzaśnięcia lub utraty kluczyków</w:t>
      </w:r>
      <w:r w:rsidR="00017AC7" w:rsidRPr="00D2154A">
        <w:t>.</w:t>
      </w:r>
    </w:p>
    <w:p w14:paraId="4064435E" w14:textId="77777777" w:rsidR="002A6DCB" w:rsidRPr="00D2154A" w:rsidRDefault="002A6DCB" w:rsidP="00D2154A">
      <w:pPr>
        <w:pStyle w:val="Akapitzlist"/>
        <w:spacing w:after="0"/>
        <w:ind w:left="1440"/>
        <w:jc w:val="both"/>
      </w:pPr>
    </w:p>
    <w:p w14:paraId="61794018" w14:textId="77777777" w:rsidR="002A6DCB" w:rsidRPr="00D2154A" w:rsidRDefault="002A6DCB" w:rsidP="002A2BE7">
      <w:pPr>
        <w:pStyle w:val="Akapitzlist"/>
        <w:numPr>
          <w:ilvl w:val="1"/>
          <w:numId w:val="14"/>
        </w:numPr>
        <w:spacing w:after="0"/>
        <w:jc w:val="both"/>
        <w:outlineLvl w:val="2"/>
        <w:rPr>
          <w:b/>
        </w:rPr>
      </w:pPr>
      <w:bookmarkStart w:id="49" w:name="_Toc141097895"/>
      <w:r w:rsidRPr="00D2154A">
        <w:rPr>
          <w:b/>
        </w:rPr>
        <w:t>Zakres terytorialny</w:t>
      </w:r>
      <w:bookmarkEnd w:id="49"/>
    </w:p>
    <w:p w14:paraId="039CB57C" w14:textId="77777777" w:rsidR="002A6DCB" w:rsidRPr="00D2154A" w:rsidRDefault="002A6DCB" w:rsidP="00D2154A">
      <w:pPr>
        <w:pStyle w:val="Akapitzlist"/>
        <w:spacing w:after="0"/>
        <w:ind w:left="1224"/>
        <w:jc w:val="both"/>
      </w:pPr>
      <w:r w:rsidRPr="00D2154A">
        <w:t>Europa</w:t>
      </w:r>
    </w:p>
    <w:p w14:paraId="2DEB0494" w14:textId="77777777" w:rsidR="007F3EB0" w:rsidRPr="00D2154A" w:rsidRDefault="007F3EB0" w:rsidP="00D2154A">
      <w:pPr>
        <w:pStyle w:val="Akapitzlist"/>
        <w:spacing w:after="0"/>
        <w:ind w:left="1224"/>
        <w:jc w:val="both"/>
      </w:pPr>
    </w:p>
    <w:p w14:paraId="2C1B73E3" w14:textId="77777777" w:rsidR="002A6DCB" w:rsidRPr="00D2154A" w:rsidRDefault="004F16FB" w:rsidP="002A2BE7">
      <w:pPr>
        <w:pStyle w:val="Akapitzlist"/>
        <w:numPr>
          <w:ilvl w:val="1"/>
          <w:numId w:val="14"/>
        </w:numPr>
        <w:spacing w:after="0"/>
        <w:jc w:val="both"/>
        <w:outlineLvl w:val="2"/>
        <w:rPr>
          <w:b/>
        </w:rPr>
      </w:pPr>
      <w:bookmarkStart w:id="50" w:name="_Toc141097896"/>
      <w:r w:rsidRPr="00D2154A">
        <w:rPr>
          <w:b/>
        </w:rPr>
        <w:t>Limit odpowiedzialności</w:t>
      </w:r>
      <w:bookmarkEnd w:id="50"/>
    </w:p>
    <w:p w14:paraId="3439A84D" w14:textId="77777777" w:rsidR="004F16FB" w:rsidRPr="00D2154A" w:rsidRDefault="004F16FB" w:rsidP="004328DD">
      <w:pPr>
        <w:pStyle w:val="Akapitzlist"/>
        <w:spacing w:after="0"/>
        <w:ind w:left="792"/>
        <w:jc w:val="both"/>
      </w:pPr>
      <w:r w:rsidRPr="00D2154A">
        <w:t>Limit odpowiedzialności na jedno i wszystkie zdarzenia w okresie ubezpieczenia ni</w:t>
      </w:r>
      <w:r w:rsidR="00952B7A">
        <w:t>e</w:t>
      </w:r>
      <w:r w:rsidRPr="00D2154A">
        <w:t xml:space="preserve"> niższy niż 10 000 zł</w:t>
      </w:r>
    </w:p>
    <w:p w14:paraId="22FA6DD6" w14:textId="77777777" w:rsidR="00A55C82" w:rsidRPr="00D2154A" w:rsidRDefault="00A55C82" w:rsidP="003F6971">
      <w:pPr>
        <w:spacing w:after="0"/>
        <w:jc w:val="both"/>
      </w:pPr>
    </w:p>
    <w:p w14:paraId="7C5478BD" w14:textId="77777777" w:rsidR="00ED0EE4" w:rsidRPr="00D2154A" w:rsidRDefault="00ED0EE4" w:rsidP="002A2BE7">
      <w:pPr>
        <w:pStyle w:val="Akapitzlist"/>
        <w:numPr>
          <w:ilvl w:val="1"/>
          <w:numId w:val="14"/>
        </w:numPr>
        <w:spacing w:after="0"/>
        <w:jc w:val="both"/>
        <w:outlineLvl w:val="2"/>
      </w:pPr>
      <w:bookmarkStart w:id="51" w:name="_Toc141097897"/>
      <w:r w:rsidRPr="00D2154A">
        <w:rPr>
          <w:b/>
        </w:rPr>
        <w:t>Franszyzy i udziały własne</w:t>
      </w:r>
      <w:bookmarkEnd w:id="51"/>
    </w:p>
    <w:p w14:paraId="4FA8EE3C" w14:textId="77777777" w:rsidR="00F01D1C" w:rsidRPr="00D2154A" w:rsidRDefault="00F01D1C" w:rsidP="002A2BE7">
      <w:pPr>
        <w:pStyle w:val="Akapitzlist"/>
        <w:numPr>
          <w:ilvl w:val="0"/>
          <w:numId w:val="48"/>
        </w:numPr>
        <w:ind w:left="1276" w:hanging="425"/>
      </w:pPr>
      <w:r w:rsidRPr="00D2154A">
        <w:t>W Auto-casco zastosowanie ma wyłącznie franszyza redukcyjna w wysokości max. 500,00 PLN w każdej szkodzie;</w:t>
      </w:r>
    </w:p>
    <w:p w14:paraId="1EC84C24" w14:textId="77777777" w:rsidR="00F01D1C" w:rsidRPr="00D2154A" w:rsidRDefault="00F01D1C" w:rsidP="002A2BE7">
      <w:pPr>
        <w:pStyle w:val="Akapitzlist"/>
        <w:numPr>
          <w:ilvl w:val="0"/>
          <w:numId w:val="48"/>
        </w:numPr>
        <w:ind w:left="1276" w:hanging="425"/>
      </w:pPr>
      <w:r w:rsidRPr="00D2154A">
        <w:t>W ubezpieczeniu OC, NNW i Assistance franszyz i udziałów własnych nie stosuje się</w:t>
      </w:r>
      <w:r w:rsidR="00D62F31" w:rsidRPr="00D2154A">
        <w:t>.</w:t>
      </w:r>
    </w:p>
    <w:p w14:paraId="051DBA7A" w14:textId="77777777" w:rsidR="00ED0EE4" w:rsidRPr="00D2154A" w:rsidRDefault="00ED0EE4" w:rsidP="00D2154A">
      <w:pPr>
        <w:pStyle w:val="Akapitzlist"/>
        <w:spacing w:after="0"/>
        <w:ind w:left="1224"/>
        <w:jc w:val="both"/>
      </w:pPr>
    </w:p>
    <w:p w14:paraId="6087930A" w14:textId="0ECA345B" w:rsidR="00472A9F" w:rsidRDefault="004E7693" w:rsidP="002A2BE7">
      <w:pPr>
        <w:pStyle w:val="Akapitzlist"/>
        <w:numPr>
          <w:ilvl w:val="0"/>
          <w:numId w:val="14"/>
        </w:numPr>
        <w:shd w:val="clear" w:color="auto" w:fill="FFFFFF" w:themeFill="background1"/>
        <w:spacing w:after="0"/>
        <w:jc w:val="both"/>
        <w:outlineLvl w:val="2"/>
        <w:rPr>
          <w:b/>
        </w:rPr>
      </w:pPr>
      <w:bookmarkStart w:id="52" w:name="_Toc141097898"/>
      <w:r>
        <w:rPr>
          <w:b/>
        </w:rPr>
        <w:lastRenderedPageBreak/>
        <w:t>Klauzule dotyczące ubezpieczeń komunikacyjnych</w:t>
      </w:r>
      <w:bookmarkEnd w:id="52"/>
    </w:p>
    <w:p w14:paraId="2565B0D9" w14:textId="77777777" w:rsidR="00ED0EE4" w:rsidRPr="00D2154A" w:rsidRDefault="00ED0EE4" w:rsidP="00D2154A">
      <w:pPr>
        <w:pStyle w:val="Akapitzlist"/>
        <w:spacing w:after="0"/>
        <w:ind w:left="1224"/>
        <w:jc w:val="both"/>
      </w:pPr>
    </w:p>
    <w:p w14:paraId="72189F4C" w14:textId="77777777" w:rsidR="00F95BCD" w:rsidRPr="00D2154A" w:rsidRDefault="00F95BCD" w:rsidP="00D2154A">
      <w:pPr>
        <w:pStyle w:val="Akapitzlist"/>
        <w:spacing w:after="0"/>
        <w:ind w:left="792"/>
        <w:jc w:val="both"/>
      </w:pPr>
      <w:r w:rsidRPr="00D2154A">
        <w:t>Klauzule mają zastosowanie do ubezpieczeń dobrowolnych.</w:t>
      </w:r>
    </w:p>
    <w:tbl>
      <w:tblPr>
        <w:tblStyle w:val="Tabela-Siatka"/>
        <w:tblW w:w="0" w:type="auto"/>
        <w:tblInd w:w="792" w:type="dxa"/>
        <w:tblLook w:val="04A0" w:firstRow="1" w:lastRow="0" w:firstColumn="1" w:lastColumn="0" w:noHBand="0" w:noVBand="1"/>
      </w:tblPr>
      <w:tblGrid>
        <w:gridCol w:w="2258"/>
        <w:gridCol w:w="7002"/>
      </w:tblGrid>
      <w:tr w:rsidR="00E506B3" w14:paraId="0612598C" w14:textId="77777777" w:rsidTr="007608F7">
        <w:tc>
          <w:tcPr>
            <w:tcW w:w="2258" w:type="dxa"/>
          </w:tcPr>
          <w:p w14:paraId="6607AE73" w14:textId="0D3C7D61" w:rsidR="00E506B3" w:rsidRPr="005820EE" w:rsidRDefault="00E506B3" w:rsidP="002A2BE7">
            <w:pPr>
              <w:pStyle w:val="Akapitzlist"/>
              <w:numPr>
                <w:ilvl w:val="0"/>
                <w:numId w:val="49"/>
              </w:numPr>
              <w:jc w:val="both"/>
              <w:rPr>
                <w:color w:val="000000" w:themeColor="text1"/>
                <w:sz w:val="20"/>
                <w:szCs w:val="20"/>
              </w:rPr>
            </w:pPr>
            <w:r w:rsidRPr="005820EE">
              <w:rPr>
                <w:color w:val="000000" w:themeColor="text1"/>
                <w:sz w:val="20"/>
                <w:szCs w:val="20"/>
              </w:rPr>
              <w:t>Klauzula rozliczenia składki</w:t>
            </w:r>
          </w:p>
        </w:tc>
        <w:tc>
          <w:tcPr>
            <w:tcW w:w="7002" w:type="dxa"/>
          </w:tcPr>
          <w:p w14:paraId="4FBC4E3D" w14:textId="596B7149" w:rsidR="00E506B3" w:rsidRPr="005820EE" w:rsidRDefault="00E506B3" w:rsidP="00D2154A">
            <w:pPr>
              <w:pStyle w:val="Akapitzlist"/>
              <w:ind w:left="0"/>
              <w:jc w:val="both"/>
              <w:rPr>
                <w:sz w:val="20"/>
                <w:szCs w:val="20"/>
              </w:rPr>
            </w:pPr>
            <w:r w:rsidRPr="005820EE">
              <w:rPr>
                <w:sz w:val="20"/>
                <w:szCs w:val="20"/>
              </w:rPr>
              <w:t>Z zachowaniem pozostałych, niezmienionych niniejszą klauzulą postanowień umowy ubezpieczenia strony uzgodniły, iż w przypadku wygaśnięcia stosunku ubezpieczenia przed upływem okresu, na jaki została zawarta umowa, Ubezpieczyciel zwraca składkę za niewykorzystany okres w systemie pro rata temporis za każdy dzień bez potrącania kosztów manipulacyjnych.</w:t>
            </w:r>
          </w:p>
        </w:tc>
      </w:tr>
      <w:tr w:rsidR="00E506B3" w14:paraId="76380E9A" w14:textId="77777777" w:rsidTr="007608F7">
        <w:tc>
          <w:tcPr>
            <w:tcW w:w="2258" w:type="dxa"/>
          </w:tcPr>
          <w:p w14:paraId="09020C1B" w14:textId="7085A219" w:rsidR="00E506B3" w:rsidRPr="005820EE" w:rsidRDefault="00E506B3" w:rsidP="002A2BE7">
            <w:pPr>
              <w:pStyle w:val="Akapitzlist"/>
              <w:numPr>
                <w:ilvl w:val="0"/>
                <w:numId w:val="49"/>
              </w:numPr>
              <w:jc w:val="both"/>
              <w:rPr>
                <w:color w:val="000000" w:themeColor="text1"/>
                <w:sz w:val="20"/>
                <w:szCs w:val="20"/>
              </w:rPr>
            </w:pPr>
            <w:r w:rsidRPr="005820EE">
              <w:rPr>
                <w:color w:val="000000" w:themeColor="text1"/>
                <w:sz w:val="20"/>
                <w:szCs w:val="20"/>
              </w:rPr>
              <w:t>Klauzula początku ochrony ubezpieczeniowej</w:t>
            </w:r>
          </w:p>
        </w:tc>
        <w:tc>
          <w:tcPr>
            <w:tcW w:w="7002" w:type="dxa"/>
          </w:tcPr>
          <w:p w14:paraId="53A8BD64" w14:textId="77777777" w:rsidR="00E506B3" w:rsidRPr="005820EE" w:rsidRDefault="00E506B3" w:rsidP="00E506B3">
            <w:pPr>
              <w:pStyle w:val="Akapitzlist"/>
              <w:ind w:left="0"/>
              <w:jc w:val="both"/>
              <w:rPr>
                <w:sz w:val="20"/>
                <w:szCs w:val="20"/>
              </w:rPr>
            </w:pPr>
            <w:r w:rsidRPr="005820EE">
              <w:rPr>
                <w:sz w:val="20"/>
                <w:szCs w:val="20"/>
              </w:rPr>
              <w:t>Z zachowaniem pozostałych, nie zmienionych niniejszą klauzulą, postanowień umowy ubezpieczenia strony uzgodniły, iż odpowiedzialność Ubezpieczyciela rozpoczyna się od dnia wskazanego w dokumencie ubezpieczenia jako początek ochrony ubezpieczeniowej, mimo opłacenia składki lub jej pierwszej raty w terminie późniejszym.</w:t>
            </w:r>
          </w:p>
          <w:p w14:paraId="2E971CC9" w14:textId="77777777" w:rsidR="00E506B3" w:rsidRPr="005820EE" w:rsidRDefault="00E506B3" w:rsidP="00D2154A">
            <w:pPr>
              <w:pStyle w:val="Akapitzlist"/>
              <w:ind w:left="0"/>
              <w:jc w:val="both"/>
              <w:rPr>
                <w:sz w:val="20"/>
                <w:szCs w:val="20"/>
              </w:rPr>
            </w:pPr>
          </w:p>
        </w:tc>
      </w:tr>
      <w:tr w:rsidR="00E506B3" w14:paraId="5FDFA78B" w14:textId="77777777" w:rsidTr="007608F7">
        <w:tc>
          <w:tcPr>
            <w:tcW w:w="2258" w:type="dxa"/>
          </w:tcPr>
          <w:p w14:paraId="5F952400" w14:textId="080471CD" w:rsidR="00E506B3" w:rsidRPr="005820EE" w:rsidRDefault="00E506B3" w:rsidP="002A2BE7">
            <w:pPr>
              <w:pStyle w:val="Akapitzlist"/>
              <w:numPr>
                <w:ilvl w:val="0"/>
                <w:numId w:val="49"/>
              </w:numPr>
              <w:jc w:val="both"/>
              <w:rPr>
                <w:color w:val="000000" w:themeColor="text1"/>
                <w:sz w:val="20"/>
                <w:szCs w:val="20"/>
              </w:rPr>
            </w:pPr>
            <w:r w:rsidRPr="005820EE">
              <w:rPr>
                <w:color w:val="000000" w:themeColor="text1"/>
                <w:sz w:val="20"/>
                <w:szCs w:val="20"/>
              </w:rPr>
              <w:t>Klauzula płatności składki (dot. art. 814 § 2 k.c.)</w:t>
            </w:r>
          </w:p>
        </w:tc>
        <w:tc>
          <w:tcPr>
            <w:tcW w:w="7002" w:type="dxa"/>
          </w:tcPr>
          <w:p w14:paraId="77931027" w14:textId="6D63A005" w:rsidR="00E506B3" w:rsidRPr="005820EE" w:rsidRDefault="00E506B3" w:rsidP="00D2154A">
            <w:pPr>
              <w:pStyle w:val="Akapitzlist"/>
              <w:ind w:left="0"/>
              <w:jc w:val="both"/>
              <w:rPr>
                <w:sz w:val="20"/>
                <w:szCs w:val="20"/>
              </w:rPr>
            </w:pPr>
            <w:r w:rsidRPr="005820EE">
              <w:rPr>
                <w:sz w:val="20"/>
                <w:szCs w:val="20"/>
              </w:rPr>
              <w:t>Z zachowaniem pozostałych, niezmienionych niniejszą klauzulą, postanowień umowy ubezpieczenia strony uzgodniły, iż nieopłacenie w terminie składki lub jej pierwszej raty nie powoduje ustania odpowiedzialności Ubezpieczyciela w ramach zawartej umowy ubezpieczenia i nie skutkuje także zawieszeniem udzielanej ochrony ubezpieczeniowej. Ubezpieczyciel na piśmie powiadomi Klienta o zwłoce oraz wezwie go do zapłaty wyznaczając nowy termin – 7 dni od dnia otrzymania wezwania. Jeżeli Ubezpieczający nie ureguluje płatności w wyznaczonym terminie, Ubezpieczyciel może wypowiedzieć na piśmie umowę ze skutkiem natychmiastowym. Ubezpieczycielowi przysługuje roszczenie o zapłatę składki za okres, przez który ponosił odpowiedzialność.</w:t>
            </w:r>
          </w:p>
        </w:tc>
      </w:tr>
      <w:tr w:rsidR="00E506B3" w14:paraId="071B4B3B" w14:textId="77777777" w:rsidTr="007608F7">
        <w:tc>
          <w:tcPr>
            <w:tcW w:w="2258" w:type="dxa"/>
          </w:tcPr>
          <w:p w14:paraId="222B779C" w14:textId="3C8D6A94" w:rsidR="00E506B3" w:rsidRPr="005820EE" w:rsidRDefault="00E506B3" w:rsidP="002A2BE7">
            <w:pPr>
              <w:pStyle w:val="Akapitzlist"/>
              <w:numPr>
                <w:ilvl w:val="0"/>
                <w:numId w:val="49"/>
              </w:numPr>
              <w:jc w:val="both"/>
              <w:rPr>
                <w:color w:val="000000" w:themeColor="text1"/>
                <w:sz w:val="20"/>
                <w:szCs w:val="20"/>
              </w:rPr>
            </w:pPr>
            <w:r w:rsidRPr="005820EE">
              <w:rPr>
                <w:color w:val="000000" w:themeColor="text1"/>
                <w:sz w:val="20"/>
                <w:szCs w:val="20"/>
              </w:rPr>
              <w:t>Klauzula potrącania rat</w:t>
            </w:r>
          </w:p>
        </w:tc>
        <w:tc>
          <w:tcPr>
            <w:tcW w:w="7002" w:type="dxa"/>
          </w:tcPr>
          <w:p w14:paraId="789855AA" w14:textId="2E69AB62" w:rsidR="00E506B3" w:rsidRPr="005820EE" w:rsidRDefault="00E506B3" w:rsidP="00D2154A">
            <w:pPr>
              <w:pStyle w:val="Akapitzlist"/>
              <w:ind w:left="0"/>
              <w:jc w:val="both"/>
              <w:rPr>
                <w:sz w:val="20"/>
                <w:szCs w:val="20"/>
              </w:rPr>
            </w:pPr>
            <w:r w:rsidRPr="005820EE">
              <w:rPr>
                <w:sz w:val="20"/>
                <w:szCs w:val="20"/>
              </w:rPr>
              <w:t>Z zachowaniem pozostałych, nie zmienionych niniejszą klauzulą, postanowień umowy ubezpieczenia strony uzgodniły, że w przypadku wypłaty odszkodowania, Ubezpieczyciel nie jest uprawniony do potrącenia z kwoty odszkodowania rat jeszcze nie wymagalnych, a raty nie wymagalne nie stają się wymagalne.</w:t>
            </w:r>
          </w:p>
        </w:tc>
      </w:tr>
      <w:tr w:rsidR="00E506B3" w14:paraId="32956CD1" w14:textId="77777777" w:rsidTr="007608F7">
        <w:tc>
          <w:tcPr>
            <w:tcW w:w="2258" w:type="dxa"/>
          </w:tcPr>
          <w:p w14:paraId="6C5E303F" w14:textId="42ACD5B1" w:rsidR="00E506B3" w:rsidRPr="005820EE" w:rsidRDefault="00525130" w:rsidP="002A2BE7">
            <w:pPr>
              <w:pStyle w:val="Akapitzlist"/>
              <w:numPr>
                <w:ilvl w:val="0"/>
                <w:numId w:val="49"/>
              </w:numPr>
              <w:jc w:val="both"/>
              <w:rPr>
                <w:color w:val="000000" w:themeColor="text1"/>
                <w:sz w:val="20"/>
                <w:szCs w:val="20"/>
              </w:rPr>
            </w:pPr>
            <w:r w:rsidRPr="005820EE">
              <w:rPr>
                <w:color w:val="000000" w:themeColor="text1"/>
                <w:sz w:val="20"/>
                <w:szCs w:val="20"/>
              </w:rPr>
              <w:t>Klauzula przeniesienia praw</w:t>
            </w:r>
          </w:p>
        </w:tc>
        <w:tc>
          <w:tcPr>
            <w:tcW w:w="7002" w:type="dxa"/>
          </w:tcPr>
          <w:p w14:paraId="746DC7C3" w14:textId="4487F722" w:rsidR="00E506B3" w:rsidRPr="005820EE" w:rsidRDefault="00525130" w:rsidP="00D2154A">
            <w:pPr>
              <w:pStyle w:val="Akapitzlist"/>
              <w:ind w:left="0"/>
              <w:jc w:val="both"/>
              <w:rPr>
                <w:sz w:val="20"/>
                <w:szCs w:val="20"/>
              </w:rPr>
            </w:pPr>
            <w:r w:rsidRPr="005820EE">
              <w:rPr>
                <w:sz w:val="20"/>
                <w:szCs w:val="20"/>
              </w:rPr>
              <w:t>Z zachowaniem pozostałych, niezmienionych niniejszą klauzulą, postanowień umowy ubezpieczenia strony uzgodniły, że w przypadku przeniesienia własności przedmiotu ubezpieczenia przez Ubezpieczającego na Bank lub Ubezpieczyciel, prawa i obowiązki z umowy ubezpieczenia zostają przeniesione na nabywcę, a ochrona ubezpieczeniowa nie wygasa, lecz jest kontynuowana na dotychczasowych warunkach, chyba że Ubezpieczający wypowie ją. Ubezpieczający zobowiązuje się jednocześnie zapłacić składkę należną Ubezpieczycielowi za okres, przez który ponosił odpowiedzialność (np. od dnia sprzedaży do dnia zawiadomienia o wypowiedzeniu).</w:t>
            </w:r>
          </w:p>
        </w:tc>
      </w:tr>
      <w:tr w:rsidR="00E31E09" w14:paraId="22F89698" w14:textId="77777777" w:rsidTr="007608F7">
        <w:tc>
          <w:tcPr>
            <w:tcW w:w="2258" w:type="dxa"/>
          </w:tcPr>
          <w:p w14:paraId="14E7386C" w14:textId="5AFE384E" w:rsidR="00E31E09" w:rsidRPr="005820EE" w:rsidRDefault="00AD142A" w:rsidP="002A2BE7">
            <w:pPr>
              <w:pStyle w:val="Akapitzlist"/>
              <w:numPr>
                <w:ilvl w:val="0"/>
                <w:numId w:val="49"/>
              </w:numPr>
              <w:rPr>
                <w:sz w:val="20"/>
                <w:szCs w:val="20"/>
              </w:rPr>
            </w:pPr>
            <w:r w:rsidRPr="005820EE">
              <w:rPr>
                <w:sz w:val="20"/>
                <w:szCs w:val="20"/>
              </w:rPr>
              <w:t>Klauzula badań technicznych</w:t>
            </w:r>
          </w:p>
        </w:tc>
        <w:tc>
          <w:tcPr>
            <w:tcW w:w="7002" w:type="dxa"/>
          </w:tcPr>
          <w:p w14:paraId="056C334C" w14:textId="340A6E95" w:rsidR="00E31E09" w:rsidRPr="005820EE" w:rsidRDefault="00AD142A" w:rsidP="004C6F4A">
            <w:pPr>
              <w:rPr>
                <w:sz w:val="20"/>
                <w:szCs w:val="20"/>
              </w:rPr>
            </w:pPr>
            <w:r w:rsidRPr="005820EE">
              <w:rPr>
                <w:sz w:val="20"/>
                <w:szCs w:val="20"/>
              </w:rPr>
              <w:t xml:space="preserve">Ubezpieczyciel wypłaci odszkodowanie za szkodę zaistniałą z ubezpieczenia AC, gdy w momencie powstania szkody pojazd nie posiadał ważnego okresowego badania technicznego – jeżeli w odniesieniu do tego pojazdu obowiązuje wymóg dokonywania okresowych badań technicznych. Zapisy dotyczą wyłącznie sytuacji, </w:t>
            </w:r>
            <w:r w:rsidR="0043079F">
              <w:rPr>
                <w:sz w:val="20"/>
                <w:szCs w:val="20"/>
              </w:rPr>
              <w:t>o</w:t>
            </w:r>
            <w:r w:rsidRPr="005820EE">
              <w:rPr>
                <w:sz w:val="20"/>
                <w:szCs w:val="20"/>
              </w:rPr>
              <w:t xml:space="preserve"> ile stan techniczny pojazdu nie miał wpływu na powstanie szkody.</w:t>
            </w:r>
          </w:p>
        </w:tc>
      </w:tr>
      <w:tr w:rsidR="00E31E09" w14:paraId="1A40FE1A" w14:textId="77777777" w:rsidTr="007608F7">
        <w:tc>
          <w:tcPr>
            <w:tcW w:w="2258" w:type="dxa"/>
          </w:tcPr>
          <w:p w14:paraId="288ADC76" w14:textId="77777777" w:rsidR="004C6F4A" w:rsidRPr="005820EE" w:rsidRDefault="004C6F4A" w:rsidP="002A2BE7">
            <w:pPr>
              <w:pStyle w:val="Akapitzlist"/>
              <w:numPr>
                <w:ilvl w:val="0"/>
                <w:numId w:val="49"/>
              </w:numPr>
              <w:rPr>
                <w:bCs/>
                <w:sz w:val="20"/>
                <w:szCs w:val="20"/>
              </w:rPr>
            </w:pPr>
            <w:r w:rsidRPr="005820EE">
              <w:rPr>
                <w:bCs/>
                <w:sz w:val="20"/>
                <w:szCs w:val="20"/>
              </w:rPr>
              <w:t>Klauzula ustalenia okoliczności szkody</w:t>
            </w:r>
          </w:p>
          <w:p w14:paraId="70CFB09D" w14:textId="77777777" w:rsidR="00E31E09" w:rsidRPr="005820EE" w:rsidRDefault="00E31E09" w:rsidP="004C6F4A">
            <w:pPr>
              <w:rPr>
                <w:color w:val="FF0000"/>
                <w:sz w:val="20"/>
                <w:szCs w:val="20"/>
              </w:rPr>
            </w:pPr>
          </w:p>
        </w:tc>
        <w:tc>
          <w:tcPr>
            <w:tcW w:w="7002" w:type="dxa"/>
          </w:tcPr>
          <w:p w14:paraId="7028CD01" w14:textId="77777777" w:rsidR="004C6F4A" w:rsidRPr="005820EE" w:rsidRDefault="004C6F4A" w:rsidP="004C6F4A">
            <w:pPr>
              <w:rPr>
                <w:sz w:val="20"/>
                <w:szCs w:val="20"/>
              </w:rPr>
            </w:pPr>
            <w:r w:rsidRPr="005820EE">
              <w:rPr>
                <w:sz w:val="20"/>
                <w:szCs w:val="20"/>
              </w:rPr>
              <w:t>Z zachowaniem pozostałych, nie zmienionych niniejszą klauzulą, postanowień umowy ubezpieczenia, w tym określonych we wniosku i ogólnych (szczególnych) warunkach ubezpieczenia strony uzgodniły, że:</w:t>
            </w:r>
          </w:p>
          <w:p w14:paraId="684D961F" w14:textId="77777777" w:rsidR="004C6F4A" w:rsidRPr="005820EE" w:rsidRDefault="004C6F4A" w:rsidP="004C6F4A">
            <w:pPr>
              <w:rPr>
                <w:sz w:val="20"/>
                <w:szCs w:val="20"/>
              </w:rPr>
            </w:pPr>
            <w:r w:rsidRPr="005820EE">
              <w:rPr>
                <w:sz w:val="20"/>
                <w:szCs w:val="20"/>
              </w:rPr>
              <w:t>Ubezpieczyciel jest zobowiązany – po otrzymaniu zawiadomienia o wypadku ubezpieczeniowym - prowadzić postępowanie likwidacyjne zmierzające do ustalenia i wyjaśnienia okoliczności związanych ze szkodą oraz wysokością szkody, w szczególności wypłacić odszkodowanie bez względu na toczące się w związku ze szkodą inne postępowanie, w tym sądowe lub przygotowawcze.</w:t>
            </w:r>
          </w:p>
          <w:p w14:paraId="6AB76F98" w14:textId="77777777" w:rsidR="00E31E09" w:rsidRPr="005820EE" w:rsidRDefault="00E31E09" w:rsidP="004C6F4A">
            <w:pPr>
              <w:rPr>
                <w:sz w:val="20"/>
                <w:szCs w:val="20"/>
              </w:rPr>
            </w:pPr>
          </w:p>
        </w:tc>
      </w:tr>
      <w:tr w:rsidR="00D92259" w14:paraId="2E6CB311" w14:textId="77777777" w:rsidTr="007608F7">
        <w:tc>
          <w:tcPr>
            <w:tcW w:w="2258" w:type="dxa"/>
          </w:tcPr>
          <w:p w14:paraId="4A60E3CB" w14:textId="73BE8AC5" w:rsidR="00D92259" w:rsidRPr="005820EE" w:rsidRDefault="00D92259" w:rsidP="002A2BE7">
            <w:pPr>
              <w:pStyle w:val="Akapitzlist"/>
              <w:numPr>
                <w:ilvl w:val="0"/>
                <w:numId w:val="49"/>
              </w:numPr>
              <w:jc w:val="both"/>
              <w:rPr>
                <w:sz w:val="20"/>
                <w:szCs w:val="20"/>
              </w:rPr>
            </w:pPr>
            <w:r w:rsidRPr="005820EE">
              <w:rPr>
                <w:sz w:val="20"/>
                <w:szCs w:val="20"/>
              </w:rPr>
              <w:t>Klauzula automatycznej ochrony</w:t>
            </w:r>
          </w:p>
        </w:tc>
        <w:tc>
          <w:tcPr>
            <w:tcW w:w="7002" w:type="dxa"/>
          </w:tcPr>
          <w:p w14:paraId="5853106E" w14:textId="77777777" w:rsidR="00D92259" w:rsidRPr="005820EE" w:rsidRDefault="00D92259" w:rsidP="00D92259">
            <w:pPr>
              <w:pStyle w:val="Default"/>
              <w:rPr>
                <w:rFonts w:asciiTheme="minorHAnsi" w:hAnsiTheme="minorHAnsi" w:cstheme="minorBidi"/>
                <w:color w:val="auto"/>
                <w:sz w:val="20"/>
                <w:szCs w:val="20"/>
              </w:rPr>
            </w:pPr>
            <w:r w:rsidRPr="005820EE">
              <w:rPr>
                <w:rFonts w:asciiTheme="minorHAnsi" w:hAnsiTheme="minorHAnsi" w:cstheme="minorBidi"/>
                <w:color w:val="auto"/>
                <w:sz w:val="20"/>
                <w:szCs w:val="20"/>
              </w:rPr>
              <w:t xml:space="preserve">Automatycznie obejmowane ochroną ubezpieczeniową będą wszystkie pojazdy, których okres ubezpieczenia będzie wygasał w trakcie trwania umowy ubezpieczenia. Pojazdy nowe, zakupione, objęte w posiadanie lub przyjęte w leasing w czasie trwania ubezpieczenia są automatycznie objęte ochroną ubezpieczeniową z dniem zakupu (na podstawie faktury) lub z dniem podpisania stosownej umowy leasingu pod warunkiem: zgłoszenia ich do ubezpieczenia w terminie 3 dni od daty zakupu/przyjęcia w leasing itp. </w:t>
            </w:r>
          </w:p>
          <w:p w14:paraId="020FAD01" w14:textId="05AA3EFB" w:rsidR="00D92259" w:rsidRPr="005820EE" w:rsidRDefault="00D92259" w:rsidP="00D92259">
            <w:pPr>
              <w:pStyle w:val="Akapitzlist"/>
              <w:ind w:left="0"/>
              <w:jc w:val="both"/>
              <w:rPr>
                <w:sz w:val="20"/>
                <w:szCs w:val="20"/>
              </w:rPr>
            </w:pPr>
            <w:r w:rsidRPr="005820EE">
              <w:rPr>
                <w:sz w:val="20"/>
                <w:szCs w:val="20"/>
              </w:rPr>
              <w:t xml:space="preserve">Dla pojazdów nowych do umowy zostanie sporządzony stosowny aneks </w:t>
            </w:r>
          </w:p>
        </w:tc>
      </w:tr>
      <w:tr w:rsidR="00193F7F" w14:paraId="32911AB5" w14:textId="77777777" w:rsidTr="007608F7">
        <w:tc>
          <w:tcPr>
            <w:tcW w:w="2258" w:type="dxa"/>
          </w:tcPr>
          <w:p w14:paraId="1B1E5365" w14:textId="2EA23795" w:rsidR="00193F7F" w:rsidRPr="005820EE" w:rsidRDefault="00193F7F" w:rsidP="002A2BE7">
            <w:pPr>
              <w:pStyle w:val="Akapitzlist"/>
              <w:numPr>
                <w:ilvl w:val="0"/>
                <w:numId w:val="49"/>
              </w:numPr>
              <w:jc w:val="both"/>
              <w:rPr>
                <w:sz w:val="20"/>
                <w:szCs w:val="20"/>
              </w:rPr>
            </w:pPr>
            <w:r w:rsidRPr="005820EE">
              <w:rPr>
                <w:sz w:val="20"/>
                <w:szCs w:val="20"/>
              </w:rPr>
              <w:lastRenderedPageBreak/>
              <w:t xml:space="preserve">Klauzula automatycznej ochrony – wykup z leasingu </w:t>
            </w:r>
          </w:p>
        </w:tc>
        <w:tc>
          <w:tcPr>
            <w:tcW w:w="7002" w:type="dxa"/>
          </w:tcPr>
          <w:p w14:paraId="203B0AB3" w14:textId="77777777" w:rsidR="00193F7F" w:rsidRPr="005820EE" w:rsidRDefault="00193F7F" w:rsidP="00193F7F">
            <w:pPr>
              <w:pStyle w:val="Default"/>
              <w:rPr>
                <w:rFonts w:asciiTheme="minorHAnsi" w:hAnsiTheme="minorHAnsi" w:cstheme="minorBidi"/>
                <w:color w:val="auto"/>
                <w:sz w:val="20"/>
                <w:szCs w:val="20"/>
              </w:rPr>
            </w:pPr>
            <w:r w:rsidRPr="005820EE">
              <w:rPr>
                <w:rFonts w:asciiTheme="minorHAnsi" w:hAnsiTheme="minorHAnsi" w:cstheme="minorBidi"/>
                <w:color w:val="auto"/>
                <w:sz w:val="20"/>
                <w:szCs w:val="20"/>
              </w:rPr>
              <w:t xml:space="preserve">W przypadku wykupu pojazdów z leasingu będących w użytkowaniu Ubezpieczającego polisa ubezpieczenia AC nie ulega rozwiązaniu - ochrona jest automatycznie kontynuowana, chyba że strony postanowią inaczej. </w:t>
            </w:r>
          </w:p>
          <w:p w14:paraId="7572075B" w14:textId="14163804" w:rsidR="00193F7F" w:rsidRPr="005820EE" w:rsidRDefault="00193F7F" w:rsidP="00193F7F">
            <w:pPr>
              <w:pStyle w:val="Akapitzlist"/>
              <w:ind w:left="0"/>
              <w:jc w:val="both"/>
              <w:rPr>
                <w:sz w:val="20"/>
                <w:szCs w:val="20"/>
              </w:rPr>
            </w:pPr>
            <w:r w:rsidRPr="005820EE">
              <w:rPr>
                <w:sz w:val="20"/>
                <w:szCs w:val="20"/>
              </w:rPr>
              <w:t xml:space="preserve">Ubezpieczający ma obowiązek zgłoszenia wykupu pojazdu najpóźniej w dniu przeniesienia prawa własności. </w:t>
            </w:r>
          </w:p>
        </w:tc>
      </w:tr>
      <w:tr w:rsidR="00B55A5D" w14:paraId="041F89C6" w14:textId="77777777" w:rsidTr="007608F7">
        <w:tc>
          <w:tcPr>
            <w:tcW w:w="2258" w:type="dxa"/>
          </w:tcPr>
          <w:p w14:paraId="3683C94B" w14:textId="77777777" w:rsidR="00B55A5D" w:rsidRPr="005820EE" w:rsidRDefault="00B55A5D" w:rsidP="002A2BE7">
            <w:pPr>
              <w:pStyle w:val="Default"/>
              <w:numPr>
                <w:ilvl w:val="0"/>
                <w:numId w:val="49"/>
              </w:numPr>
              <w:rPr>
                <w:rFonts w:asciiTheme="minorHAnsi" w:hAnsiTheme="minorHAnsi" w:cstheme="minorBidi"/>
                <w:color w:val="auto"/>
                <w:sz w:val="20"/>
                <w:szCs w:val="20"/>
              </w:rPr>
            </w:pPr>
            <w:r w:rsidRPr="005820EE">
              <w:rPr>
                <w:rFonts w:asciiTheme="minorHAnsi" w:hAnsiTheme="minorHAnsi" w:cstheme="minorBidi"/>
                <w:color w:val="auto"/>
                <w:sz w:val="20"/>
                <w:szCs w:val="20"/>
              </w:rPr>
              <w:t xml:space="preserve">Klauzula wyłączenia regresu </w:t>
            </w:r>
          </w:p>
          <w:p w14:paraId="03BA53EB" w14:textId="77777777" w:rsidR="00B55A5D" w:rsidRPr="005820EE" w:rsidRDefault="00B55A5D" w:rsidP="00B55A5D">
            <w:pPr>
              <w:pStyle w:val="Akapitzlist"/>
              <w:ind w:left="0"/>
              <w:jc w:val="both"/>
              <w:rPr>
                <w:sz w:val="20"/>
                <w:szCs w:val="20"/>
              </w:rPr>
            </w:pPr>
          </w:p>
        </w:tc>
        <w:tc>
          <w:tcPr>
            <w:tcW w:w="7002" w:type="dxa"/>
          </w:tcPr>
          <w:p w14:paraId="1E3220C3" w14:textId="78CE0A8C" w:rsidR="00B55A5D" w:rsidRPr="005820EE" w:rsidRDefault="00B55A5D" w:rsidP="00B55A5D">
            <w:pPr>
              <w:pStyle w:val="Akapitzlist"/>
              <w:ind w:left="0"/>
              <w:jc w:val="both"/>
              <w:rPr>
                <w:sz w:val="20"/>
                <w:szCs w:val="20"/>
              </w:rPr>
            </w:pPr>
            <w:r w:rsidRPr="005820EE">
              <w:rPr>
                <w:sz w:val="20"/>
                <w:szCs w:val="20"/>
              </w:rPr>
              <w:t xml:space="preserve">Z zachowaniem pozostałych, nie zmienionych niniejszą klauzulą postanowień umowy ubezpieczenia strony uzgodniły, że nie przechodzą na Ubezpieczyciela roszczenia regresowe przeciwko pracownikom Ubezpieczającego pod warunkiem, że szkoda nie została wyrządzona umyślnie </w:t>
            </w:r>
          </w:p>
        </w:tc>
      </w:tr>
    </w:tbl>
    <w:p w14:paraId="35A41F78" w14:textId="77777777" w:rsidR="00F95BCD" w:rsidRPr="00D2154A" w:rsidRDefault="00F95BCD" w:rsidP="00D2154A">
      <w:pPr>
        <w:pStyle w:val="Akapitzlist"/>
        <w:spacing w:after="0"/>
        <w:ind w:left="792"/>
        <w:jc w:val="both"/>
      </w:pPr>
    </w:p>
    <w:p w14:paraId="368453DA" w14:textId="45094560" w:rsidR="00F95BCD" w:rsidRDefault="00F95BCD" w:rsidP="005C1A21">
      <w:pPr>
        <w:spacing w:after="0"/>
        <w:jc w:val="both"/>
        <w:rPr>
          <w:b/>
        </w:rPr>
      </w:pPr>
    </w:p>
    <w:p w14:paraId="51C4145D" w14:textId="7B61B766" w:rsidR="00664F5D" w:rsidRDefault="00664F5D" w:rsidP="00664F5D">
      <w:pPr>
        <w:pStyle w:val="Nagwek2"/>
        <w:spacing w:before="0"/>
        <w:jc w:val="both"/>
      </w:pPr>
      <w:bookmarkStart w:id="53" w:name="_Toc141097899"/>
      <w:r>
        <w:t>Wykaz załączników</w:t>
      </w:r>
      <w:bookmarkEnd w:id="53"/>
      <w:r w:rsidRPr="00C52529">
        <w:t xml:space="preserve"> </w:t>
      </w:r>
    </w:p>
    <w:p w14:paraId="4287F0CB" w14:textId="1A5F68AB" w:rsidR="00664F5D" w:rsidRPr="00664F5D" w:rsidRDefault="00664F5D" w:rsidP="002A2BE7">
      <w:pPr>
        <w:pStyle w:val="Akapitzlist"/>
        <w:numPr>
          <w:ilvl w:val="0"/>
          <w:numId w:val="60"/>
        </w:numPr>
      </w:pPr>
      <w:r>
        <w:t xml:space="preserve">Dodatek nr </w:t>
      </w:r>
      <w:r w:rsidR="007608F7">
        <w:t>1</w:t>
      </w:r>
      <w:r>
        <w:t xml:space="preserve"> do OPZ – wykaz pojazdów,</w:t>
      </w:r>
    </w:p>
    <w:p w14:paraId="05C63631" w14:textId="67F26D25" w:rsidR="00664F5D" w:rsidRPr="00664F5D" w:rsidRDefault="00664F5D" w:rsidP="002A2BE7">
      <w:pPr>
        <w:pStyle w:val="Akapitzlist"/>
        <w:numPr>
          <w:ilvl w:val="0"/>
          <w:numId w:val="60"/>
        </w:numPr>
      </w:pPr>
      <w:r>
        <w:t xml:space="preserve">Dodatek nr </w:t>
      </w:r>
      <w:r w:rsidR="007608F7">
        <w:t>2</w:t>
      </w:r>
      <w:r>
        <w:t xml:space="preserve"> do OPZ - szkodowość,</w:t>
      </w:r>
    </w:p>
    <w:p w14:paraId="30BFB965" w14:textId="77777777" w:rsidR="00664F5D" w:rsidRPr="00664F5D" w:rsidRDefault="00664F5D" w:rsidP="00664F5D"/>
    <w:p w14:paraId="1964F97E" w14:textId="77777777" w:rsidR="00664F5D" w:rsidRPr="005C1A21" w:rsidRDefault="00664F5D" w:rsidP="005C1A21">
      <w:pPr>
        <w:spacing w:after="0"/>
        <w:jc w:val="both"/>
        <w:rPr>
          <w:b/>
        </w:rPr>
      </w:pPr>
    </w:p>
    <w:sectPr w:rsidR="00664F5D" w:rsidRPr="005C1A21" w:rsidSect="007D0ECA">
      <w:headerReference w:type="default" r:id="rId25"/>
      <w:footerReference w:type="default" r:id="rId26"/>
      <w:pgSz w:w="11906" w:h="16838"/>
      <w:pgMar w:top="567" w:right="851" w:bottom="567" w:left="993"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A9EC" w14:textId="77777777" w:rsidR="000742CB" w:rsidRDefault="000742CB" w:rsidP="00AA0192">
      <w:pPr>
        <w:spacing w:after="0" w:line="240" w:lineRule="auto"/>
      </w:pPr>
      <w:r>
        <w:separator/>
      </w:r>
    </w:p>
  </w:endnote>
  <w:endnote w:type="continuationSeparator" w:id="0">
    <w:p w14:paraId="4B25F3D5" w14:textId="77777777" w:rsidR="000742CB" w:rsidRDefault="000742CB" w:rsidP="00AA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432282"/>
      <w:docPartObj>
        <w:docPartGallery w:val="Page Numbers (Bottom of Page)"/>
        <w:docPartUnique/>
      </w:docPartObj>
    </w:sdtPr>
    <w:sdtEndPr/>
    <w:sdtContent>
      <w:p w14:paraId="6DA6EC12" w14:textId="77777777" w:rsidR="00401576" w:rsidRDefault="00401576">
        <w:pPr>
          <w:pStyle w:val="Stopka"/>
          <w:jc w:val="center"/>
        </w:pPr>
        <w:r>
          <w:fldChar w:fldCharType="begin"/>
        </w:r>
        <w:r>
          <w:instrText xml:space="preserve"> PAGE   \* MERGEFORMAT </w:instrText>
        </w:r>
        <w:r>
          <w:fldChar w:fldCharType="separate"/>
        </w:r>
        <w:r w:rsidR="009D4954">
          <w:rPr>
            <w:noProof/>
          </w:rPr>
          <w:t>1</w:t>
        </w:r>
        <w:r>
          <w:rPr>
            <w:noProof/>
          </w:rPr>
          <w:fldChar w:fldCharType="end"/>
        </w:r>
      </w:p>
    </w:sdtContent>
  </w:sdt>
  <w:p w14:paraId="37BB6633" w14:textId="77777777" w:rsidR="00401576" w:rsidRDefault="004015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BFAD" w14:textId="77777777" w:rsidR="000742CB" w:rsidRDefault="000742CB" w:rsidP="00AA0192">
      <w:pPr>
        <w:spacing w:after="0" w:line="240" w:lineRule="auto"/>
      </w:pPr>
      <w:r>
        <w:separator/>
      </w:r>
    </w:p>
  </w:footnote>
  <w:footnote w:type="continuationSeparator" w:id="0">
    <w:p w14:paraId="168DEAFD" w14:textId="77777777" w:rsidR="000742CB" w:rsidRDefault="000742CB" w:rsidP="00AA0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7657" w14:textId="77777777" w:rsidR="00401576" w:rsidRDefault="00401576">
    <w:pPr>
      <w:pStyle w:val="Nagwek"/>
    </w:pPr>
  </w:p>
  <w:p w14:paraId="6A51AB0A" w14:textId="77777777" w:rsidR="00401576" w:rsidRDefault="004015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D3163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multilevel"/>
    <w:tmpl w:val="5C2A33AA"/>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ascii="Calibri" w:eastAsia="Calibri" w:hAnsi="Calibri" w:cs="Calibri"/>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D"/>
    <w:multiLevelType w:val="singleLevel"/>
    <w:tmpl w:val="0000001D"/>
    <w:name w:val="WW8Num29"/>
    <w:lvl w:ilvl="0">
      <w:start w:val="1"/>
      <w:numFmt w:val="decimal"/>
      <w:lvlText w:val="%1."/>
      <w:lvlJc w:val="left"/>
      <w:pPr>
        <w:tabs>
          <w:tab w:val="num" w:pos="360"/>
        </w:tabs>
        <w:ind w:left="360" w:hanging="360"/>
      </w:pPr>
      <w:rPr>
        <w:rFonts w:ascii="Verdana" w:hAnsi="Verdana" w:cs="Times New Roman"/>
        <w:b w:val="0"/>
        <w:bCs/>
        <w:sz w:val="20"/>
        <w:szCs w:val="20"/>
        <w:lang w:val="en-US"/>
      </w:rPr>
    </w:lvl>
  </w:abstractNum>
  <w:abstractNum w:abstractNumId="3" w15:restartNumberingAfterBreak="0">
    <w:nsid w:val="00000026"/>
    <w:multiLevelType w:val="singleLevel"/>
    <w:tmpl w:val="00000026"/>
    <w:name w:val="WW8Num40"/>
    <w:lvl w:ilvl="0">
      <w:start w:val="1"/>
      <w:numFmt w:val="lowerLetter"/>
      <w:lvlText w:val="%1)"/>
      <w:lvlJc w:val="left"/>
      <w:pPr>
        <w:tabs>
          <w:tab w:val="num" w:pos="360"/>
        </w:tabs>
        <w:ind w:left="360" w:hanging="360"/>
      </w:pPr>
      <w:rPr>
        <w:rFonts w:ascii="Verdana" w:hAnsi="Verdana" w:cs="Times New Roman"/>
        <w:sz w:val="20"/>
        <w:szCs w:val="20"/>
      </w:rPr>
    </w:lvl>
  </w:abstractNum>
  <w:abstractNum w:abstractNumId="4" w15:restartNumberingAfterBreak="0">
    <w:nsid w:val="0000002A"/>
    <w:multiLevelType w:val="singleLevel"/>
    <w:tmpl w:val="0000002A"/>
    <w:name w:val="WW8Num44"/>
    <w:lvl w:ilvl="0">
      <w:start w:val="1"/>
      <w:numFmt w:val="decimal"/>
      <w:lvlText w:val="%1."/>
      <w:lvlJc w:val="left"/>
      <w:pPr>
        <w:tabs>
          <w:tab w:val="num" w:pos="0"/>
        </w:tabs>
        <w:ind w:left="720" w:hanging="360"/>
      </w:pPr>
      <w:rPr>
        <w:rFonts w:ascii="Verdana" w:hAnsi="Verdana" w:cs="Times New Roman"/>
        <w:sz w:val="20"/>
        <w:szCs w:val="20"/>
      </w:rPr>
    </w:lvl>
  </w:abstractNum>
  <w:abstractNum w:abstractNumId="5" w15:restartNumberingAfterBreak="0">
    <w:nsid w:val="0000002D"/>
    <w:multiLevelType w:val="singleLevel"/>
    <w:tmpl w:val="0000002D"/>
    <w:name w:val="WW8Num47"/>
    <w:lvl w:ilvl="0">
      <w:start w:val="1"/>
      <w:numFmt w:val="lowerLetter"/>
      <w:lvlText w:val="%1)"/>
      <w:lvlJc w:val="left"/>
      <w:pPr>
        <w:tabs>
          <w:tab w:val="num" w:pos="360"/>
        </w:tabs>
        <w:ind w:left="360" w:hanging="360"/>
      </w:pPr>
      <w:rPr>
        <w:rFonts w:ascii="Verdana" w:hAnsi="Verdana" w:cs="Times New Roman"/>
        <w:sz w:val="20"/>
        <w:szCs w:val="20"/>
      </w:rPr>
    </w:lvl>
  </w:abstractNum>
  <w:abstractNum w:abstractNumId="6" w15:restartNumberingAfterBreak="0">
    <w:nsid w:val="037D6FCB"/>
    <w:multiLevelType w:val="multilevel"/>
    <w:tmpl w:val="3F24C2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9505AE"/>
    <w:multiLevelType w:val="multilevel"/>
    <w:tmpl w:val="C1D815CE"/>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517E5B"/>
    <w:multiLevelType w:val="hybridMultilevel"/>
    <w:tmpl w:val="F5D23DB8"/>
    <w:lvl w:ilvl="0" w:tplc="88E2BEBE">
      <w:start w:val="1"/>
      <w:numFmt w:val="decimal"/>
      <w:lvlText w:val="%1."/>
      <w:lvlJc w:val="left"/>
      <w:pPr>
        <w:tabs>
          <w:tab w:val="num" w:pos="360"/>
        </w:tabs>
        <w:ind w:left="360" w:hanging="360"/>
      </w:pPr>
    </w:lvl>
    <w:lvl w:ilvl="1" w:tplc="C16CCD1E">
      <w:start w:val="1"/>
      <w:numFmt w:val="decimal"/>
      <w:lvlText w:val="%2)"/>
      <w:lvlJc w:val="left"/>
      <w:pPr>
        <w:tabs>
          <w:tab w:val="num" w:pos="1080"/>
        </w:tabs>
        <w:ind w:left="1080" w:hanging="360"/>
      </w:pPr>
    </w:lvl>
    <w:lvl w:ilvl="2" w:tplc="C0D6844A">
      <w:start w:val="1"/>
      <w:numFmt w:val="lowerLetter"/>
      <w:lvlText w:val="%3)"/>
      <w:lvlJc w:val="left"/>
      <w:pPr>
        <w:tabs>
          <w:tab w:val="num" w:pos="1980"/>
        </w:tabs>
        <w:ind w:left="1980" w:hanging="360"/>
      </w:pPr>
    </w:lvl>
    <w:lvl w:ilvl="3" w:tplc="DCB0D4D6">
      <w:start w:val="2"/>
      <w:numFmt w:val="bullet"/>
      <w:lvlText w:val="-"/>
      <w:lvlJc w:val="left"/>
      <w:pPr>
        <w:tabs>
          <w:tab w:val="num" w:pos="2520"/>
        </w:tabs>
        <w:ind w:left="2520" w:hanging="360"/>
      </w:pPr>
      <w:rPr>
        <w:rFonts w:ascii="Times New Roman" w:eastAsia="Times New Roman" w:hAnsi="Times New Roman" w:cs="Times New Roman" w:hint="default"/>
      </w:rPr>
    </w:lvl>
    <w:lvl w:ilvl="4" w:tplc="42E49442">
      <w:start w:val="2"/>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0C3F04F8"/>
    <w:multiLevelType w:val="multilevel"/>
    <w:tmpl w:val="9BDEFB34"/>
    <w:lvl w:ilvl="0">
      <w:start w:val="1"/>
      <w:numFmt w:val="bullet"/>
      <w:lvlText w:val=""/>
      <w:lvlJc w:val="left"/>
      <w:pPr>
        <w:ind w:left="1069" w:hanging="360"/>
      </w:pPr>
      <w:rPr>
        <w:rFonts w:ascii="Symbol" w:hAnsi="Symbol" w:hint="default"/>
      </w:rPr>
    </w:lvl>
    <w:lvl w:ilvl="1">
      <w:start w:val="1"/>
      <w:numFmt w:val="decimal"/>
      <w:lvlText w:val="%1.%2."/>
      <w:lvlJc w:val="left"/>
      <w:pPr>
        <w:ind w:left="1501" w:hanging="432"/>
      </w:pPr>
    </w:lvl>
    <w:lvl w:ilvl="2">
      <w:start w:val="1"/>
      <w:numFmt w:val="bullet"/>
      <w:lvlText w:val=""/>
      <w:lvlJc w:val="left"/>
      <w:pPr>
        <w:ind w:left="1789" w:hanging="360"/>
      </w:pPr>
      <w:rPr>
        <w:rFonts w:ascii="Symbol" w:hAnsi="Symbol" w:hint="default"/>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15:restartNumberingAfterBreak="0">
    <w:nsid w:val="12296700"/>
    <w:multiLevelType w:val="hybridMultilevel"/>
    <w:tmpl w:val="0B865254"/>
    <w:lvl w:ilvl="0" w:tplc="D30AA0FC">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1" w15:restartNumberingAfterBreak="0">
    <w:nsid w:val="13EA31AA"/>
    <w:multiLevelType w:val="hybridMultilevel"/>
    <w:tmpl w:val="27D6A76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16D47F38"/>
    <w:multiLevelType w:val="multilevel"/>
    <w:tmpl w:val="7CEC0D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781720"/>
    <w:multiLevelType w:val="multilevel"/>
    <w:tmpl w:val="DC08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F82F66"/>
    <w:multiLevelType w:val="multilevel"/>
    <w:tmpl w:val="718687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sz w:val="22"/>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8A64327"/>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858"/>
        </w:tabs>
        <w:ind w:left="858" w:hanging="432"/>
      </w:pPr>
      <w:rPr>
        <w:rFonts w:hint="default"/>
        <w:b w:val="0"/>
      </w:rPr>
    </w:lvl>
    <w:lvl w:ilvl="2">
      <w:start w:val="1"/>
      <w:numFmt w:val="decimal"/>
      <w:lvlText w:val="%1.%2.%3."/>
      <w:lvlJc w:val="left"/>
      <w:pPr>
        <w:tabs>
          <w:tab w:val="num" w:pos="1516"/>
        </w:tabs>
        <w:ind w:left="1300" w:hanging="504"/>
      </w:pPr>
      <w:rPr>
        <w:rFonts w:hint="default"/>
        <w:b w:val="0"/>
      </w:rPr>
    </w:lvl>
    <w:lvl w:ilvl="3">
      <w:start w:val="1"/>
      <w:numFmt w:val="decimal"/>
      <w:lvlText w:val="%1.%2.%3.%4."/>
      <w:lvlJc w:val="left"/>
      <w:pPr>
        <w:tabs>
          <w:tab w:val="num" w:pos="2236"/>
        </w:tabs>
        <w:ind w:left="1804" w:hanging="648"/>
      </w:pPr>
      <w:rPr>
        <w:rFonts w:hint="default"/>
        <w:b w:val="0"/>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3316"/>
        </w:tabs>
        <w:ind w:left="2812" w:hanging="936"/>
      </w:pPr>
      <w:rPr>
        <w:rFonts w:hint="default"/>
      </w:rPr>
    </w:lvl>
    <w:lvl w:ilvl="6">
      <w:start w:val="1"/>
      <w:numFmt w:val="decimal"/>
      <w:lvlText w:val="%1.%2.%3.%4.%5.%6.%7."/>
      <w:lvlJc w:val="left"/>
      <w:pPr>
        <w:tabs>
          <w:tab w:val="num" w:pos="4036"/>
        </w:tabs>
        <w:ind w:left="3316" w:hanging="1080"/>
      </w:pPr>
      <w:rPr>
        <w:rFonts w:hint="default"/>
      </w:rPr>
    </w:lvl>
    <w:lvl w:ilvl="7">
      <w:start w:val="1"/>
      <w:numFmt w:val="decimal"/>
      <w:lvlText w:val="%1.%2.%3.%4.%5.%6.%7.%8."/>
      <w:lvlJc w:val="left"/>
      <w:pPr>
        <w:tabs>
          <w:tab w:val="num" w:pos="4396"/>
        </w:tabs>
        <w:ind w:left="3820" w:hanging="1224"/>
      </w:pPr>
      <w:rPr>
        <w:rFonts w:hint="default"/>
      </w:rPr>
    </w:lvl>
    <w:lvl w:ilvl="8">
      <w:start w:val="1"/>
      <w:numFmt w:val="decimal"/>
      <w:lvlText w:val="%1.%2.%3.%4.%5.%6.%7.%8.%9."/>
      <w:lvlJc w:val="left"/>
      <w:pPr>
        <w:tabs>
          <w:tab w:val="num" w:pos="5116"/>
        </w:tabs>
        <w:ind w:left="4396" w:hanging="1440"/>
      </w:pPr>
      <w:rPr>
        <w:rFonts w:hint="default"/>
      </w:rPr>
    </w:lvl>
  </w:abstractNum>
  <w:abstractNum w:abstractNumId="16" w15:restartNumberingAfterBreak="0">
    <w:nsid w:val="1AE45939"/>
    <w:multiLevelType w:val="hybridMultilevel"/>
    <w:tmpl w:val="16D2FDE8"/>
    <w:lvl w:ilvl="0" w:tplc="990E5C8E">
      <w:numFmt w:val="bullet"/>
      <w:lvlText w:val="•"/>
      <w:lvlJc w:val="left"/>
      <w:pPr>
        <w:ind w:left="1152" w:hanging="360"/>
      </w:pPr>
      <w:rPr>
        <w:rFonts w:ascii="Calibri" w:eastAsiaTheme="minorHAnsi" w:hAnsi="Calibri" w:cstheme="minorBid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7" w15:restartNumberingAfterBreak="0">
    <w:nsid w:val="1B1B12BD"/>
    <w:multiLevelType w:val="hybridMultilevel"/>
    <w:tmpl w:val="72546A7C"/>
    <w:lvl w:ilvl="0" w:tplc="04150001">
      <w:start w:val="1"/>
      <w:numFmt w:val="bullet"/>
      <w:lvlText w:val=""/>
      <w:lvlJc w:val="left"/>
      <w:pPr>
        <w:ind w:left="1152" w:hanging="360"/>
      </w:pPr>
      <w:rPr>
        <w:rFonts w:ascii="Symbol" w:hAnsi="Symbol" w:hint="default"/>
        <w:b w:val="0"/>
        <w:i w:val="0"/>
        <w:sz w:val="24"/>
        <w:u w:val="none"/>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8" w15:restartNumberingAfterBreak="0">
    <w:nsid w:val="1EAF46CE"/>
    <w:multiLevelType w:val="hybridMultilevel"/>
    <w:tmpl w:val="DD8AB5D0"/>
    <w:lvl w:ilvl="0" w:tplc="96F259A2">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31177BA"/>
    <w:multiLevelType w:val="hybridMultilevel"/>
    <w:tmpl w:val="F77C18B8"/>
    <w:lvl w:ilvl="0" w:tplc="9022E542">
      <w:start w:val="1"/>
      <w:numFmt w:val="decimal"/>
      <w:lvlText w:val="%1."/>
      <w:lvlJc w:val="left"/>
      <w:pPr>
        <w:ind w:left="15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1F7753"/>
    <w:multiLevelType w:val="hybridMultilevel"/>
    <w:tmpl w:val="0D024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AB433B"/>
    <w:multiLevelType w:val="multilevel"/>
    <w:tmpl w:val="A1EED4D6"/>
    <w:lvl w:ilvl="0">
      <w:numFmt w:val="bullet"/>
      <w:lvlText w:val="•"/>
      <w:lvlJc w:val="left"/>
      <w:pPr>
        <w:ind w:left="1152" w:hanging="360"/>
      </w:pPr>
      <w:rPr>
        <w:rFonts w:ascii="Calibri" w:eastAsiaTheme="minorHAnsi" w:hAnsi="Calibri" w:cstheme="minorBidi" w:hint="default"/>
      </w:rPr>
    </w:lvl>
    <w:lvl w:ilvl="1">
      <w:start w:val="1"/>
      <w:numFmt w:val="decimal"/>
      <w:lvlText w:val="%1.%2."/>
      <w:lvlJc w:val="left"/>
      <w:pPr>
        <w:ind w:left="1584" w:hanging="432"/>
      </w:pPr>
      <w:rPr>
        <w:sz w:val="22"/>
      </w:rPr>
    </w:lvl>
    <w:lvl w:ilvl="2">
      <w:start w:val="1"/>
      <w:numFmt w:val="decimal"/>
      <w:lvlText w:val="%1.%2.%3."/>
      <w:lvlJc w:val="left"/>
      <w:pPr>
        <w:ind w:left="2016" w:hanging="504"/>
      </w:pPr>
      <w:rPr>
        <w:b/>
        <w:color w:val="auto"/>
      </w:r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2" w15:restartNumberingAfterBreak="0">
    <w:nsid w:val="25E03E0D"/>
    <w:multiLevelType w:val="hybridMultilevel"/>
    <w:tmpl w:val="F2FE8B20"/>
    <w:lvl w:ilvl="0" w:tplc="04150001">
      <w:start w:val="1"/>
      <w:numFmt w:val="bullet"/>
      <w:lvlText w:val=""/>
      <w:lvlJc w:val="left"/>
      <w:pPr>
        <w:ind w:left="2582" w:hanging="360"/>
      </w:pPr>
      <w:rPr>
        <w:rFonts w:ascii="Symbol" w:hAnsi="Symbol" w:hint="default"/>
      </w:rPr>
    </w:lvl>
    <w:lvl w:ilvl="1" w:tplc="04150003" w:tentative="1">
      <w:start w:val="1"/>
      <w:numFmt w:val="bullet"/>
      <w:lvlText w:val="o"/>
      <w:lvlJc w:val="left"/>
      <w:pPr>
        <w:ind w:left="3302" w:hanging="360"/>
      </w:pPr>
      <w:rPr>
        <w:rFonts w:ascii="Courier New" w:hAnsi="Courier New" w:cs="Courier New" w:hint="default"/>
      </w:rPr>
    </w:lvl>
    <w:lvl w:ilvl="2" w:tplc="04150005" w:tentative="1">
      <w:start w:val="1"/>
      <w:numFmt w:val="bullet"/>
      <w:lvlText w:val=""/>
      <w:lvlJc w:val="left"/>
      <w:pPr>
        <w:ind w:left="4022" w:hanging="360"/>
      </w:pPr>
      <w:rPr>
        <w:rFonts w:ascii="Wingdings" w:hAnsi="Wingdings" w:hint="default"/>
      </w:rPr>
    </w:lvl>
    <w:lvl w:ilvl="3" w:tplc="04150001" w:tentative="1">
      <w:start w:val="1"/>
      <w:numFmt w:val="bullet"/>
      <w:lvlText w:val=""/>
      <w:lvlJc w:val="left"/>
      <w:pPr>
        <w:ind w:left="4742" w:hanging="360"/>
      </w:pPr>
      <w:rPr>
        <w:rFonts w:ascii="Symbol" w:hAnsi="Symbol" w:hint="default"/>
      </w:rPr>
    </w:lvl>
    <w:lvl w:ilvl="4" w:tplc="04150003" w:tentative="1">
      <w:start w:val="1"/>
      <w:numFmt w:val="bullet"/>
      <w:lvlText w:val="o"/>
      <w:lvlJc w:val="left"/>
      <w:pPr>
        <w:ind w:left="5462" w:hanging="360"/>
      </w:pPr>
      <w:rPr>
        <w:rFonts w:ascii="Courier New" w:hAnsi="Courier New" w:cs="Courier New" w:hint="default"/>
      </w:rPr>
    </w:lvl>
    <w:lvl w:ilvl="5" w:tplc="04150005" w:tentative="1">
      <w:start w:val="1"/>
      <w:numFmt w:val="bullet"/>
      <w:lvlText w:val=""/>
      <w:lvlJc w:val="left"/>
      <w:pPr>
        <w:ind w:left="6182" w:hanging="360"/>
      </w:pPr>
      <w:rPr>
        <w:rFonts w:ascii="Wingdings" w:hAnsi="Wingdings" w:hint="default"/>
      </w:rPr>
    </w:lvl>
    <w:lvl w:ilvl="6" w:tplc="04150001" w:tentative="1">
      <w:start w:val="1"/>
      <w:numFmt w:val="bullet"/>
      <w:lvlText w:val=""/>
      <w:lvlJc w:val="left"/>
      <w:pPr>
        <w:ind w:left="6902" w:hanging="360"/>
      </w:pPr>
      <w:rPr>
        <w:rFonts w:ascii="Symbol" w:hAnsi="Symbol" w:hint="default"/>
      </w:rPr>
    </w:lvl>
    <w:lvl w:ilvl="7" w:tplc="04150003" w:tentative="1">
      <w:start w:val="1"/>
      <w:numFmt w:val="bullet"/>
      <w:lvlText w:val="o"/>
      <w:lvlJc w:val="left"/>
      <w:pPr>
        <w:ind w:left="7622" w:hanging="360"/>
      </w:pPr>
      <w:rPr>
        <w:rFonts w:ascii="Courier New" w:hAnsi="Courier New" w:cs="Courier New" w:hint="default"/>
      </w:rPr>
    </w:lvl>
    <w:lvl w:ilvl="8" w:tplc="04150005" w:tentative="1">
      <w:start w:val="1"/>
      <w:numFmt w:val="bullet"/>
      <w:lvlText w:val=""/>
      <w:lvlJc w:val="left"/>
      <w:pPr>
        <w:ind w:left="8342" w:hanging="360"/>
      </w:pPr>
      <w:rPr>
        <w:rFonts w:ascii="Wingdings" w:hAnsi="Wingdings" w:hint="default"/>
      </w:rPr>
    </w:lvl>
  </w:abstractNum>
  <w:abstractNum w:abstractNumId="23" w15:restartNumberingAfterBreak="0">
    <w:nsid w:val="25E921F3"/>
    <w:multiLevelType w:val="hybridMultilevel"/>
    <w:tmpl w:val="263AD4B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15:restartNumberingAfterBreak="0">
    <w:nsid w:val="27216744"/>
    <w:multiLevelType w:val="multilevel"/>
    <w:tmpl w:val="7CEC0D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6B2F25"/>
    <w:multiLevelType w:val="hybridMultilevel"/>
    <w:tmpl w:val="AEC8DA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AFB2352"/>
    <w:multiLevelType w:val="multilevel"/>
    <w:tmpl w:val="9BDEFB34"/>
    <w:lvl w:ilvl="0">
      <w:start w:val="1"/>
      <w:numFmt w:val="bullet"/>
      <w:lvlText w:val=""/>
      <w:lvlJc w:val="left"/>
      <w:pPr>
        <w:ind w:left="1069" w:hanging="360"/>
      </w:pPr>
      <w:rPr>
        <w:rFonts w:ascii="Symbol" w:hAnsi="Symbol" w:hint="default"/>
      </w:rPr>
    </w:lvl>
    <w:lvl w:ilvl="1">
      <w:start w:val="1"/>
      <w:numFmt w:val="decimal"/>
      <w:lvlText w:val="%1.%2."/>
      <w:lvlJc w:val="left"/>
      <w:pPr>
        <w:ind w:left="1501" w:hanging="432"/>
      </w:pPr>
    </w:lvl>
    <w:lvl w:ilvl="2">
      <w:start w:val="1"/>
      <w:numFmt w:val="bullet"/>
      <w:lvlText w:val=""/>
      <w:lvlJc w:val="left"/>
      <w:pPr>
        <w:ind w:left="1789" w:hanging="360"/>
      </w:pPr>
      <w:rPr>
        <w:rFonts w:ascii="Symbol" w:hAnsi="Symbol" w:hint="default"/>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7" w15:restartNumberingAfterBreak="0">
    <w:nsid w:val="2DC17E50"/>
    <w:multiLevelType w:val="hybridMultilevel"/>
    <w:tmpl w:val="26725BF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E774C38"/>
    <w:multiLevelType w:val="hybridMultilevel"/>
    <w:tmpl w:val="2BACE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E7C131B"/>
    <w:multiLevelType w:val="hybridMultilevel"/>
    <w:tmpl w:val="58EAA43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35DE3796"/>
    <w:multiLevelType w:val="multilevel"/>
    <w:tmpl w:val="72886EC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36396E8F"/>
    <w:multiLevelType w:val="multilevel"/>
    <w:tmpl w:val="718687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sz w:val="22"/>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9331052"/>
    <w:multiLevelType w:val="hybridMultilevel"/>
    <w:tmpl w:val="96FEFA0C"/>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3" w15:restartNumberingAfterBreak="0">
    <w:nsid w:val="3C427E3C"/>
    <w:multiLevelType w:val="multilevel"/>
    <w:tmpl w:val="DB12CF92"/>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sz w:val="22"/>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7C75F8C"/>
    <w:multiLevelType w:val="hybridMultilevel"/>
    <w:tmpl w:val="8E9ECA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8E549EA"/>
    <w:multiLevelType w:val="multilevel"/>
    <w:tmpl w:val="9BDEFB3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bullet"/>
      <w:lvlText w:val=""/>
      <w:lvlJc w:val="left"/>
      <w:pPr>
        <w:ind w:left="1440" w:hanging="360"/>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4B5373D1"/>
    <w:multiLevelType w:val="hybridMultilevel"/>
    <w:tmpl w:val="B7BE92DC"/>
    <w:lvl w:ilvl="0" w:tplc="990E5C8E">
      <w:numFmt w:val="bullet"/>
      <w:lvlText w:val="•"/>
      <w:lvlJc w:val="left"/>
      <w:pPr>
        <w:ind w:left="1440" w:hanging="360"/>
      </w:pPr>
      <w:rPr>
        <w:rFonts w:ascii="Calibri" w:eastAsiaTheme="minorHAnsi" w:hAnsi="Calibri" w:cstheme="minorBidi" w:hint="default"/>
      </w:rPr>
    </w:lvl>
    <w:lvl w:ilvl="1" w:tplc="04150003">
      <w:start w:val="1"/>
      <w:numFmt w:val="bullet"/>
      <w:lvlText w:val="o"/>
      <w:lvlJc w:val="left"/>
      <w:pPr>
        <w:ind w:left="1296" w:hanging="360"/>
      </w:pPr>
      <w:rPr>
        <w:rFonts w:ascii="Courier New" w:hAnsi="Courier New" w:cs="Courier New" w:hint="default"/>
      </w:rPr>
    </w:lvl>
    <w:lvl w:ilvl="2" w:tplc="04150005">
      <w:start w:val="1"/>
      <w:numFmt w:val="bullet"/>
      <w:lvlText w:val=""/>
      <w:lvlJc w:val="left"/>
      <w:pPr>
        <w:ind w:left="2016" w:hanging="360"/>
      </w:pPr>
      <w:rPr>
        <w:rFonts w:ascii="Wingdings" w:hAnsi="Wingdings" w:hint="default"/>
      </w:rPr>
    </w:lvl>
    <w:lvl w:ilvl="3" w:tplc="04150001" w:tentative="1">
      <w:start w:val="1"/>
      <w:numFmt w:val="bullet"/>
      <w:lvlText w:val=""/>
      <w:lvlJc w:val="left"/>
      <w:pPr>
        <w:ind w:left="2736" w:hanging="360"/>
      </w:pPr>
      <w:rPr>
        <w:rFonts w:ascii="Symbol" w:hAnsi="Symbol" w:hint="default"/>
      </w:rPr>
    </w:lvl>
    <w:lvl w:ilvl="4" w:tplc="04150003" w:tentative="1">
      <w:start w:val="1"/>
      <w:numFmt w:val="bullet"/>
      <w:lvlText w:val="o"/>
      <w:lvlJc w:val="left"/>
      <w:pPr>
        <w:ind w:left="3456" w:hanging="360"/>
      </w:pPr>
      <w:rPr>
        <w:rFonts w:ascii="Courier New" w:hAnsi="Courier New" w:cs="Courier New" w:hint="default"/>
      </w:rPr>
    </w:lvl>
    <w:lvl w:ilvl="5" w:tplc="04150005" w:tentative="1">
      <w:start w:val="1"/>
      <w:numFmt w:val="bullet"/>
      <w:lvlText w:val=""/>
      <w:lvlJc w:val="left"/>
      <w:pPr>
        <w:ind w:left="4176" w:hanging="360"/>
      </w:pPr>
      <w:rPr>
        <w:rFonts w:ascii="Wingdings" w:hAnsi="Wingdings" w:hint="default"/>
      </w:rPr>
    </w:lvl>
    <w:lvl w:ilvl="6" w:tplc="04150001" w:tentative="1">
      <w:start w:val="1"/>
      <w:numFmt w:val="bullet"/>
      <w:lvlText w:val=""/>
      <w:lvlJc w:val="left"/>
      <w:pPr>
        <w:ind w:left="4896" w:hanging="360"/>
      </w:pPr>
      <w:rPr>
        <w:rFonts w:ascii="Symbol" w:hAnsi="Symbol" w:hint="default"/>
      </w:rPr>
    </w:lvl>
    <w:lvl w:ilvl="7" w:tplc="04150003" w:tentative="1">
      <w:start w:val="1"/>
      <w:numFmt w:val="bullet"/>
      <w:lvlText w:val="o"/>
      <w:lvlJc w:val="left"/>
      <w:pPr>
        <w:ind w:left="5616" w:hanging="360"/>
      </w:pPr>
      <w:rPr>
        <w:rFonts w:ascii="Courier New" w:hAnsi="Courier New" w:cs="Courier New" w:hint="default"/>
      </w:rPr>
    </w:lvl>
    <w:lvl w:ilvl="8" w:tplc="04150005" w:tentative="1">
      <w:start w:val="1"/>
      <w:numFmt w:val="bullet"/>
      <w:lvlText w:val=""/>
      <w:lvlJc w:val="left"/>
      <w:pPr>
        <w:ind w:left="6336" w:hanging="360"/>
      </w:pPr>
      <w:rPr>
        <w:rFonts w:ascii="Wingdings" w:hAnsi="Wingdings" w:hint="default"/>
      </w:rPr>
    </w:lvl>
  </w:abstractNum>
  <w:abstractNum w:abstractNumId="37" w15:restartNumberingAfterBreak="0">
    <w:nsid w:val="4C506D37"/>
    <w:multiLevelType w:val="hybridMultilevel"/>
    <w:tmpl w:val="3E2EBA1E"/>
    <w:lvl w:ilvl="0" w:tplc="04150001">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8" w15:restartNumberingAfterBreak="0">
    <w:nsid w:val="4DDB1E21"/>
    <w:multiLevelType w:val="multilevel"/>
    <w:tmpl w:val="6D7244C0"/>
    <w:lvl w:ilvl="0">
      <w:start w:val="1"/>
      <w:numFmt w:val="decimal"/>
      <w:lvlText w:val="%1."/>
      <w:lvlJc w:val="left"/>
      <w:pPr>
        <w:ind w:left="360" w:hanging="360"/>
      </w:pPr>
    </w:lvl>
    <w:lvl w:ilvl="1">
      <w:start w:val="1"/>
      <w:numFmt w:val="decimal"/>
      <w:lvlText w:val="%1.%2."/>
      <w:lvlJc w:val="left"/>
      <w:pPr>
        <w:ind w:left="858" w:hanging="432"/>
      </w:pPr>
      <w:rPr>
        <w:sz w:val="22"/>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FCD3F7C"/>
    <w:multiLevelType w:val="multilevel"/>
    <w:tmpl w:val="4C7EF970"/>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sz w:val="22"/>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77F682A"/>
    <w:multiLevelType w:val="multilevel"/>
    <w:tmpl w:val="9BDEFB3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bullet"/>
      <w:lvlText w:val=""/>
      <w:lvlJc w:val="left"/>
      <w:pPr>
        <w:ind w:left="1440" w:hanging="360"/>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1" w15:restartNumberingAfterBreak="0">
    <w:nsid w:val="57F63B52"/>
    <w:multiLevelType w:val="hybridMultilevel"/>
    <w:tmpl w:val="0C1AC430"/>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2" w15:restartNumberingAfterBreak="0">
    <w:nsid w:val="59876304"/>
    <w:multiLevelType w:val="multilevel"/>
    <w:tmpl w:val="718687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sz w:val="22"/>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9024D8"/>
    <w:multiLevelType w:val="hybridMultilevel"/>
    <w:tmpl w:val="901C26E2"/>
    <w:lvl w:ilvl="0" w:tplc="0415000F">
      <w:start w:val="1"/>
      <w:numFmt w:val="decimal"/>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4" w15:restartNumberingAfterBreak="0">
    <w:nsid w:val="5CF56AB4"/>
    <w:multiLevelType w:val="multilevel"/>
    <w:tmpl w:val="9BDEFB3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bullet"/>
      <w:lvlText w:val=""/>
      <w:lvlJc w:val="left"/>
      <w:pPr>
        <w:ind w:left="1440" w:hanging="360"/>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5" w15:restartNumberingAfterBreak="0">
    <w:nsid w:val="5E5707FE"/>
    <w:multiLevelType w:val="hybridMultilevel"/>
    <w:tmpl w:val="722467D2"/>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6" w15:restartNumberingAfterBreak="0">
    <w:nsid w:val="60C23407"/>
    <w:multiLevelType w:val="multilevel"/>
    <w:tmpl w:val="9BDEFB3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CE1FB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A173C30"/>
    <w:multiLevelType w:val="hybridMultilevel"/>
    <w:tmpl w:val="B526E6C2"/>
    <w:lvl w:ilvl="0" w:tplc="4320707C">
      <w:start w:val="1"/>
      <w:numFmt w:val="decimal"/>
      <w:lvlText w:val="%1)"/>
      <w:lvlJc w:val="left"/>
      <w:pPr>
        <w:ind w:left="1080" w:hanging="360"/>
      </w:pPr>
      <w:rPr>
        <w:rFonts w:asciiTheme="minorHAnsi" w:hAnsiTheme="minorHAnsi" w:hint="default"/>
        <w:b/>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B073C6E"/>
    <w:multiLevelType w:val="multilevel"/>
    <w:tmpl w:val="9BDEFB3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bullet"/>
      <w:lvlText w:val=""/>
      <w:lvlJc w:val="left"/>
      <w:pPr>
        <w:ind w:left="1440" w:hanging="360"/>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0" w15:restartNumberingAfterBreak="0">
    <w:nsid w:val="6B82383B"/>
    <w:multiLevelType w:val="hybridMultilevel"/>
    <w:tmpl w:val="C20CD5C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1" w15:restartNumberingAfterBreak="0">
    <w:nsid w:val="6C803E18"/>
    <w:multiLevelType w:val="hybridMultilevel"/>
    <w:tmpl w:val="B78CE968"/>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6D4B28AD"/>
    <w:multiLevelType w:val="hybridMultilevel"/>
    <w:tmpl w:val="6C849E9C"/>
    <w:lvl w:ilvl="0" w:tplc="00000008">
      <w:start w:val="1"/>
      <w:numFmt w:val="bullet"/>
      <w:lvlText w:val="-"/>
      <w:lvlJc w:val="left"/>
      <w:pPr>
        <w:ind w:left="1485" w:hanging="360"/>
      </w:pPr>
      <w:rPr>
        <w:rFonts w:ascii="Verdana" w:hAnsi="Verdana" w:cs="Verdana"/>
        <w:b w:val="0"/>
        <w:i w:val="0"/>
        <w:sz w:val="24"/>
        <w:u w:val="none"/>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3" w15:restartNumberingAfterBreak="0">
    <w:nsid w:val="6EE1789A"/>
    <w:multiLevelType w:val="hybridMultilevel"/>
    <w:tmpl w:val="75C2035A"/>
    <w:lvl w:ilvl="0" w:tplc="00000008">
      <w:start w:val="1"/>
      <w:numFmt w:val="bullet"/>
      <w:lvlText w:val="-"/>
      <w:lvlJc w:val="left"/>
      <w:pPr>
        <w:ind w:left="1069" w:hanging="360"/>
      </w:pPr>
      <w:rPr>
        <w:rFonts w:ascii="Verdana" w:hAnsi="Verdana" w:cs="Verdana" w:hint="default"/>
        <w:b w:val="0"/>
        <w:i w:val="0"/>
        <w:sz w:val="24"/>
        <w:u w:val="none"/>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54" w15:restartNumberingAfterBreak="0">
    <w:nsid w:val="6F0C799F"/>
    <w:multiLevelType w:val="hybridMultilevel"/>
    <w:tmpl w:val="1F8A36EC"/>
    <w:lvl w:ilvl="0" w:tplc="00000008">
      <w:start w:val="1"/>
      <w:numFmt w:val="bullet"/>
      <w:lvlText w:val="-"/>
      <w:lvlJc w:val="left"/>
      <w:pPr>
        <w:ind w:left="1069" w:hanging="360"/>
      </w:pPr>
      <w:rPr>
        <w:rFonts w:ascii="Verdana" w:hAnsi="Verdana" w:cs="Verdana"/>
        <w:b w:val="0"/>
        <w:i w:val="0"/>
        <w:sz w:val="24"/>
        <w:u w:val="none"/>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5" w15:restartNumberingAfterBreak="0">
    <w:nsid w:val="70A41C19"/>
    <w:multiLevelType w:val="hybridMultilevel"/>
    <w:tmpl w:val="5E9C106C"/>
    <w:lvl w:ilvl="0" w:tplc="E7368A7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871DD1"/>
    <w:multiLevelType w:val="hybridMultilevel"/>
    <w:tmpl w:val="10B43852"/>
    <w:lvl w:ilvl="0" w:tplc="F8FA232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30A0981"/>
    <w:multiLevelType w:val="multilevel"/>
    <w:tmpl w:val="A1EED4D6"/>
    <w:lvl w:ilvl="0">
      <w:numFmt w:val="bullet"/>
      <w:lvlText w:val="•"/>
      <w:lvlJc w:val="left"/>
      <w:pPr>
        <w:ind w:left="1440" w:hanging="360"/>
      </w:pPr>
      <w:rPr>
        <w:rFonts w:ascii="Calibri" w:eastAsiaTheme="minorHAnsi" w:hAnsi="Calibri" w:cstheme="minorBidi" w:hint="default"/>
      </w:rPr>
    </w:lvl>
    <w:lvl w:ilvl="1">
      <w:start w:val="1"/>
      <w:numFmt w:val="decimal"/>
      <w:lvlText w:val="%1.%2."/>
      <w:lvlJc w:val="left"/>
      <w:pPr>
        <w:ind w:left="1872" w:hanging="432"/>
      </w:pPr>
      <w:rPr>
        <w:sz w:val="22"/>
      </w:rPr>
    </w:lvl>
    <w:lvl w:ilvl="2">
      <w:start w:val="1"/>
      <w:numFmt w:val="decimal"/>
      <w:lvlText w:val="%1.%2.%3."/>
      <w:lvlJc w:val="left"/>
      <w:pPr>
        <w:ind w:left="2304" w:hanging="504"/>
      </w:pPr>
      <w:rPr>
        <w:b/>
        <w:color w:val="auto"/>
      </w:r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58" w15:restartNumberingAfterBreak="0">
    <w:nsid w:val="77E97DB4"/>
    <w:multiLevelType w:val="multilevel"/>
    <w:tmpl w:val="718687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sz w:val="22"/>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8232714"/>
    <w:multiLevelType w:val="multilevel"/>
    <w:tmpl w:val="6D7244C0"/>
    <w:lvl w:ilvl="0">
      <w:start w:val="1"/>
      <w:numFmt w:val="decimal"/>
      <w:lvlText w:val="%1."/>
      <w:lvlJc w:val="left"/>
      <w:pPr>
        <w:ind w:left="360" w:hanging="360"/>
      </w:pPr>
    </w:lvl>
    <w:lvl w:ilvl="1">
      <w:start w:val="1"/>
      <w:numFmt w:val="decimal"/>
      <w:lvlText w:val="%1.%2."/>
      <w:lvlJc w:val="left"/>
      <w:pPr>
        <w:ind w:left="858" w:hanging="432"/>
      </w:pPr>
      <w:rPr>
        <w:sz w:val="22"/>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8B761CF"/>
    <w:multiLevelType w:val="multilevel"/>
    <w:tmpl w:val="9BDEFB3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bullet"/>
      <w:lvlText w:val=""/>
      <w:lvlJc w:val="left"/>
      <w:pPr>
        <w:ind w:left="1440" w:hanging="360"/>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1" w15:restartNumberingAfterBreak="0">
    <w:nsid w:val="7CEA0130"/>
    <w:multiLevelType w:val="hybridMultilevel"/>
    <w:tmpl w:val="9EB29A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7D9B7F91"/>
    <w:multiLevelType w:val="hybridMultilevel"/>
    <w:tmpl w:val="22022BFA"/>
    <w:lvl w:ilvl="0" w:tplc="981A9408">
      <w:start w:val="1"/>
      <w:numFmt w:val="decimal"/>
      <w:lvlText w:val="%1)"/>
      <w:lvlJc w:val="left"/>
      <w:pPr>
        <w:ind w:left="1862" w:hanging="360"/>
      </w:pPr>
      <w:rPr>
        <w:b w:val="0"/>
      </w:r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num w:numId="1" w16cid:durableId="48379230">
    <w:abstractNumId w:val="15"/>
  </w:num>
  <w:num w:numId="2" w16cid:durableId="621233900">
    <w:abstractNumId w:val="23"/>
  </w:num>
  <w:num w:numId="3" w16cid:durableId="2093819044">
    <w:abstractNumId w:val="30"/>
  </w:num>
  <w:num w:numId="4" w16cid:durableId="847601378">
    <w:abstractNumId w:val="62"/>
  </w:num>
  <w:num w:numId="5" w16cid:durableId="1968537505">
    <w:abstractNumId w:val="12"/>
  </w:num>
  <w:num w:numId="6" w16cid:durableId="1289579690">
    <w:abstractNumId w:val="59"/>
  </w:num>
  <w:num w:numId="7" w16cid:durableId="1645313594">
    <w:abstractNumId w:val="28"/>
  </w:num>
  <w:num w:numId="8" w16cid:durableId="892733052">
    <w:abstractNumId w:val="41"/>
  </w:num>
  <w:num w:numId="9" w16cid:durableId="1696811509">
    <w:abstractNumId w:val="52"/>
  </w:num>
  <w:num w:numId="10" w16cid:durableId="1110969852">
    <w:abstractNumId w:val="17"/>
  </w:num>
  <w:num w:numId="11" w16cid:durableId="988480784">
    <w:abstractNumId w:val="50"/>
  </w:num>
  <w:num w:numId="12" w16cid:durableId="1927764182">
    <w:abstractNumId w:val="20"/>
  </w:num>
  <w:num w:numId="13" w16cid:durableId="1244144283">
    <w:abstractNumId w:val="37"/>
  </w:num>
  <w:num w:numId="14" w16cid:durableId="1343631463">
    <w:abstractNumId w:val="7"/>
  </w:num>
  <w:num w:numId="15" w16cid:durableId="1594510145">
    <w:abstractNumId w:val="48"/>
  </w:num>
  <w:num w:numId="16" w16cid:durableId="2076007237">
    <w:abstractNumId w:val="44"/>
  </w:num>
  <w:num w:numId="17" w16cid:durableId="1353069321">
    <w:abstractNumId w:val="16"/>
  </w:num>
  <w:num w:numId="18" w16cid:durableId="942415103">
    <w:abstractNumId w:val="36"/>
  </w:num>
  <w:num w:numId="19" w16cid:durableId="207882645">
    <w:abstractNumId w:val="57"/>
  </w:num>
  <w:num w:numId="20" w16cid:durableId="1122840577">
    <w:abstractNumId w:val="21"/>
  </w:num>
  <w:num w:numId="21" w16cid:durableId="982732288">
    <w:abstractNumId w:val="51"/>
  </w:num>
  <w:num w:numId="22" w16cid:durableId="1947686427">
    <w:abstractNumId w:val="11"/>
  </w:num>
  <w:num w:numId="23" w16cid:durableId="1493446823">
    <w:abstractNumId w:val="25"/>
  </w:num>
  <w:num w:numId="24" w16cid:durableId="1733307207">
    <w:abstractNumId w:val="1"/>
  </w:num>
  <w:num w:numId="25" w16cid:durableId="79646020">
    <w:abstractNumId w:val="27"/>
  </w:num>
  <w:num w:numId="26" w16cid:durableId="241451447">
    <w:abstractNumId w:val="8"/>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7" w16cid:durableId="1982801870">
    <w:abstractNumId w:val="29"/>
  </w:num>
  <w:num w:numId="28" w16cid:durableId="1414931295">
    <w:abstractNumId w:val="55"/>
  </w:num>
  <w:num w:numId="29" w16cid:durableId="861750723">
    <w:abstractNumId w:val="10"/>
  </w:num>
  <w:num w:numId="30" w16cid:durableId="140344292">
    <w:abstractNumId w:val="45"/>
  </w:num>
  <w:num w:numId="31" w16cid:durableId="741370550">
    <w:abstractNumId w:val="18"/>
  </w:num>
  <w:num w:numId="32" w16cid:durableId="1369381206">
    <w:abstractNumId w:val="22"/>
  </w:num>
  <w:num w:numId="33" w16cid:durableId="1095131906">
    <w:abstractNumId w:val="61"/>
  </w:num>
  <w:num w:numId="34" w16cid:durableId="1433745663">
    <w:abstractNumId w:val="43"/>
  </w:num>
  <w:num w:numId="35" w16cid:durableId="2028293004">
    <w:abstractNumId w:val="34"/>
  </w:num>
  <w:num w:numId="36" w16cid:durableId="803890202">
    <w:abstractNumId w:val="13"/>
  </w:num>
  <w:num w:numId="37" w16cid:durableId="2101370373">
    <w:abstractNumId w:val="53"/>
  </w:num>
  <w:num w:numId="38" w16cid:durableId="1957717485">
    <w:abstractNumId w:val="54"/>
  </w:num>
  <w:num w:numId="39" w16cid:durableId="1675690913">
    <w:abstractNumId w:val="56"/>
  </w:num>
  <w:num w:numId="40" w16cid:durableId="1655794729">
    <w:abstractNumId w:val="24"/>
  </w:num>
  <w:num w:numId="41" w16cid:durableId="686832665">
    <w:abstractNumId w:val="46"/>
  </w:num>
  <w:num w:numId="42" w16cid:durableId="10285319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843698">
    <w:abstractNumId w:val="35"/>
  </w:num>
  <w:num w:numId="44" w16cid:durableId="1521510648">
    <w:abstractNumId w:val="33"/>
  </w:num>
  <w:num w:numId="45" w16cid:durableId="314454461">
    <w:abstractNumId w:val="49"/>
  </w:num>
  <w:num w:numId="46" w16cid:durableId="1988166942">
    <w:abstractNumId w:val="60"/>
  </w:num>
  <w:num w:numId="47" w16cid:durableId="1415275979">
    <w:abstractNumId w:val="40"/>
  </w:num>
  <w:num w:numId="48" w16cid:durableId="550307066">
    <w:abstractNumId w:val="26"/>
  </w:num>
  <w:num w:numId="49" w16cid:durableId="83964954">
    <w:abstractNumId w:val="38"/>
  </w:num>
  <w:num w:numId="50" w16cid:durableId="966937905">
    <w:abstractNumId w:val="39"/>
  </w:num>
  <w:num w:numId="51" w16cid:durableId="441846564">
    <w:abstractNumId w:val="9"/>
  </w:num>
  <w:num w:numId="52" w16cid:durableId="857886379">
    <w:abstractNumId w:val="32"/>
  </w:num>
  <w:num w:numId="53" w16cid:durableId="154421770">
    <w:abstractNumId w:val="6"/>
  </w:num>
  <w:num w:numId="54" w16cid:durableId="1014114134">
    <w:abstractNumId w:val="31"/>
  </w:num>
  <w:num w:numId="55" w16cid:durableId="1038774770">
    <w:abstractNumId w:val="14"/>
  </w:num>
  <w:num w:numId="56" w16cid:durableId="642272788">
    <w:abstractNumId w:val="0"/>
  </w:num>
  <w:num w:numId="57" w16cid:durableId="1989430073">
    <w:abstractNumId w:val="47"/>
  </w:num>
  <w:num w:numId="58" w16cid:durableId="594020757">
    <w:abstractNumId w:val="42"/>
  </w:num>
  <w:num w:numId="59" w16cid:durableId="877933621">
    <w:abstractNumId w:val="58"/>
  </w:num>
  <w:num w:numId="60" w16cid:durableId="1253464817">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C5"/>
    <w:rsid w:val="00000F84"/>
    <w:rsid w:val="000022D7"/>
    <w:rsid w:val="00002A15"/>
    <w:rsid w:val="00002E14"/>
    <w:rsid w:val="000065D5"/>
    <w:rsid w:val="00017AC7"/>
    <w:rsid w:val="000217D4"/>
    <w:rsid w:val="00021BEA"/>
    <w:rsid w:val="00022A2C"/>
    <w:rsid w:val="00022A80"/>
    <w:rsid w:val="00024D4C"/>
    <w:rsid w:val="00025271"/>
    <w:rsid w:val="000252B4"/>
    <w:rsid w:val="00031742"/>
    <w:rsid w:val="000367FA"/>
    <w:rsid w:val="00036DDA"/>
    <w:rsid w:val="00036F60"/>
    <w:rsid w:val="00040824"/>
    <w:rsid w:val="00040AEA"/>
    <w:rsid w:val="00040DB9"/>
    <w:rsid w:val="00040F72"/>
    <w:rsid w:val="000419B4"/>
    <w:rsid w:val="00044BE7"/>
    <w:rsid w:val="00046D3A"/>
    <w:rsid w:val="000505C3"/>
    <w:rsid w:val="00054259"/>
    <w:rsid w:val="00055D1E"/>
    <w:rsid w:val="0005656B"/>
    <w:rsid w:val="000567D9"/>
    <w:rsid w:val="00057E2B"/>
    <w:rsid w:val="000621CA"/>
    <w:rsid w:val="0006244A"/>
    <w:rsid w:val="00065A7D"/>
    <w:rsid w:val="00070369"/>
    <w:rsid w:val="00070897"/>
    <w:rsid w:val="00071AAE"/>
    <w:rsid w:val="000739D5"/>
    <w:rsid w:val="000742CB"/>
    <w:rsid w:val="000757B6"/>
    <w:rsid w:val="00080BA5"/>
    <w:rsid w:val="00080DD0"/>
    <w:rsid w:val="00083EAE"/>
    <w:rsid w:val="00085C77"/>
    <w:rsid w:val="00085F2B"/>
    <w:rsid w:val="00087439"/>
    <w:rsid w:val="000909CA"/>
    <w:rsid w:val="00090E14"/>
    <w:rsid w:val="00091553"/>
    <w:rsid w:val="00091A76"/>
    <w:rsid w:val="00092FCB"/>
    <w:rsid w:val="00093D9A"/>
    <w:rsid w:val="00094440"/>
    <w:rsid w:val="00094CC8"/>
    <w:rsid w:val="000972E3"/>
    <w:rsid w:val="0009731B"/>
    <w:rsid w:val="000A067A"/>
    <w:rsid w:val="000A2E31"/>
    <w:rsid w:val="000A540B"/>
    <w:rsid w:val="000A60EF"/>
    <w:rsid w:val="000A6CA3"/>
    <w:rsid w:val="000B5D67"/>
    <w:rsid w:val="000C0E5D"/>
    <w:rsid w:val="000C1095"/>
    <w:rsid w:val="000C1354"/>
    <w:rsid w:val="000C3C9C"/>
    <w:rsid w:val="000C463E"/>
    <w:rsid w:val="000C7EE8"/>
    <w:rsid w:val="000D1DB9"/>
    <w:rsid w:val="000D2337"/>
    <w:rsid w:val="000D256D"/>
    <w:rsid w:val="000E00DA"/>
    <w:rsid w:val="000E17F1"/>
    <w:rsid w:val="000E19BA"/>
    <w:rsid w:val="000E3215"/>
    <w:rsid w:val="000E3D9F"/>
    <w:rsid w:val="000E4CD4"/>
    <w:rsid w:val="000F11D9"/>
    <w:rsid w:val="000F1BE5"/>
    <w:rsid w:val="000F2F8E"/>
    <w:rsid w:val="000F4011"/>
    <w:rsid w:val="000F6161"/>
    <w:rsid w:val="000F6903"/>
    <w:rsid w:val="0010074B"/>
    <w:rsid w:val="001019DF"/>
    <w:rsid w:val="001029FD"/>
    <w:rsid w:val="00102DDF"/>
    <w:rsid w:val="00106B7F"/>
    <w:rsid w:val="001116EB"/>
    <w:rsid w:val="00113F92"/>
    <w:rsid w:val="001175EF"/>
    <w:rsid w:val="001179FB"/>
    <w:rsid w:val="001202B8"/>
    <w:rsid w:val="0012049E"/>
    <w:rsid w:val="00123825"/>
    <w:rsid w:val="001257CE"/>
    <w:rsid w:val="00126048"/>
    <w:rsid w:val="00130412"/>
    <w:rsid w:val="00132CEB"/>
    <w:rsid w:val="00134540"/>
    <w:rsid w:val="00137881"/>
    <w:rsid w:val="00140B74"/>
    <w:rsid w:val="0014371B"/>
    <w:rsid w:val="001448D3"/>
    <w:rsid w:val="00144F39"/>
    <w:rsid w:val="00147AAC"/>
    <w:rsid w:val="00151324"/>
    <w:rsid w:val="001521B8"/>
    <w:rsid w:val="00152883"/>
    <w:rsid w:val="00152A4C"/>
    <w:rsid w:val="00157188"/>
    <w:rsid w:val="001611FF"/>
    <w:rsid w:val="0016135B"/>
    <w:rsid w:val="00162C09"/>
    <w:rsid w:val="00166DE8"/>
    <w:rsid w:val="0016708C"/>
    <w:rsid w:val="00167ED5"/>
    <w:rsid w:val="00170901"/>
    <w:rsid w:val="00170B04"/>
    <w:rsid w:val="0017130C"/>
    <w:rsid w:val="001731E9"/>
    <w:rsid w:val="00180A55"/>
    <w:rsid w:val="001841AF"/>
    <w:rsid w:val="001847ED"/>
    <w:rsid w:val="001850BB"/>
    <w:rsid w:val="0018736A"/>
    <w:rsid w:val="00187FB6"/>
    <w:rsid w:val="00193275"/>
    <w:rsid w:val="00193B3B"/>
    <w:rsid w:val="00193F7F"/>
    <w:rsid w:val="001A14E1"/>
    <w:rsid w:val="001A1E6B"/>
    <w:rsid w:val="001A3035"/>
    <w:rsid w:val="001A3A9F"/>
    <w:rsid w:val="001A6F29"/>
    <w:rsid w:val="001B166B"/>
    <w:rsid w:val="001B458F"/>
    <w:rsid w:val="001B69AF"/>
    <w:rsid w:val="001C18E6"/>
    <w:rsid w:val="001C4481"/>
    <w:rsid w:val="001C6E31"/>
    <w:rsid w:val="001C7A78"/>
    <w:rsid w:val="001D25FC"/>
    <w:rsid w:val="001D378D"/>
    <w:rsid w:val="001E13C5"/>
    <w:rsid w:val="001E4256"/>
    <w:rsid w:val="001E5294"/>
    <w:rsid w:val="001E5972"/>
    <w:rsid w:val="001F5BEA"/>
    <w:rsid w:val="001F5CCE"/>
    <w:rsid w:val="00204C96"/>
    <w:rsid w:val="00205606"/>
    <w:rsid w:val="00205CE1"/>
    <w:rsid w:val="00213287"/>
    <w:rsid w:val="0022094F"/>
    <w:rsid w:val="00227117"/>
    <w:rsid w:val="002328FC"/>
    <w:rsid w:val="00232ED6"/>
    <w:rsid w:val="00233EEA"/>
    <w:rsid w:val="00237EC0"/>
    <w:rsid w:val="00240C76"/>
    <w:rsid w:val="00241CE0"/>
    <w:rsid w:val="00244017"/>
    <w:rsid w:val="00245C15"/>
    <w:rsid w:val="002460FE"/>
    <w:rsid w:val="00246AF1"/>
    <w:rsid w:val="00247151"/>
    <w:rsid w:val="00247F39"/>
    <w:rsid w:val="00250543"/>
    <w:rsid w:val="00250783"/>
    <w:rsid w:val="00253887"/>
    <w:rsid w:val="00254323"/>
    <w:rsid w:val="0025654C"/>
    <w:rsid w:val="0026057F"/>
    <w:rsid w:val="002619F2"/>
    <w:rsid w:val="002642F0"/>
    <w:rsid w:val="00264D26"/>
    <w:rsid w:val="00266251"/>
    <w:rsid w:val="002667A2"/>
    <w:rsid w:val="002707B9"/>
    <w:rsid w:val="0027267B"/>
    <w:rsid w:val="002729E5"/>
    <w:rsid w:val="0027302B"/>
    <w:rsid w:val="002737D4"/>
    <w:rsid w:val="00273A7A"/>
    <w:rsid w:val="002769EA"/>
    <w:rsid w:val="00280C72"/>
    <w:rsid w:val="002814DC"/>
    <w:rsid w:val="002878E6"/>
    <w:rsid w:val="00287C64"/>
    <w:rsid w:val="00291184"/>
    <w:rsid w:val="00291482"/>
    <w:rsid w:val="00292499"/>
    <w:rsid w:val="002924AA"/>
    <w:rsid w:val="0029721C"/>
    <w:rsid w:val="002A016E"/>
    <w:rsid w:val="002A28AB"/>
    <w:rsid w:val="002A2BE7"/>
    <w:rsid w:val="002A4323"/>
    <w:rsid w:val="002A603C"/>
    <w:rsid w:val="002A6B4F"/>
    <w:rsid w:val="002A6C70"/>
    <w:rsid w:val="002A6DCB"/>
    <w:rsid w:val="002A7B56"/>
    <w:rsid w:val="002B02C3"/>
    <w:rsid w:val="002B06B5"/>
    <w:rsid w:val="002B07D3"/>
    <w:rsid w:val="002B2450"/>
    <w:rsid w:val="002B4FE3"/>
    <w:rsid w:val="002B5082"/>
    <w:rsid w:val="002B7D4C"/>
    <w:rsid w:val="002C3929"/>
    <w:rsid w:val="002C44D6"/>
    <w:rsid w:val="002C490C"/>
    <w:rsid w:val="002C5C80"/>
    <w:rsid w:val="002C76A0"/>
    <w:rsid w:val="002D0575"/>
    <w:rsid w:val="002D19E9"/>
    <w:rsid w:val="002D1AEB"/>
    <w:rsid w:val="002D257A"/>
    <w:rsid w:val="002D2C3B"/>
    <w:rsid w:val="002D6875"/>
    <w:rsid w:val="002D73CD"/>
    <w:rsid w:val="002E1BDE"/>
    <w:rsid w:val="002E2058"/>
    <w:rsid w:val="002E2F58"/>
    <w:rsid w:val="002E7FDE"/>
    <w:rsid w:val="002F21E4"/>
    <w:rsid w:val="002F3424"/>
    <w:rsid w:val="002F5BE3"/>
    <w:rsid w:val="002F604F"/>
    <w:rsid w:val="003018DB"/>
    <w:rsid w:val="0030216C"/>
    <w:rsid w:val="0030697E"/>
    <w:rsid w:val="00312949"/>
    <w:rsid w:val="00312F57"/>
    <w:rsid w:val="0031320E"/>
    <w:rsid w:val="003138F1"/>
    <w:rsid w:val="003138FC"/>
    <w:rsid w:val="00314CEB"/>
    <w:rsid w:val="00317D9C"/>
    <w:rsid w:val="0032269B"/>
    <w:rsid w:val="00327327"/>
    <w:rsid w:val="00327707"/>
    <w:rsid w:val="00327CF1"/>
    <w:rsid w:val="00335F73"/>
    <w:rsid w:val="0034542B"/>
    <w:rsid w:val="003459FB"/>
    <w:rsid w:val="003474ED"/>
    <w:rsid w:val="00347875"/>
    <w:rsid w:val="00350845"/>
    <w:rsid w:val="003509D0"/>
    <w:rsid w:val="00352285"/>
    <w:rsid w:val="00352BE2"/>
    <w:rsid w:val="00352CBB"/>
    <w:rsid w:val="00355554"/>
    <w:rsid w:val="00355C45"/>
    <w:rsid w:val="00356F0D"/>
    <w:rsid w:val="003578FE"/>
    <w:rsid w:val="00361C16"/>
    <w:rsid w:val="00364874"/>
    <w:rsid w:val="00370B3D"/>
    <w:rsid w:val="003758BC"/>
    <w:rsid w:val="00376EC7"/>
    <w:rsid w:val="00377B90"/>
    <w:rsid w:val="003813DF"/>
    <w:rsid w:val="00381AC3"/>
    <w:rsid w:val="003823EA"/>
    <w:rsid w:val="003861D8"/>
    <w:rsid w:val="00387736"/>
    <w:rsid w:val="00392029"/>
    <w:rsid w:val="00392298"/>
    <w:rsid w:val="0039288C"/>
    <w:rsid w:val="00394D56"/>
    <w:rsid w:val="003979E1"/>
    <w:rsid w:val="003A1541"/>
    <w:rsid w:val="003A1861"/>
    <w:rsid w:val="003A3BC0"/>
    <w:rsid w:val="003A77B4"/>
    <w:rsid w:val="003B3D06"/>
    <w:rsid w:val="003B45CF"/>
    <w:rsid w:val="003B48F0"/>
    <w:rsid w:val="003B5F1C"/>
    <w:rsid w:val="003C0672"/>
    <w:rsid w:val="003C4C96"/>
    <w:rsid w:val="003C60FA"/>
    <w:rsid w:val="003D01C7"/>
    <w:rsid w:val="003D04CB"/>
    <w:rsid w:val="003D066E"/>
    <w:rsid w:val="003D1EC3"/>
    <w:rsid w:val="003D434A"/>
    <w:rsid w:val="003D5E1F"/>
    <w:rsid w:val="003E2C9F"/>
    <w:rsid w:val="003E3E77"/>
    <w:rsid w:val="003E4496"/>
    <w:rsid w:val="003E6173"/>
    <w:rsid w:val="003E7356"/>
    <w:rsid w:val="003F0F58"/>
    <w:rsid w:val="003F1AB3"/>
    <w:rsid w:val="003F27C4"/>
    <w:rsid w:val="003F32C3"/>
    <w:rsid w:val="003F4C2E"/>
    <w:rsid w:val="003F6971"/>
    <w:rsid w:val="00401576"/>
    <w:rsid w:val="00403DFC"/>
    <w:rsid w:val="00406E68"/>
    <w:rsid w:val="004100DF"/>
    <w:rsid w:val="00411CC7"/>
    <w:rsid w:val="00413CD8"/>
    <w:rsid w:val="00415C21"/>
    <w:rsid w:val="00416EDA"/>
    <w:rsid w:val="00420605"/>
    <w:rsid w:val="0042124F"/>
    <w:rsid w:val="00422B4D"/>
    <w:rsid w:val="00425842"/>
    <w:rsid w:val="00427D4B"/>
    <w:rsid w:val="0043079F"/>
    <w:rsid w:val="004307DD"/>
    <w:rsid w:val="0043169C"/>
    <w:rsid w:val="004328DD"/>
    <w:rsid w:val="00433485"/>
    <w:rsid w:val="00436E0A"/>
    <w:rsid w:val="00437C34"/>
    <w:rsid w:val="00441157"/>
    <w:rsid w:val="0044131D"/>
    <w:rsid w:val="00441372"/>
    <w:rsid w:val="00443E82"/>
    <w:rsid w:val="00446FF7"/>
    <w:rsid w:val="004536E8"/>
    <w:rsid w:val="00453742"/>
    <w:rsid w:val="00454BA4"/>
    <w:rsid w:val="004553BC"/>
    <w:rsid w:val="00455545"/>
    <w:rsid w:val="0046360D"/>
    <w:rsid w:val="00465C92"/>
    <w:rsid w:val="00466A56"/>
    <w:rsid w:val="00467D0E"/>
    <w:rsid w:val="00470635"/>
    <w:rsid w:val="00472A9F"/>
    <w:rsid w:val="00472C5B"/>
    <w:rsid w:val="00474CE2"/>
    <w:rsid w:val="004756E8"/>
    <w:rsid w:val="004763A8"/>
    <w:rsid w:val="00480F49"/>
    <w:rsid w:val="00481761"/>
    <w:rsid w:val="004817D7"/>
    <w:rsid w:val="004821A1"/>
    <w:rsid w:val="00490AF9"/>
    <w:rsid w:val="004910B4"/>
    <w:rsid w:val="00493346"/>
    <w:rsid w:val="00493DA6"/>
    <w:rsid w:val="004A35AE"/>
    <w:rsid w:val="004B3D50"/>
    <w:rsid w:val="004B5B63"/>
    <w:rsid w:val="004B67AF"/>
    <w:rsid w:val="004C234D"/>
    <w:rsid w:val="004C5625"/>
    <w:rsid w:val="004C6F4A"/>
    <w:rsid w:val="004C7C2E"/>
    <w:rsid w:val="004D091D"/>
    <w:rsid w:val="004D314B"/>
    <w:rsid w:val="004D6F3C"/>
    <w:rsid w:val="004E1806"/>
    <w:rsid w:val="004E4140"/>
    <w:rsid w:val="004E4D50"/>
    <w:rsid w:val="004E5327"/>
    <w:rsid w:val="004E6CC2"/>
    <w:rsid w:val="004E6E74"/>
    <w:rsid w:val="004E7693"/>
    <w:rsid w:val="004F16FB"/>
    <w:rsid w:val="004F1F6C"/>
    <w:rsid w:val="004F5F48"/>
    <w:rsid w:val="00510313"/>
    <w:rsid w:val="00512C81"/>
    <w:rsid w:val="00513C93"/>
    <w:rsid w:val="00515407"/>
    <w:rsid w:val="00521F9A"/>
    <w:rsid w:val="00522D8A"/>
    <w:rsid w:val="005230AC"/>
    <w:rsid w:val="00525130"/>
    <w:rsid w:val="00532EDB"/>
    <w:rsid w:val="00533099"/>
    <w:rsid w:val="0053317D"/>
    <w:rsid w:val="00533AF8"/>
    <w:rsid w:val="005379C8"/>
    <w:rsid w:val="00537D9D"/>
    <w:rsid w:val="0054100C"/>
    <w:rsid w:val="00541B24"/>
    <w:rsid w:val="00543561"/>
    <w:rsid w:val="005457C2"/>
    <w:rsid w:val="00545AF7"/>
    <w:rsid w:val="00546784"/>
    <w:rsid w:val="00546B3F"/>
    <w:rsid w:val="00556652"/>
    <w:rsid w:val="00557FD9"/>
    <w:rsid w:val="005625A3"/>
    <w:rsid w:val="00564FB1"/>
    <w:rsid w:val="005659D5"/>
    <w:rsid w:val="0056693B"/>
    <w:rsid w:val="00570301"/>
    <w:rsid w:val="00572FFC"/>
    <w:rsid w:val="00573774"/>
    <w:rsid w:val="00575096"/>
    <w:rsid w:val="00576B3B"/>
    <w:rsid w:val="00577111"/>
    <w:rsid w:val="00580AD2"/>
    <w:rsid w:val="00581E15"/>
    <w:rsid w:val="005820EE"/>
    <w:rsid w:val="00584C38"/>
    <w:rsid w:val="00584D41"/>
    <w:rsid w:val="00585EF4"/>
    <w:rsid w:val="00586249"/>
    <w:rsid w:val="00587051"/>
    <w:rsid w:val="0058709E"/>
    <w:rsid w:val="00590346"/>
    <w:rsid w:val="005904C2"/>
    <w:rsid w:val="00592E28"/>
    <w:rsid w:val="00593703"/>
    <w:rsid w:val="005A2277"/>
    <w:rsid w:val="005A533C"/>
    <w:rsid w:val="005B12DC"/>
    <w:rsid w:val="005B1BEF"/>
    <w:rsid w:val="005B3D5E"/>
    <w:rsid w:val="005B5873"/>
    <w:rsid w:val="005B5BE5"/>
    <w:rsid w:val="005B61A2"/>
    <w:rsid w:val="005C09DA"/>
    <w:rsid w:val="005C0A23"/>
    <w:rsid w:val="005C1A21"/>
    <w:rsid w:val="005C3039"/>
    <w:rsid w:val="005C414A"/>
    <w:rsid w:val="005C46DA"/>
    <w:rsid w:val="005D14DC"/>
    <w:rsid w:val="005D527E"/>
    <w:rsid w:val="005D7A64"/>
    <w:rsid w:val="005E26E5"/>
    <w:rsid w:val="005E275B"/>
    <w:rsid w:val="005E4FC5"/>
    <w:rsid w:val="005E6AB2"/>
    <w:rsid w:val="005F6864"/>
    <w:rsid w:val="005F72F4"/>
    <w:rsid w:val="005F7745"/>
    <w:rsid w:val="005F7E6A"/>
    <w:rsid w:val="00602462"/>
    <w:rsid w:val="00602E70"/>
    <w:rsid w:val="00603BDA"/>
    <w:rsid w:val="00604598"/>
    <w:rsid w:val="00607A07"/>
    <w:rsid w:val="00610530"/>
    <w:rsid w:val="006122ED"/>
    <w:rsid w:val="006135F6"/>
    <w:rsid w:val="00614431"/>
    <w:rsid w:val="00615295"/>
    <w:rsid w:val="00615C08"/>
    <w:rsid w:val="00616A8B"/>
    <w:rsid w:val="00617199"/>
    <w:rsid w:val="006179EB"/>
    <w:rsid w:val="00617BD6"/>
    <w:rsid w:val="006235E9"/>
    <w:rsid w:val="00623FAC"/>
    <w:rsid w:val="00624C0C"/>
    <w:rsid w:val="00625AFD"/>
    <w:rsid w:val="00636D1A"/>
    <w:rsid w:val="00637427"/>
    <w:rsid w:val="00642224"/>
    <w:rsid w:val="00642A8F"/>
    <w:rsid w:val="00644865"/>
    <w:rsid w:val="00647693"/>
    <w:rsid w:val="0065161E"/>
    <w:rsid w:val="00654CFB"/>
    <w:rsid w:val="00657683"/>
    <w:rsid w:val="006615BC"/>
    <w:rsid w:val="00664F5D"/>
    <w:rsid w:val="00665FAC"/>
    <w:rsid w:val="0067157D"/>
    <w:rsid w:val="00673249"/>
    <w:rsid w:val="006768D2"/>
    <w:rsid w:val="006800D1"/>
    <w:rsid w:val="00681FB3"/>
    <w:rsid w:val="00682A9F"/>
    <w:rsid w:val="006832FE"/>
    <w:rsid w:val="0068383D"/>
    <w:rsid w:val="00683DE3"/>
    <w:rsid w:val="00685155"/>
    <w:rsid w:val="0068656F"/>
    <w:rsid w:val="00687160"/>
    <w:rsid w:val="006900F4"/>
    <w:rsid w:val="00691BC9"/>
    <w:rsid w:val="006922E4"/>
    <w:rsid w:val="00692F86"/>
    <w:rsid w:val="00697F6D"/>
    <w:rsid w:val="006A312E"/>
    <w:rsid w:val="006A42B2"/>
    <w:rsid w:val="006A57B2"/>
    <w:rsid w:val="006A5C3B"/>
    <w:rsid w:val="006A73D3"/>
    <w:rsid w:val="006B249C"/>
    <w:rsid w:val="006B591E"/>
    <w:rsid w:val="006C2AC9"/>
    <w:rsid w:val="006C3892"/>
    <w:rsid w:val="006C6B99"/>
    <w:rsid w:val="006D1024"/>
    <w:rsid w:val="006D3B36"/>
    <w:rsid w:val="006D47B8"/>
    <w:rsid w:val="006D524A"/>
    <w:rsid w:val="006D6296"/>
    <w:rsid w:val="006D6414"/>
    <w:rsid w:val="006E1420"/>
    <w:rsid w:val="006E41E4"/>
    <w:rsid w:val="006E5248"/>
    <w:rsid w:val="006E5289"/>
    <w:rsid w:val="006E7F82"/>
    <w:rsid w:val="006F1065"/>
    <w:rsid w:val="006F142E"/>
    <w:rsid w:val="006F1C4C"/>
    <w:rsid w:val="006F4FE0"/>
    <w:rsid w:val="006F5FF2"/>
    <w:rsid w:val="00705D3B"/>
    <w:rsid w:val="00705E6E"/>
    <w:rsid w:val="0070656C"/>
    <w:rsid w:val="00706BC2"/>
    <w:rsid w:val="00710286"/>
    <w:rsid w:val="00713F44"/>
    <w:rsid w:val="007145BC"/>
    <w:rsid w:val="00714B25"/>
    <w:rsid w:val="007161C5"/>
    <w:rsid w:val="0071788B"/>
    <w:rsid w:val="00720DEF"/>
    <w:rsid w:val="0072754D"/>
    <w:rsid w:val="00730A5F"/>
    <w:rsid w:val="00732EE6"/>
    <w:rsid w:val="00733D5A"/>
    <w:rsid w:val="00735CF8"/>
    <w:rsid w:val="007402E4"/>
    <w:rsid w:val="00741772"/>
    <w:rsid w:val="00746AB2"/>
    <w:rsid w:val="00746E19"/>
    <w:rsid w:val="0074738C"/>
    <w:rsid w:val="00747EDC"/>
    <w:rsid w:val="0075447B"/>
    <w:rsid w:val="00754D6E"/>
    <w:rsid w:val="00754E44"/>
    <w:rsid w:val="007572DE"/>
    <w:rsid w:val="007608F7"/>
    <w:rsid w:val="007626CC"/>
    <w:rsid w:val="007646D2"/>
    <w:rsid w:val="007649A6"/>
    <w:rsid w:val="00765C6D"/>
    <w:rsid w:val="00765DDE"/>
    <w:rsid w:val="00771CCC"/>
    <w:rsid w:val="00780B3D"/>
    <w:rsid w:val="00782AC0"/>
    <w:rsid w:val="0078501E"/>
    <w:rsid w:val="00785912"/>
    <w:rsid w:val="00790162"/>
    <w:rsid w:val="0079116A"/>
    <w:rsid w:val="007916EF"/>
    <w:rsid w:val="00792284"/>
    <w:rsid w:val="00792B8F"/>
    <w:rsid w:val="00792DC3"/>
    <w:rsid w:val="00796637"/>
    <w:rsid w:val="00796CB0"/>
    <w:rsid w:val="00797C49"/>
    <w:rsid w:val="007A196E"/>
    <w:rsid w:val="007A4B2E"/>
    <w:rsid w:val="007A61BD"/>
    <w:rsid w:val="007B7A30"/>
    <w:rsid w:val="007C0408"/>
    <w:rsid w:val="007C0435"/>
    <w:rsid w:val="007D0945"/>
    <w:rsid w:val="007D0ECA"/>
    <w:rsid w:val="007D1E3D"/>
    <w:rsid w:val="007D39AB"/>
    <w:rsid w:val="007D3F0B"/>
    <w:rsid w:val="007D7A98"/>
    <w:rsid w:val="007E1010"/>
    <w:rsid w:val="007E1A3D"/>
    <w:rsid w:val="007E1ECD"/>
    <w:rsid w:val="007E2AAE"/>
    <w:rsid w:val="007E2DAE"/>
    <w:rsid w:val="007E2F0A"/>
    <w:rsid w:val="007E40A5"/>
    <w:rsid w:val="007E476E"/>
    <w:rsid w:val="007E6DEA"/>
    <w:rsid w:val="007E72DA"/>
    <w:rsid w:val="007F3EB0"/>
    <w:rsid w:val="007F475D"/>
    <w:rsid w:val="007F57DD"/>
    <w:rsid w:val="00807E40"/>
    <w:rsid w:val="008118EF"/>
    <w:rsid w:val="00812498"/>
    <w:rsid w:val="00812AC3"/>
    <w:rsid w:val="0081402F"/>
    <w:rsid w:val="00814A0A"/>
    <w:rsid w:val="00814C1B"/>
    <w:rsid w:val="00816984"/>
    <w:rsid w:val="008202B2"/>
    <w:rsid w:val="00822EC9"/>
    <w:rsid w:val="0082302C"/>
    <w:rsid w:val="008232C5"/>
    <w:rsid w:val="008236BD"/>
    <w:rsid w:val="00824029"/>
    <w:rsid w:val="0082439C"/>
    <w:rsid w:val="00824C56"/>
    <w:rsid w:val="00826C72"/>
    <w:rsid w:val="00833A4C"/>
    <w:rsid w:val="008346F4"/>
    <w:rsid w:val="00836BD1"/>
    <w:rsid w:val="00837762"/>
    <w:rsid w:val="00840281"/>
    <w:rsid w:val="00841886"/>
    <w:rsid w:val="008421D3"/>
    <w:rsid w:val="00843765"/>
    <w:rsid w:val="008514C1"/>
    <w:rsid w:val="00851957"/>
    <w:rsid w:val="00852057"/>
    <w:rsid w:val="0085310B"/>
    <w:rsid w:val="00854B26"/>
    <w:rsid w:val="008562A0"/>
    <w:rsid w:val="00856397"/>
    <w:rsid w:val="008602BC"/>
    <w:rsid w:val="00862994"/>
    <w:rsid w:val="0086433F"/>
    <w:rsid w:val="0086520B"/>
    <w:rsid w:val="00871810"/>
    <w:rsid w:val="0087772A"/>
    <w:rsid w:val="0088199E"/>
    <w:rsid w:val="00883348"/>
    <w:rsid w:val="00884722"/>
    <w:rsid w:val="00886AB8"/>
    <w:rsid w:val="00887220"/>
    <w:rsid w:val="00892D66"/>
    <w:rsid w:val="0089534C"/>
    <w:rsid w:val="0089566E"/>
    <w:rsid w:val="00897701"/>
    <w:rsid w:val="008A06AC"/>
    <w:rsid w:val="008A241A"/>
    <w:rsid w:val="008A314B"/>
    <w:rsid w:val="008A4DD5"/>
    <w:rsid w:val="008A61C8"/>
    <w:rsid w:val="008A76E0"/>
    <w:rsid w:val="008B0174"/>
    <w:rsid w:val="008B4475"/>
    <w:rsid w:val="008B5B2D"/>
    <w:rsid w:val="008B7514"/>
    <w:rsid w:val="008C18CB"/>
    <w:rsid w:val="008C1BDB"/>
    <w:rsid w:val="008C541C"/>
    <w:rsid w:val="008C5E10"/>
    <w:rsid w:val="008C7AE3"/>
    <w:rsid w:val="008C7EEB"/>
    <w:rsid w:val="008D0C2F"/>
    <w:rsid w:val="008D46E1"/>
    <w:rsid w:val="008D7B11"/>
    <w:rsid w:val="008E1F59"/>
    <w:rsid w:val="008E38C5"/>
    <w:rsid w:val="008E5D01"/>
    <w:rsid w:val="008E6200"/>
    <w:rsid w:val="008E7402"/>
    <w:rsid w:val="008E7642"/>
    <w:rsid w:val="008F1875"/>
    <w:rsid w:val="008F2B13"/>
    <w:rsid w:val="008F42D9"/>
    <w:rsid w:val="009051B1"/>
    <w:rsid w:val="00905F55"/>
    <w:rsid w:val="00910520"/>
    <w:rsid w:val="00910FD5"/>
    <w:rsid w:val="00911F7E"/>
    <w:rsid w:val="00913699"/>
    <w:rsid w:val="0091370D"/>
    <w:rsid w:val="00920A0D"/>
    <w:rsid w:val="0092210C"/>
    <w:rsid w:val="00922530"/>
    <w:rsid w:val="00922A35"/>
    <w:rsid w:val="00922F19"/>
    <w:rsid w:val="00926309"/>
    <w:rsid w:val="009273A9"/>
    <w:rsid w:val="0093199D"/>
    <w:rsid w:val="00935E0D"/>
    <w:rsid w:val="009401B0"/>
    <w:rsid w:val="00942199"/>
    <w:rsid w:val="009424AE"/>
    <w:rsid w:val="009432AB"/>
    <w:rsid w:val="0094605E"/>
    <w:rsid w:val="00946A78"/>
    <w:rsid w:val="00947508"/>
    <w:rsid w:val="00951A9B"/>
    <w:rsid w:val="00951F3A"/>
    <w:rsid w:val="009527E9"/>
    <w:rsid w:val="00952B7A"/>
    <w:rsid w:val="009534FF"/>
    <w:rsid w:val="009538BC"/>
    <w:rsid w:val="00957640"/>
    <w:rsid w:val="009624CD"/>
    <w:rsid w:val="0096296C"/>
    <w:rsid w:val="0096341F"/>
    <w:rsid w:val="00964EC4"/>
    <w:rsid w:val="00966261"/>
    <w:rsid w:val="00972BC0"/>
    <w:rsid w:val="009730A0"/>
    <w:rsid w:val="0097341E"/>
    <w:rsid w:val="00973D72"/>
    <w:rsid w:val="0097474C"/>
    <w:rsid w:val="00984B83"/>
    <w:rsid w:val="00986695"/>
    <w:rsid w:val="00990648"/>
    <w:rsid w:val="009920AA"/>
    <w:rsid w:val="00993122"/>
    <w:rsid w:val="00996FA1"/>
    <w:rsid w:val="009A07C2"/>
    <w:rsid w:val="009A0F18"/>
    <w:rsid w:val="009A1087"/>
    <w:rsid w:val="009A1BBA"/>
    <w:rsid w:val="009A2770"/>
    <w:rsid w:val="009A4A53"/>
    <w:rsid w:val="009A5799"/>
    <w:rsid w:val="009A6562"/>
    <w:rsid w:val="009B19D1"/>
    <w:rsid w:val="009B2E3C"/>
    <w:rsid w:val="009C0223"/>
    <w:rsid w:val="009C30F6"/>
    <w:rsid w:val="009C3605"/>
    <w:rsid w:val="009C4ECC"/>
    <w:rsid w:val="009C546C"/>
    <w:rsid w:val="009C779C"/>
    <w:rsid w:val="009D006E"/>
    <w:rsid w:val="009D0204"/>
    <w:rsid w:val="009D18CD"/>
    <w:rsid w:val="009D23F0"/>
    <w:rsid w:val="009D3230"/>
    <w:rsid w:val="009D415E"/>
    <w:rsid w:val="009D4954"/>
    <w:rsid w:val="009D4B01"/>
    <w:rsid w:val="009D5CB6"/>
    <w:rsid w:val="009E5974"/>
    <w:rsid w:val="009E5CC6"/>
    <w:rsid w:val="009E6488"/>
    <w:rsid w:val="009E69BF"/>
    <w:rsid w:val="009E6BD7"/>
    <w:rsid w:val="009E6FAB"/>
    <w:rsid w:val="009E7379"/>
    <w:rsid w:val="009F21E5"/>
    <w:rsid w:val="009F2AAF"/>
    <w:rsid w:val="009F3118"/>
    <w:rsid w:val="009F5355"/>
    <w:rsid w:val="009F7DC0"/>
    <w:rsid w:val="00A0607E"/>
    <w:rsid w:val="00A102D3"/>
    <w:rsid w:val="00A104CF"/>
    <w:rsid w:val="00A11363"/>
    <w:rsid w:val="00A1347D"/>
    <w:rsid w:val="00A134FF"/>
    <w:rsid w:val="00A1491D"/>
    <w:rsid w:val="00A149E6"/>
    <w:rsid w:val="00A14CE5"/>
    <w:rsid w:val="00A16E4E"/>
    <w:rsid w:val="00A319A5"/>
    <w:rsid w:val="00A3268E"/>
    <w:rsid w:val="00A34203"/>
    <w:rsid w:val="00A35944"/>
    <w:rsid w:val="00A35B97"/>
    <w:rsid w:val="00A36520"/>
    <w:rsid w:val="00A37B34"/>
    <w:rsid w:val="00A37DCE"/>
    <w:rsid w:val="00A4461D"/>
    <w:rsid w:val="00A47C65"/>
    <w:rsid w:val="00A52212"/>
    <w:rsid w:val="00A527A2"/>
    <w:rsid w:val="00A54284"/>
    <w:rsid w:val="00A542A6"/>
    <w:rsid w:val="00A55C82"/>
    <w:rsid w:val="00A577CD"/>
    <w:rsid w:val="00A619D8"/>
    <w:rsid w:val="00A62E29"/>
    <w:rsid w:val="00A6331E"/>
    <w:rsid w:val="00A66513"/>
    <w:rsid w:val="00A6723B"/>
    <w:rsid w:val="00A67DBB"/>
    <w:rsid w:val="00A67F19"/>
    <w:rsid w:val="00A70E80"/>
    <w:rsid w:val="00A71AF9"/>
    <w:rsid w:val="00A71BC5"/>
    <w:rsid w:val="00A72659"/>
    <w:rsid w:val="00A75A93"/>
    <w:rsid w:val="00A75CA2"/>
    <w:rsid w:val="00A764ED"/>
    <w:rsid w:val="00A807DA"/>
    <w:rsid w:val="00A83021"/>
    <w:rsid w:val="00A83F86"/>
    <w:rsid w:val="00A8766D"/>
    <w:rsid w:val="00A96FBD"/>
    <w:rsid w:val="00AA0192"/>
    <w:rsid w:val="00AA0670"/>
    <w:rsid w:val="00AA0AF4"/>
    <w:rsid w:val="00AA1E00"/>
    <w:rsid w:val="00AA302A"/>
    <w:rsid w:val="00AA762C"/>
    <w:rsid w:val="00AB3912"/>
    <w:rsid w:val="00AD08B0"/>
    <w:rsid w:val="00AD142A"/>
    <w:rsid w:val="00AD2228"/>
    <w:rsid w:val="00AD37BC"/>
    <w:rsid w:val="00AD3F53"/>
    <w:rsid w:val="00AE07CC"/>
    <w:rsid w:val="00AE2FCD"/>
    <w:rsid w:val="00AE4408"/>
    <w:rsid w:val="00AE5B11"/>
    <w:rsid w:val="00AE6B31"/>
    <w:rsid w:val="00AE7FA8"/>
    <w:rsid w:val="00AF2815"/>
    <w:rsid w:val="00AF2C68"/>
    <w:rsid w:val="00AF4AD8"/>
    <w:rsid w:val="00AF6A54"/>
    <w:rsid w:val="00B0336D"/>
    <w:rsid w:val="00B069EC"/>
    <w:rsid w:val="00B071AB"/>
    <w:rsid w:val="00B115E1"/>
    <w:rsid w:val="00B13384"/>
    <w:rsid w:val="00B151D7"/>
    <w:rsid w:val="00B163F2"/>
    <w:rsid w:val="00B16690"/>
    <w:rsid w:val="00B16D05"/>
    <w:rsid w:val="00B16D6D"/>
    <w:rsid w:val="00B207A4"/>
    <w:rsid w:val="00B21B1A"/>
    <w:rsid w:val="00B24B60"/>
    <w:rsid w:val="00B32143"/>
    <w:rsid w:val="00B3358B"/>
    <w:rsid w:val="00B36D3A"/>
    <w:rsid w:val="00B407E1"/>
    <w:rsid w:val="00B40AC3"/>
    <w:rsid w:val="00B423B5"/>
    <w:rsid w:val="00B44321"/>
    <w:rsid w:val="00B471A6"/>
    <w:rsid w:val="00B47343"/>
    <w:rsid w:val="00B55A5D"/>
    <w:rsid w:val="00B57B1D"/>
    <w:rsid w:val="00B57CC9"/>
    <w:rsid w:val="00B60F78"/>
    <w:rsid w:val="00B62A06"/>
    <w:rsid w:val="00B637A9"/>
    <w:rsid w:val="00B6430E"/>
    <w:rsid w:val="00B669BF"/>
    <w:rsid w:val="00B75052"/>
    <w:rsid w:val="00B75B31"/>
    <w:rsid w:val="00B84FDE"/>
    <w:rsid w:val="00B87980"/>
    <w:rsid w:val="00B91624"/>
    <w:rsid w:val="00B91C06"/>
    <w:rsid w:val="00B927BF"/>
    <w:rsid w:val="00B94947"/>
    <w:rsid w:val="00B94FAB"/>
    <w:rsid w:val="00B95683"/>
    <w:rsid w:val="00B9681C"/>
    <w:rsid w:val="00BA21BA"/>
    <w:rsid w:val="00BA5979"/>
    <w:rsid w:val="00BA6631"/>
    <w:rsid w:val="00BB3A56"/>
    <w:rsid w:val="00BB5B32"/>
    <w:rsid w:val="00BC0183"/>
    <w:rsid w:val="00BC0AD2"/>
    <w:rsid w:val="00BC0E38"/>
    <w:rsid w:val="00BC2985"/>
    <w:rsid w:val="00BC314E"/>
    <w:rsid w:val="00BC3FC7"/>
    <w:rsid w:val="00BD040A"/>
    <w:rsid w:val="00BD1099"/>
    <w:rsid w:val="00BD1D28"/>
    <w:rsid w:val="00BD2405"/>
    <w:rsid w:val="00BD6D9C"/>
    <w:rsid w:val="00BE1E2D"/>
    <w:rsid w:val="00BE269F"/>
    <w:rsid w:val="00BE4011"/>
    <w:rsid w:val="00BE4086"/>
    <w:rsid w:val="00BE7065"/>
    <w:rsid w:val="00BE7C2E"/>
    <w:rsid w:val="00BF1E59"/>
    <w:rsid w:val="00BF66B6"/>
    <w:rsid w:val="00C04A8D"/>
    <w:rsid w:val="00C062B9"/>
    <w:rsid w:val="00C07B1A"/>
    <w:rsid w:val="00C07CDF"/>
    <w:rsid w:val="00C12AAD"/>
    <w:rsid w:val="00C12CC0"/>
    <w:rsid w:val="00C12EA4"/>
    <w:rsid w:val="00C15073"/>
    <w:rsid w:val="00C168A5"/>
    <w:rsid w:val="00C2151F"/>
    <w:rsid w:val="00C21693"/>
    <w:rsid w:val="00C23847"/>
    <w:rsid w:val="00C23DB5"/>
    <w:rsid w:val="00C264E1"/>
    <w:rsid w:val="00C3247E"/>
    <w:rsid w:val="00C3302C"/>
    <w:rsid w:val="00C40352"/>
    <w:rsid w:val="00C405F6"/>
    <w:rsid w:val="00C40C7D"/>
    <w:rsid w:val="00C4239A"/>
    <w:rsid w:val="00C44F63"/>
    <w:rsid w:val="00C45BA6"/>
    <w:rsid w:val="00C46203"/>
    <w:rsid w:val="00C468A6"/>
    <w:rsid w:val="00C47011"/>
    <w:rsid w:val="00C47BC5"/>
    <w:rsid w:val="00C47BCA"/>
    <w:rsid w:val="00C50876"/>
    <w:rsid w:val="00C52529"/>
    <w:rsid w:val="00C527D6"/>
    <w:rsid w:val="00C556B8"/>
    <w:rsid w:val="00C562D4"/>
    <w:rsid w:val="00C60330"/>
    <w:rsid w:val="00C60807"/>
    <w:rsid w:val="00C6199D"/>
    <w:rsid w:val="00C649EA"/>
    <w:rsid w:val="00C64B8A"/>
    <w:rsid w:val="00C650BB"/>
    <w:rsid w:val="00C654D6"/>
    <w:rsid w:val="00C726C5"/>
    <w:rsid w:val="00C748DC"/>
    <w:rsid w:val="00C776E2"/>
    <w:rsid w:val="00C77940"/>
    <w:rsid w:val="00C81550"/>
    <w:rsid w:val="00C84F5E"/>
    <w:rsid w:val="00C85A8E"/>
    <w:rsid w:val="00C8700C"/>
    <w:rsid w:val="00C8704E"/>
    <w:rsid w:val="00CA0438"/>
    <w:rsid w:val="00CA104D"/>
    <w:rsid w:val="00CA2B6A"/>
    <w:rsid w:val="00CA365F"/>
    <w:rsid w:val="00CA3AEF"/>
    <w:rsid w:val="00CA4D5D"/>
    <w:rsid w:val="00CA58EC"/>
    <w:rsid w:val="00CB024B"/>
    <w:rsid w:val="00CB3DCB"/>
    <w:rsid w:val="00CB41DC"/>
    <w:rsid w:val="00CB4F9E"/>
    <w:rsid w:val="00CB63B8"/>
    <w:rsid w:val="00CC29A9"/>
    <w:rsid w:val="00CC42C6"/>
    <w:rsid w:val="00CC753F"/>
    <w:rsid w:val="00CD26C9"/>
    <w:rsid w:val="00CD5665"/>
    <w:rsid w:val="00CD608A"/>
    <w:rsid w:val="00CD77E2"/>
    <w:rsid w:val="00CD7D0E"/>
    <w:rsid w:val="00CE23D3"/>
    <w:rsid w:val="00CE37F2"/>
    <w:rsid w:val="00CE40E2"/>
    <w:rsid w:val="00CE4FB3"/>
    <w:rsid w:val="00CE724A"/>
    <w:rsid w:val="00CF0B29"/>
    <w:rsid w:val="00CF5134"/>
    <w:rsid w:val="00CF5244"/>
    <w:rsid w:val="00CF5DFB"/>
    <w:rsid w:val="00CF75F2"/>
    <w:rsid w:val="00D0164B"/>
    <w:rsid w:val="00D02071"/>
    <w:rsid w:val="00D057DD"/>
    <w:rsid w:val="00D07B25"/>
    <w:rsid w:val="00D101C5"/>
    <w:rsid w:val="00D11891"/>
    <w:rsid w:val="00D14D89"/>
    <w:rsid w:val="00D15AAB"/>
    <w:rsid w:val="00D2074E"/>
    <w:rsid w:val="00D20CA8"/>
    <w:rsid w:val="00D2154A"/>
    <w:rsid w:val="00D21973"/>
    <w:rsid w:val="00D243AD"/>
    <w:rsid w:val="00D278ED"/>
    <w:rsid w:val="00D40D49"/>
    <w:rsid w:val="00D43099"/>
    <w:rsid w:val="00D43DC2"/>
    <w:rsid w:val="00D43FCF"/>
    <w:rsid w:val="00D463A0"/>
    <w:rsid w:val="00D53081"/>
    <w:rsid w:val="00D54487"/>
    <w:rsid w:val="00D62F31"/>
    <w:rsid w:val="00D65B0B"/>
    <w:rsid w:val="00D65C0C"/>
    <w:rsid w:val="00D6792C"/>
    <w:rsid w:val="00D71449"/>
    <w:rsid w:val="00D726CC"/>
    <w:rsid w:val="00D736EA"/>
    <w:rsid w:val="00D73C5C"/>
    <w:rsid w:val="00D74E71"/>
    <w:rsid w:val="00D75DEE"/>
    <w:rsid w:val="00D80853"/>
    <w:rsid w:val="00D838FF"/>
    <w:rsid w:val="00D8422A"/>
    <w:rsid w:val="00D84549"/>
    <w:rsid w:val="00D85F48"/>
    <w:rsid w:val="00D864E9"/>
    <w:rsid w:val="00D870A4"/>
    <w:rsid w:val="00D9009C"/>
    <w:rsid w:val="00D92259"/>
    <w:rsid w:val="00D92FE8"/>
    <w:rsid w:val="00D9316A"/>
    <w:rsid w:val="00D9428A"/>
    <w:rsid w:val="00D9549B"/>
    <w:rsid w:val="00D95AEF"/>
    <w:rsid w:val="00DA1EE6"/>
    <w:rsid w:val="00DA2AEA"/>
    <w:rsid w:val="00DA6323"/>
    <w:rsid w:val="00DB0178"/>
    <w:rsid w:val="00DB6E48"/>
    <w:rsid w:val="00DC0929"/>
    <w:rsid w:val="00DC1B40"/>
    <w:rsid w:val="00DC7043"/>
    <w:rsid w:val="00DD1335"/>
    <w:rsid w:val="00DD1E78"/>
    <w:rsid w:val="00DD21B6"/>
    <w:rsid w:val="00DD345B"/>
    <w:rsid w:val="00DD68C5"/>
    <w:rsid w:val="00DD79DA"/>
    <w:rsid w:val="00DE00B6"/>
    <w:rsid w:val="00DE1CA1"/>
    <w:rsid w:val="00DE22F1"/>
    <w:rsid w:val="00E00777"/>
    <w:rsid w:val="00E028ED"/>
    <w:rsid w:val="00E1332F"/>
    <w:rsid w:val="00E138C6"/>
    <w:rsid w:val="00E14EFA"/>
    <w:rsid w:val="00E17115"/>
    <w:rsid w:val="00E20635"/>
    <w:rsid w:val="00E22E17"/>
    <w:rsid w:val="00E25147"/>
    <w:rsid w:val="00E26627"/>
    <w:rsid w:val="00E318E9"/>
    <w:rsid w:val="00E31E09"/>
    <w:rsid w:val="00E33810"/>
    <w:rsid w:val="00E338D0"/>
    <w:rsid w:val="00E40190"/>
    <w:rsid w:val="00E441B6"/>
    <w:rsid w:val="00E44667"/>
    <w:rsid w:val="00E4476F"/>
    <w:rsid w:val="00E5004D"/>
    <w:rsid w:val="00E506B3"/>
    <w:rsid w:val="00E50A38"/>
    <w:rsid w:val="00E511AF"/>
    <w:rsid w:val="00E52136"/>
    <w:rsid w:val="00E52150"/>
    <w:rsid w:val="00E526BC"/>
    <w:rsid w:val="00E529D3"/>
    <w:rsid w:val="00E531EE"/>
    <w:rsid w:val="00E53E0B"/>
    <w:rsid w:val="00E55625"/>
    <w:rsid w:val="00E55711"/>
    <w:rsid w:val="00E55DA4"/>
    <w:rsid w:val="00E5638F"/>
    <w:rsid w:val="00E56842"/>
    <w:rsid w:val="00E57443"/>
    <w:rsid w:val="00E611C2"/>
    <w:rsid w:val="00E71F1B"/>
    <w:rsid w:val="00E76287"/>
    <w:rsid w:val="00E767D0"/>
    <w:rsid w:val="00E7727F"/>
    <w:rsid w:val="00E77E57"/>
    <w:rsid w:val="00E86950"/>
    <w:rsid w:val="00E94D3B"/>
    <w:rsid w:val="00E94E8E"/>
    <w:rsid w:val="00E95B10"/>
    <w:rsid w:val="00E97D3B"/>
    <w:rsid w:val="00EA6E8D"/>
    <w:rsid w:val="00EA703E"/>
    <w:rsid w:val="00EB6667"/>
    <w:rsid w:val="00EB7BB6"/>
    <w:rsid w:val="00EC00E9"/>
    <w:rsid w:val="00EC23F0"/>
    <w:rsid w:val="00EC2916"/>
    <w:rsid w:val="00EC4258"/>
    <w:rsid w:val="00EC61CC"/>
    <w:rsid w:val="00EC7F8E"/>
    <w:rsid w:val="00ED0102"/>
    <w:rsid w:val="00ED0EE4"/>
    <w:rsid w:val="00ED1BD0"/>
    <w:rsid w:val="00ED26B5"/>
    <w:rsid w:val="00ED7B9E"/>
    <w:rsid w:val="00EE07AC"/>
    <w:rsid w:val="00EE14C2"/>
    <w:rsid w:val="00EE764D"/>
    <w:rsid w:val="00EF0C4F"/>
    <w:rsid w:val="00EF2BA9"/>
    <w:rsid w:val="00EF38FF"/>
    <w:rsid w:val="00EF62B6"/>
    <w:rsid w:val="00F00B55"/>
    <w:rsid w:val="00F01159"/>
    <w:rsid w:val="00F01D1C"/>
    <w:rsid w:val="00F022DE"/>
    <w:rsid w:val="00F04348"/>
    <w:rsid w:val="00F06EF0"/>
    <w:rsid w:val="00F0735F"/>
    <w:rsid w:val="00F133AD"/>
    <w:rsid w:val="00F13995"/>
    <w:rsid w:val="00F149B8"/>
    <w:rsid w:val="00F17700"/>
    <w:rsid w:val="00F23246"/>
    <w:rsid w:val="00F233C5"/>
    <w:rsid w:val="00F25A07"/>
    <w:rsid w:val="00F274C6"/>
    <w:rsid w:val="00F27CEC"/>
    <w:rsid w:val="00F3201F"/>
    <w:rsid w:val="00F32B9B"/>
    <w:rsid w:val="00F371E9"/>
    <w:rsid w:val="00F40554"/>
    <w:rsid w:val="00F44AB9"/>
    <w:rsid w:val="00F475CB"/>
    <w:rsid w:val="00F50AC1"/>
    <w:rsid w:val="00F51E02"/>
    <w:rsid w:val="00F536ED"/>
    <w:rsid w:val="00F5372C"/>
    <w:rsid w:val="00F54996"/>
    <w:rsid w:val="00F569C4"/>
    <w:rsid w:val="00F60417"/>
    <w:rsid w:val="00F60CA9"/>
    <w:rsid w:val="00F624EA"/>
    <w:rsid w:val="00F6279C"/>
    <w:rsid w:val="00F62D51"/>
    <w:rsid w:val="00F63892"/>
    <w:rsid w:val="00F64E8D"/>
    <w:rsid w:val="00F6504F"/>
    <w:rsid w:val="00F658DE"/>
    <w:rsid w:val="00F65A89"/>
    <w:rsid w:val="00F67448"/>
    <w:rsid w:val="00F6775A"/>
    <w:rsid w:val="00F67C1E"/>
    <w:rsid w:val="00F67D78"/>
    <w:rsid w:val="00F67DD5"/>
    <w:rsid w:val="00F700D7"/>
    <w:rsid w:val="00F74FAE"/>
    <w:rsid w:val="00F758E0"/>
    <w:rsid w:val="00F75DCC"/>
    <w:rsid w:val="00F83C2A"/>
    <w:rsid w:val="00F85268"/>
    <w:rsid w:val="00F90B2A"/>
    <w:rsid w:val="00F937D3"/>
    <w:rsid w:val="00F94401"/>
    <w:rsid w:val="00F95BCD"/>
    <w:rsid w:val="00F97D17"/>
    <w:rsid w:val="00FA3535"/>
    <w:rsid w:val="00FA4E8A"/>
    <w:rsid w:val="00FB04FD"/>
    <w:rsid w:val="00FB0677"/>
    <w:rsid w:val="00FB1B8C"/>
    <w:rsid w:val="00FB23E7"/>
    <w:rsid w:val="00FB29A7"/>
    <w:rsid w:val="00FB4219"/>
    <w:rsid w:val="00FB5135"/>
    <w:rsid w:val="00FB6EE2"/>
    <w:rsid w:val="00FB7CC6"/>
    <w:rsid w:val="00FC002F"/>
    <w:rsid w:val="00FC077F"/>
    <w:rsid w:val="00FC3BAE"/>
    <w:rsid w:val="00FC7076"/>
    <w:rsid w:val="00FC7EDC"/>
    <w:rsid w:val="00FD448E"/>
    <w:rsid w:val="00FE0A62"/>
    <w:rsid w:val="00FE564B"/>
    <w:rsid w:val="00FE5913"/>
    <w:rsid w:val="00FE5AB2"/>
    <w:rsid w:val="00FE6D53"/>
    <w:rsid w:val="00FE6FB8"/>
    <w:rsid w:val="00FF0080"/>
    <w:rsid w:val="00FF0ADB"/>
    <w:rsid w:val="00FF2654"/>
    <w:rsid w:val="00FF3EEA"/>
    <w:rsid w:val="00FF4B1F"/>
    <w:rsid w:val="00FF60B8"/>
    <w:rsid w:val="00FF6E27"/>
    <w:rsid w:val="00FF76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491F4"/>
  <w15:docId w15:val="{9F734C24-9957-4F78-885D-B6A865DB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6A54"/>
  </w:style>
  <w:style w:type="paragraph" w:styleId="Nagwek1">
    <w:name w:val="heading 1"/>
    <w:basedOn w:val="Normalny"/>
    <w:next w:val="Normalny"/>
    <w:link w:val="Nagwek1Znak"/>
    <w:uiPriority w:val="9"/>
    <w:qFormat/>
    <w:rsid w:val="008E3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E38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08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38C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E38C5"/>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350845"/>
    <w:pPr>
      <w:ind w:left="720"/>
      <w:contextualSpacing/>
    </w:pPr>
  </w:style>
  <w:style w:type="character" w:styleId="Hipercze">
    <w:name w:val="Hyperlink"/>
    <w:uiPriority w:val="99"/>
    <w:rsid w:val="00350845"/>
    <w:rPr>
      <w:rFonts w:cs="Times New Roman"/>
      <w:color w:val="0000FF"/>
      <w:u w:val="single"/>
    </w:rPr>
  </w:style>
  <w:style w:type="character" w:customStyle="1" w:styleId="Nagwek3Znak">
    <w:name w:val="Nagłówek 3 Znak"/>
    <w:basedOn w:val="Domylnaczcionkaakapitu"/>
    <w:link w:val="Nagwek3"/>
    <w:uiPriority w:val="9"/>
    <w:semiHidden/>
    <w:rsid w:val="00350845"/>
    <w:rPr>
      <w:rFonts w:asciiTheme="majorHAnsi" w:eastAsiaTheme="majorEastAsia" w:hAnsiTheme="majorHAnsi" w:cstheme="majorBidi"/>
      <w:b/>
      <w:bCs/>
      <w:color w:val="4F81BD" w:themeColor="accent1"/>
    </w:rPr>
  </w:style>
  <w:style w:type="paragraph" w:customStyle="1" w:styleId="2poziomELO">
    <w:name w:val="2_poziom_ELO"/>
    <w:basedOn w:val="Normalny"/>
    <w:rsid w:val="001202B8"/>
    <w:pPr>
      <w:numPr>
        <w:numId w:val="1"/>
      </w:numPr>
    </w:pPr>
  </w:style>
  <w:style w:type="paragraph" w:customStyle="1" w:styleId="3poziomELO">
    <w:name w:val="3_poziom_ELO"/>
    <w:basedOn w:val="Normalny"/>
    <w:rsid w:val="001202B8"/>
    <w:pPr>
      <w:numPr>
        <w:ilvl w:val="1"/>
        <w:numId w:val="1"/>
      </w:numPr>
    </w:pPr>
  </w:style>
  <w:style w:type="character" w:customStyle="1" w:styleId="B">
    <w:name w:val="B"/>
    <w:rsid w:val="009A07C2"/>
    <w:rPr>
      <w:b/>
    </w:rPr>
  </w:style>
  <w:style w:type="paragraph" w:customStyle="1" w:styleId="Akapitzlist1">
    <w:name w:val="Akapit z listą1"/>
    <w:basedOn w:val="Normalny"/>
    <w:rsid w:val="009A07C2"/>
    <w:pPr>
      <w:suppressAutoHyphens/>
      <w:ind w:left="720"/>
    </w:pPr>
    <w:rPr>
      <w:rFonts w:ascii="Calibri" w:eastAsia="Times New Roman" w:hAnsi="Calibri" w:cs="Calibri"/>
      <w:lang w:eastAsia="ar-SA"/>
    </w:rPr>
  </w:style>
  <w:style w:type="paragraph" w:styleId="Tekstpodstawowy">
    <w:name w:val="Body Text"/>
    <w:basedOn w:val="Normalny"/>
    <w:link w:val="TekstpodstawowyZnak"/>
    <w:uiPriority w:val="99"/>
    <w:semiHidden/>
    <w:unhideWhenUsed/>
    <w:rsid w:val="003A3BC0"/>
    <w:pPr>
      <w:spacing w:after="120" w:line="259" w:lineRule="auto"/>
    </w:pPr>
  </w:style>
  <w:style w:type="character" w:customStyle="1" w:styleId="TekstpodstawowyZnak">
    <w:name w:val="Tekst podstawowy Znak"/>
    <w:basedOn w:val="Domylnaczcionkaakapitu"/>
    <w:link w:val="Tekstpodstawowy"/>
    <w:uiPriority w:val="99"/>
    <w:semiHidden/>
    <w:rsid w:val="003A3BC0"/>
  </w:style>
  <w:style w:type="table" w:styleId="Tabela-Siatka">
    <w:name w:val="Table Grid"/>
    <w:basedOn w:val="Standardowy"/>
    <w:uiPriority w:val="59"/>
    <w:rsid w:val="0078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2D2C3B"/>
    <w:pPr>
      <w:spacing w:after="120"/>
    </w:pPr>
    <w:rPr>
      <w:sz w:val="16"/>
      <w:szCs w:val="16"/>
    </w:rPr>
  </w:style>
  <w:style w:type="character" w:customStyle="1" w:styleId="Tekstpodstawowy3Znak">
    <w:name w:val="Tekst podstawowy 3 Znak"/>
    <w:basedOn w:val="Domylnaczcionkaakapitu"/>
    <w:link w:val="Tekstpodstawowy3"/>
    <w:uiPriority w:val="99"/>
    <w:semiHidden/>
    <w:rsid w:val="002D2C3B"/>
    <w:rPr>
      <w:sz w:val="16"/>
      <w:szCs w:val="16"/>
    </w:rPr>
  </w:style>
  <w:style w:type="paragraph" w:styleId="Legenda">
    <w:name w:val="caption"/>
    <w:basedOn w:val="Normalny"/>
    <w:next w:val="Normalny"/>
    <w:uiPriority w:val="35"/>
    <w:unhideWhenUsed/>
    <w:qFormat/>
    <w:rsid w:val="001F5BEA"/>
    <w:pPr>
      <w:spacing w:line="240" w:lineRule="auto"/>
    </w:pPr>
    <w:rPr>
      <w:b/>
      <w:bCs/>
      <w:color w:val="4F81BD" w:themeColor="accent1"/>
      <w:sz w:val="18"/>
      <w:szCs w:val="18"/>
    </w:rPr>
  </w:style>
  <w:style w:type="character" w:customStyle="1" w:styleId="WW8Num1z2">
    <w:name w:val="WW8Num1z2"/>
    <w:rsid w:val="000F4011"/>
    <w:rPr>
      <w:rFonts w:ascii="Symbol" w:hAnsi="Symbol" w:cs="Symbol"/>
      <w:b w:val="0"/>
      <w:sz w:val="18"/>
    </w:rPr>
  </w:style>
  <w:style w:type="paragraph" w:styleId="Tekstpodstawowywcity">
    <w:name w:val="Body Text Indent"/>
    <w:basedOn w:val="Normalny"/>
    <w:link w:val="TekstpodstawowywcityZnak"/>
    <w:uiPriority w:val="99"/>
    <w:semiHidden/>
    <w:unhideWhenUsed/>
    <w:rsid w:val="00D84549"/>
    <w:pPr>
      <w:spacing w:after="120"/>
      <w:ind w:left="283"/>
    </w:pPr>
  </w:style>
  <w:style w:type="character" w:customStyle="1" w:styleId="TekstpodstawowywcityZnak">
    <w:name w:val="Tekst podstawowy wcięty Znak"/>
    <w:basedOn w:val="Domylnaczcionkaakapitu"/>
    <w:link w:val="Tekstpodstawowywcity"/>
    <w:uiPriority w:val="99"/>
    <w:semiHidden/>
    <w:rsid w:val="00D84549"/>
  </w:style>
  <w:style w:type="paragraph" w:customStyle="1" w:styleId="Tekstpodstawowy22">
    <w:name w:val="Tekst podstawowy 22"/>
    <w:basedOn w:val="Normalny"/>
    <w:rsid w:val="00D84549"/>
    <w:pPr>
      <w:suppressAutoHyphens/>
      <w:spacing w:after="0" w:line="100" w:lineRule="atLeast"/>
    </w:pPr>
    <w:rPr>
      <w:rFonts w:ascii="Times New Roman" w:eastAsia="Calibri" w:hAnsi="Times New Roman" w:cs="Times New Roman"/>
      <w:sz w:val="16"/>
      <w:szCs w:val="16"/>
      <w:lang w:eastAsia="ar-SA"/>
    </w:rPr>
  </w:style>
  <w:style w:type="character" w:styleId="Odwoaniedokomentarza">
    <w:name w:val="annotation reference"/>
    <w:uiPriority w:val="99"/>
    <w:semiHidden/>
    <w:unhideWhenUsed/>
    <w:rsid w:val="00D84549"/>
    <w:rPr>
      <w:sz w:val="16"/>
      <w:szCs w:val="16"/>
    </w:rPr>
  </w:style>
  <w:style w:type="paragraph" w:styleId="Tekstkomentarza">
    <w:name w:val="annotation text"/>
    <w:basedOn w:val="Normalny"/>
    <w:link w:val="TekstkomentarzaZnak1"/>
    <w:uiPriority w:val="99"/>
    <w:semiHidden/>
    <w:unhideWhenUsed/>
    <w:rsid w:val="00D84549"/>
    <w:pPr>
      <w:suppressAutoHyphens/>
    </w:pPr>
    <w:rPr>
      <w:rFonts w:ascii="Calibri" w:eastAsia="Times New Roman" w:hAnsi="Calibri" w:cs="Calibri"/>
      <w:sz w:val="20"/>
      <w:szCs w:val="20"/>
      <w:lang w:eastAsia="ar-SA"/>
    </w:rPr>
  </w:style>
  <w:style w:type="character" w:customStyle="1" w:styleId="TekstkomentarzaZnak">
    <w:name w:val="Tekst komentarza Znak"/>
    <w:basedOn w:val="Domylnaczcionkaakapitu"/>
    <w:uiPriority w:val="99"/>
    <w:semiHidden/>
    <w:rsid w:val="00D84549"/>
    <w:rPr>
      <w:sz w:val="20"/>
      <w:szCs w:val="20"/>
    </w:rPr>
  </w:style>
  <w:style w:type="character" w:customStyle="1" w:styleId="TekstkomentarzaZnak1">
    <w:name w:val="Tekst komentarza Znak1"/>
    <w:link w:val="Tekstkomentarza"/>
    <w:uiPriority w:val="99"/>
    <w:semiHidden/>
    <w:rsid w:val="00D84549"/>
    <w:rPr>
      <w:rFonts w:ascii="Calibri" w:eastAsia="Times New Roman" w:hAnsi="Calibri" w:cs="Calibri"/>
      <w:sz w:val="20"/>
      <w:szCs w:val="20"/>
      <w:lang w:eastAsia="ar-SA"/>
    </w:rPr>
  </w:style>
  <w:style w:type="paragraph" w:styleId="Tekstdymka">
    <w:name w:val="Balloon Text"/>
    <w:basedOn w:val="Normalny"/>
    <w:link w:val="TekstdymkaZnak"/>
    <w:uiPriority w:val="99"/>
    <w:semiHidden/>
    <w:unhideWhenUsed/>
    <w:rsid w:val="00D845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549"/>
    <w:rPr>
      <w:rFonts w:ascii="Tahoma" w:hAnsi="Tahoma" w:cs="Tahoma"/>
      <w:sz w:val="16"/>
      <w:szCs w:val="16"/>
    </w:rPr>
  </w:style>
  <w:style w:type="paragraph" w:customStyle="1" w:styleId="EIB01">
    <w:name w:val="EIB_01"/>
    <w:basedOn w:val="Nagwek1"/>
    <w:rsid w:val="00B207A4"/>
    <w:pPr>
      <w:keepLines w:val="0"/>
      <w:spacing w:before="240" w:after="60" w:line="240" w:lineRule="auto"/>
      <w:jc w:val="both"/>
    </w:pPr>
    <w:rPr>
      <w:rFonts w:ascii="Verdana" w:eastAsia="Times New Roman" w:hAnsi="Verdana" w:cs="Times New Roman"/>
      <w:bCs w:val="0"/>
      <w:smallCaps/>
      <w:color w:val="000080"/>
      <w:kern w:val="28"/>
      <w:sz w:val="20"/>
      <w:szCs w:val="20"/>
      <w:lang w:eastAsia="pl-PL"/>
    </w:rPr>
  </w:style>
  <w:style w:type="paragraph" w:customStyle="1" w:styleId="remtrak">
    <w:name w:val="remtrak"/>
    <w:basedOn w:val="Normalny"/>
    <w:rsid w:val="00B207A4"/>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A8766D"/>
    <w:pPr>
      <w:spacing w:after="120" w:line="480" w:lineRule="auto"/>
    </w:pPr>
  </w:style>
  <w:style w:type="character" w:customStyle="1" w:styleId="Tekstpodstawowy2Znak">
    <w:name w:val="Tekst podstawowy 2 Znak"/>
    <w:basedOn w:val="Domylnaczcionkaakapitu"/>
    <w:link w:val="Tekstpodstawowy2"/>
    <w:uiPriority w:val="99"/>
    <w:semiHidden/>
    <w:rsid w:val="00A8766D"/>
  </w:style>
  <w:style w:type="paragraph" w:customStyle="1" w:styleId="Maciejo">
    <w:name w:val="Maciejo"/>
    <w:basedOn w:val="Normalny"/>
    <w:rsid w:val="00A8766D"/>
    <w:pPr>
      <w:spacing w:after="0" w:line="360" w:lineRule="auto"/>
    </w:pPr>
    <w:rPr>
      <w:rFonts w:ascii="Bookman Old Style" w:eastAsia="Times New Roman" w:hAnsi="Bookman Old Style" w:cs="Times New Roman"/>
      <w:szCs w:val="24"/>
      <w:lang w:eastAsia="pl-PL"/>
    </w:rPr>
  </w:style>
  <w:style w:type="paragraph" w:customStyle="1" w:styleId="Tekstpodstawowy31">
    <w:name w:val="Tekst podstawowy 31"/>
    <w:basedOn w:val="Normalny"/>
    <w:rsid w:val="00BB3A56"/>
    <w:pPr>
      <w:spacing w:after="0" w:line="240" w:lineRule="auto"/>
      <w:jc w:val="both"/>
    </w:pPr>
    <w:rPr>
      <w:rFonts w:ascii="Arial Narrow" w:eastAsia="Times New Roman" w:hAnsi="Arial Narrow" w:cs="Times New Roman"/>
      <w:b/>
      <w:color w:val="000000"/>
      <w:sz w:val="24"/>
      <w:szCs w:val="20"/>
      <w:lang w:eastAsia="pl-PL"/>
    </w:rPr>
  </w:style>
  <w:style w:type="paragraph" w:styleId="Nagwek">
    <w:name w:val="header"/>
    <w:basedOn w:val="Normalny"/>
    <w:link w:val="NagwekZnak"/>
    <w:uiPriority w:val="99"/>
    <w:unhideWhenUsed/>
    <w:rsid w:val="00AA01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192"/>
  </w:style>
  <w:style w:type="paragraph" w:styleId="Stopka">
    <w:name w:val="footer"/>
    <w:basedOn w:val="Normalny"/>
    <w:link w:val="StopkaZnak"/>
    <w:uiPriority w:val="99"/>
    <w:unhideWhenUsed/>
    <w:rsid w:val="00AA01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192"/>
  </w:style>
  <w:style w:type="paragraph" w:customStyle="1" w:styleId="LucaCash">
    <w:name w:val="Luca&amp;Cash"/>
    <w:basedOn w:val="Normalny"/>
    <w:rsid w:val="0086433F"/>
    <w:pPr>
      <w:spacing w:after="0" w:line="360" w:lineRule="auto"/>
    </w:pPr>
    <w:rPr>
      <w:rFonts w:ascii="Arial Narrow" w:eastAsia="Times New Roman" w:hAnsi="Arial Narrow" w:cs="Times New Roman"/>
      <w:sz w:val="24"/>
      <w:szCs w:val="20"/>
      <w:lang w:eastAsia="pl-PL"/>
    </w:rPr>
  </w:style>
  <w:style w:type="paragraph" w:customStyle="1" w:styleId="Style3">
    <w:name w:val="Style3"/>
    <w:basedOn w:val="Normalny"/>
    <w:uiPriority w:val="99"/>
    <w:rsid w:val="005F7E6A"/>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4">
    <w:name w:val="Style4"/>
    <w:basedOn w:val="Normalny"/>
    <w:uiPriority w:val="99"/>
    <w:rsid w:val="005F7E6A"/>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
    <w:name w:val="Style5"/>
    <w:basedOn w:val="Normalny"/>
    <w:uiPriority w:val="99"/>
    <w:rsid w:val="005F7E6A"/>
    <w:pPr>
      <w:widowControl w:val="0"/>
      <w:autoSpaceDE w:val="0"/>
      <w:autoSpaceDN w:val="0"/>
      <w:adjustRightInd w:val="0"/>
      <w:spacing w:after="0" w:line="235" w:lineRule="exact"/>
    </w:pPr>
    <w:rPr>
      <w:rFonts w:ascii="Times New Roman" w:eastAsiaTheme="minorEastAsia" w:hAnsi="Times New Roman" w:cs="Times New Roman"/>
      <w:sz w:val="24"/>
      <w:szCs w:val="24"/>
      <w:lang w:eastAsia="pl-PL"/>
    </w:rPr>
  </w:style>
  <w:style w:type="paragraph" w:customStyle="1" w:styleId="Style6">
    <w:name w:val="Style6"/>
    <w:basedOn w:val="Normalny"/>
    <w:uiPriority w:val="99"/>
    <w:rsid w:val="005F7E6A"/>
    <w:pPr>
      <w:widowControl w:val="0"/>
      <w:autoSpaceDE w:val="0"/>
      <w:autoSpaceDN w:val="0"/>
      <w:adjustRightInd w:val="0"/>
      <w:spacing w:after="0" w:line="235" w:lineRule="exact"/>
      <w:jc w:val="center"/>
    </w:pPr>
    <w:rPr>
      <w:rFonts w:ascii="Times New Roman" w:eastAsiaTheme="minorEastAsia" w:hAnsi="Times New Roman" w:cs="Times New Roman"/>
      <w:sz w:val="24"/>
      <w:szCs w:val="24"/>
      <w:lang w:eastAsia="pl-PL"/>
    </w:rPr>
  </w:style>
  <w:style w:type="character" w:customStyle="1" w:styleId="FontStyle15">
    <w:name w:val="Font Style15"/>
    <w:basedOn w:val="Domylnaczcionkaakapitu"/>
    <w:uiPriority w:val="99"/>
    <w:rsid w:val="005F7E6A"/>
    <w:rPr>
      <w:rFonts w:ascii="Calibri" w:hAnsi="Calibri" w:cs="Calibri"/>
      <w:b/>
      <w:bCs/>
      <w:sz w:val="18"/>
      <w:szCs w:val="18"/>
    </w:rPr>
  </w:style>
  <w:style w:type="character" w:customStyle="1" w:styleId="FontStyle16">
    <w:name w:val="Font Style16"/>
    <w:basedOn w:val="Domylnaczcionkaakapitu"/>
    <w:uiPriority w:val="99"/>
    <w:rsid w:val="005F7E6A"/>
    <w:rPr>
      <w:rFonts w:ascii="Calibri" w:hAnsi="Calibri" w:cs="Calibri"/>
      <w:sz w:val="18"/>
      <w:szCs w:val="18"/>
    </w:rPr>
  </w:style>
  <w:style w:type="paragraph" w:customStyle="1" w:styleId="Style9">
    <w:name w:val="Style9"/>
    <w:basedOn w:val="Normalny"/>
    <w:uiPriority w:val="99"/>
    <w:rsid w:val="00D870A4"/>
    <w:pPr>
      <w:widowControl w:val="0"/>
      <w:autoSpaceDE w:val="0"/>
      <w:autoSpaceDN w:val="0"/>
      <w:adjustRightInd w:val="0"/>
      <w:spacing w:after="0" w:line="312" w:lineRule="exact"/>
      <w:ind w:hanging="355"/>
    </w:pPr>
    <w:rPr>
      <w:rFonts w:ascii="Times New Roman" w:eastAsiaTheme="minorEastAsia" w:hAnsi="Times New Roman" w:cs="Times New Roman"/>
      <w:sz w:val="24"/>
      <w:szCs w:val="24"/>
      <w:lang w:eastAsia="pl-PL"/>
    </w:rPr>
  </w:style>
  <w:style w:type="character" w:customStyle="1" w:styleId="FontStyle17">
    <w:name w:val="Font Style17"/>
    <w:basedOn w:val="Domylnaczcionkaakapitu"/>
    <w:uiPriority w:val="99"/>
    <w:rsid w:val="00D870A4"/>
    <w:rPr>
      <w:rFonts w:ascii="Calibri" w:hAnsi="Calibri" w:cs="Calibri"/>
      <w:sz w:val="22"/>
      <w:szCs w:val="22"/>
    </w:rPr>
  </w:style>
  <w:style w:type="paragraph" w:customStyle="1" w:styleId="Style7">
    <w:name w:val="Style7"/>
    <w:basedOn w:val="Normalny"/>
    <w:uiPriority w:val="99"/>
    <w:rsid w:val="00352BE2"/>
    <w:pPr>
      <w:widowControl w:val="0"/>
      <w:autoSpaceDE w:val="0"/>
      <w:autoSpaceDN w:val="0"/>
      <w:adjustRightInd w:val="0"/>
      <w:spacing w:after="0" w:line="235" w:lineRule="exact"/>
      <w:ind w:firstLine="221"/>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352BE2"/>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4">
    <w:name w:val="Font Style14"/>
    <w:basedOn w:val="Domylnaczcionkaakapitu"/>
    <w:uiPriority w:val="99"/>
    <w:rsid w:val="00352BE2"/>
    <w:rPr>
      <w:rFonts w:ascii="Calibri" w:hAnsi="Calibri" w:cs="Calibri"/>
      <w:sz w:val="12"/>
      <w:szCs w:val="12"/>
    </w:rPr>
  </w:style>
  <w:style w:type="paragraph" w:customStyle="1" w:styleId="Tekstpodstawowy32">
    <w:name w:val="Tekst podstawowy 32"/>
    <w:basedOn w:val="Normalny"/>
    <w:rsid w:val="00E20635"/>
    <w:pPr>
      <w:widowControl w:val="0"/>
      <w:pBdr>
        <w:top w:val="single" w:sz="6" w:space="1" w:color="auto" w:shadow="1"/>
        <w:left w:val="single" w:sz="6" w:space="4" w:color="auto" w:shadow="1"/>
        <w:bottom w:val="single" w:sz="6" w:space="1" w:color="auto" w:shadow="1"/>
        <w:right w:val="single" w:sz="6" w:space="4" w:color="auto" w:shadow="1"/>
      </w:pBdr>
      <w:spacing w:after="0" w:line="240" w:lineRule="auto"/>
      <w:jc w:val="center"/>
    </w:pPr>
    <w:rPr>
      <w:rFonts w:ascii="Times New Roman" w:eastAsia="Times New Roman" w:hAnsi="Times New Roman" w:cs="Times New Roman"/>
      <w:sz w:val="46"/>
      <w:szCs w:val="20"/>
      <w:lang w:eastAsia="pl-PL"/>
    </w:rPr>
  </w:style>
  <w:style w:type="paragraph" w:styleId="Nagwekspisutreci">
    <w:name w:val="TOC Heading"/>
    <w:basedOn w:val="Nagwek1"/>
    <w:next w:val="Normalny"/>
    <w:uiPriority w:val="39"/>
    <w:unhideWhenUsed/>
    <w:qFormat/>
    <w:rsid w:val="00170B04"/>
    <w:pPr>
      <w:spacing w:before="240" w:line="259" w:lineRule="auto"/>
      <w:outlineLvl w:val="9"/>
    </w:pPr>
    <w:rPr>
      <w:b w:val="0"/>
      <w:bCs w:val="0"/>
      <w:sz w:val="32"/>
      <w:szCs w:val="32"/>
      <w:lang w:eastAsia="pl-PL"/>
    </w:rPr>
  </w:style>
  <w:style w:type="paragraph" w:styleId="Spistreci1">
    <w:name w:val="toc 1"/>
    <w:basedOn w:val="Normalny"/>
    <w:next w:val="Normalny"/>
    <w:autoRedefine/>
    <w:uiPriority w:val="39"/>
    <w:unhideWhenUsed/>
    <w:rsid w:val="00170B04"/>
    <w:pPr>
      <w:spacing w:after="100"/>
    </w:pPr>
  </w:style>
  <w:style w:type="paragraph" w:styleId="Spistreci2">
    <w:name w:val="toc 2"/>
    <w:basedOn w:val="Normalny"/>
    <w:next w:val="Normalny"/>
    <w:autoRedefine/>
    <w:uiPriority w:val="39"/>
    <w:unhideWhenUsed/>
    <w:rsid w:val="00170B04"/>
    <w:pPr>
      <w:spacing w:after="100"/>
      <w:ind w:left="220"/>
    </w:pPr>
  </w:style>
  <w:style w:type="paragraph" w:styleId="Spistreci3">
    <w:name w:val="toc 3"/>
    <w:basedOn w:val="Normalny"/>
    <w:next w:val="Normalny"/>
    <w:autoRedefine/>
    <w:uiPriority w:val="39"/>
    <w:unhideWhenUsed/>
    <w:rsid w:val="00170B04"/>
    <w:pPr>
      <w:spacing w:after="100"/>
      <w:ind w:left="440"/>
    </w:pPr>
  </w:style>
  <w:style w:type="paragraph" w:styleId="Spistreci4">
    <w:name w:val="toc 4"/>
    <w:basedOn w:val="Normalny"/>
    <w:next w:val="Normalny"/>
    <w:autoRedefine/>
    <w:uiPriority w:val="39"/>
    <w:unhideWhenUsed/>
    <w:rsid w:val="00170B04"/>
    <w:pPr>
      <w:spacing w:after="100" w:line="259" w:lineRule="auto"/>
      <w:ind w:left="660"/>
    </w:pPr>
    <w:rPr>
      <w:rFonts w:eastAsiaTheme="minorEastAsia"/>
      <w:kern w:val="2"/>
      <w:lang w:eastAsia="pl-PL"/>
      <w14:ligatures w14:val="standardContextual"/>
    </w:rPr>
  </w:style>
  <w:style w:type="paragraph" w:styleId="Spistreci5">
    <w:name w:val="toc 5"/>
    <w:basedOn w:val="Normalny"/>
    <w:next w:val="Normalny"/>
    <w:autoRedefine/>
    <w:uiPriority w:val="39"/>
    <w:unhideWhenUsed/>
    <w:rsid w:val="00170B04"/>
    <w:pPr>
      <w:spacing w:after="100" w:line="259" w:lineRule="auto"/>
      <w:ind w:left="880"/>
    </w:pPr>
    <w:rPr>
      <w:rFonts w:eastAsiaTheme="minorEastAsia"/>
      <w:kern w:val="2"/>
      <w:lang w:eastAsia="pl-PL"/>
      <w14:ligatures w14:val="standardContextual"/>
    </w:rPr>
  </w:style>
  <w:style w:type="paragraph" w:styleId="Spistreci6">
    <w:name w:val="toc 6"/>
    <w:basedOn w:val="Normalny"/>
    <w:next w:val="Normalny"/>
    <w:autoRedefine/>
    <w:uiPriority w:val="39"/>
    <w:unhideWhenUsed/>
    <w:rsid w:val="00170B04"/>
    <w:pPr>
      <w:spacing w:after="100" w:line="259" w:lineRule="auto"/>
      <w:ind w:left="1100"/>
    </w:pPr>
    <w:rPr>
      <w:rFonts w:eastAsiaTheme="minorEastAsia"/>
      <w:kern w:val="2"/>
      <w:lang w:eastAsia="pl-PL"/>
      <w14:ligatures w14:val="standardContextual"/>
    </w:rPr>
  </w:style>
  <w:style w:type="paragraph" w:styleId="Spistreci7">
    <w:name w:val="toc 7"/>
    <w:basedOn w:val="Normalny"/>
    <w:next w:val="Normalny"/>
    <w:autoRedefine/>
    <w:uiPriority w:val="39"/>
    <w:unhideWhenUsed/>
    <w:rsid w:val="00170B04"/>
    <w:pPr>
      <w:spacing w:after="100" w:line="259" w:lineRule="auto"/>
      <w:ind w:left="1320"/>
    </w:pPr>
    <w:rPr>
      <w:rFonts w:eastAsiaTheme="minorEastAsia"/>
      <w:kern w:val="2"/>
      <w:lang w:eastAsia="pl-PL"/>
      <w14:ligatures w14:val="standardContextual"/>
    </w:rPr>
  </w:style>
  <w:style w:type="paragraph" w:styleId="Spistreci8">
    <w:name w:val="toc 8"/>
    <w:basedOn w:val="Normalny"/>
    <w:next w:val="Normalny"/>
    <w:autoRedefine/>
    <w:uiPriority w:val="39"/>
    <w:unhideWhenUsed/>
    <w:rsid w:val="00170B04"/>
    <w:pPr>
      <w:spacing w:after="100" w:line="259" w:lineRule="auto"/>
      <w:ind w:left="1540"/>
    </w:pPr>
    <w:rPr>
      <w:rFonts w:eastAsiaTheme="minorEastAsia"/>
      <w:kern w:val="2"/>
      <w:lang w:eastAsia="pl-PL"/>
      <w14:ligatures w14:val="standardContextual"/>
    </w:rPr>
  </w:style>
  <w:style w:type="paragraph" w:styleId="Spistreci9">
    <w:name w:val="toc 9"/>
    <w:basedOn w:val="Normalny"/>
    <w:next w:val="Normalny"/>
    <w:autoRedefine/>
    <w:uiPriority w:val="39"/>
    <w:unhideWhenUsed/>
    <w:rsid w:val="00170B04"/>
    <w:pPr>
      <w:spacing w:after="100" w:line="259" w:lineRule="auto"/>
      <w:ind w:left="1760"/>
    </w:pPr>
    <w:rPr>
      <w:rFonts w:eastAsiaTheme="minorEastAsia"/>
      <w:kern w:val="2"/>
      <w:lang w:eastAsia="pl-PL"/>
      <w14:ligatures w14:val="standardContextual"/>
    </w:rPr>
  </w:style>
  <w:style w:type="character" w:styleId="Nierozpoznanawzmianka">
    <w:name w:val="Unresolved Mention"/>
    <w:basedOn w:val="Domylnaczcionkaakapitu"/>
    <w:uiPriority w:val="99"/>
    <w:semiHidden/>
    <w:unhideWhenUsed/>
    <w:rsid w:val="00170B04"/>
    <w:rPr>
      <w:color w:val="605E5C"/>
      <w:shd w:val="clear" w:color="auto" w:fill="E1DFDD"/>
    </w:rPr>
  </w:style>
  <w:style w:type="paragraph" w:customStyle="1" w:styleId="Default">
    <w:name w:val="Default"/>
    <w:rsid w:val="00425842"/>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semiHidden/>
    <w:rsid w:val="004E6E74"/>
    <w:pPr>
      <w:spacing w:before="100" w:after="10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047">
      <w:bodyDiv w:val="1"/>
      <w:marLeft w:val="0"/>
      <w:marRight w:val="0"/>
      <w:marTop w:val="0"/>
      <w:marBottom w:val="0"/>
      <w:divBdr>
        <w:top w:val="none" w:sz="0" w:space="0" w:color="auto"/>
        <w:left w:val="none" w:sz="0" w:space="0" w:color="auto"/>
        <w:bottom w:val="none" w:sz="0" w:space="0" w:color="auto"/>
        <w:right w:val="none" w:sz="0" w:space="0" w:color="auto"/>
      </w:divBdr>
    </w:div>
    <w:div w:id="78059734">
      <w:bodyDiv w:val="1"/>
      <w:marLeft w:val="0"/>
      <w:marRight w:val="0"/>
      <w:marTop w:val="0"/>
      <w:marBottom w:val="0"/>
      <w:divBdr>
        <w:top w:val="none" w:sz="0" w:space="0" w:color="auto"/>
        <w:left w:val="none" w:sz="0" w:space="0" w:color="auto"/>
        <w:bottom w:val="none" w:sz="0" w:space="0" w:color="auto"/>
        <w:right w:val="none" w:sz="0" w:space="0" w:color="auto"/>
      </w:divBdr>
    </w:div>
    <w:div w:id="210774892">
      <w:bodyDiv w:val="1"/>
      <w:marLeft w:val="0"/>
      <w:marRight w:val="0"/>
      <w:marTop w:val="0"/>
      <w:marBottom w:val="0"/>
      <w:divBdr>
        <w:top w:val="none" w:sz="0" w:space="0" w:color="auto"/>
        <w:left w:val="none" w:sz="0" w:space="0" w:color="auto"/>
        <w:bottom w:val="none" w:sz="0" w:space="0" w:color="auto"/>
        <w:right w:val="none" w:sz="0" w:space="0" w:color="auto"/>
      </w:divBdr>
    </w:div>
    <w:div w:id="257491183">
      <w:bodyDiv w:val="1"/>
      <w:marLeft w:val="0"/>
      <w:marRight w:val="0"/>
      <w:marTop w:val="0"/>
      <w:marBottom w:val="0"/>
      <w:divBdr>
        <w:top w:val="none" w:sz="0" w:space="0" w:color="auto"/>
        <w:left w:val="none" w:sz="0" w:space="0" w:color="auto"/>
        <w:bottom w:val="none" w:sz="0" w:space="0" w:color="auto"/>
        <w:right w:val="none" w:sz="0" w:space="0" w:color="auto"/>
      </w:divBdr>
    </w:div>
    <w:div w:id="353458007">
      <w:bodyDiv w:val="1"/>
      <w:marLeft w:val="0"/>
      <w:marRight w:val="0"/>
      <w:marTop w:val="0"/>
      <w:marBottom w:val="0"/>
      <w:divBdr>
        <w:top w:val="none" w:sz="0" w:space="0" w:color="auto"/>
        <w:left w:val="none" w:sz="0" w:space="0" w:color="auto"/>
        <w:bottom w:val="none" w:sz="0" w:space="0" w:color="auto"/>
        <w:right w:val="none" w:sz="0" w:space="0" w:color="auto"/>
      </w:divBdr>
    </w:div>
    <w:div w:id="631902793">
      <w:bodyDiv w:val="1"/>
      <w:marLeft w:val="0"/>
      <w:marRight w:val="0"/>
      <w:marTop w:val="0"/>
      <w:marBottom w:val="0"/>
      <w:divBdr>
        <w:top w:val="none" w:sz="0" w:space="0" w:color="auto"/>
        <w:left w:val="none" w:sz="0" w:space="0" w:color="auto"/>
        <w:bottom w:val="none" w:sz="0" w:space="0" w:color="auto"/>
        <w:right w:val="none" w:sz="0" w:space="0" w:color="auto"/>
      </w:divBdr>
    </w:div>
    <w:div w:id="670908878">
      <w:bodyDiv w:val="1"/>
      <w:marLeft w:val="0"/>
      <w:marRight w:val="0"/>
      <w:marTop w:val="0"/>
      <w:marBottom w:val="0"/>
      <w:divBdr>
        <w:top w:val="none" w:sz="0" w:space="0" w:color="auto"/>
        <w:left w:val="none" w:sz="0" w:space="0" w:color="auto"/>
        <w:bottom w:val="none" w:sz="0" w:space="0" w:color="auto"/>
        <w:right w:val="none" w:sz="0" w:space="0" w:color="auto"/>
      </w:divBdr>
    </w:div>
    <w:div w:id="887186017">
      <w:bodyDiv w:val="1"/>
      <w:marLeft w:val="0"/>
      <w:marRight w:val="0"/>
      <w:marTop w:val="0"/>
      <w:marBottom w:val="0"/>
      <w:divBdr>
        <w:top w:val="none" w:sz="0" w:space="0" w:color="auto"/>
        <w:left w:val="none" w:sz="0" w:space="0" w:color="auto"/>
        <w:bottom w:val="none" w:sz="0" w:space="0" w:color="auto"/>
        <w:right w:val="none" w:sz="0" w:space="0" w:color="auto"/>
      </w:divBdr>
    </w:div>
    <w:div w:id="944338952">
      <w:bodyDiv w:val="1"/>
      <w:marLeft w:val="0"/>
      <w:marRight w:val="0"/>
      <w:marTop w:val="0"/>
      <w:marBottom w:val="0"/>
      <w:divBdr>
        <w:top w:val="none" w:sz="0" w:space="0" w:color="auto"/>
        <w:left w:val="none" w:sz="0" w:space="0" w:color="auto"/>
        <w:bottom w:val="none" w:sz="0" w:space="0" w:color="auto"/>
        <w:right w:val="none" w:sz="0" w:space="0" w:color="auto"/>
      </w:divBdr>
    </w:div>
    <w:div w:id="1024096497">
      <w:bodyDiv w:val="1"/>
      <w:marLeft w:val="0"/>
      <w:marRight w:val="0"/>
      <w:marTop w:val="0"/>
      <w:marBottom w:val="0"/>
      <w:divBdr>
        <w:top w:val="none" w:sz="0" w:space="0" w:color="auto"/>
        <w:left w:val="none" w:sz="0" w:space="0" w:color="auto"/>
        <w:bottom w:val="none" w:sz="0" w:space="0" w:color="auto"/>
        <w:right w:val="none" w:sz="0" w:space="0" w:color="auto"/>
      </w:divBdr>
    </w:div>
    <w:div w:id="1118183924">
      <w:bodyDiv w:val="1"/>
      <w:marLeft w:val="0"/>
      <w:marRight w:val="0"/>
      <w:marTop w:val="0"/>
      <w:marBottom w:val="0"/>
      <w:divBdr>
        <w:top w:val="none" w:sz="0" w:space="0" w:color="auto"/>
        <w:left w:val="none" w:sz="0" w:space="0" w:color="auto"/>
        <w:bottom w:val="none" w:sz="0" w:space="0" w:color="auto"/>
        <w:right w:val="none" w:sz="0" w:space="0" w:color="auto"/>
      </w:divBdr>
    </w:div>
    <w:div w:id="1150288725">
      <w:bodyDiv w:val="1"/>
      <w:marLeft w:val="0"/>
      <w:marRight w:val="0"/>
      <w:marTop w:val="0"/>
      <w:marBottom w:val="0"/>
      <w:divBdr>
        <w:top w:val="none" w:sz="0" w:space="0" w:color="auto"/>
        <w:left w:val="none" w:sz="0" w:space="0" w:color="auto"/>
        <w:bottom w:val="none" w:sz="0" w:space="0" w:color="auto"/>
        <w:right w:val="none" w:sz="0" w:space="0" w:color="auto"/>
      </w:divBdr>
    </w:div>
    <w:div w:id="1186212102">
      <w:bodyDiv w:val="1"/>
      <w:marLeft w:val="0"/>
      <w:marRight w:val="0"/>
      <w:marTop w:val="0"/>
      <w:marBottom w:val="0"/>
      <w:divBdr>
        <w:top w:val="none" w:sz="0" w:space="0" w:color="auto"/>
        <w:left w:val="none" w:sz="0" w:space="0" w:color="auto"/>
        <w:bottom w:val="none" w:sz="0" w:space="0" w:color="auto"/>
        <w:right w:val="none" w:sz="0" w:space="0" w:color="auto"/>
      </w:divBdr>
    </w:div>
    <w:div w:id="1287740721">
      <w:bodyDiv w:val="1"/>
      <w:marLeft w:val="0"/>
      <w:marRight w:val="0"/>
      <w:marTop w:val="0"/>
      <w:marBottom w:val="0"/>
      <w:divBdr>
        <w:top w:val="none" w:sz="0" w:space="0" w:color="auto"/>
        <w:left w:val="none" w:sz="0" w:space="0" w:color="auto"/>
        <w:bottom w:val="none" w:sz="0" w:space="0" w:color="auto"/>
        <w:right w:val="none" w:sz="0" w:space="0" w:color="auto"/>
      </w:divBdr>
    </w:div>
    <w:div w:id="1298217465">
      <w:bodyDiv w:val="1"/>
      <w:marLeft w:val="0"/>
      <w:marRight w:val="0"/>
      <w:marTop w:val="0"/>
      <w:marBottom w:val="0"/>
      <w:divBdr>
        <w:top w:val="none" w:sz="0" w:space="0" w:color="auto"/>
        <w:left w:val="none" w:sz="0" w:space="0" w:color="auto"/>
        <w:bottom w:val="none" w:sz="0" w:space="0" w:color="auto"/>
        <w:right w:val="none" w:sz="0" w:space="0" w:color="auto"/>
      </w:divBdr>
    </w:div>
    <w:div w:id="1340504356">
      <w:bodyDiv w:val="1"/>
      <w:marLeft w:val="0"/>
      <w:marRight w:val="0"/>
      <w:marTop w:val="0"/>
      <w:marBottom w:val="0"/>
      <w:divBdr>
        <w:top w:val="none" w:sz="0" w:space="0" w:color="auto"/>
        <w:left w:val="none" w:sz="0" w:space="0" w:color="auto"/>
        <w:bottom w:val="none" w:sz="0" w:space="0" w:color="auto"/>
        <w:right w:val="none" w:sz="0" w:space="0" w:color="auto"/>
      </w:divBdr>
    </w:div>
    <w:div w:id="1350062699">
      <w:bodyDiv w:val="1"/>
      <w:marLeft w:val="0"/>
      <w:marRight w:val="0"/>
      <w:marTop w:val="0"/>
      <w:marBottom w:val="0"/>
      <w:divBdr>
        <w:top w:val="none" w:sz="0" w:space="0" w:color="auto"/>
        <w:left w:val="none" w:sz="0" w:space="0" w:color="auto"/>
        <w:bottom w:val="none" w:sz="0" w:space="0" w:color="auto"/>
        <w:right w:val="none" w:sz="0" w:space="0" w:color="auto"/>
      </w:divBdr>
    </w:div>
    <w:div w:id="1401487404">
      <w:bodyDiv w:val="1"/>
      <w:marLeft w:val="0"/>
      <w:marRight w:val="0"/>
      <w:marTop w:val="0"/>
      <w:marBottom w:val="0"/>
      <w:divBdr>
        <w:top w:val="none" w:sz="0" w:space="0" w:color="auto"/>
        <w:left w:val="none" w:sz="0" w:space="0" w:color="auto"/>
        <w:bottom w:val="none" w:sz="0" w:space="0" w:color="auto"/>
        <w:right w:val="none" w:sz="0" w:space="0" w:color="auto"/>
      </w:divBdr>
    </w:div>
    <w:div w:id="1492326771">
      <w:bodyDiv w:val="1"/>
      <w:marLeft w:val="0"/>
      <w:marRight w:val="0"/>
      <w:marTop w:val="0"/>
      <w:marBottom w:val="0"/>
      <w:divBdr>
        <w:top w:val="none" w:sz="0" w:space="0" w:color="auto"/>
        <w:left w:val="none" w:sz="0" w:space="0" w:color="auto"/>
        <w:bottom w:val="none" w:sz="0" w:space="0" w:color="auto"/>
        <w:right w:val="none" w:sz="0" w:space="0" w:color="auto"/>
      </w:divBdr>
    </w:div>
    <w:div w:id="1525241123">
      <w:bodyDiv w:val="1"/>
      <w:marLeft w:val="0"/>
      <w:marRight w:val="0"/>
      <w:marTop w:val="0"/>
      <w:marBottom w:val="0"/>
      <w:divBdr>
        <w:top w:val="none" w:sz="0" w:space="0" w:color="auto"/>
        <w:left w:val="none" w:sz="0" w:space="0" w:color="auto"/>
        <w:bottom w:val="none" w:sz="0" w:space="0" w:color="auto"/>
        <w:right w:val="none" w:sz="0" w:space="0" w:color="auto"/>
      </w:divBdr>
    </w:div>
    <w:div w:id="1573615368">
      <w:bodyDiv w:val="1"/>
      <w:marLeft w:val="0"/>
      <w:marRight w:val="0"/>
      <w:marTop w:val="0"/>
      <w:marBottom w:val="0"/>
      <w:divBdr>
        <w:top w:val="none" w:sz="0" w:space="0" w:color="auto"/>
        <w:left w:val="none" w:sz="0" w:space="0" w:color="auto"/>
        <w:bottom w:val="none" w:sz="0" w:space="0" w:color="auto"/>
        <w:right w:val="none" w:sz="0" w:space="0" w:color="auto"/>
      </w:divBdr>
    </w:div>
    <w:div w:id="1599874469">
      <w:bodyDiv w:val="1"/>
      <w:marLeft w:val="0"/>
      <w:marRight w:val="0"/>
      <w:marTop w:val="0"/>
      <w:marBottom w:val="0"/>
      <w:divBdr>
        <w:top w:val="none" w:sz="0" w:space="0" w:color="auto"/>
        <w:left w:val="none" w:sz="0" w:space="0" w:color="auto"/>
        <w:bottom w:val="none" w:sz="0" w:space="0" w:color="auto"/>
        <w:right w:val="none" w:sz="0" w:space="0" w:color="auto"/>
      </w:divBdr>
    </w:div>
    <w:div w:id="1629816702">
      <w:bodyDiv w:val="1"/>
      <w:marLeft w:val="0"/>
      <w:marRight w:val="0"/>
      <w:marTop w:val="0"/>
      <w:marBottom w:val="0"/>
      <w:divBdr>
        <w:top w:val="none" w:sz="0" w:space="0" w:color="auto"/>
        <w:left w:val="none" w:sz="0" w:space="0" w:color="auto"/>
        <w:bottom w:val="none" w:sz="0" w:space="0" w:color="auto"/>
        <w:right w:val="none" w:sz="0" w:space="0" w:color="auto"/>
      </w:divBdr>
    </w:div>
    <w:div w:id="1643609816">
      <w:bodyDiv w:val="1"/>
      <w:marLeft w:val="0"/>
      <w:marRight w:val="0"/>
      <w:marTop w:val="0"/>
      <w:marBottom w:val="0"/>
      <w:divBdr>
        <w:top w:val="none" w:sz="0" w:space="0" w:color="auto"/>
        <w:left w:val="none" w:sz="0" w:space="0" w:color="auto"/>
        <w:bottom w:val="none" w:sz="0" w:space="0" w:color="auto"/>
        <w:right w:val="none" w:sz="0" w:space="0" w:color="auto"/>
      </w:divBdr>
    </w:div>
    <w:div w:id="1697658623">
      <w:bodyDiv w:val="1"/>
      <w:marLeft w:val="0"/>
      <w:marRight w:val="0"/>
      <w:marTop w:val="0"/>
      <w:marBottom w:val="0"/>
      <w:divBdr>
        <w:top w:val="none" w:sz="0" w:space="0" w:color="auto"/>
        <w:left w:val="none" w:sz="0" w:space="0" w:color="auto"/>
        <w:bottom w:val="none" w:sz="0" w:space="0" w:color="auto"/>
        <w:right w:val="none" w:sz="0" w:space="0" w:color="auto"/>
      </w:divBdr>
    </w:div>
    <w:div w:id="1706561005">
      <w:bodyDiv w:val="1"/>
      <w:marLeft w:val="0"/>
      <w:marRight w:val="0"/>
      <w:marTop w:val="0"/>
      <w:marBottom w:val="0"/>
      <w:divBdr>
        <w:top w:val="none" w:sz="0" w:space="0" w:color="auto"/>
        <w:left w:val="none" w:sz="0" w:space="0" w:color="auto"/>
        <w:bottom w:val="none" w:sz="0" w:space="0" w:color="auto"/>
        <w:right w:val="none" w:sz="0" w:space="0" w:color="auto"/>
      </w:divBdr>
    </w:div>
    <w:div w:id="1765759827">
      <w:bodyDiv w:val="1"/>
      <w:marLeft w:val="0"/>
      <w:marRight w:val="0"/>
      <w:marTop w:val="0"/>
      <w:marBottom w:val="0"/>
      <w:divBdr>
        <w:top w:val="none" w:sz="0" w:space="0" w:color="auto"/>
        <w:left w:val="none" w:sz="0" w:space="0" w:color="auto"/>
        <w:bottom w:val="none" w:sz="0" w:space="0" w:color="auto"/>
        <w:right w:val="none" w:sz="0" w:space="0" w:color="auto"/>
      </w:divBdr>
    </w:div>
    <w:div w:id="1945187559">
      <w:bodyDiv w:val="1"/>
      <w:marLeft w:val="0"/>
      <w:marRight w:val="0"/>
      <w:marTop w:val="0"/>
      <w:marBottom w:val="0"/>
      <w:divBdr>
        <w:top w:val="none" w:sz="0" w:space="0" w:color="auto"/>
        <w:left w:val="none" w:sz="0" w:space="0" w:color="auto"/>
        <w:bottom w:val="none" w:sz="0" w:space="0" w:color="auto"/>
        <w:right w:val="none" w:sz="0" w:space="0" w:color="auto"/>
      </w:divBdr>
    </w:div>
    <w:div w:id="1949585391">
      <w:bodyDiv w:val="1"/>
      <w:marLeft w:val="0"/>
      <w:marRight w:val="0"/>
      <w:marTop w:val="0"/>
      <w:marBottom w:val="0"/>
      <w:divBdr>
        <w:top w:val="none" w:sz="0" w:space="0" w:color="auto"/>
        <w:left w:val="none" w:sz="0" w:space="0" w:color="auto"/>
        <w:bottom w:val="none" w:sz="0" w:space="0" w:color="auto"/>
        <w:right w:val="none" w:sz="0" w:space="0" w:color="auto"/>
      </w:divBdr>
    </w:div>
    <w:div w:id="212037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gliwice.pl/strona-cms/systemy-zarzadznia-jakoscia" TargetMode="External"/><Relationship Id="rId13" Type="http://schemas.openxmlformats.org/officeDocument/2006/relationships/hyperlink" Target="https://is.gliwice.pl/sites/default/files/certyfikaty/certyfikat_ewf_en_iso_3834_4_2019.pdf" TargetMode="External"/><Relationship Id="rId18" Type="http://schemas.openxmlformats.org/officeDocument/2006/relationships/hyperlink" Target="https://is.gliwice.pl/sites/default/files/certyfikaty/certyfikat_ewf_anb_16_5_pismo_przedluzajace.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s.gliwice.pl/sites/default/files/certyfikaty/certyfikat_pca_ac_029_2023.pdf" TargetMode="External"/><Relationship Id="rId7" Type="http://schemas.openxmlformats.org/officeDocument/2006/relationships/endnotes" Target="endnotes.xml"/><Relationship Id="rId12" Type="http://schemas.openxmlformats.org/officeDocument/2006/relationships/hyperlink" Target="https://is.gliwice.pl/strona-cms/zakladowa-kontrola-produkcji" TargetMode="External"/><Relationship Id="rId17" Type="http://schemas.openxmlformats.org/officeDocument/2006/relationships/hyperlink" Target="https://is.gliwice.pl/sites/default/files/certyfikaty/certyfikat_iiw_anb_11_5.pdf.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s.gliwice.pl/sites/default/files/certyfikaty/certyfikat_iiw_3834_4_2019.pdf" TargetMode="External"/><Relationship Id="rId20" Type="http://schemas.openxmlformats.org/officeDocument/2006/relationships/hyperlink" Target="https://is.gliwice.pl/sites/default/files/certyfikaty/certyfikat_pca_ac_054_w_22_zakres_20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liwice.pl/strona-cms/procesy-spawalnicze" TargetMode="External"/><Relationship Id="rId24" Type="http://schemas.openxmlformats.org/officeDocument/2006/relationships/hyperlink" Target="https://is.gliwice.pl/sites/default/files/certyfikaty/certyfikat_pca_ac_058_w_18_zakres_2023.pdf" TargetMode="External"/><Relationship Id="rId5" Type="http://schemas.openxmlformats.org/officeDocument/2006/relationships/webSettings" Target="webSettings.xml"/><Relationship Id="rId15" Type="http://schemas.openxmlformats.org/officeDocument/2006/relationships/hyperlink" Target="https://is.gliwice.pl/sites/default/files/certyfikaty/certyfikat_ewf_anb_16_5_pismo_przedluzajace.pdf" TargetMode="External"/><Relationship Id="rId23" Type="http://schemas.openxmlformats.org/officeDocument/2006/relationships/hyperlink" Target="https://is.gliwice.pl/sites/default/files/certyfikaty/certyfikat_pca_ac_058_2023.pdf" TargetMode="External"/><Relationship Id="rId28" Type="http://schemas.openxmlformats.org/officeDocument/2006/relationships/theme" Target="theme/theme1.xml"/><Relationship Id="rId10" Type="http://schemas.openxmlformats.org/officeDocument/2006/relationships/hyperlink" Target="https://is.gliwice.pl/personel-ndt-certyfikacja" TargetMode="External"/><Relationship Id="rId19" Type="http://schemas.openxmlformats.org/officeDocument/2006/relationships/hyperlink" Target="https://is.gliwice.pl/sites/default/files/certyfikaty/certyfikat_pca_ac_054_2023.pdf" TargetMode="External"/><Relationship Id="rId4" Type="http://schemas.openxmlformats.org/officeDocument/2006/relationships/settings" Target="settings.xml"/><Relationship Id="rId9" Type="http://schemas.openxmlformats.org/officeDocument/2006/relationships/hyperlink" Target="https://is.gliwice.pl/strona-cms/personel-spawalniczy" TargetMode="External"/><Relationship Id="rId14" Type="http://schemas.openxmlformats.org/officeDocument/2006/relationships/hyperlink" Target="https://is.gliwice.pl/sites/default/files/certyfikaty/certyfikat_ewf_anb_16_5.pdf" TargetMode="External"/><Relationship Id="rId22" Type="http://schemas.openxmlformats.org/officeDocument/2006/relationships/hyperlink" Target="https://is.gliwice.pl/sites/default/files/certyfikaty/certyfikat_pca_ac_029_w_17_zakres_2023.pdf"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3EFE-4E55-4C55-A930-6AAC6CD0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23</Pages>
  <Words>9335</Words>
  <Characters>56010</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EwaP</dc:creator>
  <cp:lastModifiedBy>Tomasz Smykala</cp:lastModifiedBy>
  <cp:revision>41</cp:revision>
  <cp:lastPrinted>2023-07-24T12:06:00Z</cp:lastPrinted>
  <dcterms:created xsi:type="dcterms:W3CDTF">2023-07-18T12:11:00Z</dcterms:created>
  <dcterms:modified xsi:type="dcterms:W3CDTF">2023-07-24T18:09:00Z</dcterms:modified>
</cp:coreProperties>
</file>