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5EF1D" w14:textId="01A747C9" w:rsidR="00A67CB6" w:rsidRPr="00460036" w:rsidRDefault="00D15C3A" w:rsidP="00460036">
      <w:pPr>
        <w:pStyle w:val="Nagwek2"/>
        <w:spacing w:before="0" w:after="0"/>
        <w:jc w:val="center"/>
        <w:rPr>
          <w:rFonts w:asciiTheme="minorHAnsi" w:hAnsiTheme="minorHAnsi" w:cstheme="minorHAnsi"/>
          <w:i w:val="0"/>
          <w:iCs w:val="0"/>
          <w:sz w:val="24"/>
          <w:szCs w:val="24"/>
          <w:u w:val="single"/>
        </w:rPr>
      </w:pPr>
      <w:r w:rsidRPr="00460036">
        <w:rPr>
          <w:rFonts w:asciiTheme="minorHAnsi" w:hAnsiTheme="minorHAnsi" w:cstheme="minorHAnsi"/>
          <w:i w:val="0"/>
          <w:iCs w:val="0"/>
          <w:sz w:val="24"/>
          <w:szCs w:val="24"/>
          <w:u w:val="single"/>
        </w:rPr>
        <w:t xml:space="preserve">  S</w:t>
      </w:r>
      <w:r w:rsidR="00A67CB6" w:rsidRPr="00460036">
        <w:rPr>
          <w:rFonts w:asciiTheme="minorHAnsi" w:hAnsiTheme="minorHAnsi" w:cstheme="minorHAnsi"/>
          <w:i w:val="0"/>
          <w:iCs w:val="0"/>
          <w:sz w:val="24"/>
          <w:szCs w:val="24"/>
          <w:u w:val="single"/>
        </w:rPr>
        <w:t>witch</w:t>
      </w:r>
      <w:r w:rsidR="00542D02" w:rsidRPr="00460036">
        <w:rPr>
          <w:rFonts w:asciiTheme="minorHAnsi" w:hAnsiTheme="minorHAnsi" w:cstheme="minorHAnsi"/>
          <w:i w:val="0"/>
          <w:iCs w:val="0"/>
          <w:sz w:val="24"/>
          <w:szCs w:val="24"/>
          <w:u w:val="single"/>
        </w:rPr>
        <w:t xml:space="preserve"> </w:t>
      </w:r>
      <w:proofErr w:type="spellStart"/>
      <w:r w:rsidR="00542D02" w:rsidRPr="00460036">
        <w:rPr>
          <w:rFonts w:asciiTheme="minorHAnsi" w:hAnsiTheme="minorHAnsi" w:cstheme="minorHAnsi"/>
          <w:i w:val="0"/>
          <w:iCs w:val="0"/>
          <w:sz w:val="24"/>
          <w:szCs w:val="24"/>
          <w:u w:val="single"/>
        </w:rPr>
        <w:t>zarządzalny</w:t>
      </w:r>
      <w:proofErr w:type="spellEnd"/>
      <w:r w:rsidR="00A67CB6" w:rsidRPr="00460036">
        <w:rPr>
          <w:rFonts w:asciiTheme="minorHAnsi" w:hAnsiTheme="minorHAnsi" w:cstheme="minorHAnsi"/>
          <w:i w:val="0"/>
          <w:iCs w:val="0"/>
          <w:sz w:val="24"/>
          <w:szCs w:val="24"/>
          <w:u w:val="single"/>
        </w:rPr>
        <w:t xml:space="preserve"> (przełącznik sieciowy) wyposażonych w 5 portów </w:t>
      </w:r>
      <w:proofErr w:type="spellStart"/>
      <w:r w:rsidR="00A67CB6" w:rsidRPr="00460036">
        <w:rPr>
          <w:rFonts w:asciiTheme="minorHAnsi" w:hAnsiTheme="minorHAnsi" w:cstheme="minorHAnsi"/>
          <w:i w:val="0"/>
          <w:iCs w:val="0"/>
          <w:sz w:val="24"/>
          <w:szCs w:val="24"/>
          <w:u w:val="single"/>
        </w:rPr>
        <w:t>GigabitEthernet</w:t>
      </w:r>
      <w:proofErr w:type="spellEnd"/>
    </w:p>
    <w:p w14:paraId="5122F4D3" w14:textId="2C209919" w:rsidR="00A67CB6" w:rsidRPr="00460036" w:rsidRDefault="00460036" w:rsidP="00460036">
      <w:pPr>
        <w:pStyle w:val="NormalnyWeb"/>
        <w:spacing w:before="0" w:beforeAutospacing="0" w:after="0" w:afterAutospacing="0"/>
        <w:jc w:val="center"/>
        <w:rPr>
          <w:rFonts w:asciiTheme="minorHAnsi" w:hAnsiTheme="minorHAnsi" w:cstheme="minorHAnsi"/>
          <w:b/>
          <w:sz w:val="22"/>
          <w:szCs w:val="22"/>
          <w:u w:val="single"/>
        </w:rPr>
      </w:pPr>
      <w:r w:rsidRPr="00460036">
        <w:rPr>
          <w:rFonts w:asciiTheme="minorHAnsi" w:hAnsiTheme="minorHAnsi" w:cstheme="minorHAnsi"/>
          <w:b/>
          <w:sz w:val="22"/>
          <w:szCs w:val="22"/>
          <w:u w:val="single"/>
        </w:rPr>
        <w:t>Wymagania dot. karty katalogowej</w:t>
      </w:r>
    </w:p>
    <w:p w14:paraId="793AD868" w14:textId="77777777" w:rsidR="00460036" w:rsidRDefault="00460036" w:rsidP="00460036">
      <w:pPr>
        <w:pStyle w:val="NormalnyWeb"/>
        <w:spacing w:before="0" w:beforeAutospacing="0" w:after="0" w:afterAutospacing="0"/>
        <w:jc w:val="center"/>
        <w:rPr>
          <w:rFonts w:asciiTheme="minorHAnsi" w:hAnsiTheme="minorHAnsi" w:cstheme="minorHAnsi"/>
          <w:b/>
          <w:sz w:val="22"/>
          <w:szCs w:val="22"/>
        </w:rPr>
      </w:pPr>
    </w:p>
    <w:p w14:paraId="618CF8ED" w14:textId="77777777" w:rsidR="00460036" w:rsidRPr="00460036" w:rsidRDefault="00460036" w:rsidP="00460036">
      <w:pPr>
        <w:pStyle w:val="NormalnyWeb"/>
        <w:spacing w:before="0" w:beforeAutospacing="0" w:after="0" w:afterAutospacing="0"/>
        <w:jc w:val="center"/>
        <w:rPr>
          <w:rFonts w:asciiTheme="minorHAnsi" w:hAnsiTheme="minorHAnsi" w:cstheme="minorHAnsi"/>
          <w:b/>
          <w:sz w:val="22"/>
          <w:szCs w:val="22"/>
        </w:rPr>
      </w:pPr>
    </w:p>
    <w:p w14:paraId="716E46EC" w14:textId="4561B9D5"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b/>
          <w:bCs/>
          <w:sz w:val="22"/>
          <w:szCs w:val="22"/>
        </w:rPr>
        <w:t>Specyfikacja techniczna urządzenia musi spełniać poniższe wymagania</w:t>
      </w:r>
      <w:r w:rsidRPr="00542D02">
        <w:rPr>
          <w:rFonts w:asciiTheme="minorHAnsi" w:hAnsiTheme="minorHAnsi" w:cstheme="minorHAnsi"/>
          <w:sz w:val="22"/>
          <w:szCs w:val="22"/>
        </w:rPr>
        <w:t>:</w:t>
      </w:r>
    </w:p>
    <w:p w14:paraId="51511867" w14:textId="44C84778" w:rsidR="00F40890" w:rsidRPr="00542D02" w:rsidRDefault="00F40890"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Urządzenie musi posiadać minimum 5x gigabitowych portów Ethernet 10/100/1000 </w:t>
      </w:r>
      <w:proofErr w:type="spellStart"/>
      <w:r w:rsidRPr="00542D02">
        <w:rPr>
          <w:rFonts w:asciiTheme="minorHAnsi" w:hAnsiTheme="minorHAnsi" w:cstheme="minorHAnsi"/>
          <w:sz w:val="22"/>
          <w:szCs w:val="22"/>
        </w:rPr>
        <w:t>Mb</w:t>
      </w:r>
      <w:proofErr w:type="spellEnd"/>
      <w:r w:rsidRPr="00542D02">
        <w:rPr>
          <w:rFonts w:asciiTheme="minorHAnsi" w:hAnsiTheme="minorHAnsi" w:cstheme="minorHAnsi"/>
          <w:sz w:val="22"/>
          <w:szCs w:val="22"/>
        </w:rPr>
        <w:t xml:space="preserve">/s </w:t>
      </w:r>
    </w:p>
    <w:p w14:paraId="711D5F16" w14:textId="613A613E" w:rsidR="00F40890" w:rsidRPr="00542D02" w:rsidRDefault="00F40890"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Interfejs zarządzania typu Ethernet In-Band </w:t>
      </w:r>
    </w:p>
    <w:p w14:paraId="1F262616" w14:textId="26F860EF" w:rsidR="00F40890" w:rsidRPr="00542D02" w:rsidRDefault="00F40890"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Sposób zasilania realizowany przez  USB Typ C, 5V, 1A (4.7 - 5.3V) - zasilacz w zestawie 802.3af/</w:t>
      </w:r>
      <w:proofErr w:type="spellStart"/>
      <w:r w:rsidRPr="00542D02">
        <w:rPr>
          <w:rFonts w:asciiTheme="minorHAnsi" w:hAnsiTheme="minorHAnsi" w:cstheme="minorHAnsi"/>
          <w:sz w:val="22"/>
          <w:szCs w:val="22"/>
        </w:rPr>
        <w:t>at</w:t>
      </w:r>
      <w:proofErr w:type="spellEnd"/>
      <w:r w:rsidRPr="00542D02">
        <w:rPr>
          <w:rFonts w:asciiTheme="minorHAnsi" w:hAnsiTheme="minorHAnsi" w:cstheme="minorHAnsi"/>
          <w:sz w:val="22"/>
          <w:szCs w:val="22"/>
        </w:rPr>
        <w:t xml:space="preserve"> </w:t>
      </w:r>
      <w:proofErr w:type="spellStart"/>
      <w:r w:rsidRPr="00542D02">
        <w:rPr>
          <w:rFonts w:asciiTheme="minorHAnsi" w:hAnsiTheme="minorHAnsi" w:cstheme="minorHAnsi"/>
          <w:sz w:val="22"/>
          <w:szCs w:val="22"/>
        </w:rPr>
        <w:t>PoE</w:t>
      </w:r>
      <w:proofErr w:type="spellEnd"/>
      <w:r w:rsidRPr="00542D02">
        <w:rPr>
          <w:rFonts w:asciiTheme="minorHAnsi" w:hAnsiTheme="minorHAnsi" w:cstheme="minorHAnsi"/>
          <w:sz w:val="22"/>
          <w:szCs w:val="22"/>
        </w:rPr>
        <w:t xml:space="preserve"> (44 - 57VDC, 0.05 - 0.04A) </w:t>
      </w:r>
    </w:p>
    <w:p w14:paraId="21AB72FD" w14:textId="11E893CD" w:rsidR="00BF78B3" w:rsidRPr="00542D02" w:rsidRDefault="00BF78B3"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Urządzenie musi posiadać możliwość konfiguracji portów w trybie różnych sieci wirtualnych VLAN</w:t>
      </w:r>
    </w:p>
    <w:p w14:paraId="227AD2F3" w14:textId="79CE572A" w:rsidR="00BF78B3" w:rsidRPr="00542D02" w:rsidRDefault="00BF78B3"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Urządzenie musi posiadać możliwość zdalnej konfiguracji poprzez stronę www lub dedykowane oprogramowanie</w:t>
      </w:r>
    </w:p>
    <w:p w14:paraId="08D8723E" w14:textId="6A4E0B5C" w:rsidR="00F40890" w:rsidRPr="00542D02" w:rsidRDefault="00F40890"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Urządzenie musi posiadać minimum 1 </w:t>
      </w:r>
      <w:r w:rsidR="00CB04CC" w:rsidRPr="00542D02">
        <w:rPr>
          <w:rFonts w:asciiTheme="minorHAnsi" w:hAnsiTheme="minorHAnsi" w:cstheme="minorHAnsi"/>
          <w:sz w:val="22"/>
          <w:szCs w:val="22"/>
        </w:rPr>
        <w:t>w</w:t>
      </w:r>
      <w:r w:rsidRPr="00542D02">
        <w:rPr>
          <w:rFonts w:asciiTheme="minorHAnsi" w:hAnsiTheme="minorHAnsi" w:cstheme="minorHAnsi"/>
          <w:sz w:val="22"/>
          <w:szCs w:val="22"/>
        </w:rPr>
        <w:t xml:space="preserve">ejście </w:t>
      </w:r>
      <w:proofErr w:type="spellStart"/>
      <w:r w:rsidRPr="00542D02">
        <w:rPr>
          <w:rFonts w:asciiTheme="minorHAnsi" w:hAnsiTheme="minorHAnsi" w:cstheme="minorHAnsi"/>
          <w:sz w:val="22"/>
          <w:szCs w:val="22"/>
        </w:rPr>
        <w:t>PoE</w:t>
      </w:r>
      <w:proofErr w:type="spellEnd"/>
      <w:r w:rsidRPr="00542D02">
        <w:rPr>
          <w:rFonts w:asciiTheme="minorHAnsi" w:hAnsiTheme="minorHAnsi" w:cstheme="minorHAnsi"/>
          <w:sz w:val="22"/>
          <w:szCs w:val="22"/>
        </w:rPr>
        <w:t xml:space="preserve">  802.3af/</w:t>
      </w:r>
      <w:proofErr w:type="spellStart"/>
      <w:r w:rsidRPr="00542D02">
        <w:rPr>
          <w:rFonts w:asciiTheme="minorHAnsi" w:hAnsiTheme="minorHAnsi" w:cstheme="minorHAnsi"/>
          <w:sz w:val="22"/>
          <w:szCs w:val="22"/>
        </w:rPr>
        <w:t>at</w:t>
      </w:r>
      <w:proofErr w:type="spellEnd"/>
      <w:r w:rsidRPr="00542D02">
        <w:rPr>
          <w:rFonts w:asciiTheme="minorHAnsi" w:hAnsiTheme="minorHAnsi" w:cstheme="minorHAnsi"/>
          <w:sz w:val="22"/>
          <w:szCs w:val="22"/>
        </w:rPr>
        <w:t xml:space="preserve"> </w:t>
      </w:r>
      <w:proofErr w:type="spellStart"/>
      <w:r w:rsidRPr="00542D02">
        <w:rPr>
          <w:rFonts w:asciiTheme="minorHAnsi" w:hAnsiTheme="minorHAnsi" w:cstheme="minorHAnsi"/>
          <w:sz w:val="22"/>
          <w:szCs w:val="22"/>
        </w:rPr>
        <w:t>PoE</w:t>
      </w:r>
      <w:proofErr w:type="spellEnd"/>
      <w:r w:rsidRPr="00542D02">
        <w:rPr>
          <w:rFonts w:asciiTheme="minorHAnsi" w:hAnsiTheme="minorHAnsi" w:cstheme="minorHAnsi"/>
          <w:sz w:val="22"/>
          <w:szCs w:val="22"/>
        </w:rPr>
        <w:t xml:space="preserve"> (Piny 1, 2+; 3, 6-) </w:t>
      </w:r>
    </w:p>
    <w:p w14:paraId="0FDD3289" w14:textId="4873B180" w:rsidR="00F40890" w:rsidRPr="00542D02" w:rsidRDefault="00F40890"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Maksymalny pobór mocy urządzenie</w:t>
      </w:r>
      <w:r w:rsidR="00493C2A" w:rsidRPr="00542D02">
        <w:rPr>
          <w:rFonts w:asciiTheme="minorHAnsi" w:hAnsiTheme="minorHAnsi" w:cstheme="minorHAnsi"/>
          <w:sz w:val="22"/>
          <w:szCs w:val="22"/>
        </w:rPr>
        <w:t xml:space="preserve"> </w:t>
      </w:r>
      <w:r w:rsidRPr="00542D02">
        <w:rPr>
          <w:rFonts w:asciiTheme="minorHAnsi" w:hAnsiTheme="minorHAnsi" w:cstheme="minorHAnsi"/>
          <w:sz w:val="22"/>
          <w:szCs w:val="22"/>
        </w:rPr>
        <w:t xml:space="preserve">nie większy niż 2,5 W </w:t>
      </w:r>
    </w:p>
    <w:p w14:paraId="19A0DDE1" w14:textId="3928DB16"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Przepustowość Non-</w:t>
      </w:r>
      <w:proofErr w:type="spellStart"/>
      <w:r w:rsidR="00F40890" w:rsidRPr="00542D02">
        <w:rPr>
          <w:rFonts w:asciiTheme="minorHAnsi" w:hAnsiTheme="minorHAnsi" w:cstheme="minorHAnsi"/>
          <w:sz w:val="22"/>
          <w:szCs w:val="22"/>
        </w:rPr>
        <w:t>Blocking</w:t>
      </w:r>
      <w:proofErr w:type="spellEnd"/>
      <w:r w:rsidR="00F40890" w:rsidRPr="00542D02">
        <w:rPr>
          <w:rFonts w:asciiTheme="minorHAnsi" w:hAnsiTheme="minorHAnsi" w:cstheme="minorHAnsi"/>
          <w:sz w:val="22"/>
          <w:szCs w:val="22"/>
        </w:rPr>
        <w:t xml:space="preserve">  </w:t>
      </w:r>
      <w:r w:rsidRPr="00542D02">
        <w:rPr>
          <w:rFonts w:asciiTheme="minorHAnsi" w:hAnsiTheme="minorHAnsi" w:cstheme="minorHAnsi"/>
          <w:sz w:val="22"/>
          <w:szCs w:val="22"/>
        </w:rPr>
        <w:t xml:space="preserve">urządzenia </w:t>
      </w:r>
      <w:proofErr w:type="spellStart"/>
      <w:r w:rsidRPr="00542D02">
        <w:rPr>
          <w:rFonts w:asciiTheme="minorHAnsi" w:hAnsiTheme="minorHAnsi" w:cstheme="minorHAnsi"/>
          <w:sz w:val="22"/>
          <w:szCs w:val="22"/>
        </w:rPr>
        <w:t>minium</w:t>
      </w:r>
      <w:proofErr w:type="spellEnd"/>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5 </w:t>
      </w:r>
      <w:proofErr w:type="spellStart"/>
      <w:r w:rsidR="00F40890" w:rsidRPr="00542D02">
        <w:rPr>
          <w:rFonts w:asciiTheme="minorHAnsi" w:hAnsiTheme="minorHAnsi" w:cstheme="minorHAnsi"/>
          <w:sz w:val="22"/>
          <w:szCs w:val="22"/>
        </w:rPr>
        <w:t>Gb</w:t>
      </w:r>
      <w:proofErr w:type="spellEnd"/>
      <w:r w:rsidR="00F40890" w:rsidRPr="00542D02">
        <w:rPr>
          <w:rFonts w:asciiTheme="minorHAnsi" w:hAnsiTheme="minorHAnsi" w:cstheme="minorHAnsi"/>
          <w:sz w:val="22"/>
          <w:szCs w:val="22"/>
        </w:rPr>
        <w:t xml:space="preserve">/s </w:t>
      </w:r>
    </w:p>
    <w:p w14:paraId="74C3ECDE" w14:textId="4678F379"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Przepustowość przełączania </w:t>
      </w:r>
      <w:r w:rsidRPr="00542D02">
        <w:rPr>
          <w:rFonts w:asciiTheme="minorHAnsi" w:hAnsiTheme="minorHAnsi" w:cstheme="minorHAnsi"/>
          <w:sz w:val="22"/>
          <w:szCs w:val="22"/>
        </w:rPr>
        <w:t xml:space="preserve">urządzenia minimum </w:t>
      </w:r>
      <w:r w:rsidR="00F40890" w:rsidRPr="00542D02">
        <w:rPr>
          <w:rFonts w:asciiTheme="minorHAnsi" w:hAnsiTheme="minorHAnsi" w:cstheme="minorHAnsi"/>
          <w:sz w:val="22"/>
          <w:szCs w:val="22"/>
        </w:rPr>
        <w:t xml:space="preserve">10 </w:t>
      </w:r>
      <w:proofErr w:type="spellStart"/>
      <w:r w:rsidR="00F40890" w:rsidRPr="00542D02">
        <w:rPr>
          <w:rFonts w:asciiTheme="minorHAnsi" w:hAnsiTheme="minorHAnsi" w:cstheme="minorHAnsi"/>
          <w:sz w:val="22"/>
          <w:szCs w:val="22"/>
        </w:rPr>
        <w:t>Gb</w:t>
      </w:r>
      <w:proofErr w:type="spellEnd"/>
      <w:r w:rsidR="00F40890" w:rsidRPr="00542D02">
        <w:rPr>
          <w:rFonts w:asciiTheme="minorHAnsi" w:hAnsiTheme="minorHAnsi" w:cstheme="minorHAnsi"/>
          <w:sz w:val="22"/>
          <w:szCs w:val="22"/>
        </w:rPr>
        <w:t xml:space="preserve">/s </w:t>
      </w:r>
    </w:p>
    <w:p w14:paraId="21B66A0E" w14:textId="7A62F0EB"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Szybkość przekazywania pakietów </w:t>
      </w:r>
      <w:r w:rsidRPr="00542D02">
        <w:rPr>
          <w:rFonts w:asciiTheme="minorHAnsi" w:hAnsiTheme="minorHAnsi" w:cstheme="minorHAnsi"/>
          <w:sz w:val="22"/>
          <w:szCs w:val="22"/>
        </w:rPr>
        <w:t xml:space="preserve">urządzenia nie mniejsza niż </w:t>
      </w:r>
      <w:r w:rsidR="00F40890" w:rsidRPr="00542D02">
        <w:rPr>
          <w:rFonts w:asciiTheme="minorHAnsi" w:hAnsiTheme="minorHAnsi" w:cstheme="minorHAnsi"/>
          <w:sz w:val="22"/>
          <w:szCs w:val="22"/>
        </w:rPr>
        <w:t xml:space="preserve">7.44 </w:t>
      </w:r>
      <w:proofErr w:type="spellStart"/>
      <w:r w:rsidR="00F40890" w:rsidRPr="00542D02">
        <w:rPr>
          <w:rFonts w:asciiTheme="minorHAnsi" w:hAnsiTheme="minorHAnsi" w:cstheme="minorHAnsi"/>
          <w:sz w:val="22"/>
          <w:szCs w:val="22"/>
        </w:rPr>
        <w:t>Mp</w:t>
      </w:r>
      <w:proofErr w:type="spellEnd"/>
      <w:r w:rsidR="00F40890" w:rsidRPr="00542D02">
        <w:rPr>
          <w:rFonts w:asciiTheme="minorHAnsi" w:hAnsiTheme="minorHAnsi" w:cstheme="minorHAnsi"/>
          <w:sz w:val="22"/>
          <w:szCs w:val="22"/>
        </w:rPr>
        <w:t xml:space="preserve">/s </w:t>
      </w:r>
    </w:p>
    <w:p w14:paraId="246B5575" w14:textId="7FEAD991"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Urządzenie musi być wyposażone w d</w:t>
      </w:r>
      <w:r w:rsidR="00F40890" w:rsidRPr="00542D02">
        <w:rPr>
          <w:rFonts w:asciiTheme="minorHAnsi" w:hAnsiTheme="minorHAnsi" w:cstheme="minorHAnsi"/>
          <w:sz w:val="22"/>
          <w:szCs w:val="22"/>
        </w:rPr>
        <w:t xml:space="preserve">iody LED </w:t>
      </w:r>
      <w:r w:rsidRPr="00542D02">
        <w:rPr>
          <w:rFonts w:asciiTheme="minorHAnsi" w:hAnsiTheme="minorHAnsi" w:cstheme="minorHAnsi"/>
          <w:sz w:val="22"/>
          <w:szCs w:val="22"/>
        </w:rPr>
        <w:t>w s</w:t>
      </w:r>
      <w:r w:rsidR="00F40890" w:rsidRPr="00542D02">
        <w:rPr>
          <w:rFonts w:asciiTheme="minorHAnsi" w:hAnsiTheme="minorHAnsi" w:cstheme="minorHAnsi"/>
          <w:sz w:val="22"/>
          <w:szCs w:val="22"/>
        </w:rPr>
        <w:t>ystem</w:t>
      </w:r>
      <w:r w:rsidRPr="00542D02">
        <w:rPr>
          <w:rFonts w:asciiTheme="minorHAnsi" w:hAnsiTheme="minorHAnsi" w:cstheme="minorHAnsi"/>
          <w:sz w:val="22"/>
          <w:szCs w:val="22"/>
        </w:rPr>
        <w:t>ie</w:t>
      </w:r>
      <w:r w:rsidR="00F40890" w:rsidRPr="00542D02">
        <w:rPr>
          <w:rFonts w:asciiTheme="minorHAnsi" w:hAnsiTheme="minorHAnsi" w:cstheme="minorHAnsi"/>
          <w:sz w:val="22"/>
          <w:szCs w:val="22"/>
        </w:rPr>
        <w:t>: status</w:t>
      </w:r>
      <w:r w:rsidRPr="00542D02">
        <w:rPr>
          <w:rFonts w:asciiTheme="minorHAnsi" w:hAnsiTheme="minorHAnsi" w:cstheme="minorHAnsi"/>
          <w:sz w:val="22"/>
          <w:szCs w:val="22"/>
        </w:rPr>
        <w:t xml:space="preserve"> </w:t>
      </w:r>
      <w:r w:rsidR="00AF2AC2" w:rsidRPr="00542D02">
        <w:rPr>
          <w:rFonts w:asciiTheme="minorHAnsi" w:hAnsiTheme="minorHAnsi" w:cstheme="minorHAnsi"/>
          <w:sz w:val="22"/>
          <w:szCs w:val="22"/>
        </w:rPr>
        <w:t>portów</w:t>
      </w:r>
      <w:r w:rsidR="00F40890" w:rsidRPr="00542D02">
        <w:rPr>
          <w:rFonts w:asciiTheme="minorHAnsi" w:hAnsiTheme="minorHAnsi" w:cstheme="minorHAnsi"/>
          <w:sz w:val="22"/>
          <w:szCs w:val="22"/>
        </w:rPr>
        <w:t xml:space="preserve"> RJ45: Link/ </w:t>
      </w:r>
      <w:proofErr w:type="spellStart"/>
      <w:r w:rsidR="00F40890" w:rsidRPr="00542D02">
        <w:rPr>
          <w:rFonts w:asciiTheme="minorHAnsi" w:hAnsiTheme="minorHAnsi" w:cstheme="minorHAnsi"/>
          <w:sz w:val="22"/>
          <w:szCs w:val="22"/>
        </w:rPr>
        <w:t>Speed</w:t>
      </w:r>
      <w:proofErr w:type="spellEnd"/>
      <w:r w:rsidR="00F40890" w:rsidRPr="00542D02">
        <w:rPr>
          <w:rFonts w:asciiTheme="minorHAnsi" w:hAnsiTheme="minorHAnsi" w:cstheme="minorHAnsi"/>
          <w:sz w:val="22"/>
          <w:szCs w:val="22"/>
        </w:rPr>
        <w:t xml:space="preserve">/Activity </w:t>
      </w:r>
    </w:p>
    <w:p w14:paraId="38771B7D" w14:textId="55A18782"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Urządzenie musi spełniać poniższe c</w:t>
      </w:r>
      <w:r w:rsidR="00F40890" w:rsidRPr="00542D02">
        <w:rPr>
          <w:rFonts w:asciiTheme="minorHAnsi" w:hAnsiTheme="minorHAnsi" w:cstheme="minorHAnsi"/>
          <w:sz w:val="22"/>
          <w:szCs w:val="22"/>
        </w:rPr>
        <w:t xml:space="preserve">ertyfikaty CE, FCC, IC </w:t>
      </w:r>
    </w:p>
    <w:p w14:paraId="6373CC38" w14:textId="7BEF4F8C"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Urządzenie musi być odporne na w</w:t>
      </w:r>
      <w:r w:rsidR="00F40890" w:rsidRPr="00542D02">
        <w:rPr>
          <w:rFonts w:asciiTheme="minorHAnsi" w:hAnsiTheme="minorHAnsi" w:cstheme="minorHAnsi"/>
          <w:sz w:val="22"/>
          <w:szCs w:val="22"/>
        </w:rPr>
        <w:t xml:space="preserve">strząsy i wibracje </w:t>
      </w:r>
      <w:r w:rsidRPr="00542D02">
        <w:rPr>
          <w:rFonts w:asciiTheme="minorHAnsi" w:hAnsiTheme="minorHAnsi" w:cstheme="minorHAnsi"/>
          <w:sz w:val="22"/>
          <w:szCs w:val="22"/>
        </w:rPr>
        <w:t xml:space="preserve">w standardzie </w:t>
      </w:r>
      <w:r w:rsidR="00F40890" w:rsidRPr="00542D02">
        <w:rPr>
          <w:rFonts w:asciiTheme="minorHAnsi" w:hAnsiTheme="minorHAnsi" w:cstheme="minorHAnsi"/>
          <w:sz w:val="22"/>
          <w:szCs w:val="22"/>
        </w:rPr>
        <w:t xml:space="preserve">ETSI300-019-1.4 </w:t>
      </w:r>
    </w:p>
    <w:p w14:paraId="273F6F1F" w14:textId="77777777" w:rsidR="00A67CB6" w:rsidRPr="00542D02" w:rsidRDefault="00A67CB6" w:rsidP="00D15C3A">
      <w:pPr>
        <w:pStyle w:val="NormalnyWeb"/>
        <w:spacing w:before="0" w:beforeAutospacing="0" w:after="0" w:afterAutospacing="0"/>
        <w:jc w:val="both"/>
        <w:rPr>
          <w:rFonts w:asciiTheme="minorHAnsi" w:hAnsiTheme="minorHAnsi" w:cstheme="minorHAnsi"/>
          <w:b/>
          <w:bCs/>
          <w:sz w:val="22"/>
          <w:szCs w:val="22"/>
        </w:rPr>
      </w:pPr>
    </w:p>
    <w:p w14:paraId="7F5E2260" w14:textId="55D353B7" w:rsidR="00F40890" w:rsidRPr="00542D02" w:rsidRDefault="00F40890" w:rsidP="00D15C3A">
      <w:pPr>
        <w:pStyle w:val="NormalnyWeb"/>
        <w:spacing w:before="0" w:beforeAutospacing="0" w:after="0" w:afterAutospacing="0"/>
        <w:jc w:val="both"/>
        <w:rPr>
          <w:rFonts w:asciiTheme="minorHAnsi" w:hAnsiTheme="minorHAnsi" w:cstheme="minorHAnsi"/>
          <w:b/>
          <w:bCs/>
          <w:sz w:val="22"/>
          <w:szCs w:val="22"/>
        </w:rPr>
      </w:pPr>
      <w:r w:rsidRPr="00542D02">
        <w:rPr>
          <w:rFonts w:asciiTheme="minorHAnsi" w:hAnsiTheme="minorHAnsi" w:cstheme="minorHAnsi"/>
          <w:b/>
          <w:bCs/>
          <w:sz w:val="22"/>
          <w:szCs w:val="22"/>
        </w:rPr>
        <w:t>Oprogramowanie do zarządzania urządzeniami sieciowymi musi umożliwiać:</w:t>
      </w:r>
    </w:p>
    <w:p w14:paraId="5959B67B" w14:textId="1204F7E6"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 przeglądanie dostępnych urządzeń sieciowych,</w:t>
      </w:r>
    </w:p>
    <w:p w14:paraId="61BA8564" w14:textId="274B8B55"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podgląd stanu urządzeń sieciowych oraz aktywności poszczególnych portów urządzeń sieciowych,</w:t>
      </w:r>
    </w:p>
    <w:p w14:paraId="4B9C3F12" w14:textId="675D15CF"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AF2AC2"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podgląd ostrzeżeń oraz błędów występujących na urządzeniach sieciowych zebrany w jednym miejscu,</w:t>
      </w:r>
    </w:p>
    <w:p w14:paraId="442C650A" w14:textId="31939A61" w:rsidR="00F40890" w:rsidRPr="00542D02" w:rsidRDefault="00493C2A" w:rsidP="00D15C3A">
      <w:pPr>
        <w:pStyle w:val="NormalnyWeb"/>
        <w:spacing w:before="0" w:beforeAutospacing="0" w:after="0" w:afterAutospacing="0"/>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możliwość wykonania ręcznej i automatycznej archiwizacji konfiguracji urządzeń sieciowych, zmiana parametrów urządzeń (opisanie portów, nadanie przynależności portu do VLAN </w:t>
      </w:r>
      <w:proofErr w:type="spellStart"/>
      <w:r w:rsidR="00F40890" w:rsidRPr="00542D02">
        <w:rPr>
          <w:rFonts w:asciiTheme="minorHAnsi" w:hAnsiTheme="minorHAnsi" w:cstheme="minorHAnsi"/>
          <w:sz w:val="22"/>
          <w:szCs w:val="22"/>
        </w:rPr>
        <w:t>tagowanego</w:t>
      </w:r>
      <w:proofErr w:type="spellEnd"/>
      <w:r w:rsidR="00F40890" w:rsidRPr="00542D02">
        <w:rPr>
          <w:rFonts w:asciiTheme="minorHAnsi" w:hAnsiTheme="minorHAnsi" w:cstheme="minorHAnsi"/>
          <w:sz w:val="22"/>
          <w:szCs w:val="22"/>
        </w:rPr>
        <w:t xml:space="preserve"> lub nie </w:t>
      </w:r>
      <w:proofErr w:type="spellStart"/>
      <w:r w:rsidR="00F40890" w:rsidRPr="00542D02">
        <w:rPr>
          <w:rFonts w:asciiTheme="minorHAnsi" w:hAnsiTheme="minorHAnsi" w:cstheme="minorHAnsi"/>
          <w:sz w:val="22"/>
          <w:szCs w:val="22"/>
        </w:rPr>
        <w:t>tagowanego</w:t>
      </w:r>
      <w:proofErr w:type="spellEnd"/>
      <w:r w:rsidR="00F40890" w:rsidRPr="00542D02">
        <w:rPr>
          <w:rFonts w:asciiTheme="minorHAnsi" w:hAnsiTheme="minorHAnsi" w:cstheme="minorHAnsi"/>
          <w:sz w:val="22"/>
          <w:szCs w:val="22"/>
        </w:rPr>
        <w:t>).</w:t>
      </w:r>
    </w:p>
    <w:p w14:paraId="762CFFC1" w14:textId="77777777" w:rsidR="00F40890" w:rsidRPr="00542D02" w:rsidRDefault="00F40890" w:rsidP="00A67CB6">
      <w:pPr>
        <w:pStyle w:val="NormalnyWeb"/>
        <w:ind w:firstLine="708"/>
        <w:jc w:val="both"/>
        <w:rPr>
          <w:rFonts w:asciiTheme="minorHAnsi" w:hAnsiTheme="minorHAnsi" w:cstheme="minorHAnsi"/>
          <w:sz w:val="22"/>
          <w:szCs w:val="22"/>
        </w:rPr>
      </w:pPr>
      <w:r w:rsidRPr="00542D02">
        <w:rPr>
          <w:rFonts w:asciiTheme="minorHAnsi" w:hAnsiTheme="minorHAnsi" w:cstheme="minorHAnsi"/>
          <w:sz w:val="22"/>
          <w:szCs w:val="22"/>
        </w:rPr>
        <w:t xml:space="preserve">KWP we  Wrocławiu w chwili obecnej użytkuje oprogramowanie Cisco </w:t>
      </w:r>
      <w:proofErr w:type="spellStart"/>
      <w:r w:rsidRPr="00542D02">
        <w:rPr>
          <w:rFonts w:asciiTheme="minorHAnsi" w:hAnsiTheme="minorHAnsi" w:cstheme="minorHAnsi"/>
          <w:sz w:val="22"/>
          <w:szCs w:val="22"/>
        </w:rPr>
        <w:t>Prime</w:t>
      </w:r>
      <w:proofErr w:type="spellEnd"/>
      <w:r w:rsidRPr="00542D02">
        <w:rPr>
          <w:rFonts w:asciiTheme="minorHAnsi" w:hAnsiTheme="minorHAnsi" w:cstheme="minorHAnsi"/>
          <w:sz w:val="22"/>
          <w:szCs w:val="22"/>
        </w:rPr>
        <w:t xml:space="preserve"> </w:t>
      </w:r>
      <w:proofErr w:type="spellStart"/>
      <w:r w:rsidRPr="00542D02">
        <w:rPr>
          <w:rFonts w:asciiTheme="minorHAnsi" w:hAnsiTheme="minorHAnsi" w:cstheme="minorHAnsi"/>
          <w:sz w:val="22"/>
          <w:szCs w:val="22"/>
        </w:rPr>
        <w:t>Infrastructure</w:t>
      </w:r>
      <w:proofErr w:type="spellEnd"/>
      <w:r w:rsidRPr="00542D02">
        <w:rPr>
          <w:rFonts w:asciiTheme="minorHAnsi" w:hAnsiTheme="minorHAnsi" w:cstheme="minorHAnsi"/>
          <w:sz w:val="22"/>
          <w:szCs w:val="22"/>
        </w:rPr>
        <w:t xml:space="preserve"> dla urządzeń Cisco oraz </w:t>
      </w:r>
      <w:proofErr w:type="spellStart"/>
      <w:r w:rsidRPr="00542D02">
        <w:rPr>
          <w:rFonts w:asciiTheme="minorHAnsi" w:hAnsiTheme="minorHAnsi" w:cstheme="minorHAnsi"/>
          <w:sz w:val="22"/>
          <w:szCs w:val="22"/>
        </w:rPr>
        <w:t>Unifi</w:t>
      </w:r>
      <w:proofErr w:type="spellEnd"/>
      <w:r w:rsidRPr="00542D02">
        <w:rPr>
          <w:rFonts w:asciiTheme="minorHAnsi" w:hAnsiTheme="minorHAnsi" w:cstheme="minorHAnsi"/>
          <w:sz w:val="22"/>
          <w:szCs w:val="22"/>
        </w:rPr>
        <w:t xml:space="preserve"> UMNS dla urządzeń </w:t>
      </w:r>
      <w:proofErr w:type="spellStart"/>
      <w:r w:rsidRPr="00542D02">
        <w:rPr>
          <w:rFonts w:asciiTheme="minorHAnsi" w:hAnsiTheme="minorHAnsi" w:cstheme="minorHAnsi"/>
          <w:sz w:val="22"/>
          <w:szCs w:val="22"/>
        </w:rPr>
        <w:t>Ubiquiti</w:t>
      </w:r>
      <w:proofErr w:type="spellEnd"/>
      <w:r w:rsidRPr="00542D02">
        <w:rPr>
          <w:rFonts w:asciiTheme="minorHAnsi" w:hAnsiTheme="minorHAnsi" w:cstheme="minorHAnsi"/>
          <w:sz w:val="22"/>
          <w:szCs w:val="22"/>
        </w:rPr>
        <w:t xml:space="preserve"> jako systemy do zarządzania urządzeniami sieciowymi. </w:t>
      </w:r>
    </w:p>
    <w:p w14:paraId="375C8820" w14:textId="77777777" w:rsidR="00F40890" w:rsidRPr="00542D02" w:rsidRDefault="00F40890" w:rsidP="00A67CB6">
      <w:pPr>
        <w:pStyle w:val="NormalnyWeb"/>
        <w:ind w:firstLine="708"/>
        <w:jc w:val="both"/>
        <w:rPr>
          <w:rFonts w:asciiTheme="minorHAnsi" w:hAnsiTheme="minorHAnsi" w:cstheme="minorHAnsi"/>
          <w:sz w:val="22"/>
          <w:szCs w:val="22"/>
        </w:rPr>
      </w:pPr>
      <w:r w:rsidRPr="00542D02">
        <w:rPr>
          <w:rFonts w:asciiTheme="minorHAnsi" w:hAnsiTheme="minorHAnsi" w:cstheme="minorHAnsi"/>
          <w:sz w:val="22"/>
          <w:szCs w:val="22"/>
        </w:rPr>
        <w:t>W przypadku dostarczenia urządzeń innego producenta niż obecnie użytkowane w KWP we Wrocławiu Wykonawca musi:</w:t>
      </w:r>
    </w:p>
    <w:p w14:paraId="73DEF496" w14:textId="2F27089D" w:rsidR="00F40890" w:rsidRPr="00542D02" w:rsidRDefault="00493C2A" w:rsidP="00A67CB6">
      <w:pPr>
        <w:pStyle w:val="NormalnyWeb"/>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zapewnić niezbędne licencje, instalację oraz konfigurację oprogramowania na dostarczonym w ramach projektu serwerze,</w:t>
      </w:r>
    </w:p>
    <w:p w14:paraId="4B5A0AD7" w14:textId="755CD6D8" w:rsidR="00F40890" w:rsidRPr="00542D02" w:rsidRDefault="00493C2A" w:rsidP="00A67CB6">
      <w:pPr>
        <w:pStyle w:val="NormalnyWeb"/>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 przeprowadzić szkolenia dla 3 osób – pracowników Wydziału Teleinformatyki KWP we Wrocławiu w zakresie wszystkich funkcjonalności dostarczanego sprzętu. Szkolenia muszą być przeprowadzonego przez autoryzowanego partnera producenta oprogramowania,</w:t>
      </w:r>
    </w:p>
    <w:p w14:paraId="585EA6C2" w14:textId="24ACFEBF" w:rsidR="00F40890" w:rsidRPr="00542D02" w:rsidRDefault="00493C2A" w:rsidP="00A67CB6">
      <w:pPr>
        <w:pStyle w:val="NormalnyWeb"/>
        <w:jc w:val="both"/>
        <w:rPr>
          <w:rFonts w:asciiTheme="minorHAnsi" w:hAnsiTheme="minorHAnsi" w:cstheme="minorHAnsi"/>
          <w:sz w:val="22"/>
          <w:szCs w:val="22"/>
        </w:rPr>
      </w:pPr>
      <w:r w:rsidRPr="00542D02">
        <w:rPr>
          <w:rFonts w:asciiTheme="minorHAnsi" w:hAnsiTheme="minorHAnsi" w:cstheme="minorHAnsi"/>
          <w:sz w:val="22"/>
          <w:szCs w:val="22"/>
        </w:rPr>
        <w:t xml:space="preserve">- </w:t>
      </w:r>
      <w:r w:rsidR="00F40890" w:rsidRPr="00542D02">
        <w:rPr>
          <w:rFonts w:asciiTheme="minorHAnsi" w:hAnsiTheme="minorHAnsi" w:cstheme="minorHAnsi"/>
          <w:sz w:val="22"/>
          <w:szCs w:val="22"/>
        </w:rPr>
        <w:t xml:space="preserve"> </w:t>
      </w:r>
      <w:proofErr w:type="spellStart"/>
      <w:r w:rsidR="00F40890" w:rsidRPr="00542D02">
        <w:rPr>
          <w:rFonts w:asciiTheme="minorHAnsi" w:hAnsiTheme="minorHAnsi" w:cstheme="minorHAnsi"/>
          <w:sz w:val="22"/>
          <w:szCs w:val="22"/>
        </w:rPr>
        <w:t>zmigrować</w:t>
      </w:r>
      <w:proofErr w:type="spellEnd"/>
      <w:r w:rsidR="00F40890" w:rsidRPr="00542D02">
        <w:rPr>
          <w:rFonts w:asciiTheme="minorHAnsi" w:hAnsiTheme="minorHAnsi" w:cstheme="minorHAnsi"/>
          <w:sz w:val="22"/>
          <w:szCs w:val="22"/>
        </w:rPr>
        <w:t xml:space="preserve"> używane obecnie urządzenia sieciowe do dostarczonego systemu do zarządzania urządzeniami sieciowymi.</w:t>
      </w:r>
    </w:p>
    <w:p w14:paraId="42303359" w14:textId="77777777" w:rsidR="00F40890" w:rsidRPr="00542D02" w:rsidRDefault="00F40890" w:rsidP="00A67CB6">
      <w:pPr>
        <w:pStyle w:val="NormalnyWeb"/>
        <w:jc w:val="both"/>
        <w:rPr>
          <w:rFonts w:asciiTheme="minorHAnsi" w:hAnsiTheme="minorHAnsi" w:cstheme="minorHAnsi"/>
          <w:sz w:val="22"/>
          <w:szCs w:val="22"/>
        </w:rPr>
      </w:pPr>
      <w:r w:rsidRPr="00542D02">
        <w:rPr>
          <w:rFonts w:asciiTheme="minorHAnsi" w:hAnsiTheme="minorHAnsi" w:cstheme="minorHAnsi"/>
          <w:sz w:val="22"/>
          <w:szCs w:val="22"/>
        </w:rPr>
        <w:t xml:space="preserve">Licencje dostarczone z urządzeniami muszą być przypisane do danych Komendy Wojewódzkiej Policji we Wrocławiu i zarejestrowane na adres </w:t>
      </w:r>
      <w:hyperlink r:id="rId8" w:history="1">
        <w:r w:rsidRPr="00542D02">
          <w:rPr>
            <w:rStyle w:val="Hipercze"/>
            <w:rFonts w:asciiTheme="minorHAnsi" w:hAnsiTheme="minorHAnsi" w:cstheme="minorHAnsi"/>
            <w:color w:val="0563C1"/>
            <w:sz w:val="22"/>
            <w:szCs w:val="22"/>
          </w:rPr>
          <w:t>licencje@wr.policja.gov.pl</w:t>
        </w:r>
      </w:hyperlink>
      <w:r w:rsidRPr="00542D02">
        <w:rPr>
          <w:rFonts w:asciiTheme="minorHAnsi" w:hAnsiTheme="minorHAnsi" w:cstheme="minorHAnsi"/>
          <w:sz w:val="22"/>
          <w:szCs w:val="22"/>
        </w:rPr>
        <w:t>.</w:t>
      </w:r>
    </w:p>
    <w:p w14:paraId="4A515372" w14:textId="77777777" w:rsidR="00A67CB6" w:rsidRPr="00542D02" w:rsidRDefault="00A67CB6" w:rsidP="00A67CB6">
      <w:pPr>
        <w:pStyle w:val="Nagwek2"/>
        <w:spacing w:before="0"/>
        <w:jc w:val="both"/>
        <w:rPr>
          <w:rFonts w:asciiTheme="minorHAnsi" w:hAnsiTheme="minorHAnsi" w:cstheme="minorHAnsi"/>
          <w:i w:val="0"/>
          <w:iCs w:val="0"/>
          <w:sz w:val="22"/>
          <w:szCs w:val="22"/>
          <w:u w:val="single"/>
        </w:rPr>
      </w:pPr>
      <w:r w:rsidRPr="00542D02">
        <w:rPr>
          <w:rFonts w:asciiTheme="minorHAnsi" w:hAnsiTheme="minorHAnsi" w:cstheme="minorHAnsi"/>
          <w:i w:val="0"/>
          <w:iCs w:val="0"/>
          <w:sz w:val="22"/>
          <w:szCs w:val="22"/>
          <w:u w:val="single"/>
        </w:rPr>
        <w:lastRenderedPageBreak/>
        <w:t>Wymagania do spełnienia przez Wykonawcę:</w:t>
      </w:r>
    </w:p>
    <w:p w14:paraId="2CFB162E" w14:textId="77777777" w:rsidR="00A67CB6" w:rsidRPr="00542D02" w:rsidRDefault="00A67CB6" w:rsidP="00A67CB6">
      <w:pPr>
        <w:spacing w:line="240" w:lineRule="auto"/>
        <w:rPr>
          <w:rFonts w:cstheme="minorHAnsi"/>
        </w:rPr>
      </w:pPr>
    </w:p>
    <w:p w14:paraId="378EAD6A" w14:textId="77777777"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 xml:space="preserve">Do oferty należy dołączyć karty katalogowe oferowanego sprzętu, z których jednoznacznie będzie wynikać spełnienie przez oferentów minimalnych parametrów określonych przez Zamawiającego. </w:t>
      </w:r>
      <w:r w:rsidRPr="00542D02">
        <w:rPr>
          <w:rFonts w:asciiTheme="minorHAnsi" w:hAnsiTheme="minorHAnsi" w:cstheme="minorHAnsi"/>
          <w:b w:val="0"/>
          <w:bCs w:val="0"/>
          <w:i w:val="0"/>
          <w:iCs w:val="0"/>
          <w:sz w:val="22"/>
          <w:szCs w:val="22"/>
          <w:u w:val="single"/>
        </w:rPr>
        <w:t>W przypadku dołączenia kart katalogowych sprzętu opracowanych przez producenta dostarczanego urządzenia, jeżeli nie udostępnia on dokumentacji w języku polskim dopuszczalna jest jej wersja angielskojęzyczna.</w:t>
      </w:r>
      <w:r w:rsidRPr="00542D02">
        <w:rPr>
          <w:rFonts w:asciiTheme="minorHAnsi" w:hAnsiTheme="minorHAnsi" w:cstheme="minorHAnsi"/>
          <w:b w:val="0"/>
          <w:bCs w:val="0"/>
          <w:i w:val="0"/>
          <w:iCs w:val="0"/>
          <w:sz w:val="22"/>
          <w:szCs w:val="22"/>
        </w:rPr>
        <w:t xml:space="preserve"> </w:t>
      </w:r>
    </w:p>
    <w:p w14:paraId="779F9904" w14:textId="27D6F495"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 xml:space="preserve">Wszystkie dostarczone przez wykonawcę urządzenia będą fabrycznie nowe, będą pochodziły </w:t>
      </w:r>
      <w:r w:rsidRPr="00542D02">
        <w:rPr>
          <w:rFonts w:asciiTheme="minorHAnsi" w:hAnsiTheme="minorHAnsi" w:cstheme="minorHAnsi"/>
          <w:b w:val="0"/>
          <w:bCs w:val="0"/>
          <w:i w:val="0"/>
          <w:iCs w:val="0"/>
          <w:sz w:val="22"/>
          <w:szCs w:val="22"/>
        </w:rPr>
        <w:br/>
        <w:t xml:space="preserve">z bieżącej produkcji, tzn. będą wyprodukowane po 01 lipca  2023 roku, i będą nieużywane. </w:t>
      </w:r>
      <w:r w:rsidRPr="00542D02">
        <w:rPr>
          <w:rFonts w:asciiTheme="minorHAnsi" w:hAnsiTheme="minorHAnsi" w:cstheme="minorHAnsi"/>
          <w:i w:val="0"/>
          <w:iCs w:val="0"/>
          <w:sz w:val="22"/>
          <w:szCs w:val="22"/>
          <w:u w:val="single"/>
        </w:rPr>
        <w:t>Wykonawca na etapie realizacji umowy dostarczy Zamawiającemu oświadczenie producenta potwierdzające datę produkcji urządzeń</w:t>
      </w:r>
      <w:r w:rsidRPr="00542D02">
        <w:rPr>
          <w:rFonts w:asciiTheme="minorHAnsi" w:hAnsiTheme="minorHAnsi" w:cstheme="minorHAnsi"/>
          <w:b w:val="0"/>
          <w:bCs w:val="0"/>
          <w:i w:val="0"/>
          <w:iCs w:val="0"/>
          <w:sz w:val="22"/>
          <w:szCs w:val="22"/>
        </w:rPr>
        <w:t xml:space="preserve">. Urządzenia muszą spełniać wymagania </w:t>
      </w:r>
      <w:proofErr w:type="spellStart"/>
      <w:r w:rsidRPr="00542D02">
        <w:rPr>
          <w:rFonts w:asciiTheme="minorHAnsi" w:hAnsiTheme="minorHAnsi" w:cstheme="minorHAnsi"/>
          <w:b w:val="0"/>
          <w:bCs w:val="0"/>
          <w:i w:val="0"/>
          <w:iCs w:val="0"/>
          <w:sz w:val="22"/>
          <w:szCs w:val="22"/>
        </w:rPr>
        <w:t>techniczno</w:t>
      </w:r>
      <w:proofErr w:type="spellEnd"/>
      <w:r w:rsidRPr="00542D02">
        <w:rPr>
          <w:rFonts w:asciiTheme="minorHAnsi" w:hAnsiTheme="minorHAnsi" w:cstheme="minorHAnsi"/>
          <w:b w:val="0"/>
          <w:bCs w:val="0"/>
          <w:i w:val="0"/>
          <w:iCs w:val="0"/>
          <w:sz w:val="22"/>
          <w:szCs w:val="22"/>
        </w:rPr>
        <w:t xml:space="preserve"> – jakościowe okre</w:t>
      </w:r>
      <w:r w:rsidR="00D15C3A">
        <w:rPr>
          <w:rFonts w:asciiTheme="minorHAnsi" w:hAnsiTheme="minorHAnsi" w:cstheme="minorHAnsi"/>
          <w:b w:val="0"/>
          <w:bCs w:val="0"/>
          <w:i w:val="0"/>
          <w:iCs w:val="0"/>
          <w:sz w:val="22"/>
          <w:szCs w:val="22"/>
        </w:rPr>
        <w:t>ślone przez Zamawiającego w SIWZ</w:t>
      </w:r>
      <w:r w:rsidRPr="00542D02">
        <w:rPr>
          <w:rFonts w:asciiTheme="minorHAnsi" w:hAnsiTheme="minorHAnsi" w:cstheme="minorHAnsi"/>
          <w:b w:val="0"/>
          <w:bCs w:val="0"/>
          <w:i w:val="0"/>
          <w:iCs w:val="0"/>
          <w:sz w:val="22"/>
          <w:szCs w:val="22"/>
        </w:rPr>
        <w:t>.</w:t>
      </w:r>
    </w:p>
    <w:p w14:paraId="40BE22AB" w14:textId="77777777"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i w:val="0"/>
          <w:iCs w:val="0"/>
          <w:sz w:val="22"/>
          <w:szCs w:val="22"/>
          <w:u w:val="single"/>
        </w:rPr>
      </w:pPr>
      <w:r w:rsidRPr="00542D02">
        <w:rPr>
          <w:rFonts w:asciiTheme="minorHAnsi" w:hAnsiTheme="minorHAnsi" w:cstheme="minorHAnsi"/>
          <w:i w:val="0"/>
          <w:iCs w:val="0"/>
          <w:sz w:val="22"/>
          <w:szCs w:val="22"/>
          <w:u w:val="single"/>
        </w:rPr>
        <w:t>Wykonawca dostarczy, na etapie dostawy pakietów serwisowych, pisemne oświadczenie wystawione przez producenta, że dostarczane pakiety serwisowe umożliwiają zgłaszanie uszkodzeń bezpośrednio do producenta sprzętu i są dedykowane do zaoferowanego przez Wykonawcę sprzętu.</w:t>
      </w:r>
    </w:p>
    <w:p w14:paraId="5944C978" w14:textId="77777777"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Warunki serwisu nie mogą nakładać na Zamawiającego konieczności przechowywania oryginalnych opakowań po sprzęcie.</w:t>
      </w:r>
    </w:p>
    <w:p w14:paraId="3EF1E825" w14:textId="77777777"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Wszystkie urządzenia dostarczone przez Wykonawcę będą pochodziły z autoryzowanego kanału sprzedaży producenta sprzętu na rynek Unii Europejskiej, co oznacza, że będzie on sprzętem nowym (nie będzie on sprzętem odnowionym (</w:t>
      </w:r>
      <w:proofErr w:type="spellStart"/>
      <w:r w:rsidRPr="00542D02">
        <w:rPr>
          <w:rFonts w:asciiTheme="minorHAnsi" w:hAnsiTheme="minorHAnsi" w:cstheme="minorHAnsi"/>
          <w:b w:val="0"/>
          <w:bCs w:val="0"/>
          <w:i w:val="0"/>
          <w:iCs w:val="0"/>
          <w:sz w:val="22"/>
          <w:szCs w:val="22"/>
        </w:rPr>
        <w:t>refurbished</w:t>
      </w:r>
      <w:proofErr w:type="spellEnd"/>
      <w:r w:rsidRPr="00542D02">
        <w:rPr>
          <w:rFonts w:asciiTheme="minorHAnsi" w:hAnsiTheme="minorHAnsi" w:cstheme="minorHAnsi"/>
          <w:b w:val="0"/>
          <w:bCs w:val="0"/>
          <w:i w:val="0"/>
          <w:iCs w:val="0"/>
          <w:sz w:val="22"/>
          <w:szCs w:val="22"/>
        </w:rPr>
        <w:t xml:space="preserve">), nie będzie on sprzętem pochodzącym z recyklingu) i będzie posiadał wymagany pakiet usług gwarancyjnych producenta kierowany do użytkowników z obszaru Rzeczypospolitej Polskiej. </w:t>
      </w:r>
      <w:r w:rsidRPr="00542D02">
        <w:rPr>
          <w:rFonts w:asciiTheme="minorHAnsi" w:hAnsiTheme="minorHAnsi" w:cstheme="minorHAnsi"/>
          <w:i w:val="0"/>
          <w:iCs w:val="0"/>
          <w:sz w:val="22"/>
          <w:szCs w:val="22"/>
          <w:u w:val="single"/>
        </w:rPr>
        <w:t>Spełnienie powyższego wymogu będzie potwierdzone oświadczeniem producenta sprzętu, potwierdzające pochodzenie sprzętu z autoryzowanego kanału sprzedaży z Unii Europejskiej, które Wykonawca dostarczy w języku polskim do Zamawiającego najpóźniej w dniu dostawy oferowanego sprzętu. Oświadczenie musi zawierać numery seryjne dostarczonych urządzeń.</w:t>
      </w:r>
      <w:r w:rsidRPr="00542D02">
        <w:rPr>
          <w:rFonts w:asciiTheme="minorHAnsi" w:hAnsiTheme="minorHAnsi" w:cstheme="minorHAnsi"/>
          <w:b w:val="0"/>
          <w:bCs w:val="0"/>
          <w:i w:val="0"/>
          <w:iCs w:val="0"/>
          <w:sz w:val="22"/>
          <w:szCs w:val="22"/>
        </w:rPr>
        <w:t xml:space="preserve"> </w:t>
      </w:r>
    </w:p>
    <w:p w14:paraId="6163AE54" w14:textId="77777777" w:rsidR="00A67CB6" w:rsidRPr="00542D02"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 xml:space="preserve">Wykonawca zapewnia i zobowiązuje się, że korzystanie przez Zmawiającego </w:t>
      </w:r>
      <w:r w:rsidRPr="00542D02">
        <w:rPr>
          <w:rFonts w:asciiTheme="minorHAnsi" w:hAnsiTheme="minorHAnsi" w:cstheme="minorHAnsi"/>
          <w:b w:val="0"/>
          <w:bCs w:val="0"/>
          <w:i w:val="0"/>
          <w:iCs w:val="0"/>
          <w:sz w:val="22"/>
          <w:szCs w:val="22"/>
        </w:rPr>
        <w:br/>
        <w:t xml:space="preserve">z dostarczonych produktów nie będzie stanowić naruszenia majątkowych praw autorskich osób trzecich. W wypadku powzięcia wątpliwości co do zgodności oferowanych produktów </w:t>
      </w:r>
      <w:r w:rsidRPr="00542D02">
        <w:rPr>
          <w:rFonts w:asciiTheme="minorHAnsi" w:hAnsiTheme="minorHAnsi" w:cstheme="minorHAnsi"/>
          <w:b w:val="0"/>
          <w:bCs w:val="0"/>
          <w:i w:val="0"/>
          <w:iCs w:val="0"/>
          <w:sz w:val="22"/>
          <w:szCs w:val="22"/>
        </w:rPr>
        <w:br/>
        <w:t>z umowa, w szczególności w zakresie legalności oprogramowania, Zamawiający jest uprawniony do  zwrócenia się do producenta oferowanych produktów o potwierdzenie ich zgodności z umową (w tym także do przekazania producentowi niezbędnych danych umożliwiających weryfikację) oraz zlecenia producentowi oferowanych produktów, lub wskazanemu przez producenta podmiotowi, inspekcji produktów pod kątem ich zgodności z umową oraz ważności i zakresu uprawnień licencyjnych. Jeżeli inspekcja, o której mowa powyżej wykaże, ze korzystanie z produktów narusza majątkowe prawa autorskie osób producenta, koszt inspekcji zostanie pokryty przez Wykonawcę, według rachunku przedstawionego przez podmiot wykonujący inspekcję. Prawo zlecenia inspekcji nie ogranicza ani nie wyłącza innych uprawnień Zamawiającego, w szczególności prawa do żądania dostarczenia produktów zgodnych z umowa oraz roszczeń odszkodowawczych.</w:t>
      </w:r>
    </w:p>
    <w:p w14:paraId="4823B304" w14:textId="77777777" w:rsidR="00A67CB6" w:rsidRDefault="00A67CB6" w:rsidP="00A67CB6">
      <w:pPr>
        <w:pStyle w:val="Nagwek2"/>
        <w:numPr>
          <w:ilvl w:val="0"/>
          <w:numId w:val="1"/>
        </w:numPr>
        <w:tabs>
          <w:tab w:val="num" w:pos="-76"/>
          <w:tab w:val="num" w:pos="360"/>
        </w:tabs>
        <w:spacing w:before="0"/>
        <w:ind w:left="426" w:hanging="426"/>
        <w:jc w:val="both"/>
        <w:rPr>
          <w:rFonts w:asciiTheme="minorHAnsi" w:hAnsiTheme="minorHAnsi" w:cstheme="minorHAnsi"/>
          <w:b w:val="0"/>
          <w:bCs w:val="0"/>
          <w:i w:val="0"/>
          <w:iCs w:val="0"/>
          <w:sz w:val="22"/>
          <w:szCs w:val="22"/>
        </w:rPr>
      </w:pPr>
      <w:r w:rsidRPr="00542D02">
        <w:rPr>
          <w:rFonts w:asciiTheme="minorHAnsi" w:hAnsiTheme="minorHAnsi" w:cstheme="minorHAnsi"/>
          <w:b w:val="0"/>
          <w:bCs w:val="0"/>
          <w:i w:val="0"/>
          <w:iCs w:val="0"/>
          <w:sz w:val="22"/>
          <w:szCs w:val="22"/>
        </w:rPr>
        <w:t>Oferowane urządzenia w dniu składania ofert nie mogą być przeznaczone przez producenta do wycofania z produkcji lub sprzedaży (End Of Life, End Of Sale).</w:t>
      </w:r>
    </w:p>
    <w:p w14:paraId="475BDD79" w14:textId="77777777" w:rsidR="00460036" w:rsidRDefault="00460036" w:rsidP="00460036">
      <w:pPr>
        <w:rPr>
          <w:lang w:eastAsia="pl-PL"/>
        </w:rPr>
      </w:pPr>
    </w:p>
    <w:p w14:paraId="2A4C43F9" w14:textId="77777777" w:rsidR="00460036" w:rsidRDefault="00460036" w:rsidP="00460036">
      <w:pPr>
        <w:rPr>
          <w:lang w:eastAsia="pl-PL"/>
        </w:rPr>
      </w:pPr>
    </w:p>
    <w:p w14:paraId="0372FC03" w14:textId="77777777" w:rsidR="00460036" w:rsidRDefault="00460036" w:rsidP="00460036">
      <w:pPr>
        <w:rPr>
          <w:lang w:eastAsia="pl-PL"/>
        </w:rPr>
      </w:pPr>
      <w:r>
        <w:rPr>
          <w:lang w:eastAsia="pl-PL"/>
        </w:rPr>
        <w:t>Karta katalogowa winna potwierdzać co najmniej:</w:t>
      </w:r>
    </w:p>
    <w:p w14:paraId="6D3AC260" w14:textId="77777777" w:rsidR="00460036" w:rsidRDefault="00460036" w:rsidP="00460036">
      <w:pPr>
        <w:rPr>
          <w:lang w:eastAsia="pl-PL"/>
        </w:rPr>
      </w:pPr>
    </w:p>
    <w:p w14:paraId="023FD20F" w14:textId="77777777" w:rsidR="00460036" w:rsidRPr="00AC7F66" w:rsidRDefault="00460036" w:rsidP="00460036">
      <w:pPr>
        <w:rPr>
          <w:b/>
          <w:u w:val="single"/>
          <w:lang w:eastAsia="pl-PL"/>
        </w:rPr>
      </w:pPr>
      <w:r w:rsidRPr="00AC7F66">
        <w:rPr>
          <w:b/>
          <w:u w:val="single"/>
          <w:lang w:eastAsia="pl-PL"/>
        </w:rPr>
        <w:lastRenderedPageBreak/>
        <w:t xml:space="preserve">Switch </w:t>
      </w:r>
      <w:proofErr w:type="spellStart"/>
      <w:r w:rsidRPr="00AC7F66">
        <w:rPr>
          <w:b/>
          <w:u w:val="single"/>
          <w:lang w:eastAsia="pl-PL"/>
        </w:rPr>
        <w:t>zarządzalny</w:t>
      </w:r>
      <w:proofErr w:type="spellEnd"/>
      <w:r w:rsidRPr="00AC7F66">
        <w:rPr>
          <w:b/>
          <w:u w:val="single"/>
          <w:lang w:eastAsia="pl-PL"/>
        </w:rPr>
        <w:t xml:space="preserve"> 5 portowy:</w:t>
      </w:r>
    </w:p>
    <w:p w14:paraId="656A3116" w14:textId="77777777" w:rsidR="00460036" w:rsidRPr="00AC7F66" w:rsidRDefault="00460036" w:rsidP="00460036">
      <w:pPr>
        <w:rPr>
          <w:b/>
          <w:u w:val="single"/>
          <w:lang w:eastAsia="pl-PL"/>
        </w:rPr>
      </w:pPr>
    </w:p>
    <w:p w14:paraId="35E9F635" w14:textId="77777777" w:rsidR="00460036" w:rsidRPr="00AC7F66" w:rsidRDefault="00460036" w:rsidP="00460036">
      <w:pPr>
        <w:rPr>
          <w:b/>
          <w:u w:val="single"/>
          <w:lang w:eastAsia="pl-PL"/>
        </w:rPr>
      </w:pPr>
      <w:r w:rsidRPr="00AC7F66">
        <w:rPr>
          <w:b/>
          <w:u w:val="single"/>
          <w:lang w:eastAsia="pl-PL"/>
        </w:rPr>
        <w:t>Karta katalogowa musi zawierać co najmniej następujące informacje, że:</w:t>
      </w:r>
    </w:p>
    <w:p w14:paraId="6B97183B" w14:textId="77777777" w:rsidR="00460036" w:rsidRDefault="00460036" w:rsidP="00460036">
      <w:pPr>
        <w:rPr>
          <w:lang w:eastAsia="pl-PL"/>
        </w:rPr>
      </w:pPr>
    </w:p>
    <w:p w14:paraId="1E898C7E" w14:textId="77777777" w:rsidR="00460036" w:rsidRDefault="00460036" w:rsidP="00460036">
      <w:pPr>
        <w:rPr>
          <w:lang w:eastAsia="pl-PL"/>
        </w:rPr>
      </w:pPr>
      <w:r>
        <w:rPr>
          <w:lang w:eastAsia="pl-PL"/>
        </w:rPr>
        <w:t xml:space="preserve">- Urządzenie musi posiadać minimum 5x gigabitowych portów Ethernet 10/100/1000 </w:t>
      </w:r>
      <w:proofErr w:type="spellStart"/>
      <w:r>
        <w:rPr>
          <w:lang w:eastAsia="pl-PL"/>
        </w:rPr>
        <w:t>Mb</w:t>
      </w:r>
      <w:proofErr w:type="spellEnd"/>
      <w:r>
        <w:rPr>
          <w:lang w:eastAsia="pl-PL"/>
        </w:rPr>
        <w:t>/s</w:t>
      </w:r>
    </w:p>
    <w:p w14:paraId="1DDF7765" w14:textId="77777777" w:rsidR="00460036" w:rsidRDefault="00460036" w:rsidP="00460036">
      <w:pPr>
        <w:rPr>
          <w:lang w:eastAsia="pl-PL"/>
        </w:rPr>
      </w:pPr>
      <w:r>
        <w:rPr>
          <w:lang w:eastAsia="pl-PL"/>
        </w:rPr>
        <w:t xml:space="preserve">- Maksymalny pobór mocy urządzenie nie większy niż 2,5 W </w:t>
      </w:r>
    </w:p>
    <w:p w14:paraId="20F42B52" w14:textId="77777777" w:rsidR="00460036" w:rsidRDefault="00460036" w:rsidP="00460036">
      <w:pPr>
        <w:rPr>
          <w:lang w:eastAsia="pl-PL"/>
        </w:rPr>
      </w:pPr>
      <w:r>
        <w:rPr>
          <w:lang w:eastAsia="pl-PL"/>
        </w:rPr>
        <w:t>- Przepustowość Non-</w:t>
      </w:r>
      <w:proofErr w:type="spellStart"/>
      <w:r>
        <w:rPr>
          <w:lang w:eastAsia="pl-PL"/>
        </w:rPr>
        <w:t>Blocking</w:t>
      </w:r>
      <w:proofErr w:type="spellEnd"/>
      <w:r>
        <w:rPr>
          <w:lang w:eastAsia="pl-PL"/>
        </w:rPr>
        <w:t xml:space="preserve">  urządzenia </w:t>
      </w:r>
      <w:proofErr w:type="spellStart"/>
      <w:r>
        <w:rPr>
          <w:lang w:eastAsia="pl-PL"/>
        </w:rPr>
        <w:t>minium</w:t>
      </w:r>
      <w:proofErr w:type="spellEnd"/>
      <w:r>
        <w:rPr>
          <w:lang w:eastAsia="pl-PL"/>
        </w:rPr>
        <w:t xml:space="preserve"> 5 </w:t>
      </w:r>
      <w:proofErr w:type="spellStart"/>
      <w:r>
        <w:rPr>
          <w:lang w:eastAsia="pl-PL"/>
        </w:rPr>
        <w:t>Gb</w:t>
      </w:r>
      <w:proofErr w:type="spellEnd"/>
      <w:r>
        <w:rPr>
          <w:lang w:eastAsia="pl-PL"/>
        </w:rPr>
        <w:t xml:space="preserve">/s </w:t>
      </w:r>
    </w:p>
    <w:p w14:paraId="522EA328" w14:textId="77777777" w:rsidR="00460036" w:rsidRDefault="00460036" w:rsidP="00460036">
      <w:pPr>
        <w:rPr>
          <w:lang w:eastAsia="pl-PL"/>
        </w:rPr>
      </w:pPr>
      <w:r>
        <w:rPr>
          <w:lang w:eastAsia="pl-PL"/>
        </w:rPr>
        <w:t xml:space="preserve">- Przepustowość przełączania urządzenia minimum 10 </w:t>
      </w:r>
      <w:proofErr w:type="spellStart"/>
      <w:r>
        <w:rPr>
          <w:lang w:eastAsia="pl-PL"/>
        </w:rPr>
        <w:t>Gb</w:t>
      </w:r>
      <w:proofErr w:type="spellEnd"/>
      <w:r>
        <w:rPr>
          <w:lang w:eastAsia="pl-PL"/>
        </w:rPr>
        <w:t xml:space="preserve">/s </w:t>
      </w:r>
    </w:p>
    <w:p w14:paraId="4AD87934" w14:textId="77777777" w:rsidR="00460036" w:rsidRPr="00460036" w:rsidRDefault="00460036" w:rsidP="00460036">
      <w:pPr>
        <w:rPr>
          <w:lang w:eastAsia="pl-PL"/>
        </w:rPr>
      </w:pPr>
      <w:bookmarkStart w:id="0" w:name="_GoBack"/>
      <w:bookmarkEnd w:id="0"/>
    </w:p>
    <w:sectPr w:rsidR="00460036" w:rsidRPr="0046003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8F4CE" w14:textId="77777777" w:rsidR="00DD2C9F" w:rsidRDefault="00DD2C9F" w:rsidP="00542D02">
      <w:pPr>
        <w:spacing w:after="0" w:line="240" w:lineRule="auto"/>
      </w:pPr>
      <w:r>
        <w:separator/>
      </w:r>
    </w:p>
  </w:endnote>
  <w:endnote w:type="continuationSeparator" w:id="0">
    <w:p w14:paraId="77A94885" w14:textId="77777777" w:rsidR="00DD2C9F" w:rsidRDefault="00DD2C9F" w:rsidP="00542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B8838" w14:textId="77777777" w:rsidR="00DD2C9F" w:rsidRDefault="00DD2C9F" w:rsidP="00542D02">
      <w:pPr>
        <w:spacing w:after="0" w:line="240" w:lineRule="auto"/>
      </w:pPr>
      <w:r>
        <w:separator/>
      </w:r>
    </w:p>
  </w:footnote>
  <w:footnote w:type="continuationSeparator" w:id="0">
    <w:p w14:paraId="448EFAEE" w14:textId="77777777" w:rsidR="00DD2C9F" w:rsidRDefault="00DD2C9F" w:rsidP="00542D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5C494" w14:textId="6EC75E71" w:rsidR="00542D02" w:rsidRDefault="00D15C3A">
    <w:pPr>
      <w:pStyle w:val="Nagwek"/>
    </w:pPr>
    <w:r>
      <w:tab/>
    </w:r>
    <w:r>
      <w:tab/>
    </w:r>
    <w:r w:rsidR="009966E0">
      <w:t xml:space="preserve">Załącznik – specyfikacja do poz. </w:t>
    </w:r>
    <w:r>
      <w:t>nr 2 zadania nr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67491"/>
    <w:multiLevelType w:val="hybridMultilevel"/>
    <w:tmpl w:val="F0F21AA0"/>
    <w:lvl w:ilvl="0" w:tplc="EDF20900">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90"/>
    <w:rsid w:val="00000B3F"/>
    <w:rsid w:val="002C3882"/>
    <w:rsid w:val="00430443"/>
    <w:rsid w:val="00460036"/>
    <w:rsid w:val="00493C2A"/>
    <w:rsid w:val="00542D02"/>
    <w:rsid w:val="009966E0"/>
    <w:rsid w:val="00A43A87"/>
    <w:rsid w:val="00A67CB6"/>
    <w:rsid w:val="00AC7F66"/>
    <w:rsid w:val="00AF2AC2"/>
    <w:rsid w:val="00BF78B3"/>
    <w:rsid w:val="00C7188A"/>
    <w:rsid w:val="00CB04CC"/>
    <w:rsid w:val="00D15C3A"/>
    <w:rsid w:val="00DD2C9F"/>
    <w:rsid w:val="00F40890"/>
    <w:rsid w:val="00FB09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F3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67CB6"/>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4089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semiHidden/>
    <w:unhideWhenUsed/>
    <w:rsid w:val="00F40890"/>
    <w:rPr>
      <w:color w:val="0000FF"/>
      <w:u w:val="single"/>
    </w:rPr>
  </w:style>
  <w:style w:type="character" w:customStyle="1" w:styleId="Nagwek2Znak">
    <w:name w:val="Nagłówek 2 Znak"/>
    <w:basedOn w:val="Domylnaczcionkaakapitu"/>
    <w:link w:val="Nagwek2"/>
    <w:uiPriority w:val="99"/>
    <w:rsid w:val="00A67CB6"/>
    <w:rPr>
      <w:rFonts w:ascii="Cambria" w:eastAsia="Times New Roman" w:hAnsi="Cambria" w:cs="Times New Roman"/>
      <w:b/>
      <w:bCs/>
      <w:i/>
      <w:iCs/>
      <w:kern w:val="0"/>
      <w:sz w:val="28"/>
      <w:szCs w:val="28"/>
      <w:lang w:eastAsia="pl-PL"/>
      <w14:ligatures w14:val="none"/>
    </w:rPr>
  </w:style>
  <w:style w:type="paragraph" w:styleId="Akapitzlist">
    <w:name w:val="List Paragraph"/>
    <w:basedOn w:val="Normalny"/>
    <w:link w:val="AkapitzlistZnak"/>
    <w:uiPriority w:val="99"/>
    <w:qFormat/>
    <w:rsid w:val="00A67CB6"/>
    <w:pPr>
      <w:spacing w:after="0" w:line="240" w:lineRule="auto"/>
      <w:ind w:left="720"/>
    </w:pPr>
    <w:rPr>
      <w:rFonts w:ascii="Calibri" w:eastAsia="Times New Roman" w:hAnsi="Calibri" w:cs="Calibri"/>
      <w:kern w:val="0"/>
      <w14:ligatures w14:val="none"/>
    </w:rPr>
  </w:style>
  <w:style w:type="character" w:customStyle="1" w:styleId="AkapitzlistZnak">
    <w:name w:val="Akapit z listą Znak"/>
    <w:link w:val="Akapitzlist"/>
    <w:uiPriority w:val="99"/>
    <w:qFormat/>
    <w:locked/>
    <w:rsid w:val="00A67CB6"/>
    <w:rPr>
      <w:rFonts w:ascii="Calibri" w:eastAsia="Times New Roman" w:hAnsi="Calibri" w:cs="Calibri"/>
      <w:kern w:val="0"/>
      <w14:ligatures w14:val="none"/>
    </w:rPr>
  </w:style>
  <w:style w:type="paragraph" w:styleId="Nagwek">
    <w:name w:val="header"/>
    <w:basedOn w:val="Normalny"/>
    <w:link w:val="NagwekZnak"/>
    <w:uiPriority w:val="99"/>
    <w:unhideWhenUsed/>
    <w:rsid w:val="00542D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D02"/>
  </w:style>
  <w:style w:type="paragraph" w:styleId="Stopka">
    <w:name w:val="footer"/>
    <w:basedOn w:val="Normalny"/>
    <w:link w:val="StopkaZnak"/>
    <w:uiPriority w:val="99"/>
    <w:unhideWhenUsed/>
    <w:rsid w:val="00542D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D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67CB6"/>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4089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semiHidden/>
    <w:unhideWhenUsed/>
    <w:rsid w:val="00F40890"/>
    <w:rPr>
      <w:color w:val="0000FF"/>
      <w:u w:val="single"/>
    </w:rPr>
  </w:style>
  <w:style w:type="character" w:customStyle="1" w:styleId="Nagwek2Znak">
    <w:name w:val="Nagłówek 2 Znak"/>
    <w:basedOn w:val="Domylnaczcionkaakapitu"/>
    <w:link w:val="Nagwek2"/>
    <w:uiPriority w:val="99"/>
    <w:rsid w:val="00A67CB6"/>
    <w:rPr>
      <w:rFonts w:ascii="Cambria" w:eastAsia="Times New Roman" w:hAnsi="Cambria" w:cs="Times New Roman"/>
      <w:b/>
      <w:bCs/>
      <w:i/>
      <w:iCs/>
      <w:kern w:val="0"/>
      <w:sz w:val="28"/>
      <w:szCs w:val="28"/>
      <w:lang w:eastAsia="pl-PL"/>
      <w14:ligatures w14:val="none"/>
    </w:rPr>
  </w:style>
  <w:style w:type="paragraph" w:styleId="Akapitzlist">
    <w:name w:val="List Paragraph"/>
    <w:basedOn w:val="Normalny"/>
    <w:link w:val="AkapitzlistZnak"/>
    <w:uiPriority w:val="99"/>
    <w:qFormat/>
    <w:rsid w:val="00A67CB6"/>
    <w:pPr>
      <w:spacing w:after="0" w:line="240" w:lineRule="auto"/>
      <w:ind w:left="720"/>
    </w:pPr>
    <w:rPr>
      <w:rFonts w:ascii="Calibri" w:eastAsia="Times New Roman" w:hAnsi="Calibri" w:cs="Calibri"/>
      <w:kern w:val="0"/>
      <w14:ligatures w14:val="none"/>
    </w:rPr>
  </w:style>
  <w:style w:type="character" w:customStyle="1" w:styleId="AkapitzlistZnak">
    <w:name w:val="Akapit z listą Znak"/>
    <w:link w:val="Akapitzlist"/>
    <w:uiPriority w:val="99"/>
    <w:qFormat/>
    <w:locked/>
    <w:rsid w:val="00A67CB6"/>
    <w:rPr>
      <w:rFonts w:ascii="Calibri" w:eastAsia="Times New Roman" w:hAnsi="Calibri" w:cs="Calibri"/>
      <w:kern w:val="0"/>
      <w14:ligatures w14:val="none"/>
    </w:rPr>
  </w:style>
  <w:style w:type="paragraph" w:styleId="Nagwek">
    <w:name w:val="header"/>
    <w:basedOn w:val="Normalny"/>
    <w:link w:val="NagwekZnak"/>
    <w:uiPriority w:val="99"/>
    <w:unhideWhenUsed/>
    <w:rsid w:val="00542D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D02"/>
  </w:style>
  <w:style w:type="paragraph" w:styleId="Stopka">
    <w:name w:val="footer"/>
    <w:basedOn w:val="Normalny"/>
    <w:link w:val="StopkaZnak"/>
    <w:uiPriority w:val="99"/>
    <w:unhideWhenUsed/>
    <w:rsid w:val="00542D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57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je@wr.policja.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921</Words>
  <Characters>5526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WTI</dc:creator>
  <cp:keywords/>
  <dc:description/>
  <cp:lastModifiedBy>MAŁGORZATA GĄSZCZ</cp:lastModifiedBy>
  <cp:revision>9</cp:revision>
  <cp:lastPrinted>2024-05-29T11:34:00Z</cp:lastPrinted>
  <dcterms:created xsi:type="dcterms:W3CDTF">2024-05-28T06:00:00Z</dcterms:created>
  <dcterms:modified xsi:type="dcterms:W3CDTF">2024-06-04T09:29:00Z</dcterms:modified>
</cp:coreProperties>
</file>