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95E29">
        <w:rPr>
          <w:rFonts w:ascii="Arial" w:hAnsi="Arial" w:cs="Arial"/>
          <w:color w:val="000000" w:themeColor="text1"/>
          <w:sz w:val="20"/>
          <w:szCs w:val="20"/>
        </w:rPr>
        <w:t>2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F95E29">
        <w:rPr>
          <w:rFonts w:cstheme="minorHAnsi"/>
          <w:b/>
          <w:color w:val="000000" w:themeColor="text1"/>
          <w:sz w:val="24"/>
          <w:u w:val="single"/>
        </w:rPr>
        <w:t>2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 xml:space="preserve">w formie podpisanego ręcznie skanu. </w:t>
      </w:r>
    </w:p>
    <w:p w:rsidR="006D7048" w:rsidRDefault="006D7048" w:rsidP="00F95E29">
      <w:pPr>
        <w:jc w:val="center"/>
      </w:pPr>
    </w:p>
    <w:p w:rsidR="008D5F1F" w:rsidRDefault="008D5F1F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lastRenderedPageBreak/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CF2629">
        <w:rPr>
          <w:rFonts w:ascii="Arial" w:hAnsi="Arial" w:cs="Arial"/>
          <w:sz w:val="20"/>
        </w:rPr>
        <w:t>534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</w:t>
      </w:r>
      <w:r w:rsidRPr="008D5F1F">
        <w:rPr>
          <w:rFonts w:ascii="Arial" w:hAnsi="Arial" w:cs="Arial"/>
          <w:sz w:val="20"/>
          <w:szCs w:val="20"/>
        </w:rPr>
        <w:lastRenderedPageBreak/>
        <w:t>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FB" w:rsidRDefault="003260FB" w:rsidP="00A13F72">
      <w:pPr>
        <w:spacing w:after="0" w:line="240" w:lineRule="auto"/>
      </w:pPr>
      <w:r>
        <w:separator/>
      </w:r>
    </w:p>
  </w:endnote>
  <w:endnote w:type="continuationSeparator" w:id="0">
    <w:p w:rsidR="003260FB" w:rsidRDefault="003260FB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FB" w:rsidRDefault="003260FB" w:rsidP="00A13F72">
      <w:pPr>
        <w:spacing w:after="0" w:line="240" w:lineRule="auto"/>
      </w:pPr>
      <w:r>
        <w:separator/>
      </w:r>
    </w:p>
  </w:footnote>
  <w:footnote w:type="continuationSeparator" w:id="0">
    <w:p w:rsidR="003260FB" w:rsidRDefault="003260FB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CF2629">
      <w:rPr>
        <w:rFonts w:asciiTheme="minorHAnsi" w:hAnsiTheme="minorHAnsi" w:cs="Arial"/>
        <w:b/>
        <w:spacing w:val="-8"/>
        <w:sz w:val="20"/>
        <w:szCs w:val="20"/>
      </w:rPr>
      <w:t>534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204E"/>
    <w:rsid w:val="00325484"/>
    <w:rsid w:val="003260FB"/>
    <w:rsid w:val="00346F6B"/>
    <w:rsid w:val="0037188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77CBD"/>
    <w:rsid w:val="006942F7"/>
    <w:rsid w:val="00697E9D"/>
    <w:rsid w:val="006A5CBE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13F72"/>
    <w:rsid w:val="00A2491D"/>
    <w:rsid w:val="00A4656D"/>
    <w:rsid w:val="00A63B49"/>
    <w:rsid w:val="00A6623C"/>
    <w:rsid w:val="00A677A1"/>
    <w:rsid w:val="00A80AF8"/>
    <w:rsid w:val="00A8291F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716E"/>
    <w:rsid w:val="00CE6DA0"/>
    <w:rsid w:val="00CF2629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311FA"/>
    <w:rsid w:val="00E6207A"/>
    <w:rsid w:val="00E718F8"/>
    <w:rsid w:val="00E726CD"/>
    <w:rsid w:val="00E730C5"/>
    <w:rsid w:val="00E7493D"/>
    <w:rsid w:val="00EA36FC"/>
    <w:rsid w:val="00EB559B"/>
    <w:rsid w:val="00EE3CFC"/>
    <w:rsid w:val="00EF0DA3"/>
    <w:rsid w:val="00F140AC"/>
    <w:rsid w:val="00F15F2C"/>
    <w:rsid w:val="00F3374F"/>
    <w:rsid w:val="00F43D89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185</cp:revision>
  <dcterms:created xsi:type="dcterms:W3CDTF">2017-07-17T09:21:00Z</dcterms:created>
  <dcterms:modified xsi:type="dcterms:W3CDTF">2024-05-20T08:56:00Z</dcterms:modified>
</cp:coreProperties>
</file>