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D544" w14:textId="77777777" w:rsidR="003454B7" w:rsidRPr="003454B7" w:rsidRDefault="003454B7" w:rsidP="003454B7">
      <w:pPr>
        <w:pStyle w:val="Akapitzlist"/>
        <w:widowControl/>
        <w:suppressAutoHyphens w:val="0"/>
        <w:ind w:left="284" w:hanging="284"/>
        <w:contextualSpacing/>
        <w:jc w:val="center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b/>
          <w:sz w:val="21"/>
          <w:szCs w:val="21"/>
        </w:rPr>
        <w:t>OCHRONA DANYCH OSOBOWYCH</w:t>
      </w:r>
    </w:p>
    <w:p w14:paraId="74167428" w14:textId="77777777" w:rsidR="003454B7" w:rsidRPr="003454B7" w:rsidRDefault="003454B7" w:rsidP="003454B7">
      <w:pPr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Na podstawie art. 19 ust. 1 PZP w </w:t>
      </w:r>
      <w:r w:rsidRPr="003454B7">
        <w:rPr>
          <w:rFonts w:asciiTheme="minorHAnsi" w:eastAsia="Calibri" w:hAnsiTheme="minorHAnsi" w:cstheme="minorHAnsi"/>
          <w:sz w:val="21"/>
          <w:szCs w:val="21"/>
        </w:rPr>
        <w:t>związku</w:t>
      </w:r>
      <w:r w:rsidRPr="003454B7">
        <w:rPr>
          <w:rFonts w:asciiTheme="minorHAnsi" w:hAnsiTheme="minorHAnsi" w:cstheme="minorHAnsi"/>
          <w:sz w:val="21"/>
          <w:szCs w:val="21"/>
        </w:rPr>
        <w:t xml:space="preserve"> z art. art. 13 ust. 1-3 </w:t>
      </w:r>
      <w:r w:rsidRPr="003454B7">
        <w:rPr>
          <w:rFonts w:asciiTheme="minorHAnsi" w:eastAsia="Calibri" w:hAnsiTheme="minorHAnsi" w:cstheme="minorHAnsi"/>
          <w:i/>
          <w:sz w:val="21"/>
          <w:szCs w:val="21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3454B7">
        <w:rPr>
          <w:rFonts w:asciiTheme="minorHAnsi" w:hAnsiTheme="minorHAnsi" w:cstheme="minorHAnsi"/>
          <w:sz w:val="21"/>
          <w:szCs w:val="21"/>
        </w:rPr>
        <w:t xml:space="preserve">, dalej „RODO”,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Zamawiający</w:t>
      </w:r>
      <w:r w:rsidRPr="003454B7">
        <w:rPr>
          <w:rFonts w:asciiTheme="minorHAnsi" w:hAnsiTheme="minorHAnsi" w:cstheme="minorHAnsi"/>
          <w:sz w:val="21"/>
          <w:szCs w:val="21"/>
        </w:rPr>
        <w:t xml:space="preserve"> informuje,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że:</w:t>
      </w:r>
    </w:p>
    <w:p w14:paraId="1C73164C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Administratorem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jest </w:t>
      </w:r>
      <w:r w:rsidRPr="003454B7">
        <w:rPr>
          <w:rFonts w:asciiTheme="minorHAnsi" w:hAnsiTheme="minorHAnsi" w:cstheme="minorHAnsi"/>
          <w:b/>
          <w:sz w:val="21"/>
          <w:szCs w:val="21"/>
        </w:rPr>
        <w:t xml:space="preserve">Polski Instytut Sztuki Filmowej </w:t>
      </w:r>
      <w:r w:rsidRPr="003454B7">
        <w:rPr>
          <w:rFonts w:asciiTheme="minorHAnsi" w:hAnsiTheme="minorHAnsi" w:cstheme="minorHAnsi"/>
          <w:sz w:val="21"/>
          <w:szCs w:val="21"/>
        </w:rPr>
        <w:t>ul. Leona Kruczkowskiego 2, 00-412 Warszawa,</w:t>
      </w:r>
    </w:p>
    <w:p w14:paraId="062B2D84" w14:textId="4F4C8B9F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Administrator </w:t>
      </w:r>
      <w:r w:rsidRPr="003454B7">
        <w:rPr>
          <w:rFonts w:asciiTheme="minorHAnsi" w:eastAsia="Calibri" w:hAnsiTheme="minorHAnsi" w:cstheme="minorHAnsi"/>
          <w:sz w:val="21"/>
          <w:szCs w:val="21"/>
        </w:rPr>
        <w:t>wyznaczył</w:t>
      </w:r>
      <w:r w:rsidRPr="003454B7">
        <w:rPr>
          <w:rFonts w:asciiTheme="minorHAnsi" w:hAnsiTheme="minorHAnsi" w:cstheme="minorHAnsi"/>
          <w:sz w:val="21"/>
          <w:szCs w:val="21"/>
        </w:rPr>
        <w:t xml:space="preserve"> Inspektora Danych Osobowych, adres e-mail: </w:t>
      </w:r>
      <w:r w:rsidR="00E93A86">
        <w:rPr>
          <w:rFonts w:asciiTheme="minorHAnsi" w:hAnsiTheme="minorHAnsi" w:cstheme="minorHAnsi"/>
          <w:sz w:val="21"/>
          <w:szCs w:val="21"/>
          <w:u w:val="single" w:color="000000"/>
        </w:rPr>
        <w:t>iodo@pisf.pl</w:t>
      </w:r>
    </w:p>
    <w:p w14:paraId="417DD481" w14:textId="3E6FA719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dane osobowe przetwarzane </w:t>
      </w:r>
      <w:r w:rsidRPr="003454B7">
        <w:rPr>
          <w:rFonts w:asciiTheme="minorHAnsi" w:eastAsia="Calibri" w:hAnsiTheme="minorHAnsi" w:cstheme="minorHAnsi"/>
          <w:sz w:val="21"/>
          <w:szCs w:val="21"/>
        </w:rPr>
        <w:t>będą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na podstawie art. 6 ust. 1 lit. c RODO w celu </w:t>
      </w:r>
      <w:r w:rsidRPr="003454B7">
        <w:rPr>
          <w:rFonts w:asciiTheme="minorHAnsi" w:eastAsia="Calibri" w:hAnsiTheme="minorHAnsi" w:cstheme="minorHAnsi"/>
          <w:sz w:val="21"/>
          <w:szCs w:val="21"/>
        </w:rPr>
        <w:t>związanym</w:t>
      </w:r>
      <w:r w:rsidRPr="003454B7">
        <w:rPr>
          <w:rFonts w:asciiTheme="minorHAnsi" w:hAnsiTheme="minorHAnsi" w:cstheme="minorHAnsi"/>
          <w:sz w:val="21"/>
          <w:szCs w:val="21"/>
        </w:rPr>
        <w:t xml:space="preserve"> z niniejszym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postępowaniem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</w:t>
      </w:r>
      <w:r w:rsidR="00E06FD8">
        <w:rPr>
          <w:rFonts w:asciiTheme="minorHAnsi" w:hAnsiTheme="minorHAnsi" w:cstheme="minorHAnsi"/>
          <w:sz w:val="21"/>
          <w:szCs w:val="21"/>
        </w:rPr>
        <w:t xml:space="preserve">wyłonienie </w:t>
      </w:r>
      <w:r w:rsidR="00F051EF">
        <w:rPr>
          <w:rFonts w:asciiTheme="minorHAnsi" w:hAnsiTheme="minorHAnsi" w:cstheme="minorHAnsi"/>
          <w:sz w:val="21"/>
          <w:szCs w:val="21"/>
        </w:rPr>
        <w:t>wykonawcy,</w:t>
      </w:r>
      <w:r w:rsidR="00E06FD8">
        <w:rPr>
          <w:rFonts w:asciiTheme="minorHAnsi" w:hAnsiTheme="minorHAnsi" w:cstheme="minorHAnsi"/>
          <w:sz w:val="21"/>
          <w:szCs w:val="21"/>
        </w:rPr>
        <w:t xml:space="preserve"> który wykona usługę zgodnie z zawartą umową ramową. </w:t>
      </w:r>
    </w:p>
    <w:p w14:paraId="134E3182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Odbiorcami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</w:t>
      </w:r>
      <w:r w:rsidRPr="003454B7">
        <w:rPr>
          <w:rFonts w:asciiTheme="minorHAnsi" w:eastAsia="Calibri" w:hAnsiTheme="minorHAnsi" w:cstheme="minorHAnsi"/>
          <w:sz w:val="21"/>
          <w:szCs w:val="21"/>
        </w:rPr>
        <w:t>będą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osoby lub podmioty, którym </w:t>
      </w:r>
      <w:r w:rsidRPr="003454B7">
        <w:rPr>
          <w:rFonts w:asciiTheme="minorHAnsi" w:eastAsia="Calibri" w:hAnsiTheme="minorHAnsi" w:cstheme="minorHAnsi"/>
          <w:sz w:val="21"/>
          <w:szCs w:val="21"/>
        </w:rPr>
        <w:t>udostępniona</w:t>
      </w:r>
      <w:r w:rsidRPr="003454B7">
        <w:rPr>
          <w:rFonts w:asciiTheme="minorHAnsi" w:hAnsiTheme="minorHAnsi" w:cstheme="minorHAnsi"/>
          <w:sz w:val="21"/>
          <w:szCs w:val="21"/>
        </w:rPr>
        <w:t xml:space="preserve"> zostanie dokumentacja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oparciu o art. 74 Ustawy p.z.p.;</w:t>
      </w:r>
    </w:p>
    <w:p w14:paraId="39CDF722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dane osobowe </w:t>
      </w:r>
      <w:r w:rsidRPr="003454B7">
        <w:rPr>
          <w:rFonts w:asciiTheme="minorHAnsi" w:eastAsia="Calibri" w:hAnsiTheme="minorHAnsi" w:cstheme="minorHAnsi"/>
          <w:sz w:val="21"/>
          <w:szCs w:val="21"/>
        </w:rPr>
        <w:t>będą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przechowywane, zgodnie z art. 78 ust. 1 Ustawy p.z.p. przez okres 4 lat od dnia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zakończenia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zamówienia, a </w:t>
      </w:r>
      <w:r w:rsidRPr="003454B7">
        <w:rPr>
          <w:rFonts w:asciiTheme="minorHAnsi" w:eastAsia="Calibri" w:hAnsiTheme="minorHAnsi" w:cstheme="minorHAnsi"/>
          <w:sz w:val="21"/>
          <w:szCs w:val="21"/>
        </w:rPr>
        <w:t>jeżeli</w:t>
      </w:r>
      <w:r w:rsidRPr="003454B7">
        <w:rPr>
          <w:rFonts w:asciiTheme="minorHAnsi" w:hAnsiTheme="minorHAnsi" w:cstheme="minorHAnsi"/>
          <w:sz w:val="21"/>
          <w:szCs w:val="21"/>
        </w:rPr>
        <w:t xml:space="preserve"> czas trwania umowy przekracza 4 lata, okres przechowywania obejmuje </w:t>
      </w:r>
      <w:r w:rsidRPr="003454B7">
        <w:rPr>
          <w:rFonts w:asciiTheme="minorHAnsi" w:eastAsia="Calibri" w:hAnsiTheme="minorHAnsi" w:cstheme="minorHAnsi"/>
          <w:sz w:val="21"/>
          <w:szCs w:val="21"/>
        </w:rPr>
        <w:t>cały</w:t>
      </w:r>
      <w:r w:rsidRPr="003454B7">
        <w:rPr>
          <w:rFonts w:asciiTheme="minorHAnsi" w:hAnsiTheme="minorHAnsi" w:cstheme="minorHAnsi"/>
          <w:sz w:val="21"/>
          <w:szCs w:val="21"/>
        </w:rPr>
        <w:t xml:space="preserve"> czas trwania umowy (art. 78 ust. 4 Ustawy p.z.p.);</w:t>
      </w:r>
    </w:p>
    <w:p w14:paraId="2D8EA1F4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eastAsia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sz w:val="21"/>
          <w:szCs w:val="21"/>
        </w:rPr>
        <w:t>Obowiązek</w:t>
      </w:r>
      <w:r w:rsidRPr="003454B7">
        <w:rPr>
          <w:rFonts w:asciiTheme="minorHAnsi" w:hAnsiTheme="minorHAnsi" w:cstheme="minorHAnsi"/>
          <w:sz w:val="21"/>
          <w:szCs w:val="21"/>
        </w:rPr>
        <w:t xml:space="preserve"> podania przez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</w:t>
      </w:r>
      <w:r w:rsidRPr="003454B7">
        <w:rPr>
          <w:rFonts w:asciiTheme="minorHAnsi" w:eastAsia="Calibri" w:hAnsiTheme="minorHAnsi" w:cstheme="minorHAnsi"/>
          <w:sz w:val="21"/>
          <w:szCs w:val="21"/>
        </w:rPr>
        <w:t>bezpośrednio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dotyczących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jest wymogiem </w:t>
      </w:r>
      <w:r w:rsidRPr="003454B7">
        <w:rPr>
          <w:rFonts w:asciiTheme="minorHAnsi" w:eastAsia="Calibri" w:hAnsiTheme="minorHAnsi" w:cstheme="minorHAnsi"/>
          <w:sz w:val="21"/>
          <w:szCs w:val="21"/>
        </w:rPr>
        <w:t>określonym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przepisach Ustawy p.z.p., </w:t>
      </w:r>
      <w:r w:rsidRPr="003454B7">
        <w:rPr>
          <w:rFonts w:asciiTheme="minorHAnsi" w:eastAsia="Calibri" w:hAnsiTheme="minorHAnsi" w:cstheme="minorHAnsi"/>
          <w:sz w:val="21"/>
          <w:szCs w:val="21"/>
        </w:rPr>
        <w:t>związanym</w:t>
      </w:r>
      <w:r w:rsidRPr="003454B7">
        <w:rPr>
          <w:rFonts w:asciiTheme="minorHAnsi" w:hAnsiTheme="minorHAnsi" w:cstheme="minorHAnsi"/>
          <w:sz w:val="21"/>
          <w:szCs w:val="21"/>
        </w:rPr>
        <w:t xml:space="preserve"> z </w:t>
      </w:r>
      <w:r w:rsidRPr="003454B7">
        <w:rPr>
          <w:rFonts w:asciiTheme="minorHAnsi" w:eastAsia="Calibri" w:hAnsiTheme="minorHAnsi" w:cstheme="minorHAnsi"/>
          <w:sz w:val="21"/>
          <w:szCs w:val="21"/>
        </w:rPr>
        <w:t>udziałem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niniejszym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postępowaniu;</w:t>
      </w:r>
    </w:p>
    <w:p w14:paraId="53E7D5DF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W odniesieniu do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decyzje 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będą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podejmowane w sposób zautomatyzowany, stosownie do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postanowień</w:t>
      </w:r>
      <w:r w:rsidRPr="003454B7">
        <w:rPr>
          <w:rFonts w:asciiTheme="minorHAnsi" w:hAnsiTheme="minorHAnsi" w:cstheme="minorHAnsi"/>
          <w:sz w:val="21"/>
          <w:szCs w:val="21"/>
        </w:rPr>
        <w:t xml:space="preserve"> art. 22 RODO;</w:t>
      </w:r>
    </w:p>
    <w:p w14:paraId="0004A9C0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eastAsia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sz w:val="21"/>
          <w:szCs w:val="21"/>
        </w:rPr>
        <w:t>Posiadają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Państwo:</w:t>
      </w:r>
    </w:p>
    <w:p w14:paraId="4DF0E724" w14:textId="77777777" w:rsidR="003454B7" w:rsidRPr="003454B7" w:rsidRDefault="003454B7" w:rsidP="003454B7">
      <w:pPr>
        <w:pStyle w:val="Akapitzlist"/>
        <w:widowControl/>
        <w:numPr>
          <w:ilvl w:val="0"/>
          <w:numId w:val="1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zgodnie z art. 15 RODO - prawo </w:t>
      </w:r>
      <w:r w:rsidRPr="003454B7">
        <w:rPr>
          <w:rFonts w:asciiTheme="minorHAnsi" w:eastAsia="Calibri" w:hAnsiTheme="minorHAnsi" w:cstheme="minorHAnsi"/>
          <w:sz w:val="21"/>
          <w:szCs w:val="21"/>
        </w:rPr>
        <w:t>dostępu</w:t>
      </w:r>
      <w:r w:rsidRPr="003454B7">
        <w:rPr>
          <w:rFonts w:asciiTheme="minorHAnsi" w:hAnsiTheme="minorHAnsi" w:cstheme="minorHAnsi"/>
          <w:sz w:val="21"/>
          <w:szCs w:val="21"/>
        </w:rPr>
        <w:t xml:space="preserve"> do danych osobowych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dotyczących</w:t>
      </w:r>
      <w:r w:rsidRPr="003454B7">
        <w:rPr>
          <w:rFonts w:asciiTheme="minorHAnsi" w:hAnsiTheme="minorHAnsi" w:cstheme="minorHAnsi"/>
          <w:sz w:val="21"/>
          <w:szCs w:val="21"/>
        </w:rPr>
        <w:t xml:space="preserve"> (z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zastrzeżeniem,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sytuacji, gdy skorzystanie z tego prawa </w:t>
      </w:r>
      <w:r w:rsidRPr="003454B7">
        <w:rPr>
          <w:rFonts w:asciiTheme="minorHAnsi" w:eastAsia="Calibri" w:hAnsiTheme="minorHAnsi" w:cstheme="minorHAnsi"/>
          <w:sz w:val="21"/>
          <w:szCs w:val="21"/>
        </w:rPr>
        <w:t>wymagałoby</w:t>
      </w:r>
      <w:r w:rsidRPr="003454B7">
        <w:rPr>
          <w:rFonts w:asciiTheme="minorHAnsi" w:hAnsiTheme="minorHAnsi" w:cstheme="minorHAnsi"/>
          <w:sz w:val="21"/>
          <w:szCs w:val="21"/>
        </w:rPr>
        <w:t xml:space="preserve"> po stronie administratora </w:t>
      </w:r>
      <w:r w:rsidRPr="003454B7">
        <w:rPr>
          <w:rFonts w:asciiTheme="minorHAnsi" w:eastAsia="Calibri" w:hAnsiTheme="minorHAnsi" w:cstheme="minorHAnsi"/>
          <w:sz w:val="21"/>
          <w:szCs w:val="21"/>
        </w:rPr>
        <w:t>niewspółmiernie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dużego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wysiłku,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mogą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Państwo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zostać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zobowiązani</w:t>
      </w:r>
      <w:r w:rsidRPr="003454B7">
        <w:rPr>
          <w:rFonts w:asciiTheme="minorHAnsi" w:hAnsiTheme="minorHAnsi" w:cstheme="minorHAnsi"/>
          <w:sz w:val="21"/>
          <w:szCs w:val="21"/>
        </w:rPr>
        <w:t xml:space="preserve"> do wskazania dodatkowych informacji </w:t>
      </w:r>
      <w:r w:rsidRPr="003454B7">
        <w:rPr>
          <w:rFonts w:asciiTheme="minorHAnsi" w:eastAsia="Calibri" w:hAnsiTheme="minorHAnsi" w:cstheme="minorHAnsi"/>
          <w:sz w:val="21"/>
          <w:szCs w:val="21"/>
        </w:rPr>
        <w:t>mających</w:t>
      </w:r>
      <w:r w:rsidRPr="003454B7">
        <w:rPr>
          <w:rFonts w:asciiTheme="minorHAnsi" w:hAnsiTheme="minorHAnsi" w:cstheme="minorHAnsi"/>
          <w:sz w:val="21"/>
          <w:szCs w:val="21"/>
        </w:rPr>
        <w:t xml:space="preserve"> na celu sprecyzowanie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żądania,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</w:t>
      </w:r>
      <w:r w:rsidRPr="003454B7">
        <w:rPr>
          <w:rFonts w:asciiTheme="minorHAnsi" w:eastAsia="Calibri" w:hAnsiTheme="minorHAnsi" w:cstheme="minorHAnsi"/>
          <w:sz w:val="21"/>
          <w:szCs w:val="21"/>
        </w:rPr>
        <w:t>szczególności</w:t>
      </w:r>
      <w:r w:rsidRPr="003454B7">
        <w:rPr>
          <w:rFonts w:asciiTheme="minorHAnsi" w:hAnsiTheme="minorHAnsi" w:cstheme="minorHAnsi"/>
          <w:sz w:val="21"/>
          <w:szCs w:val="21"/>
        </w:rPr>
        <w:t xml:space="preserve"> podania nazwy lub daty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 publicznego albo sprecyzowania nazwy lub daty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zakończonego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zamówienia);</w:t>
      </w:r>
    </w:p>
    <w:p w14:paraId="2DE0395B" w14:textId="77777777" w:rsidR="003454B7" w:rsidRPr="003454B7" w:rsidRDefault="003454B7" w:rsidP="003454B7">
      <w:pPr>
        <w:pStyle w:val="Akapitzlist"/>
        <w:widowControl/>
        <w:numPr>
          <w:ilvl w:val="0"/>
          <w:numId w:val="1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zgodnie z art. 16 RODO - prawo do sprostowania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(z tym,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skorzystanie z prawa do sprostowania 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może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skutkować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zmianą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wyniku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 publicznego ani </w:t>
      </w:r>
      <w:r w:rsidRPr="003454B7">
        <w:rPr>
          <w:rFonts w:asciiTheme="minorHAnsi" w:eastAsia="Calibri" w:hAnsiTheme="minorHAnsi" w:cstheme="minorHAnsi"/>
          <w:sz w:val="21"/>
          <w:szCs w:val="21"/>
        </w:rPr>
        <w:t>zmianą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postanowień</w:t>
      </w:r>
      <w:r w:rsidRPr="003454B7">
        <w:rPr>
          <w:rFonts w:asciiTheme="minorHAnsi" w:hAnsiTheme="minorHAnsi" w:cstheme="minorHAnsi"/>
          <w:sz w:val="21"/>
          <w:szCs w:val="21"/>
        </w:rPr>
        <w:t xml:space="preserve"> umowy w zakresie niezgodnym z PZP oraz 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może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naruszać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integralności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protokołu</w:t>
      </w:r>
      <w:r w:rsidRPr="003454B7">
        <w:rPr>
          <w:rFonts w:asciiTheme="minorHAnsi" w:hAnsiTheme="minorHAnsi" w:cstheme="minorHAnsi"/>
          <w:sz w:val="21"/>
          <w:szCs w:val="21"/>
        </w:rPr>
        <w:t xml:space="preserve"> z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oraz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załączników</w:t>
      </w:r>
      <w:r w:rsidRPr="003454B7">
        <w:rPr>
          <w:rFonts w:asciiTheme="minorHAnsi" w:hAnsiTheme="minorHAnsi" w:cstheme="minorHAnsi"/>
          <w:sz w:val="21"/>
          <w:szCs w:val="21"/>
        </w:rPr>
        <w:t xml:space="preserve"> do niego);</w:t>
      </w:r>
    </w:p>
    <w:p w14:paraId="0E052144" w14:textId="77777777" w:rsidR="003454B7" w:rsidRPr="003454B7" w:rsidRDefault="003454B7" w:rsidP="003454B7">
      <w:pPr>
        <w:pStyle w:val="Akapitzlist"/>
        <w:widowControl/>
        <w:numPr>
          <w:ilvl w:val="0"/>
          <w:numId w:val="1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zgodnie z art. 18 RODO - prawo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żądania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od administratora ograniczenia przetwarzania danych osobowych z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zastrzeżeniem</w:t>
      </w:r>
      <w:r w:rsidRPr="003454B7">
        <w:rPr>
          <w:rFonts w:asciiTheme="minorHAnsi" w:hAnsiTheme="minorHAnsi" w:cstheme="minorHAnsi"/>
          <w:sz w:val="21"/>
          <w:szCs w:val="21"/>
        </w:rPr>
        <w:t xml:space="preserve"> okresu trwania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 publicznego lub konkursu oraz przypadków, o których mowa w art. 18 ust. 2 RODO (prawo do ograniczenia przetwarzania nie ma zastosowania w odniesieniu do przechowywania, w celu zapewnienia korzystania ze </w:t>
      </w:r>
      <w:r w:rsidRPr="003454B7">
        <w:rPr>
          <w:rFonts w:asciiTheme="minorHAnsi" w:eastAsia="Calibri" w:hAnsiTheme="minorHAnsi" w:cstheme="minorHAnsi"/>
          <w:sz w:val="21"/>
          <w:szCs w:val="21"/>
        </w:rPr>
        <w:t>środków</w:t>
      </w:r>
      <w:r w:rsidRPr="003454B7">
        <w:rPr>
          <w:rFonts w:asciiTheme="minorHAnsi" w:hAnsiTheme="minorHAnsi" w:cstheme="minorHAnsi"/>
          <w:sz w:val="21"/>
          <w:szCs w:val="21"/>
        </w:rPr>
        <w:t xml:space="preserve"> ochrony prawnej lub w celu ochrony praw innej osoby fizycznej lub prawnej, lub z uwagi na </w:t>
      </w:r>
      <w:r w:rsidRPr="003454B7">
        <w:rPr>
          <w:rFonts w:asciiTheme="minorHAnsi" w:eastAsia="Calibri" w:hAnsiTheme="minorHAnsi" w:cstheme="minorHAnsi"/>
          <w:sz w:val="21"/>
          <w:szCs w:val="21"/>
        </w:rPr>
        <w:t>ważne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względy</w:t>
      </w:r>
      <w:r w:rsidRPr="003454B7">
        <w:rPr>
          <w:rFonts w:asciiTheme="minorHAnsi" w:hAnsiTheme="minorHAnsi" w:cstheme="minorHAnsi"/>
          <w:sz w:val="21"/>
          <w:szCs w:val="21"/>
        </w:rPr>
        <w:t xml:space="preserve"> interesu publicznego Unii Europejskiej lub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członkowskiego);</w:t>
      </w:r>
    </w:p>
    <w:p w14:paraId="75D9F2EF" w14:textId="77777777" w:rsidR="003454B7" w:rsidRPr="003454B7" w:rsidRDefault="003454B7" w:rsidP="003454B7">
      <w:pPr>
        <w:pStyle w:val="Akapitzlist"/>
        <w:widowControl/>
        <w:numPr>
          <w:ilvl w:val="0"/>
          <w:numId w:val="1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prawo do wniesienia skargi do Prezesa </w:t>
      </w:r>
      <w:r w:rsidRPr="003454B7">
        <w:rPr>
          <w:rFonts w:asciiTheme="minorHAnsi" w:eastAsia="Calibri" w:hAnsiTheme="minorHAnsi" w:cstheme="minorHAnsi"/>
          <w:sz w:val="21"/>
          <w:szCs w:val="21"/>
        </w:rPr>
        <w:t>Urzędu</w:t>
      </w:r>
      <w:r w:rsidRPr="003454B7">
        <w:rPr>
          <w:rFonts w:asciiTheme="minorHAnsi" w:hAnsiTheme="minorHAnsi" w:cstheme="minorHAnsi"/>
          <w:sz w:val="21"/>
          <w:szCs w:val="21"/>
        </w:rPr>
        <w:t xml:space="preserve"> Ochrony Danych Osobowych, gdy </w:t>
      </w:r>
      <w:r w:rsidRPr="003454B7">
        <w:rPr>
          <w:rFonts w:asciiTheme="minorHAnsi" w:eastAsia="Calibri" w:hAnsiTheme="minorHAnsi" w:cstheme="minorHAnsi"/>
          <w:sz w:val="21"/>
          <w:szCs w:val="21"/>
        </w:rPr>
        <w:t>uznają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Państwo,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przetwarzanie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narusza przepisy RODO;  </w:t>
      </w:r>
    </w:p>
    <w:p w14:paraId="4549B4BC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przysługuje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Państwu:</w:t>
      </w:r>
    </w:p>
    <w:p w14:paraId="37A75827" w14:textId="77777777" w:rsidR="003454B7" w:rsidRPr="003454B7" w:rsidRDefault="003454B7" w:rsidP="003454B7">
      <w:pPr>
        <w:pStyle w:val="Akapitzlist"/>
        <w:widowControl/>
        <w:numPr>
          <w:ilvl w:val="2"/>
          <w:numId w:val="14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zgodnie z art. 17 ust. 3 lit. b, d lub e RODO - prawo do </w:t>
      </w:r>
      <w:r w:rsidRPr="003454B7">
        <w:rPr>
          <w:rFonts w:asciiTheme="minorHAnsi" w:eastAsia="Calibri" w:hAnsiTheme="minorHAnsi" w:cstheme="minorHAnsi"/>
          <w:sz w:val="21"/>
          <w:szCs w:val="21"/>
        </w:rPr>
        <w:t>usunięcia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osobowych;</w:t>
      </w:r>
    </w:p>
    <w:p w14:paraId="29EDB16D" w14:textId="77777777" w:rsidR="003454B7" w:rsidRPr="003454B7" w:rsidRDefault="003454B7" w:rsidP="003454B7">
      <w:pPr>
        <w:pStyle w:val="Akapitzlist"/>
        <w:widowControl/>
        <w:numPr>
          <w:ilvl w:val="2"/>
          <w:numId w:val="14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>prawo do przenoszenia danych osobowych, o którym mowa w art. 20 RODO;</w:t>
      </w:r>
    </w:p>
    <w:p w14:paraId="1EBC7399" w14:textId="77777777" w:rsidR="003454B7" w:rsidRPr="003454B7" w:rsidRDefault="003454B7" w:rsidP="003454B7">
      <w:pPr>
        <w:pStyle w:val="Akapitzlist"/>
        <w:widowControl/>
        <w:numPr>
          <w:ilvl w:val="2"/>
          <w:numId w:val="14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zgodnie z art. 21 RODO prawo sprzeciwu, wobec przetwarzania danych osobowych, </w:t>
      </w:r>
      <w:r w:rsidRPr="003454B7">
        <w:rPr>
          <w:rFonts w:asciiTheme="minorHAnsi" w:eastAsia="Calibri" w:hAnsiTheme="minorHAnsi" w:cstheme="minorHAnsi"/>
          <w:sz w:val="21"/>
          <w:szCs w:val="21"/>
        </w:rPr>
        <w:t>gdyż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podstawą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prawną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przetwarzania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jest art. 6 ust. 1 lit. c RODO; </w:t>
      </w:r>
    </w:p>
    <w:p w14:paraId="3EAB759F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sz w:val="21"/>
          <w:szCs w:val="21"/>
        </w:rPr>
        <w:t>Przysługuje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Państwu</w:t>
      </w:r>
      <w:r w:rsidRPr="003454B7">
        <w:rPr>
          <w:rFonts w:asciiTheme="minorHAnsi" w:hAnsiTheme="minorHAnsi" w:cstheme="minorHAnsi"/>
          <w:sz w:val="21"/>
          <w:szCs w:val="21"/>
        </w:rPr>
        <w:t xml:space="preserve"> prawo wniesienia skargi do organu nadzorczego na niezgodne z RODO przetwarzanie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Państwa</w:t>
      </w:r>
      <w:r w:rsidRPr="003454B7">
        <w:rPr>
          <w:rFonts w:asciiTheme="minorHAnsi" w:hAnsiTheme="minorHAnsi" w:cstheme="minorHAnsi"/>
          <w:sz w:val="21"/>
          <w:szCs w:val="21"/>
        </w:rPr>
        <w:t xml:space="preserve"> danych osobowych przez administratora. Organem </w:t>
      </w:r>
      <w:r w:rsidRPr="003454B7">
        <w:rPr>
          <w:rFonts w:asciiTheme="minorHAnsi" w:eastAsia="Calibri" w:hAnsiTheme="minorHAnsi" w:cstheme="minorHAnsi"/>
          <w:sz w:val="21"/>
          <w:szCs w:val="21"/>
        </w:rPr>
        <w:t>właściwym</w:t>
      </w:r>
      <w:r w:rsidRPr="003454B7">
        <w:rPr>
          <w:rFonts w:asciiTheme="minorHAnsi" w:hAnsiTheme="minorHAnsi" w:cstheme="minorHAnsi"/>
          <w:sz w:val="21"/>
          <w:szCs w:val="21"/>
        </w:rPr>
        <w:t xml:space="preserve"> dla przedmiotowej skargi jest </w:t>
      </w:r>
      <w:r w:rsidRPr="003454B7">
        <w:rPr>
          <w:rFonts w:asciiTheme="minorHAnsi" w:eastAsia="Calibri" w:hAnsiTheme="minorHAnsi" w:cstheme="minorHAnsi"/>
          <w:sz w:val="21"/>
          <w:szCs w:val="21"/>
        </w:rPr>
        <w:t>Urząd</w:t>
      </w:r>
      <w:r w:rsidRPr="003454B7">
        <w:rPr>
          <w:rFonts w:asciiTheme="minorHAnsi" w:hAnsiTheme="minorHAnsi" w:cstheme="minorHAnsi"/>
          <w:sz w:val="21"/>
          <w:szCs w:val="21"/>
        </w:rPr>
        <w:t xml:space="preserve"> Ochrony Danych Osobowych, ul. Stawki 2, 00-193 Warszawa.</w:t>
      </w:r>
    </w:p>
    <w:p w14:paraId="52CC21B6" w14:textId="77777777" w:rsidR="003454B7" w:rsidRPr="003454B7" w:rsidRDefault="003454B7" w:rsidP="003454B7">
      <w:pPr>
        <w:pStyle w:val="Akapitzlist"/>
        <w:widowControl/>
        <w:numPr>
          <w:ilvl w:val="1"/>
          <w:numId w:val="1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Informacja o ograniczeniach w realizacji praw </w:t>
      </w:r>
      <w:r w:rsidRPr="003454B7">
        <w:rPr>
          <w:rFonts w:asciiTheme="minorHAnsi" w:eastAsia="Calibri" w:hAnsiTheme="minorHAnsi" w:cstheme="minorHAnsi"/>
          <w:sz w:val="21"/>
          <w:szCs w:val="21"/>
        </w:rPr>
        <w:t>określonych</w:t>
      </w:r>
      <w:r w:rsidRPr="003454B7">
        <w:rPr>
          <w:rFonts w:asciiTheme="minorHAnsi" w:hAnsiTheme="minorHAnsi" w:cstheme="minorHAnsi"/>
          <w:sz w:val="21"/>
          <w:szCs w:val="21"/>
        </w:rPr>
        <w:t xml:space="preserve"> w art. 16 i 18 RODO.</w:t>
      </w:r>
    </w:p>
    <w:p w14:paraId="7C3631DC" w14:textId="77777777" w:rsidR="003454B7" w:rsidRPr="003454B7" w:rsidRDefault="003454B7" w:rsidP="003454B7">
      <w:pPr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eastAsia="Calibri" w:hAnsiTheme="minorHAnsi" w:cstheme="minorHAnsi"/>
          <w:bCs/>
          <w:sz w:val="21"/>
          <w:szCs w:val="21"/>
        </w:rPr>
        <w:t>Zamawiający informuje, iż w związku z art. 19 ust. 2 i 3</w:t>
      </w:r>
      <w:r w:rsidRPr="003454B7">
        <w:rPr>
          <w:rFonts w:asciiTheme="minorHAnsi" w:eastAsia="Calibri" w:hAnsiTheme="minorHAnsi" w:cstheme="minorHAnsi"/>
          <w:b/>
          <w:sz w:val="21"/>
          <w:szCs w:val="21"/>
        </w:rPr>
        <w:t xml:space="preserve"> </w:t>
      </w:r>
      <w:r w:rsidRPr="003454B7">
        <w:rPr>
          <w:rFonts w:asciiTheme="minorHAnsi" w:hAnsiTheme="minorHAnsi" w:cstheme="minorHAnsi"/>
          <w:sz w:val="21"/>
          <w:szCs w:val="21"/>
        </w:rPr>
        <w:t xml:space="preserve">Ustawy p.z.p.: </w:t>
      </w:r>
    </w:p>
    <w:p w14:paraId="4623B098" w14:textId="77777777" w:rsidR="003454B7" w:rsidRPr="003454B7" w:rsidRDefault="003454B7" w:rsidP="003454B7">
      <w:pPr>
        <w:ind w:left="284" w:hanging="284"/>
        <w:jc w:val="both"/>
        <w:rPr>
          <w:rFonts w:asciiTheme="minorHAnsi" w:eastAsia="Calibr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a) skorzystanie przez </w:t>
      </w:r>
      <w:r w:rsidRPr="003454B7">
        <w:rPr>
          <w:rFonts w:asciiTheme="minorHAnsi" w:eastAsia="Calibri" w:hAnsiTheme="minorHAnsi" w:cstheme="minorHAnsi"/>
          <w:sz w:val="21"/>
          <w:szCs w:val="21"/>
        </w:rPr>
        <w:t>osobę,</w:t>
      </w:r>
      <w:r w:rsidRPr="003454B7">
        <w:rPr>
          <w:rFonts w:asciiTheme="minorHAnsi" w:hAnsiTheme="minorHAnsi" w:cstheme="minorHAnsi"/>
          <w:sz w:val="21"/>
          <w:szCs w:val="21"/>
        </w:rPr>
        <w:t xml:space="preserve"> której dane osobowe </w:t>
      </w:r>
      <w:r w:rsidRPr="003454B7">
        <w:rPr>
          <w:rFonts w:asciiTheme="minorHAnsi" w:eastAsia="Calibri" w:hAnsiTheme="minorHAnsi" w:cstheme="minorHAnsi"/>
          <w:sz w:val="21"/>
          <w:szCs w:val="21"/>
        </w:rPr>
        <w:t>dotyczą,</w:t>
      </w:r>
      <w:r w:rsidRPr="003454B7">
        <w:rPr>
          <w:rFonts w:asciiTheme="minorHAnsi" w:hAnsiTheme="minorHAnsi" w:cstheme="minorHAnsi"/>
          <w:sz w:val="21"/>
          <w:szCs w:val="21"/>
        </w:rPr>
        <w:t xml:space="preserve"> z uprawnienia do sprostowania lub </w:t>
      </w:r>
      <w:r w:rsidRPr="003454B7">
        <w:rPr>
          <w:rFonts w:asciiTheme="minorHAnsi" w:eastAsia="Calibri" w:hAnsiTheme="minorHAnsi" w:cstheme="minorHAnsi"/>
          <w:sz w:val="21"/>
          <w:szCs w:val="21"/>
        </w:rPr>
        <w:t>uzupełnienia,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którym mowa w </w:t>
      </w:r>
      <w:hyperlink r:id="rId8" w:anchor="/document/68636690">
        <w:r w:rsidRPr="003454B7">
          <w:rPr>
            <w:rFonts w:asciiTheme="minorHAnsi" w:hAnsiTheme="minorHAnsi" w:cstheme="minorHAnsi"/>
            <w:sz w:val="21"/>
            <w:szCs w:val="21"/>
          </w:rPr>
          <w:t xml:space="preserve">art. </w:t>
        </w:r>
      </w:hyperlink>
      <w:hyperlink r:id="rId9" w:anchor="/document/68636690">
        <w:r w:rsidRPr="003454B7">
          <w:rPr>
            <w:rFonts w:asciiTheme="minorHAnsi" w:hAnsiTheme="minorHAnsi" w:cstheme="minorHAnsi"/>
            <w:sz w:val="21"/>
            <w:szCs w:val="21"/>
          </w:rPr>
          <w:t xml:space="preserve">16 </w:t>
        </w:r>
      </w:hyperlink>
      <w:r w:rsidRPr="003454B7">
        <w:rPr>
          <w:rFonts w:asciiTheme="minorHAnsi" w:hAnsiTheme="minorHAnsi" w:cstheme="minorHAnsi"/>
          <w:sz w:val="21"/>
          <w:szCs w:val="21"/>
        </w:rPr>
        <w:t xml:space="preserve"> R</w:t>
      </w:r>
      <w:r w:rsidRPr="003454B7">
        <w:rPr>
          <w:rFonts w:asciiTheme="minorHAnsi" w:eastAsia="Calibri" w:hAnsiTheme="minorHAnsi" w:cstheme="minorHAnsi"/>
          <w:sz w:val="21"/>
          <w:szCs w:val="21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3454B7">
        <w:rPr>
          <w:rFonts w:asciiTheme="minorHAnsi" w:eastAsia="Calibri" w:hAnsiTheme="minorHAnsi" w:cstheme="minorHAnsi"/>
          <w:sz w:val="21"/>
          <w:szCs w:val="21"/>
        </w:rPr>
        <w:lastRenderedPageBreak/>
        <w:t>rozporządzenie o ochronie danych)</w:t>
      </w:r>
      <w:r w:rsidRPr="003454B7">
        <w:rPr>
          <w:rFonts w:asciiTheme="minorHAnsi" w:hAnsiTheme="minorHAnsi" w:cstheme="minorHAnsi"/>
          <w:sz w:val="21"/>
          <w:szCs w:val="21"/>
        </w:rPr>
        <w:t xml:space="preserve">, nie </w:t>
      </w:r>
      <w:r w:rsidRPr="003454B7">
        <w:rPr>
          <w:rFonts w:asciiTheme="minorHAnsi" w:eastAsia="Calibri" w:hAnsiTheme="minorHAnsi" w:cstheme="minorHAnsi"/>
          <w:sz w:val="21"/>
          <w:szCs w:val="21"/>
        </w:rPr>
        <w:t>może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skutkować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zmianą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wyniku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 ani </w:t>
      </w:r>
      <w:r w:rsidRPr="003454B7">
        <w:rPr>
          <w:rFonts w:asciiTheme="minorHAnsi" w:eastAsia="Calibri" w:hAnsiTheme="minorHAnsi" w:cstheme="minorHAnsi"/>
          <w:sz w:val="21"/>
          <w:szCs w:val="21"/>
        </w:rPr>
        <w:t>zmianą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postanowień</w:t>
      </w:r>
      <w:r w:rsidRPr="003454B7">
        <w:rPr>
          <w:rFonts w:asciiTheme="minorHAnsi" w:hAnsiTheme="minorHAnsi" w:cstheme="minorHAnsi"/>
          <w:sz w:val="21"/>
          <w:szCs w:val="21"/>
        </w:rPr>
        <w:t xml:space="preserve"> umowy w sprawie zamówienia publicznego w zakresie niezgodnym z  </w:t>
      </w:r>
      <w:r w:rsidRPr="003454B7">
        <w:rPr>
          <w:rFonts w:asciiTheme="minorHAnsi" w:eastAsia="Calibri" w:hAnsiTheme="minorHAnsi" w:cstheme="minorHAnsi"/>
          <w:sz w:val="21"/>
          <w:szCs w:val="21"/>
        </w:rPr>
        <w:t>ustawą;</w:t>
      </w:r>
    </w:p>
    <w:p w14:paraId="623A91CE" w14:textId="77777777" w:rsidR="003454B7" w:rsidRPr="003454B7" w:rsidRDefault="003454B7" w:rsidP="003454B7">
      <w:pPr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3454B7">
        <w:rPr>
          <w:rFonts w:asciiTheme="minorHAnsi" w:hAnsiTheme="minorHAnsi" w:cstheme="minorHAnsi"/>
          <w:sz w:val="21"/>
          <w:szCs w:val="21"/>
        </w:rPr>
        <w:t xml:space="preserve">b) w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postępowaniu</w:t>
      </w:r>
      <w:r w:rsidRPr="003454B7">
        <w:rPr>
          <w:rFonts w:asciiTheme="minorHAnsi" w:hAnsiTheme="minorHAnsi" w:cstheme="minorHAnsi"/>
          <w:sz w:val="21"/>
          <w:szCs w:val="21"/>
        </w:rPr>
        <w:t xml:space="preserve"> o udzielenie zamówienia </w:t>
      </w:r>
      <w:r w:rsidRPr="003454B7">
        <w:rPr>
          <w:rFonts w:asciiTheme="minorHAnsi" w:eastAsia="Calibri" w:hAnsiTheme="minorHAnsi" w:cstheme="minorHAnsi"/>
          <w:sz w:val="21"/>
          <w:szCs w:val="21"/>
        </w:rPr>
        <w:t>zgłoszenie</w:t>
      </w:r>
      <w:r w:rsidRPr="003454B7">
        <w:rPr>
          <w:rFonts w:asciiTheme="minorHAnsi" w:hAnsiTheme="minorHAnsi" w:cstheme="minorHAnsi"/>
          <w:sz w:val="21"/>
          <w:szCs w:val="21"/>
        </w:rPr>
        <w:t xml:space="preserve"> </w:t>
      </w:r>
      <w:r w:rsidRPr="003454B7">
        <w:rPr>
          <w:rFonts w:asciiTheme="minorHAnsi" w:eastAsia="Calibri" w:hAnsiTheme="minorHAnsi" w:cstheme="minorHAnsi"/>
          <w:sz w:val="21"/>
          <w:szCs w:val="21"/>
        </w:rPr>
        <w:t>żądania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ograniczenia przetwarzania, o którym mowa w </w:t>
      </w:r>
      <w:hyperlink r:id="rId10" w:anchor="/document/68636690">
        <w:r w:rsidRPr="003454B7">
          <w:rPr>
            <w:rFonts w:asciiTheme="minorHAnsi" w:hAnsiTheme="minorHAnsi" w:cstheme="minorHAnsi"/>
            <w:sz w:val="21"/>
            <w:szCs w:val="21"/>
          </w:rPr>
          <w:t xml:space="preserve">art. 18 ust. 1 </w:t>
        </w:r>
      </w:hyperlink>
      <w:r w:rsidRPr="003454B7">
        <w:rPr>
          <w:rFonts w:asciiTheme="minorHAnsi" w:hAnsiTheme="minorHAnsi" w:cstheme="minorHAnsi"/>
          <w:sz w:val="21"/>
          <w:szCs w:val="21"/>
        </w:rPr>
        <w:t xml:space="preserve">przywołanego za lit a) powyżej </w:t>
      </w:r>
      <w:r w:rsidRPr="003454B7">
        <w:rPr>
          <w:rFonts w:asciiTheme="minorHAnsi" w:eastAsia="Calibri" w:hAnsiTheme="minorHAnsi" w:cstheme="minorHAnsi"/>
          <w:sz w:val="21"/>
          <w:szCs w:val="21"/>
        </w:rPr>
        <w:t>Rozporządzenia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2016/679, nie ogranicza przetwarzania danych osobowych do czasu </w:t>
      </w:r>
      <w:r w:rsidRPr="003454B7">
        <w:rPr>
          <w:rFonts w:asciiTheme="minorHAnsi" w:eastAsia="Calibri" w:hAnsiTheme="minorHAnsi" w:cstheme="minorHAnsi"/>
          <w:sz w:val="21"/>
          <w:szCs w:val="21"/>
        </w:rPr>
        <w:t>zakończenia</w:t>
      </w:r>
      <w:r w:rsidRPr="003454B7">
        <w:rPr>
          <w:rFonts w:asciiTheme="minorHAnsi" w:hAnsiTheme="minorHAnsi" w:cstheme="minorHAnsi"/>
          <w:sz w:val="21"/>
          <w:szCs w:val="21"/>
        </w:rPr>
        <w:t xml:space="preserve"> tego </w:t>
      </w:r>
      <w:r w:rsidRPr="003454B7">
        <w:rPr>
          <w:rFonts w:asciiTheme="minorHAnsi" w:eastAsia="Calibri" w:hAnsiTheme="minorHAnsi" w:cstheme="minorHAnsi"/>
          <w:sz w:val="21"/>
          <w:szCs w:val="21"/>
        </w:rPr>
        <w:t>postępowania.</w:t>
      </w:r>
    </w:p>
    <w:p w14:paraId="7BF87CD3" w14:textId="77777777" w:rsidR="003454B7" w:rsidRPr="003454B7" w:rsidRDefault="003454B7" w:rsidP="003454B7">
      <w:pPr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</w:p>
    <w:p w14:paraId="7A983CE8" w14:textId="77777777" w:rsidR="00FA4D8B" w:rsidRPr="003454B7" w:rsidRDefault="00FA4D8B" w:rsidP="003454B7">
      <w:pPr>
        <w:ind w:left="284" w:hanging="284"/>
        <w:rPr>
          <w:rFonts w:asciiTheme="minorHAnsi" w:hAnsiTheme="minorHAnsi" w:cstheme="minorHAnsi"/>
        </w:rPr>
      </w:pPr>
    </w:p>
    <w:sectPr w:rsidR="00FA4D8B" w:rsidRPr="003454B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E80D8" w14:textId="77777777" w:rsidR="00AB0433" w:rsidRDefault="00AB0433" w:rsidP="00D4439B">
      <w:r>
        <w:separator/>
      </w:r>
    </w:p>
  </w:endnote>
  <w:endnote w:type="continuationSeparator" w:id="0">
    <w:p w14:paraId="60E088A5" w14:textId="77777777" w:rsidR="00AB0433" w:rsidRDefault="00AB0433" w:rsidP="00D4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4672668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C1B5172" w14:textId="77777777" w:rsidR="00D4439B" w:rsidRDefault="00D4439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F103C0A" w14:textId="77777777" w:rsidR="00D4439B" w:rsidRDefault="00D4439B" w:rsidP="00D443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75578371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D021BED" w14:textId="77777777" w:rsidR="00D4439B" w:rsidRDefault="00D4439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4F619C1" w14:textId="77777777" w:rsidR="00D4439B" w:rsidRDefault="00D4439B" w:rsidP="00D4439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96C5" w14:textId="77777777" w:rsidR="00AB0433" w:rsidRDefault="00AB0433" w:rsidP="00D4439B">
      <w:r>
        <w:separator/>
      </w:r>
    </w:p>
  </w:footnote>
  <w:footnote w:type="continuationSeparator" w:id="0">
    <w:p w14:paraId="17C03940" w14:textId="77777777" w:rsidR="00AB0433" w:rsidRDefault="00AB0433" w:rsidP="00D4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73377" w14:textId="12BA6A77" w:rsidR="00A67854" w:rsidRDefault="00D4439B" w:rsidP="00A67854">
    <w:pPr>
      <w:pBdr>
        <w:bottom w:val="single" w:sz="4" w:space="1" w:color="auto"/>
      </w:pBdr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b/>
        <w:sz w:val="21"/>
        <w:szCs w:val="21"/>
      </w:rPr>
      <w:t>Numer sprawy: 2/2024/</w:t>
    </w:r>
    <w:r w:rsidR="00E128B2">
      <w:rPr>
        <w:rFonts w:asciiTheme="minorHAnsi" w:hAnsiTheme="minorHAnsi" w:cstheme="minorHAnsi"/>
        <w:b/>
        <w:sz w:val="21"/>
        <w:szCs w:val="21"/>
      </w:rPr>
      <w:t>DFK</w:t>
    </w:r>
    <w:r w:rsidRPr="00D4439B">
      <w:rPr>
        <w:rFonts w:asciiTheme="minorHAnsi" w:hAnsiTheme="minorHAnsi" w:cstheme="minorHAnsi"/>
        <w:b/>
        <w:sz w:val="21"/>
        <w:szCs w:val="21"/>
      </w:rPr>
      <w:t xml:space="preserve">  </w:t>
    </w:r>
    <w:r w:rsidR="00A67854">
      <w:rPr>
        <w:rFonts w:asciiTheme="minorHAnsi" w:hAnsiTheme="minorHAnsi" w:cstheme="minorHAnsi"/>
        <w:b/>
        <w:sz w:val="21"/>
        <w:szCs w:val="21"/>
      </w:rPr>
      <w:t xml:space="preserve">                     </w:t>
    </w:r>
    <w:r>
      <w:rPr>
        <w:rFonts w:asciiTheme="minorHAnsi" w:hAnsiTheme="minorHAnsi" w:cstheme="minorHAnsi"/>
        <w:b/>
        <w:sz w:val="21"/>
        <w:szCs w:val="21"/>
      </w:rPr>
      <w:t xml:space="preserve">  </w:t>
    </w:r>
    <w:r w:rsidRPr="00D4439B">
      <w:rPr>
        <w:rFonts w:asciiTheme="minorHAnsi" w:hAnsiTheme="minorHAnsi" w:cstheme="minorHAnsi"/>
        <w:i/>
        <w:sz w:val="21"/>
        <w:szCs w:val="21"/>
      </w:rPr>
      <w:t xml:space="preserve">Załącznik nr </w:t>
    </w:r>
    <w:r w:rsidR="00E06FD8">
      <w:rPr>
        <w:rFonts w:asciiTheme="minorHAnsi" w:hAnsiTheme="minorHAnsi" w:cstheme="minorHAnsi"/>
        <w:i/>
        <w:sz w:val="21"/>
        <w:szCs w:val="21"/>
      </w:rPr>
      <w:t>4</w:t>
    </w:r>
    <w:r w:rsidRPr="00D4439B">
      <w:rPr>
        <w:rFonts w:asciiTheme="minorHAnsi" w:hAnsiTheme="minorHAnsi" w:cstheme="minorHAnsi"/>
        <w:i/>
        <w:sz w:val="21"/>
        <w:szCs w:val="21"/>
      </w:rPr>
      <w:t xml:space="preserve"> do </w:t>
    </w:r>
    <w:r w:rsidR="00A67854">
      <w:rPr>
        <w:rFonts w:asciiTheme="minorHAnsi" w:hAnsiTheme="minorHAnsi" w:cstheme="minorHAnsi"/>
        <w:i/>
        <w:sz w:val="21"/>
        <w:szCs w:val="21"/>
      </w:rPr>
      <w:t>Zaproszenie do składania ofert</w:t>
    </w:r>
    <w:r w:rsidR="00E06FD8">
      <w:rPr>
        <w:rFonts w:asciiTheme="minorHAnsi" w:hAnsiTheme="minorHAnsi" w:cstheme="minorHAnsi"/>
        <w:i/>
        <w:sz w:val="21"/>
        <w:szCs w:val="21"/>
      </w:rPr>
      <w:t xml:space="preserve"> szczegółowych. </w:t>
    </w:r>
  </w:p>
  <w:p w14:paraId="191DC7F4" w14:textId="63CA08C1" w:rsidR="00D4439B" w:rsidRPr="00D4439B" w:rsidRDefault="00D4439B" w:rsidP="00E06FD8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i/>
        <w:sz w:val="21"/>
        <w:szCs w:val="21"/>
      </w:rPr>
      <w:t xml:space="preserve"> </w:t>
    </w:r>
    <w:r w:rsidR="00E06FD8">
      <w:rPr>
        <w:rFonts w:asciiTheme="minorHAnsi" w:hAnsiTheme="minorHAnsi" w:cstheme="minorHAnsi"/>
        <w:i/>
        <w:sz w:val="21"/>
        <w:szCs w:val="21"/>
      </w:rPr>
      <w:t>Klauzula Rodo</w:t>
    </w:r>
    <w:r>
      <w:rPr>
        <w:rFonts w:asciiTheme="minorHAnsi" w:hAnsiTheme="minorHAnsi" w:cstheme="minorHAnsi"/>
        <w:i/>
        <w:sz w:val="21"/>
        <w:szCs w:val="21"/>
      </w:rPr>
      <w:t>.</w:t>
    </w:r>
  </w:p>
  <w:p w14:paraId="268C8AFF" w14:textId="77777777" w:rsidR="00D4439B" w:rsidRPr="00D4439B" w:rsidRDefault="00D4439B" w:rsidP="00D4439B">
    <w:pPr>
      <w:pStyle w:val="Nagwek"/>
      <w:tabs>
        <w:tab w:val="clear" w:pos="4536"/>
        <w:tab w:val="clear" w:pos="9072"/>
        <w:tab w:val="left" w:pos="2245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746170E"/>
    <w:lvl w:ilvl="0" w:tplc="F3CC5C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702"/>
    <w:multiLevelType w:val="multilevel"/>
    <w:tmpl w:val="776037D6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eastAsia="Calibri" w:hint="default"/>
      </w:rPr>
    </w:lvl>
  </w:abstractNum>
  <w:abstractNum w:abstractNumId="2" w15:restartNumberingAfterBreak="0">
    <w:nsid w:val="084B565C"/>
    <w:multiLevelType w:val="hybridMultilevel"/>
    <w:tmpl w:val="F412FF10"/>
    <w:lvl w:ilvl="0" w:tplc="D0F00624">
      <w:start w:val="1"/>
      <w:numFmt w:val="lowerLetter"/>
      <w:lvlText w:val="%1)"/>
      <w:lvlJc w:val="left"/>
      <w:pPr>
        <w:ind w:left="17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3" w15:restartNumberingAfterBreak="0">
    <w:nsid w:val="0C2230E5"/>
    <w:multiLevelType w:val="hybridMultilevel"/>
    <w:tmpl w:val="ADA0718A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5B3BA6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E0C3D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A57F3"/>
    <w:multiLevelType w:val="multilevel"/>
    <w:tmpl w:val="93F46D44"/>
    <w:lvl w:ilvl="0">
      <w:start w:val="2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1.%2.%3."/>
      <w:lvlJc w:val="left"/>
      <w:pPr>
        <w:ind w:left="2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76" w:hanging="1800"/>
      </w:pPr>
      <w:rPr>
        <w:rFonts w:hint="default"/>
      </w:rPr>
    </w:lvl>
  </w:abstractNum>
  <w:abstractNum w:abstractNumId="7" w15:restartNumberingAfterBreak="0">
    <w:nsid w:val="23AF2A5F"/>
    <w:multiLevelType w:val="hybridMultilevel"/>
    <w:tmpl w:val="B1520A94"/>
    <w:lvl w:ilvl="0" w:tplc="AD84512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A07DB"/>
    <w:multiLevelType w:val="hybridMultilevel"/>
    <w:tmpl w:val="274617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61FD7"/>
    <w:multiLevelType w:val="multilevel"/>
    <w:tmpl w:val="BC9EADA8"/>
    <w:lvl w:ilvl="0">
      <w:start w:val="7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3)"/>
      <w:lvlJc w:val="left"/>
      <w:pPr>
        <w:ind w:left="1276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D8230F"/>
    <w:multiLevelType w:val="hybridMultilevel"/>
    <w:tmpl w:val="0FE4F90A"/>
    <w:lvl w:ilvl="0" w:tplc="1BCCDA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A33F53"/>
    <w:multiLevelType w:val="hybridMultilevel"/>
    <w:tmpl w:val="BF8AAAA0"/>
    <w:lvl w:ilvl="0" w:tplc="4E0A629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68BC8BF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64593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D4242"/>
    <w:multiLevelType w:val="hybridMultilevel"/>
    <w:tmpl w:val="37D08BEC"/>
    <w:lvl w:ilvl="0" w:tplc="536CB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967"/>
    <w:multiLevelType w:val="hybridMultilevel"/>
    <w:tmpl w:val="3AFE9140"/>
    <w:lvl w:ilvl="0" w:tplc="8DF2E53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3275922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647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060599">
    <w:abstractNumId w:val="11"/>
  </w:num>
  <w:num w:numId="4" w16cid:durableId="226305140">
    <w:abstractNumId w:val="12"/>
  </w:num>
  <w:num w:numId="5" w16cid:durableId="52697394">
    <w:abstractNumId w:val="3"/>
  </w:num>
  <w:num w:numId="6" w16cid:durableId="1901862937">
    <w:abstractNumId w:val="0"/>
  </w:num>
  <w:num w:numId="7" w16cid:durableId="66926177">
    <w:abstractNumId w:val="4"/>
  </w:num>
  <w:num w:numId="8" w16cid:durableId="1549143969">
    <w:abstractNumId w:val="13"/>
  </w:num>
  <w:num w:numId="9" w16cid:durableId="996541366">
    <w:abstractNumId w:val="5"/>
  </w:num>
  <w:num w:numId="10" w16cid:durableId="1789023">
    <w:abstractNumId w:val="8"/>
  </w:num>
  <w:num w:numId="11" w16cid:durableId="1847473197">
    <w:abstractNumId w:val="7"/>
  </w:num>
  <w:num w:numId="12" w16cid:durableId="337006283">
    <w:abstractNumId w:val="9"/>
  </w:num>
  <w:num w:numId="13" w16cid:durableId="691498905">
    <w:abstractNumId w:val="15"/>
  </w:num>
  <w:num w:numId="14" w16cid:durableId="1683163074">
    <w:abstractNumId w:val="10"/>
  </w:num>
  <w:num w:numId="15" w16cid:durableId="767696246">
    <w:abstractNumId w:val="6"/>
  </w:num>
  <w:num w:numId="16" w16cid:durableId="533424514">
    <w:abstractNumId w:val="2"/>
  </w:num>
  <w:num w:numId="17" w16cid:durableId="443351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39B"/>
    <w:rsid w:val="001230E3"/>
    <w:rsid w:val="002A78DC"/>
    <w:rsid w:val="003447D0"/>
    <w:rsid w:val="003454B7"/>
    <w:rsid w:val="003B3EE0"/>
    <w:rsid w:val="003D69DA"/>
    <w:rsid w:val="00450224"/>
    <w:rsid w:val="00633D68"/>
    <w:rsid w:val="00673E8D"/>
    <w:rsid w:val="006E1F9F"/>
    <w:rsid w:val="00763D6E"/>
    <w:rsid w:val="007A1C21"/>
    <w:rsid w:val="007D54F5"/>
    <w:rsid w:val="008711F0"/>
    <w:rsid w:val="00A67854"/>
    <w:rsid w:val="00AB0433"/>
    <w:rsid w:val="00AD606A"/>
    <w:rsid w:val="00B6208B"/>
    <w:rsid w:val="00BF4A83"/>
    <w:rsid w:val="00C6034C"/>
    <w:rsid w:val="00C86841"/>
    <w:rsid w:val="00CE7D25"/>
    <w:rsid w:val="00D4439B"/>
    <w:rsid w:val="00E06FD8"/>
    <w:rsid w:val="00E128B2"/>
    <w:rsid w:val="00E93A86"/>
    <w:rsid w:val="00ED6394"/>
    <w:rsid w:val="00F051EF"/>
    <w:rsid w:val="00F225D6"/>
    <w:rsid w:val="00F81168"/>
    <w:rsid w:val="00FA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75F33"/>
  <w15:docId w15:val="{7C714053-8163-A841-9CEE-3367F11D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39B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439B"/>
    <w:pPr>
      <w:keepNext/>
      <w:keepLines/>
      <w:spacing w:before="720" w:after="720" w:line="360" w:lineRule="auto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43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39B"/>
    <w:rPr>
      <w:rFonts w:eastAsiaTheme="majorEastAsia" w:cstheme="majorBidi"/>
      <w:b/>
      <w:color w:val="000000" w:themeColor="text1"/>
      <w:kern w:val="0"/>
      <w:sz w:val="28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4439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39B"/>
    <w:rPr>
      <w:rFonts w:asciiTheme="majorHAnsi" w:eastAsiaTheme="majorEastAsia" w:hAnsiTheme="majorHAnsi" w:cstheme="majorBidi"/>
      <w:color w:val="1F3763" w:themeColor="accent1" w:themeShade="7F"/>
      <w:kern w:val="0"/>
      <w:lang w:eastAsia="ar-SA"/>
      <w14:ligatures w14:val="none"/>
    </w:rPr>
  </w:style>
  <w:style w:type="character" w:styleId="Odwoanieprzypisudolnego">
    <w:name w:val="footnote reference"/>
    <w:uiPriority w:val="99"/>
    <w:unhideWhenUsed/>
    <w:rsid w:val="00D4439B"/>
    <w:rPr>
      <w:vertAlign w:val="superscrip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,lp1"/>
    <w:basedOn w:val="Normalny"/>
    <w:link w:val="AkapitzlistZnak"/>
    <w:uiPriority w:val="34"/>
    <w:qFormat/>
    <w:rsid w:val="00D4439B"/>
    <w:pPr>
      <w:ind w:left="708"/>
    </w:pPr>
  </w:style>
  <w:style w:type="character" w:customStyle="1" w:styleId="Teksttreci2">
    <w:name w:val="Tekst treści (2)_"/>
    <w:basedOn w:val="Domylnaczcionkaakapitu"/>
    <w:link w:val="Teksttreci20"/>
    <w:rsid w:val="00D443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439B"/>
    <w:pPr>
      <w:shd w:val="clear" w:color="auto" w:fill="FFFFFF"/>
      <w:suppressAutoHyphens w:val="0"/>
      <w:spacing w:before="240" w:after="240" w:line="312" w:lineRule="exact"/>
      <w:ind w:hanging="560"/>
      <w:jc w:val="both"/>
    </w:pPr>
    <w:rPr>
      <w:kern w:val="2"/>
      <w:lang w:eastAsia="en-US"/>
      <w14:ligatures w14:val="standardContextual"/>
    </w:rPr>
  </w:style>
  <w:style w:type="character" w:customStyle="1" w:styleId="Teksttreci5">
    <w:name w:val="Tekst treści (5)_"/>
    <w:basedOn w:val="Domylnaczcionkaakapitu"/>
    <w:link w:val="Teksttreci50"/>
    <w:rsid w:val="00D4439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4439B"/>
    <w:pPr>
      <w:shd w:val="clear" w:color="auto" w:fill="FFFFFF"/>
      <w:suppressAutoHyphens w:val="0"/>
      <w:spacing w:before="210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443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E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E8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99"/>
    <w:rsid w:val="00FA4D8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A4D8B"/>
    <w:pPr>
      <w:jc w:val="both"/>
    </w:pPr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FA4D8B"/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AkapitzlistZnak">
    <w:name w:val="Akapit z listą Znak"/>
    <w:aliases w:val="Akapit z listą2 Znak,Akapit z listą numerowaną Znak,Podsis rysunku Znak,List bullet Znak,List Paragraph Znak,Akapit z listą BS Znak,Kolorowa lista — akcent 11 Znak,Średnia siatka 1 — akcent 21 Znak,Akapit z listą;1_literowka Znak"/>
    <w:link w:val="Akapitzlist"/>
    <w:uiPriority w:val="34"/>
    <w:qFormat/>
    <w:rsid w:val="00FA4D8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xt1">
    <w:name w:val="Text 1"/>
    <w:basedOn w:val="Normalny"/>
    <w:rsid w:val="00FA4D8B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Default">
    <w:name w:val="Default"/>
    <w:rsid w:val="00ED6394"/>
    <w:pPr>
      <w:autoSpaceDE w:val="0"/>
      <w:autoSpaceDN w:val="0"/>
      <w:adjustRightInd w:val="0"/>
    </w:pPr>
    <w:rPr>
      <w:rFonts w:ascii="Trebuchet MS" w:hAnsi="Trebuchet MS" w:cs="Trebuchet MS"/>
      <w:color w:val="000000"/>
      <w:kern w:val="0"/>
      <w14:ligatures w14:val="none"/>
    </w:rPr>
  </w:style>
  <w:style w:type="paragraph" w:styleId="Poprawka">
    <w:name w:val="Revision"/>
    <w:hidden/>
    <w:uiPriority w:val="99"/>
    <w:semiHidden/>
    <w:rsid w:val="00E93A86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?unitId=art(16)&amp;cm=DOCUMEN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?unitId=art(18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?unitId=art(16)&amp;cm=DOCUMEN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FFF35-DA22-C44B-8718-A836C320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5027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3</cp:revision>
  <dcterms:created xsi:type="dcterms:W3CDTF">2024-09-05T08:59:00Z</dcterms:created>
  <dcterms:modified xsi:type="dcterms:W3CDTF">2024-09-11T11:18:00Z</dcterms:modified>
  <cp:category/>
</cp:coreProperties>
</file>