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b/>
          <w:bCs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Wykonanie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oznakowania poziomego dróg kategorii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>gminnej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 (linie segregacyjne, przejścia dla pieszych, strzałki i symbole) na terenie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>Legionowa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w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ykonanie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oznakowania poziomego dróg kategorii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>gminnej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 xml:space="preserve"> (linie segregacyjne, przejścia dla pieszych, strzałki i symbole) na terenie </w:t>
      </w:r>
      <w:r>
        <w:rPr>
          <w:rStyle w:val="Strong"/>
          <w:rFonts w:eastAsia="Arial Narrow" w:cs="Verdana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zxx"/>
        </w:rPr>
        <w:t>Legionowa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11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.202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4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,</w:t>
        <w:br/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 w:eastAsia="Times New Roman" w:cs="Times New Roman"/>
          <w:b/>
          <w:bCs/>
          <w:i w:val="false"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  <w:t>zdolności technicznej z zakresu narzędzi, wyposażenia zakładu lub urządzeń technicznych dostępnych wykonawcy w celu wykonania zamówienia publicznego  (jeżeli dotyczy)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a) </w:t>
      </w:r>
      <w:r>
        <w:rPr>
          <w:rFonts w:eastAsia="Verdana,Italic" w:cs="Arial" w:ascii="Arial" w:hAnsi="Arial"/>
          <w:sz w:val="22"/>
          <w:szCs w:val="22"/>
          <w:lang w:val="pl-PL"/>
        </w:rPr>
        <w:t>Opis (rodzaj)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33.8pt;height:21.2pt" type="#_x0000_t75"/>
          <w:control r:id="rId9" w:name="Pole edycyjne: opis" w:shapeid="control_shape_7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b) </w:t>
      </w:r>
      <w:r>
        <w:rPr>
          <w:rFonts w:eastAsia="Verdana,Italic" w:cs="Arial" w:ascii="Arial" w:hAnsi="Arial"/>
          <w:sz w:val="22"/>
          <w:szCs w:val="22"/>
          <w:lang w:val="pl-PL"/>
        </w:rPr>
        <w:t>Liczba jednostek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33.8pt;height:21.2pt" type="#_x0000_t75"/>
          <w:control r:id="rId10" w:name="Pole edycyjne: liczba" w:shapeid="control_shape_8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  <w:lang w:val="pl-PL"/>
        </w:rPr>
        <w:t>Podstawa dysponowania potencjałem przez podmiot udostępniający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33.8pt;height:21.2pt" type="#_x0000_t75"/>
          <w:control r:id="rId11" w:name="Pole edycyjne: podstawa dysponowania" w:shapeid="control_shape_9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Zobowiązanie wygasa z chwilą zawarcia z zamawiającym umowy na wykonanie zamówienia, której stroną jest inny wykonawca (podmiot).</w:t>
      </w:r>
    </w:p>
    <w:p>
      <w:pPr>
        <w:pStyle w:val="BodyText"/>
        <w:numPr>
          <w:ilvl w:val="0"/>
          <w:numId w:val="0"/>
        </w:numPr>
        <w:shd w:fill="000000" w:val="clear"/>
        <w:bidi w:val="0"/>
        <w:ind w:hanging="0" w:start="340"/>
        <w:jc w:val="start"/>
        <w:rPr/>
      </w:pPr>
      <w:r>
        <w:rPr>
          <w:rStyle w:val="Strong"/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W przypadku innych podmiotów, na zasobach których wykonawca polega, kopie dokumentów tych podmiotów są poświadczane za zgodność z oryginałem odpowiednio przez te podmioty.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usługi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lub 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eżeli zdolności techniczne 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lub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3</Pages>
  <Words>614</Words>
  <Characters>4226</Characters>
  <CharactersWithSpaces>4804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2024-04-04T09:25:16Z</dcterms:created>
  <dc:creator/>
  <dc:description/>
  <dc:language>pl-PL</dc:language>
  <cp:lastModifiedBy/>
  <dcterms:modified xsi:type="dcterms:W3CDTF">2024-04-04T09:35:38Z</dcterms:modified>
  <cp:revision>2</cp:revision>
  <dc:subject/>
  <dc:title>Wzór zobowiązanie podmiotu udostępniającego zasoby do oddania mu do dyspozycji niezbędnych zasobów na potrzeby realizacji danego zamówienia</dc:title>
</cp:coreProperties>
</file>