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369" w:rsidRPr="001D4F5D" w:rsidRDefault="00514369" w:rsidP="00514369">
      <w:pPr>
        <w:spacing w:after="0" w:line="20" w:lineRule="atLeast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ZP/21/2025</w:t>
      </w:r>
    </w:p>
    <w:p w:rsidR="00514369" w:rsidRDefault="00514369" w:rsidP="00514369">
      <w:pPr>
        <w:spacing w:after="0" w:line="20" w:lineRule="atLeast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Załącznik Nr 2b</w:t>
      </w:r>
    </w:p>
    <w:p w:rsidR="00514369" w:rsidRPr="001D4F5D" w:rsidRDefault="00514369" w:rsidP="00514369">
      <w:pPr>
        <w:spacing w:after="0" w:line="20" w:lineRule="atLeast"/>
        <w:rPr>
          <w:rFonts w:ascii="Tahoma" w:hAnsi="Tahoma" w:cs="Tahoma"/>
          <w:b/>
          <w:u w:val="single"/>
        </w:rPr>
      </w:pPr>
    </w:p>
    <w:p w:rsidR="00514369" w:rsidRDefault="00514369" w:rsidP="00514369">
      <w:pPr>
        <w:spacing w:line="20" w:lineRule="atLeast"/>
        <w:jc w:val="center"/>
        <w:rPr>
          <w:rFonts w:ascii="Tahoma" w:hAnsi="Tahoma" w:cs="Tahoma"/>
          <w:b/>
          <w:u w:val="single"/>
        </w:rPr>
      </w:pPr>
      <w:r w:rsidRPr="001D4F5D">
        <w:rPr>
          <w:rFonts w:ascii="Tahoma" w:hAnsi="Tahoma" w:cs="Tahoma"/>
          <w:b/>
          <w:u w:val="single"/>
        </w:rPr>
        <w:t>Parametry techniczne</w:t>
      </w:r>
      <w:r>
        <w:rPr>
          <w:rFonts w:ascii="Tahoma" w:hAnsi="Tahoma" w:cs="Tahoma"/>
          <w:b/>
          <w:u w:val="single"/>
        </w:rPr>
        <w:t xml:space="preserve"> - Opis przedmiotu zamówienia </w:t>
      </w:r>
    </w:p>
    <w:p w:rsidR="00514369" w:rsidRPr="00514369" w:rsidRDefault="00514369" w:rsidP="00514369">
      <w:pPr>
        <w:spacing w:line="20" w:lineRule="atLeast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POZYCJA NR 2</w:t>
      </w:r>
      <w:r w:rsidRPr="00551196">
        <w:rPr>
          <w:rFonts w:ascii="Tahoma" w:hAnsi="Tahoma" w:cs="Tahoma"/>
          <w:b/>
          <w:u w:val="single"/>
        </w:rPr>
        <w:t xml:space="preserve">  </w:t>
      </w:r>
    </w:p>
    <w:p w:rsidR="00636E24" w:rsidRPr="00514369" w:rsidRDefault="00025898" w:rsidP="00514369">
      <w:pPr>
        <w:spacing w:after="0" w:line="240" w:lineRule="auto"/>
        <w:rPr>
          <w:rFonts w:ascii="Tahoma" w:hAnsi="Tahoma" w:cs="Tahoma"/>
          <w:b/>
          <w:bCs/>
        </w:rPr>
      </w:pPr>
      <w:r w:rsidRPr="00514369">
        <w:rPr>
          <w:rFonts w:ascii="Tahoma" w:hAnsi="Tahoma" w:cs="Tahoma"/>
          <w:b/>
          <w:bCs/>
        </w:rPr>
        <w:t>Urządzenie d</w:t>
      </w:r>
      <w:r w:rsidR="008121C5" w:rsidRPr="00514369">
        <w:rPr>
          <w:rFonts w:ascii="Tahoma" w:hAnsi="Tahoma" w:cs="Tahoma"/>
          <w:b/>
          <w:bCs/>
        </w:rPr>
        <w:t>o termoablacji tarczycy</w:t>
      </w:r>
      <w:r w:rsidR="00463FEE" w:rsidRPr="00514369">
        <w:rPr>
          <w:rFonts w:ascii="Tahoma" w:hAnsi="Tahoma" w:cs="Tahoma"/>
          <w:b/>
          <w:bCs/>
        </w:rPr>
        <w:t xml:space="preserve"> – 1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5"/>
        <w:gridCol w:w="4867"/>
        <w:gridCol w:w="1559"/>
        <w:gridCol w:w="2121"/>
      </w:tblGrid>
      <w:tr w:rsidR="00636E24" w:rsidTr="00955F01">
        <w:tc>
          <w:tcPr>
            <w:tcW w:w="515" w:type="dxa"/>
            <w:vAlign w:val="center"/>
          </w:tcPr>
          <w:p w:rsidR="00636E24" w:rsidRPr="002816C7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67" w:type="dxa"/>
            <w:vAlign w:val="center"/>
          </w:tcPr>
          <w:p w:rsidR="00636E24" w:rsidRPr="002816C7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1559" w:type="dxa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2121" w:type="dxa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1940E4" w:rsidTr="00955F01">
        <w:tc>
          <w:tcPr>
            <w:tcW w:w="515" w:type="dxa"/>
            <w:vAlign w:val="center"/>
          </w:tcPr>
          <w:p w:rsidR="001940E4" w:rsidRPr="002816C7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7" w:type="dxa"/>
            <w:vAlign w:val="center"/>
          </w:tcPr>
          <w:p w:rsidR="001940E4" w:rsidRPr="002816C7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1559" w:type="dxa"/>
            <w:vAlign w:val="center"/>
          </w:tcPr>
          <w:p w:rsidR="001940E4" w:rsidRPr="002816C7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1" w:type="dxa"/>
          </w:tcPr>
          <w:p w:rsidR="001940E4" w:rsidRPr="002816C7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:rsidTr="00955F01">
        <w:tc>
          <w:tcPr>
            <w:tcW w:w="515" w:type="dxa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867" w:type="dxa"/>
            <w:vAlign w:val="center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1559" w:type="dxa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2121" w:type="dxa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955F01">
        <w:tc>
          <w:tcPr>
            <w:tcW w:w="515" w:type="dxa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867" w:type="dxa"/>
            <w:vAlign w:val="center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1559" w:type="dxa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2121" w:type="dxa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955F01">
        <w:tc>
          <w:tcPr>
            <w:tcW w:w="515" w:type="dxa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867" w:type="dxa"/>
            <w:vAlign w:val="center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1559" w:type="dxa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2121" w:type="dxa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955F01">
        <w:tc>
          <w:tcPr>
            <w:tcW w:w="515" w:type="dxa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867" w:type="dxa"/>
            <w:vAlign w:val="center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1559" w:type="dxa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2121" w:type="dxa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955F01">
        <w:tc>
          <w:tcPr>
            <w:tcW w:w="515" w:type="dxa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4867" w:type="dxa"/>
            <w:vAlign w:val="center"/>
          </w:tcPr>
          <w:p w:rsidR="00636E24" w:rsidRPr="002816C7" w:rsidRDefault="007858E4" w:rsidP="008A7A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Rok produkcji 20</w:t>
            </w:r>
            <w:r w:rsidR="00752576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 w:rsidR="00636E24" w:rsidRPr="002816C7">
              <w:rPr>
                <w:rFonts w:asciiTheme="minorHAnsi" w:hAnsiTheme="minorHAnsi" w:cstheme="minorHAns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1559" w:type="dxa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1" w:type="dxa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955F01">
        <w:tc>
          <w:tcPr>
            <w:tcW w:w="515" w:type="dxa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4867" w:type="dxa"/>
            <w:vAlign w:val="center"/>
          </w:tcPr>
          <w:p w:rsidR="00636E24" w:rsidRPr="002816C7" w:rsidRDefault="008A7A30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58F5">
              <w:rPr>
                <w:rFonts w:cs="Calibri"/>
                <w:sz w:val="20"/>
                <w:szCs w:val="20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1559" w:type="dxa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1" w:type="dxa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955F01">
        <w:tc>
          <w:tcPr>
            <w:tcW w:w="515" w:type="dxa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4867" w:type="dxa"/>
            <w:vAlign w:val="center"/>
          </w:tcPr>
          <w:p w:rsidR="00960E2D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2816C7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1559" w:type="dxa"/>
            <w:vAlign w:val="center"/>
          </w:tcPr>
          <w:p w:rsidR="00636E24" w:rsidRPr="002816C7" w:rsidRDefault="00FB0BD2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1" w:type="dxa"/>
            <w:vAlign w:val="bottom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955F01">
        <w:tc>
          <w:tcPr>
            <w:tcW w:w="515" w:type="dxa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4867" w:type="dxa"/>
            <w:vAlign w:val="center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</w:t>
            </w:r>
          </w:p>
        </w:tc>
        <w:tc>
          <w:tcPr>
            <w:tcW w:w="1559" w:type="dxa"/>
            <w:vAlign w:val="center"/>
          </w:tcPr>
          <w:p w:rsidR="00636E24" w:rsidRPr="002816C7" w:rsidRDefault="00955F01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121" w:type="dxa"/>
            <w:vAlign w:val="bottom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955F01">
        <w:tc>
          <w:tcPr>
            <w:tcW w:w="515" w:type="dxa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7" w:type="dxa"/>
            <w:vAlign w:val="center"/>
          </w:tcPr>
          <w:p w:rsidR="00636E24" w:rsidRPr="002816C7" w:rsidRDefault="00FB0BD2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1559" w:type="dxa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1" w:type="dxa"/>
            <w:vAlign w:val="bottom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243" w:rsidTr="00955F01">
        <w:tc>
          <w:tcPr>
            <w:tcW w:w="515" w:type="dxa"/>
            <w:vAlign w:val="center"/>
          </w:tcPr>
          <w:p w:rsidR="00AE2243" w:rsidRPr="00955F01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867" w:type="dxa"/>
            <w:vAlign w:val="center"/>
          </w:tcPr>
          <w:p w:rsidR="00AE2243" w:rsidRPr="00955F01" w:rsidRDefault="00025898" w:rsidP="00AE2243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 xml:space="preserve">Możliwość zastosowania </w:t>
            </w:r>
            <w:r w:rsidRPr="00955F01">
              <w:rPr>
                <w:rFonts w:asciiTheme="minorHAnsi" w:eastAsia="Arial" w:hAnsiTheme="minorHAnsi" w:cstheme="minorHAnsi"/>
                <w:sz w:val="20"/>
                <w:szCs w:val="20"/>
              </w:rPr>
              <w:t>w ablacji guzów tarczycy, guzach wątroby płuc, nerek, mięśniaków macicy</w:t>
            </w:r>
          </w:p>
        </w:tc>
        <w:tc>
          <w:tcPr>
            <w:tcW w:w="1559" w:type="dxa"/>
          </w:tcPr>
          <w:p w:rsidR="00AE2243" w:rsidRPr="00955F01" w:rsidRDefault="00AE2243" w:rsidP="00955F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  <w:t>Tak</w:t>
            </w:r>
            <w:r w:rsidRPr="00955F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121" w:type="dxa"/>
            <w:vAlign w:val="bottom"/>
          </w:tcPr>
          <w:p w:rsidR="00AE2243" w:rsidRPr="00955F01" w:rsidRDefault="00AE2243" w:rsidP="00AE22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E2243" w:rsidTr="00955F01">
        <w:tc>
          <w:tcPr>
            <w:tcW w:w="515" w:type="dxa"/>
            <w:vAlign w:val="center"/>
          </w:tcPr>
          <w:p w:rsidR="00AE2243" w:rsidRPr="00955F01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867" w:type="dxa"/>
            <w:vAlign w:val="center"/>
          </w:tcPr>
          <w:p w:rsidR="00AE2243" w:rsidRPr="00955F01" w:rsidRDefault="00025898" w:rsidP="00A653A6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Budowa modułowa: generator, pompa perystaltyczna oraz oprzyrządowanie.</w:t>
            </w:r>
          </w:p>
        </w:tc>
        <w:tc>
          <w:tcPr>
            <w:tcW w:w="1559" w:type="dxa"/>
          </w:tcPr>
          <w:p w:rsidR="00AE2243" w:rsidRPr="00955F01" w:rsidRDefault="00AE2243" w:rsidP="00955F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  <w:t>Tak</w:t>
            </w:r>
            <w:r w:rsidRPr="00955F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121" w:type="dxa"/>
            <w:vAlign w:val="bottom"/>
          </w:tcPr>
          <w:p w:rsidR="00AE2243" w:rsidRPr="00955F01" w:rsidRDefault="00AE2243" w:rsidP="00AE22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E2243" w:rsidTr="00955F01">
        <w:tc>
          <w:tcPr>
            <w:tcW w:w="515" w:type="dxa"/>
            <w:vAlign w:val="center"/>
          </w:tcPr>
          <w:p w:rsidR="00AE2243" w:rsidRPr="00955F01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867" w:type="dxa"/>
            <w:vAlign w:val="center"/>
          </w:tcPr>
          <w:p w:rsidR="00AE2243" w:rsidRDefault="00025898" w:rsidP="00AE2243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Możliwość pracy z podwójnym włącznikiem/ wyłącznikiem nożnym z funkcją regulacji mocy częstotliwości radiowej.</w:t>
            </w:r>
          </w:p>
          <w:p w:rsidR="00AB3708" w:rsidRPr="00955F01" w:rsidRDefault="00AB3708" w:rsidP="00AE2243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AE2243" w:rsidRPr="00955F01" w:rsidRDefault="00AE2243" w:rsidP="00955F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  <w:t>Tak</w:t>
            </w:r>
            <w:r w:rsidRPr="00955F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121" w:type="dxa"/>
            <w:vAlign w:val="bottom"/>
          </w:tcPr>
          <w:p w:rsidR="00AE2243" w:rsidRPr="00955F01" w:rsidRDefault="00AE2243" w:rsidP="00AE22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E2243" w:rsidTr="00955F01">
        <w:tc>
          <w:tcPr>
            <w:tcW w:w="515" w:type="dxa"/>
            <w:vAlign w:val="center"/>
          </w:tcPr>
          <w:p w:rsidR="00AE2243" w:rsidRPr="00955F01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4867" w:type="dxa"/>
            <w:vAlign w:val="center"/>
          </w:tcPr>
          <w:p w:rsidR="00025898" w:rsidRPr="00955F01" w:rsidRDefault="00025898" w:rsidP="00AB3708">
            <w:pPr>
              <w:tabs>
                <w:tab w:val="left" w:pos="2600"/>
              </w:tabs>
              <w:spacing w:after="0" w:line="240" w:lineRule="auto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Arial" w:hAnsiTheme="minorHAnsi" w:cstheme="minorHAnsi"/>
                <w:sz w:val="20"/>
                <w:szCs w:val="20"/>
              </w:rPr>
              <w:t>Włącznik/wyłącznik nożny (pojedynczy -opcjonalny)</w:t>
            </w:r>
          </w:p>
          <w:p w:rsidR="00025898" w:rsidRPr="00955F01" w:rsidRDefault="00025898" w:rsidP="00AB3708">
            <w:pPr>
              <w:spacing w:after="0" w:line="10" w:lineRule="exact"/>
              <w:rPr>
                <w:rFonts w:asciiTheme="minorHAnsi" w:eastAsia="Arial" w:hAnsiTheme="minorHAnsi" w:cstheme="minorHAnsi"/>
                <w:sz w:val="20"/>
                <w:szCs w:val="20"/>
              </w:rPr>
            </w:pPr>
          </w:p>
          <w:p w:rsidR="00AE2243" w:rsidRPr="00955F01" w:rsidRDefault="00025898" w:rsidP="00AB3708">
            <w:pPr>
              <w:snapToGrid w:val="0"/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Arial" w:hAnsiTheme="minorHAnsi" w:cstheme="minorHAnsi"/>
                <w:sz w:val="20"/>
                <w:szCs w:val="20"/>
              </w:rPr>
              <w:t>Stopień ochrony przed wnikaniem wody: IP68, długość całkowita przewodu : min.4 m</w:t>
            </w:r>
          </w:p>
        </w:tc>
        <w:tc>
          <w:tcPr>
            <w:tcW w:w="1559" w:type="dxa"/>
          </w:tcPr>
          <w:p w:rsidR="00AE2243" w:rsidRPr="00955F01" w:rsidRDefault="00AE2243" w:rsidP="00955F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  <w:t>Tak</w:t>
            </w:r>
            <w:r w:rsidRPr="00955F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121" w:type="dxa"/>
            <w:vAlign w:val="bottom"/>
          </w:tcPr>
          <w:p w:rsidR="00AE2243" w:rsidRPr="00955F01" w:rsidRDefault="00AE2243" w:rsidP="00AE22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E2243" w:rsidTr="00955F01">
        <w:tc>
          <w:tcPr>
            <w:tcW w:w="515" w:type="dxa"/>
            <w:vAlign w:val="center"/>
          </w:tcPr>
          <w:p w:rsidR="00AE2243" w:rsidRPr="00955F01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4867" w:type="dxa"/>
            <w:vAlign w:val="center"/>
          </w:tcPr>
          <w:p w:rsidR="00AE2243" w:rsidRPr="00955F01" w:rsidRDefault="00025898" w:rsidP="00AE2243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Waga generatora max.9 kg.</w:t>
            </w:r>
          </w:p>
        </w:tc>
        <w:tc>
          <w:tcPr>
            <w:tcW w:w="1559" w:type="dxa"/>
          </w:tcPr>
          <w:p w:rsidR="00AE2243" w:rsidRPr="00955F01" w:rsidRDefault="00AE2243" w:rsidP="00955F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  <w:t>Tak</w:t>
            </w:r>
            <w:r w:rsidRPr="00955F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121" w:type="dxa"/>
            <w:vAlign w:val="bottom"/>
          </w:tcPr>
          <w:p w:rsidR="00AE2243" w:rsidRPr="00955F01" w:rsidRDefault="00AE2243" w:rsidP="00AE22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E2243" w:rsidTr="00955F01">
        <w:tc>
          <w:tcPr>
            <w:tcW w:w="515" w:type="dxa"/>
            <w:vAlign w:val="center"/>
          </w:tcPr>
          <w:p w:rsidR="00AE2243" w:rsidRPr="00955F01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4867" w:type="dxa"/>
            <w:vAlign w:val="center"/>
          </w:tcPr>
          <w:p w:rsidR="00AE2243" w:rsidRPr="00955F01" w:rsidRDefault="00025898" w:rsidP="00AE2243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 xml:space="preserve">Parametry generatora: napięcie znamionowe min.100-230 V, pomiar impedancji od min.10 do max.800 </w:t>
            </w:r>
            <w:r w:rsidRPr="00955F01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Ω, moc max.200 W, częstotliwość max.480 kHz</w:t>
            </w:r>
          </w:p>
        </w:tc>
        <w:tc>
          <w:tcPr>
            <w:tcW w:w="1559" w:type="dxa"/>
          </w:tcPr>
          <w:p w:rsidR="00AE2243" w:rsidRPr="00955F01" w:rsidRDefault="00AE2243" w:rsidP="00955F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  <w:t>Tak</w:t>
            </w:r>
            <w:r w:rsidRPr="00955F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121" w:type="dxa"/>
            <w:vAlign w:val="bottom"/>
          </w:tcPr>
          <w:p w:rsidR="00AE2243" w:rsidRPr="00955F01" w:rsidRDefault="00AE2243" w:rsidP="00AE22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E2243" w:rsidTr="00955F01">
        <w:tc>
          <w:tcPr>
            <w:tcW w:w="515" w:type="dxa"/>
            <w:vAlign w:val="center"/>
          </w:tcPr>
          <w:p w:rsidR="00AE2243" w:rsidRPr="00955F01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4867" w:type="dxa"/>
            <w:vAlign w:val="center"/>
          </w:tcPr>
          <w:p w:rsidR="00AE2243" w:rsidRPr="00955F01" w:rsidRDefault="00025898" w:rsidP="00AE2243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Pompa perystaltyczna z uchwytem na rurki, automatycznym zaciskiem rurki, uchylną pokrywką, głowicą, waga max. 4 kg.</w:t>
            </w:r>
          </w:p>
        </w:tc>
        <w:tc>
          <w:tcPr>
            <w:tcW w:w="1559" w:type="dxa"/>
          </w:tcPr>
          <w:p w:rsidR="00AE2243" w:rsidRPr="00955F01" w:rsidRDefault="00AE2243" w:rsidP="00955F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  <w:t>Tak</w:t>
            </w:r>
            <w:r w:rsidRPr="00955F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121" w:type="dxa"/>
            <w:vAlign w:val="bottom"/>
          </w:tcPr>
          <w:p w:rsidR="00AE2243" w:rsidRPr="00955F01" w:rsidRDefault="00AE2243" w:rsidP="00AE22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E2243" w:rsidTr="00955F01">
        <w:tc>
          <w:tcPr>
            <w:tcW w:w="515" w:type="dxa"/>
            <w:vAlign w:val="center"/>
          </w:tcPr>
          <w:p w:rsidR="00AE2243" w:rsidRPr="00955F01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4867" w:type="dxa"/>
            <w:vAlign w:val="center"/>
          </w:tcPr>
          <w:p w:rsidR="00AE2243" w:rsidRPr="00955F01" w:rsidRDefault="00025898" w:rsidP="00AE2243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Zakres pomiaru temperatury od min.</w:t>
            </w:r>
            <w:r w:rsidRPr="00955F01">
              <w:rPr>
                <w:rFonts w:asciiTheme="minorHAnsi" w:eastAsia="Arial" w:hAnsiTheme="minorHAnsi" w:cstheme="minorHAnsi"/>
                <w:sz w:val="20"/>
                <w:szCs w:val="20"/>
              </w:rPr>
              <w:t>5C˚do max.95˚C</w:t>
            </w:r>
          </w:p>
        </w:tc>
        <w:tc>
          <w:tcPr>
            <w:tcW w:w="1559" w:type="dxa"/>
          </w:tcPr>
          <w:p w:rsidR="00AE2243" w:rsidRPr="00955F01" w:rsidRDefault="00AE2243" w:rsidP="00955F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  <w:t>Tak</w:t>
            </w:r>
            <w:r w:rsidRPr="00955F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121" w:type="dxa"/>
            <w:vAlign w:val="bottom"/>
          </w:tcPr>
          <w:p w:rsidR="00AE2243" w:rsidRPr="00955F01" w:rsidRDefault="00AE2243" w:rsidP="00AE22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E2243" w:rsidTr="00955F01">
        <w:tc>
          <w:tcPr>
            <w:tcW w:w="515" w:type="dxa"/>
            <w:vAlign w:val="center"/>
          </w:tcPr>
          <w:p w:rsidR="00AE2243" w:rsidRPr="00955F01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4867" w:type="dxa"/>
            <w:vAlign w:val="center"/>
          </w:tcPr>
          <w:p w:rsidR="00AE2243" w:rsidRPr="00955F01" w:rsidRDefault="00025898" w:rsidP="00AE2243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System wewnętrznego chłodzenia perystaltycznego wchodzący w skład pompy perystaltycznej stanowiącej osobne urządzenia</w:t>
            </w:r>
          </w:p>
        </w:tc>
        <w:tc>
          <w:tcPr>
            <w:tcW w:w="1559" w:type="dxa"/>
          </w:tcPr>
          <w:p w:rsidR="00AE2243" w:rsidRPr="00955F01" w:rsidRDefault="00AE2243" w:rsidP="00955F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  <w:t>Tak</w:t>
            </w:r>
            <w:r w:rsidRPr="00955F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121" w:type="dxa"/>
            <w:vAlign w:val="bottom"/>
          </w:tcPr>
          <w:p w:rsidR="00AE2243" w:rsidRPr="00955F01" w:rsidRDefault="00AE2243" w:rsidP="00AE22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E2243" w:rsidTr="00955F01">
        <w:tc>
          <w:tcPr>
            <w:tcW w:w="515" w:type="dxa"/>
            <w:vAlign w:val="center"/>
          </w:tcPr>
          <w:p w:rsidR="00AE2243" w:rsidRPr="00955F01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4867" w:type="dxa"/>
            <w:vAlign w:val="center"/>
          </w:tcPr>
          <w:p w:rsidR="00025898" w:rsidRPr="00955F01" w:rsidRDefault="00025898" w:rsidP="00025898">
            <w:pPr>
              <w:tabs>
                <w:tab w:val="left" w:pos="2520"/>
              </w:tabs>
              <w:spacing w:line="240" w:lineRule="auto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Arial" w:hAnsiTheme="minorHAnsi" w:cstheme="minorHAnsi"/>
                <w:sz w:val="20"/>
                <w:szCs w:val="20"/>
              </w:rPr>
              <w:t>Możliwość ustawienia dźwięku generowania mocy wyjściowej częstotliwości radiowej; 1- dźwięk włączenia/wyłączenia generowania prądu o częstotliwości radiowej, 2- dźwięk impedancji</w:t>
            </w:r>
          </w:p>
          <w:p w:rsidR="00AE2243" w:rsidRPr="00955F01" w:rsidRDefault="00025898" w:rsidP="00025898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Arial" w:hAnsiTheme="minorHAnsi" w:cstheme="minorHAnsi"/>
                <w:sz w:val="20"/>
                <w:szCs w:val="20"/>
              </w:rPr>
              <w:t>Bark dźwięku - wyciszenie</w:t>
            </w:r>
          </w:p>
        </w:tc>
        <w:tc>
          <w:tcPr>
            <w:tcW w:w="1559" w:type="dxa"/>
          </w:tcPr>
          <w:p w:rsidR="00AE2243" w:rsidRPr="00955F01" w:rsidRDefault="00AE2243" w:rsidP="00955F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  <w:t>Tak</w:t>
            </w:r>
            <w:r w:rsidRPr="00955F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121" w:type="dxa"/>
            <w:vAlign w:val="bottom"/>
          </w:tcPr>
          <w:p w:rsidR="00AE2243" w:rsidRPr="00955F01" w:rsidRDefault="00AE2243" w:rsidP="00AE22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E2243" w:rsidTr="00955F01">
        <w:tc>
          <w:tcPr>
            <w:tcW w:w="515" w:type="dxa"/>
            <w:vAlign w:val="center"/>
          </w:tcPr>
          <w:p w:rsidR="00AE2243" w:rsidRPr="00955F01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 11</w:t>
            </w:r>
          </w:p>
        </w:tc>
        <w:tc>
          <w:tcPr>
            <w:tcW w:w="4867" w:type="dxa"/>
            <w:vAlign w:val="center"/>
          </w:tcPr>
          <w:p w:rsidR="00AE2243" w:rsidRPr="00955F01" w:rsidRDefault="00025898" w:rsidP="00AE2243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Ciągły pomiar impedancji tkanki.</w:t>
            </w:r>
          </w:p>
        </w:tc>
        <w:tc>
          <w:tcPr>
            <w:tcW w:w="1559" w:type="dxa"/>
          </w:tcPr>
          <w:p w:rsidR="00AE2243" w:rsidRPr="00955F01" w:rsidRDefault="00AE2243" w:rsidP="00955F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  <w:t>Tak</w:t>
            </w:r>
            <w:r w:rsidRPr="00955F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121" w:type="dxa"/>
          </w:tcPr>
          <w:p w:rsidR="00AE2243" w:rsidRPr="00955F01" w:rsidRDefault="00AE224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E2243" w:rsidTr="00955F01">
        <w:tc>
          <w:tcPr>
            <w:tcW w:w="515" w:type="dxa"/>
            <w:vAlign w:val="center"/>
          </w:tcPr>
          <w:p w:rsidR="00AE2243" w:rsidRPr="00955F01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4867" w:type="dxa"/>
            <w:vAlign w:val="center"/>
          </w:tcPr>
          <w:p w:rsidR="00AE2243" w:rsidRPr="00955F01" w:rsidRDefault="00025898" w:rsidP="00025898">
            <w:pPr>
              <w:tabs>
                <w:tab w:val="left" w:pos="2520"/>
              </w:tabs>
              <w:spacing w:line="240" w:lineRule="auto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W trybie kontynuacji śledzenie i regulacja w watach oraz w stopniach Celsjusza  mocy wyjściowej częstotliwości radiowej </w:t>
            </w:r>
          </w:p>
        </w:tc>
        <w:tc>
          <w:tcPr>
            <w:tcW w:w="1559" w:type="dxa"/>
          </w:tcPr>
          <w:p w:rsidR="00AE2243" w:rsidRPr="00955F01" w:rsidRDefault="00AE2243" w:rsidP="00955F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  <w:t>Tak</w:t>
            </w:r>
            <w:r w:rsidRPr="00955F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121" w:type="dxa"/>
          </w:tcPr>
          <w:p w:rsidR="00AE2243" w:rsidRPr="00955F01" w:rsidRDefault="00AE224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243" w:rsidTr="00955F01">
        <w:tc>
          <w:tcPr>
            <w:tcW w:w="515" w:type="dxa"/>
            <w:vAlign w:val="center"/>
          </w:tcPr>
          <w:p w:rsidR="00AE2243" w:rsidRPr="00955F01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4867" w:type="dxa"/>
            <w:vAlign w:val="center"/>
          </w:tcPr>
          <w:p w:rsidR="00AE2243" w:rsidRPr="00955F01" w:rsidRDefault="00025898" w:rsidP="00AE2243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Theme="minorHAnsi" w:hAnsiTheme="minorHAnsi" w:cstheme="minorHAnsi"/>
              </w:rPr>
            </w:pPr>
            <w:r w:rsidRPr="00955F01">
              <w:rPr>
                <w:rFonts w:asciiTheme="minorHAnsi" w:eastAsia="Arial" w:hAnsiTheme="minorHAnsi" w:cstheme="minorHAnsi"/>
              </w:rPr>
              <w:t>Wskazanie upływającego czasu ablacji prądem o częstotliwości radiowej</w:t>
            </w:r>
          </w:p>
        </w:tc>
        <w:tc>
          <w:tcPr>
            <w:tcW w:w="1559" w:type="dxa"/>
          </w:tcPr>
          <w:p w:rsidR="00AE2243" w:rsidRPr="00955F01" w:rsidRDefault="00AE2243" w:rsidP="00955F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  <w:t>Tak</w:t>
            </w:r>
            <w:r w:rsidRPr="00955F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121" w:type="dxa"/>
          </w:tcPr>
          <w:p w:rsidR="00AE2243" w:rsidRPr="00955F01" w:rsidRDefault="00AE224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243" w:rsidTr="00955F01">
        <w:tc>
          <w:tcPr>
            <w:tcW w:w="515" w:type="dxa"/>
            <w:vAlign w:val="center"/>
          </w:tcPr>
          <w:p w:rsidR="00AE2243" w:rsidRPr="00955F01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4867" w:type="dxa"/>
            <w:vAlign w:val="center"/>
          </w:tcPr>
          <w:p w:rsidR="00AE2243" w:rsidRPr="00955F01" w:rsidRDefault="00025898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Praca w trybie monopolarnym i bipolarnym</w:t>
            </w:r>
          </w:p>
        </w:tc>
        <w:tc>
          <w:tcPr>
            <w:tcW w:w="1559" w:type="dxa"/>
          </w:tcPr>
          <w:p w:rsidR="00AE2243" w:rsidRPr="00955F01" w:rsidRDefault="00AE2243" w:rsidP="00955F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  <w:t>Tak</w:t>
            </w:r>
            <w:r w:rsidRPr="00955F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121" w:type="dxa"/>
          </w:tcPr>
          <w:p w:rsidR="00AE2243" w:rsidRPr="00955F01" w:rsidRDefault="00AE224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5C33" w:rsidTr="00955F01">
        <w:tc>
          <w:tcPr>
            <w:tcW w:w="515" w:type="dxa"/>
            <w:vAlign w:val="center"/>
          </w:tcPr>
          <w:p w:rsidR="000A5C33" w:rsidRPr="00955F01" w:rsidRDefault="00550BEE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4867" w:type="dxa"/>
            <w:vAlign w:val="center"/>
          </w:tcPr>
          <w:p w:rsidR="000A5C33" w:rsidRPr="00955F01" w:rsidRDefault="00025898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 xml:space="preserve">Możliwość </w:t>
            </w:r>
            <w:r w:rsidRPr="00955F01">
              <w:rPr>
                <w:rFonts w:asciiTheme="minorHAnsi" w:eastAsia="Arial" w:hAnsiTheme="minorHAnsi" w:cstheme="minorHAnsi"/>
                <w:sz w:val="20"/>
                <w:szCs w:val="20"/>
              </w:rPr>
              <w:t>wyświetlania wykresu i wartości wyjściowej zmierzonej aktywną końcówką elektrody w momencie osiągnięcia mocy wyjściowej częstotliwości radiowej</w:t>
            </w:r>
          </w:p>
        </w:tc>
        <w:tc>
          <w:tcPr>
            <w:tcW w:w="1559" w:type="dxa"/>
          </w:tcPr>
          <w:p w:rsidR="000A5C33" w:rsidRPr="00955F01" w:rsidRDefault="00550BEE" w:rsidP="00955F01">
            <w:pPr>
              <w:jc w:val="center"/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</w:pPr>
            <w:r w:rsidRPr="00955F01"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  <w:t>Tak</w:t>
            </w:r>
            <w:r w:rsidRPr="00955F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121" w:type="dxa"/>
          </w:tcPr>
          <w:p w:rsidR="000A5C33" w:rsidRPr="00955F01" w:rsidRDefault="000A5C3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5C33" w:rsidTr="00955F01">
        <w:tc>
          <w:tcPr>
            <w:tcW w:w="515" w:type="dxa"/>
            <w:vAlign w:val="center"/>
          </w:tcPr>
          <w:p w:rsidR="000A5C33" w:rsidRPr="00955F01" w:rsidRDefault="00550BEE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4867" w:type="dxa"/>
            <w:vAlign w:val="center"/>
          </w:tcPr>
          <w:p w:rsidR="000A5C33" w:rsidRPr="00955F01" w:rsidRDefault="00025898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Arial" w:hAnsiTheme="minorHAnsi" w:cstheme="minorHAnsi"/>
                <w:sz w:val="20"/>
                <w:szCs w:val="20"/>
              </w:rPr>
              <w:t>Wyświetlenie wykresu i wartości wyjściowej zmierzonej aktywną końcówką elektrody w momencie osiągnięcia mocy wyjściowej częstotliwości radiowej</w:t>
            </w:r>
          </w:p>
        </w:tc>
        <w:tc>
          <w:tcPr>
            <w:tcW w:w="1559" w:type="dxa"/>
          </w:tcPr>
          <w:p w:rsidR="000A5C33" w:rsidRPr="00955F01" w:rsidRDefault="00550BEE" w:rsidP="00955F01">
            <w:pPr>
              <w:jc w:val="center"/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</w:pPr>
            <w:r w:rsidRPr="00955F01"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  <w:t>Tak</w:t>
            </w:r>
            <w:r w:rsidRPr="00955F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121" w:type="dxa"/>
          </w:tcPr>
          <w:p w:rsidR="000A5C33" w:rsidRPr="00955F01" w:rsidRDefault="000A5C3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5C33" w:rsidTr="00955F01">
        <w:tc>
          <w:tcPr>
            <w:tcW w:w="515" w:type="dxa"/>
            <w:vAlign w:val="center"/>
          </w:tcPr>
          <w:p w:rsidR="000A5C33" w:rsidRPr="00955F01" w:rsidRDefault="00550BEE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4867" w:type="dxa"/>
            <w:vAlign w:val="center"/>
          </w:tcPr>
          <w:p w:rsidR="000A5C33" w:rsidRPr="00955F01" w:rsidRDefault="00025898" w:rsidP="000A5C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eastAsia="Arial" w:hAnsiTheme="minorHAnsi" w:cstheme="minorHAnsi"/>
                <w:sz w:val="20"/>
                <w:szCs w:val="20"/>
              </w:rPr>
              <w:t>Wzrost mocy częstotliwości radiowej w zakresie min. od 0 W do max. 30 W z dokładnością co 5 W.</w:t>
            </w:r>
          </w:p>
        </w:tc>
        <w:tc>
          <w:tcPr>
            <w:tcW w:w="1559" w:type="dxa"/>
          </w:tcPr>
          <w:p w:rsidR="000A5C33" w:rsidRPr="00955F01" w:rsidRDefault="00550BEE" w:rsidP="00955F01">
            <w:pPr>
              <w:jc w:val="center"/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</w:pPr>
            <w:r w:rsidRPr="00955F01"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  <w:t>Tak</w:t>
            </w:r>
            <w:r w:rsidRPr="00955F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121" w:type="dxa"/>
          </w:tcPr>
          <w:p w:rsidR="000A5C33" w:rsidRPr="00955F01" w:rsidRDefault="000A5C3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5C33" w:rsidTr="00955F01">
        <w:tc>
          <w:tcPr>
            <w:tcW w:w="515" w:type="dxa"/>
            <w:vAlign w:val="center"/>
          </w:tcPr>
          <w:p w:rsidR="000A5C33" w:rsidRPr="00955F01" w:rsidRDefault="00550BEE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4867" w:type="dxa"/>
            <w:vAlign w:val="center"/>
          </w:tcPr>
          <w:p w:rsidR="000A5C33" w:rsidRPr="00955F01" w:rsidRDefault="00025898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bCs/>
                <w:sz w:val="20"/>
                <w:szCs w:val="20"/>
              </w:rPr>
              <w:t>Elektroda monopolarna parametry: min.: średnica 18G/1.36mm, długość robocza 70mm, długość aktywna 7mm, w zestawie elektrody neutralne i dreny. Produkt sterylny jednorazowy = 10 kompletów</w:t>
            </w:r>
          </w:p>
        </w:tc>
        <w:tc>
          <w:tcPr>
            <w:tcW w:w="1559" w:type="dxa"/>
          </w:tcPr>
          <w:p w:rsidR="000A5C33" w:rsidRPr="00955F01" w:rsidRDefault="00550BEE" w:rsidP="00955F01">
            <w:pPr>
              <w:jc w:val="center"/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</w:pPr>
            <w:r w:rsidRPr="00955F01">
              <w:rPr>
                <w:rFonts w:asciiTheme="minorHAnsi" w:eastAsia="Cambria" w:hAnsiTheme="minorHAnsi" w:cstheme="minorHAnsi"/>
                <w:sz w:val="20"/>
                <w:szCs w:val="20"/>
                <w:lang w:eastAsia="pl-PL"/>
              </w:rPr>
              <w:t>Tak</w:t>
            </w:r>
            <w:r w:rsidRPr="00955F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121" w:type="dxa"/>
          </w:tcPr>
          <w:p w:rsidR="000A5C33" w:rsidRPr="00955F01" w:rsidRDefault="000A5C3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243" w:rsidTr="00955F01">
        <w:tc>
          <w:tcPr>
            <w:tcW w:w="515" w:type="dxa"/>
            <w:vAlign w:val="center"/>
          </w:tcPr>
          <w:p w:rsidR="00AE2243" w:rsidRPr="002816C7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7" w:type="dxa"/>
            <w:vAlign w:val="center"/>
          </w:tcPr>
          <w:p w:rsidR="00AE2243" w:rsidRPr="002816C7" w:rsidRDefault="00AE2243" w:rsidP="00AE22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1559" w:type="dxa"/>
          </w:tcPr>
          <w:p w:rsidR="00AE2243" w:rsidRDefault="00AE2243" w:rsidP="00AE2243"/>
        </w:tc>
        <w:tc>
          <w:tcPr>
            <w:tcW w:w="2121" w:type="dxa"/>
          </w:tcPr>
          <w:p w:rsidR="00AE2243" w:rsidRPr="002816C7" w:rsidRDefault="00AE224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5F01" w:rsidTr="00D50EF1"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1</w:t>
            </w:r>
          </w:p>
        </w:tc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 xml:space="preserve">Okres gwarancji w miesiącach (wymagany min. 24 m-ce) </w:t>
            </w: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cr/>
              <w:t>Wyklucza się możliwość oferowania ubezpieczenia lub kontraktu serwisowego.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121" w:type="dxa"/>
            <w:shd w:val="clear" w:color="auto" w:fill="FFFFFF" w:themeFill="background1"/>
          </w:tcPr>
          <w:p w:rsidR="00955F01" w:rsidRPr="002816C7" w:rsidRDefault="00955F01" w:rsidP="00955F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5F01" w:rsidTr="001D0F67"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5F01" w:rsidRPr="00955F01" w:rsidRDefault="00955F01" w:rsidP="00955F01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2</w:t>
            </w:r>
          </w:p>
        </w:tc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1D0F67" w:rsidRPr="00551196" w:rsidRDefault="001D0F67" w:rsidP="001D0F67">
            <w:pPr>
              <w:autoSpaceDE w:val="0"/>
              <w:autoSpaceDN w:val="0"/>
              <w:adjustRightInd w:val="0"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 w:rsidRPr="00BF063D">
              <w:rPr>
                <w:rFonts w:cs="Calibri"/>
                <w:b/>
                <w:sz w:val="20"/>
                <w:szCs w:val="20"/>
                <w:u w:val="single"/>
              </w:rPr>
              <w:t>Czas reakcji serwisu:</w:t>
            </w:r>
            <w:r w:rsidRPr="00551196">
              <w:rPr>
                <w:rFonts w:cs="Calibri"/>
                <w:sz w:val="20"/>
                <w:szCs w:val="20"/>
                <w:u w:val="single"/>
              </w:rPr>
              <w:t xml:space="preserve"> </w:t>
            </w:r>
            <w:r w:rsidRPr="00551196">
              <w:rPr>
                <w:rFonts w:cs="Calibri"/>
                <w:b/>
                <w:sz w:val="20"/>
                <w:szCs w:val="20"/>
                <w:u w:val="single"/>
              </w:rPr>
              <w:t>min. 24 godziny - max. 48 godzin w dni robocze (pon. – pt.)</w:t>
            </w:r>
            <w:r w:rsidRPr="00551196">
              <w:rPr>
                <w:rFonts w:cs="Calibri"/>
                <w:sz w:val="20"/>
                <w:szCs w:val="20"/>
                <w:u w:val="single"/>
              </w:rPr>
              <w:t xml:space="preserve">  </w:t>
            </w:r>
            <w:r w:rsidRPr="00551196">
              <w:rPr>
                <w:rFonts w:cs="Calibri"/>
                <w:bCs/>
                <w:sz w:val="20"/>
                <w:szCs w:val="20"/>
              </w:rPr>
              <w:t>od chwili zgłoszenia awarii</w:t>
            </w:r>
            <w:r w:rsidRPr="00551196">
              <w:rPr>
                <w:rFonts w:cs="Calibri"/>
                <w:sz w:val="20"/>
                <w:szCs w:val="20"/>
                <w:highlight w:val="yellow"/>
                <w:lang w:eastAsia="pl-PL"/>
              </w:rPr>
              <w:t>.</w:t>
            </w:r>
            <w:r w:rsidRPr="00551196"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</w:p>
          <w:p w:rsidR="00955F01" w:rsidRPr="00955F01" w:rsidRDefault="001D0F67" w:rsidP="001D0F67">
            <w:pP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BF063D">
              <w:rPr>
                <w:rFonts w:cs="Calibri"/>
                <w:b/>
                <w:sz w:val="20"/>
                <w:szCs w:val="20"/>
                <w:u w:val="single"/>
                <w:lang w:eastAsia="pl-PL"/>
              </w:rPr>
              <w:t>Czas reakcji serwisu stanowi kryterium oceny ofert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5F01" w:rsidRPr="00955F01" w:rsidRDefault="00955F01" w:rsidP="00955F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121" w:type="dxa"/>
            <w:shd w:val="clear" w:color="auto" w:fill="FFFF00"/>
          </w:tcPr>
          <w:p w:rsidR="00955F01" w:rsidRPr="002816C7" w:rsidRDefault="00955F01" w:rsidP="00955F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5F01" w:rsidTr="00955F01"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3</w:t>
            </w:r>
          </w:p>
        </w:tc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2121" w:type="dxa"/>
          </w:tcPr>
          <w:p w:rsidR="00955F01" w:rsidRPr="002816C7" w:rsidRDefault="00955F01" w:rsidP="00955F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5F01" w:rsidTr="00955F01"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4</w:t>
            </w:r>
          </w:p>
        </w:tc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Instrukcja w języku polskim, w formie wydrukowanej i wersji elektronicznej na płycie CD lub Pendrive.</w:t>
            </w:r>
          </w:p>
          <w:p w:rsidR="00955F01" w:rsidRPr="00955F01" w:rsidRDefault="00955F01" w:rsidP="00955F01">
            <w:pP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i/>
                <w:iCs/>
                <w:color w:val="000000"/>
                <w:sz w:val="20"/>
                <w:szCs w:val="20"/>
                <w:u w:color="000000"/>
              </w:rPr>
              <w:t>Dostarczyć wraz z dostawa przedmiotu zam</w:t>
            </w:r>
            <w:r w:rsidRPr="00955F01">
              <w:rPr>
                <w:rFonts w:asciiTheme="minorHAnsi" w:eastAsia="Arial Unicode MS" w:hAnsiTheme="minorHAnsi" w:cstheme="minorHAnsi"/>
                <w:i/>
                <w:iCs/>
                <w:color w:val="000000"/>
                <w:sz w:val="20"/>
                <w:szCs w:val="20"/>
                <w:u w:color="000000"/>
                <w:lang w:val="es-ES_tradnl"/>
              </w:rPr>
              <w:t>ó</w:t>
            </w:r>
            <w:r w:rsidRPr="00955F01">
              <w:rPr>
                <w:rFonts w:asciiTheme="minorHAnsi" w:eastAsia="Arial Unicode MS" w:hAnsiTheme="minorHAnsi" w:cstheme="minorHAnsi"/>
                <w:i/>
                <w:iCs/>
                <w:color w:val="000000"/>
                <w:sz w:val="20"/>
                <w:szCs w:val="20"/>
                <w:u w:color="000000"/>
              </w:rPr>
              <w:t>wienia.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2121" w:type="dxa"/>
          </w:tcPr>
          <w:p w:rsidR="00955F01" w:rsidRPr="002816C7" w:rsidRDefault="00955F01" w:rsidP="00955F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5F01" w:rsidTr="00955F01"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5</w:t>
            </w:r>
          </w:p>
        </w:tc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Bezpłatne przeglądy w okresie gwarancji.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2121" w:type="dxa"/>
          </w:tcPr>
          <w:p w:rsidR="00955F01" w:rsidRPr="002816C7" w:rsidRDefault="00955F01" w:rsidP="00955F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5F01" w:rsidTr="00955F01"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6</w:t>
            </w:r>
          </w:p>
        </w:tc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Bezpłatne szkolenie personelu medycznego w zakresie obsługi aparatu przeprowadzone w siedzibie Zamawiającego.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2121" w:type="dxa"/>
          </w:tcPr>
          <w:p w:rsidR="00955F01" w:rsidRPr="002816C7" w:rsidRDefault="00955F01" w:rsidP="00955F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5F01" w:rsidTr="00955F01"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7</w:t>
            </w:r>
          </w:p>
        </w:tc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Liczba napraw uprawniających do wymiany urządzenia na nowe (3 naprawy tego samego modułu)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2121" w:type="dxa"/>
          </w:tcPr>
          <w:p w:rsidR="00955F01" w:rsidRPr="002816C7" w:rsidRDefault="00955F01" w:rsidP="00955F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5F01" w:rsidTr="00955F01"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8</w:t>
            </w:r>
          </w:p>
        </w:tc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Serwis na terenie Polski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2121" w:type="dxa"/>
          </w:tcPr>
          <w:p w:rsidR="00955F01" w:rsidRPr="002816C7" w:rsidRDefault="00955F01" w:rsidP="00955F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5F01" w:rsidTr="00955F01"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9</w:t>
            </w:r>
          </w:p>
        </w:tc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 xml:space="preserve">Paszport techniczny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5F01" w:rsidRPr="00955F01" w:rsidRDefault="00955F01" w:rsidP="00955F01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2121" w:type="dxa"/>
          </w:tcPr>
          <w:p w:rsidR="00955F01" w:rsidRPr="002816C7" w:rsidRDefault="00955F01" w:rsidP="00955F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B6790" w:rsidRDefault="006B6790" w:rsidP="003F4BE7">
      <w:pPr>
        <w:spacing w:after="0" w:line="240" w:lineRule="auto"/>
        <w:rPr>
          <w:rFonts w:ascii="Tahoma" w:hAnsi="Tahoma" w:cs="Tahoma"/>
          <w:lang w:eastAsia="pl-PL"/>
        </w:rPr>
      </w:pPr>
    </w:p>
    <w:p w:rsidR="003F4BE7" w:rsidRPr="003F4BE7" w:rsidRDefault="003F4BE7" w:rsidP="003F4BE7">
      <w:pPr>
        <w:widowControl w:val="0"/>
        <w:autoSpaceDN w:val="0"/>
        <w:spacing w:after="0" w:line="240" w:lineRule="auto"/>
        <w:jc w:val="both"/>
        <w:textAlignment w:val="baseline"/>
        <w:rPr>
          <w:rFonts w:ascii="Tahoma" w:eastAsia="SimSun" w:hAnsi="Tahoma" w:cs="Tahoma"/>
          <w:b/>
          <w:bCs/>
          <w:kern w:val="3"/>
          <w:sz w:val="15"/>
          <w:szCs w:val="15"/>
          <w:u w:val="single"/>
          <w:lang w:eastAsia="zh-CN" w:bidi="hi-IN"/>
        </w:rPr>
      </w:pPr>
      <w:r w:rsidRPr="003F4BE7">
        <w:rPr>
          <w:rFonts w:ascii="Tahoma" w:eastAsia="SimSun" w:hAnsi="Tahoma" w:cs="Tahoma"/>
          <w:b/>
          <w:bCs/>
          <w:kern w:val="3"/>
          <w:sz w:val="15"/>
          <w:szCs w:val="15"/>
          <w:u w:val="single"/>
          <w:lang w:eastAsia="zh-CN" w:bidi="hi-IN"/>
        </w:rPr>
        <w:t>UWAGA:</w:t>
      </w:r>
    </w:p>
    <w:p w:rsidR="003F4BE7" w:rsidRPr="003F4BE7" w:rsidRDefault="003F4BE7" w:rsidP="003F4BE7">
      <w:pPr>
        <w:widowControl w:val="0"/>
        <w:autoSpaceDN w:val="0"/>
        <w:spacing w:after="0" w:line="240" w:lineRule="auto"/>
        <w:jc w:val="both"/>
        <w:textAlignment w:val="baseline"/>
        <w:rPr>
          <w:rFonts w:ascii="Tahoma" w:eastAsia="SimSun" w:hAnsi="Tahoma" w:cs="Tahoma"/>
          <w:b/>
          <w:bCs/>
          <w:kern w:val="3"/>
          <w:sz w:val="15"/>
          <w:szCs w:val="15"/>
          <w:u w:val="single"/>
          <w:lang w:eastAsia="zh-CN" w:bidi="hi-IN"/>
        </w:rPr>
      </w:pPr>
      <w:r w:rsidRPr="003F4BE7">
        <w:rPr>
          <w:rFonts w:ascii="Tahoma" w:eastAsia="SimSun" w:hAnsi="Tahoma" w:cs="Tahoma"/>
          <w:b/>
          <w:bCs/>
          <w:kern w:val="3"/>
          <w:sz w:val="15"/>
          <w:szCs w:val="15"/>
          <w:u w:val="single"/>
          <w:lang w:eastAsia="zh-CN" w:bidi="hi-IN"/>
        </w:rPr>
        <w:t>W przypadku braku wpisu w rubryce ,, Potwierdzenie przez Wykonawcę”  lub niedołączenia do oferty niniejszego załącznika,  oferta zostanie odrzucona.</w:t>
      </w:r>
    </w:p>
    <w:p w:rsidR="003F4BE7" w:rsidRPr="003F4BE7" w:rsidRDefault="003F4BE7" w:rsidP="003F4BE7">
      <w:pPr>
        <w:widowControl w:val="0"/>
        <w:autoSpaceDN w:val="0"/>
        <w:spacing w:after="0" w:line="240" w:lineRule="auto"/>
        <w:jc w:val="both"/>
        <w:textAlignment w:val="baseline"/>
        <w:rPr>
          <w:rFonts w:ascii="Tahoma" w:eastAsia="SimSun" w:hAnsi="Tahoma" w:cs="Tahoma"/>
          <w:kern w:val="3"/>
          <w:sz w:val="15"/>
          <w:szCs w:val="15"/>
          <w:lang w:eastAsia="zh-CN" w:bidi="hi-IN"/>
        </w:rPr>
      </w:pPr>
    </w:p>
    <w:p w:rsidR="003F4BE7" w:rsidRPr="003F4BE7" w:rsidRDefault="003F4BE7" w:rsidP="003F4BE7">
      <w:pPr>
        <w:autoSpaceDN w:val="0"/>
        <w:spacing w:after="0" w:line="240" w:lineRule="auto"/>
        <w:jc w:val="both"/>
        <w:textAlignment w:val="baseline"/>
        <w:rPr>
          <w:rFonts w:ascii="Tahoma" w:hAnsi="Tahoma" w:cs="Tahoma"/>
          <w:sz w:val="15"/>
          <w:szCs w:val="15"/>
        </w:rPr>
      </w:pPr>
      <w:r w:rsidRPr="003F4BE7">
        <w:rPr>
          <w:rFonts w:ascii="Tahoma" w:hAnsi="Tahoma" w:cs="Tahoma"/>
          <w:sz w:val="15"/>
          <w:szCs w:val="15"/>
        </w:rPr>
        <w:t>Zamawiający zastrzega sobie prawo sprawdzenia wiarygodności podanych przez Wykonawcę parametrów technicznych we wszystkich dostępnych źródłach (w tym u producenta). W przypadku jakichkolwiek wątpliwości Zamawiający wymagać będzie prezentacji aparatury i jej parametrów technicznych.</w:t>
      </w:r>
    </w:p>
    <w:p w:rsidR="003F4BE7" w:rsidRPr="003F4BE7" w:rsidRDefault="003F4BE7" w:rsidP="003F4BE7">
      <w:pPr>
        <w:autoSpaceDN w:val="0"/>
        <w:spacing w:after="0" w:line="240" w:lineRule="auto"/>
        <w:jc w:val="both"/>
        <w:textAlignment w:val="baseline"/>
        <w:rPr>
          <w:rFonts w:ascii="Tahoma" w:hAnsi="Tahoma" w:cs="Tahoma"/>
          <w:sz w:val="15"/>
          <w:szCs w:val="15"/>
        </w:rPr>
      </w:pPr>
      <w:r w:rsidRPr="003F4BE7">
        <w:rPr>
          <w:rFonts w:ascii="Tahoma" w:hAnsi="Tahoma" w:cs="Tahoma"/>
          <w:sz w:val="15"/>
          <w:szCs w:val="15"/>
        </w:rPr>
        <w:t>Do oferty    należy dołączyć materiały informacyjne zawierające pełne dane techniczne, w których winny być zaznaczone informacje potwierdzające spełnienie wymagań parametrów granicznych i ocenianych. W przypadku braku potwierdzenia parametrów granicznych i ocenianych zamawiający ma prawo do odrzucenia oferty.</w:t>
      </w:r>
    </w:p>
    <w:p w:rsidR="003F4BE7" w:rsidRPr="003F4BE7" w:rsidRDefault="003F4BE7" w:rsidP="003F4BE7">
      <w:pPr>
        <w:autoSpaceDN w:val="0"/>
        <w:spacing w:line="240" w:lineRule="auto"/>
        <w:jc w:val="both"/>
        <w:textAlignment w:val="baseline"/>
        <w:rPr>
          <w:rFonts w:ascii="Tahoma" w:hAnsi="Tahoma" w:cs="Tahoma"/>
          <w:sz w:val="15"/>
          <w:szCs w:val="15"/>
        </w:rPr>
      </w:pPr>
      <w:r w:rsidRPr="003F4BE7">
        <w:rPr>
          <w:rFonts w:ascii="Tahoma" w:hAnsi="Tahoma" w:cs="Tahoma"/>
          <w:sz w:val="15"/>
          <w:szCs w:val="15"/>
          <w:u w:val="single"/>
        </w:rPr>
        <w:t>Zamawiający dopuszcza rozwiązania równoważne do opisanych.</w:t>
      </w:r>
      <w:r w:rsidRPr="003F4BE7">
        <w:rPr>
          <w:rFonts w:ascii="Tahoma" w:hAnsi="Tahoma" w:cs="Tahoma"/>
          <w:sz w:val="15"/>
          <w:szCs w:val="15"/>
          <w:u w:val="single"/>
        </w:rPr>
        <w:br/>
        <w:t>Wykonawca, który powoła się na rozwiązania równoważne do opisywanych przez Zamawiającego, obowiązany jest wykazać, że oferowane przez niego urządzenia  i sprzęt spełniają wymagania określone przez Zamawiającego.</w:t>
      </w:r>
    </w:p>
    <w:p w:rsidR="003F4BE7" w:rsidRPr="003F4BE7" w:rsidRDefault="003F4BE7" w:rsidP="003F4BE7">
      <w:pPr>
        <w:autoSpaceDN w:val="0"/>
        <w:spacing w:line="240" w:lineRule="auto"/>
        <w:jc w:val="both"/>
        <w:textAlignment w:val="baseline"/>
        <w:rPr>
          <w:rFonts w:ascii="Tahoma" w:hAnsi="Tahoma" w:cs="Tahoma"/>
          <w:sz w:val="15"/>
          <w:szCs w:val="15"/>
        </w:rPr>
      </w:pPr>
      <w:r w:rsidRPr="003F4BE7">
        <w:rPr>
          <w:rFonts w:ascii="Tahoma" w:hAnsi="Tahoma" w:cs="Tahoma"/>
          <w:sz w:val="15"/>
          <w:szCs w:val="15"/>
        </w:rPr>
        <w:t xml:space="preserve">Treść oświadczenia Wykonawcy: </w:t>
      </w:r>
    </w:p>
    <w:p w:rsidR="003F4BE7" w:rsidRPr="003F4BE7" w:rsidRDefault="003F4BE7" w:rsidP="003F4BE7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1701" w:right="119" w:hanging="1701"/>
        <w:jc w:val="both"/>
        <w:textAlignment w:val="baseline"/>
        <w:rPr>
          <w:rFonts w:ascii="Tahoma" w:hAnsi="Tahoma" w:cs="Tahoma"/>
          <w:sz w:val="15"/>
          <w:szCs w:val="15"/>
        </w:rPr>
      </w:pPr>
      <w:r w:rsidRPr="003F4BE7">
        <w:rPr>
          <w:rFonts w:ascii="Tahoma" w:hAnsi="Tahoma" w:cs="Tahoma"/>
          <w:sz w:val="15"/>
          <w:szCs w:val="15"/>
        </w:rPr>
        <w:t>Oświadczamy, że przedstawione powyżej dane są prawdziwe oraz zobowiązujemy się w przypadku wybrania naszej oferty  do dostarczenia sprzętu spełniającego wyspecyfikowane parametry.</w:t>
      </w:r>
    </w:p>
    <w:p w:rsidR="003F4BE7" w:rsidRPr="003F4BE7" w:rsidRDefault="003F4BE7" w:rsidP="003F4BE7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1701" w:right="119" w:hanging="1701"/>
        <w:jc w:val="both"/>
        <w:textAlignment w:val="baseline"/>
        <w:rPr>
          <w:rFonts w:ascii="Tahoma" w:hAnsi="Tahoma" w:cs="Tahoma"/>
          <w:sz w:val="15"/>
          <w:szCs w:val="15"/>
        </w:rPr>
      </w:pPr>
      <w:r w:rsidRPr="003F4BE7">
        <w:rPr>
          <w:rFonts w:ascii="Tahoma" w:hAnsi="Tahoma" w:cs="Tahoma"/>
          <w:sz w:val="15"/>
          <w:szCs w:val="15"/>
        </w:rPr>
        <w:t>Oświadczamy, że oferowany, powyżej wyspecyfikowane urządzenia i sprzęt  są kompletne i po zainstalowaniu będą gotowe do eksploatacji, bez żadnych dodatkowych zakupów i inwestycji.</w:t>
      </w:r>
    </w:p>
    <w:p w:rsidR="003F4BE7" w:rsidRPr="003F4BE7" w:rsidRDefault="003F4BE7" w:rsidP="003F4BE7">
      <w:pPr>
        <w:rPr>
          <w:rFonts w:ascii="Tahoma" w:hAnsi="Tahoma" w:cs="Tahoma"/>
          <w:sz w:val="15"/>
          <w:szCs w:val="15"/>
        </w:rPr>
      </w:pPr>
      <w:r w:rsidRPr="003F4BE7">
        <w:rPr>
          <w:rFonts w:ascii="Tahoma" w:hAnsi="Tahoma" w:cs="Tahoma"/>
          <w:sz w:val="15"/>
          <w:szCs w:val="15"/>
        </w:rPr>
        <w:t>/miejscowość, data /</w:t>
      </w:r>
      <w:r w:rsidRPr="003F4BE7">
        <w:rPr>
          <w:rFonts w:ascii="Tahoma" w:hAnsi="Tahoma" w:cs="Tahoma"/>
          <w:sz w:val="15"/>
          <w:szCs w:val="15"/>
        </w:rPr>
        <w:tab/>
      </w:r>
      <w:r w:rsidRPr="003F4BE7">
        <w:rPr>
          <w:rFonts w:ascii="Tahoma" w:hAnsi="Tahoma" w:cs="Tahoma"/>
          <w:sz w:val="15"/>
          <w:szCs w:val="15"/>
        </w:rPr>
        <w:tab/>
      </w:r>
      <w:r w:rsidRPr="003F4BE7">
        <w:rPr>
          <w:rFonts w:ascii="Tahoma" w:hAnsi="Tahoma" w:cs="Tahoma"/>
          <w:sz w:val="15"/>
          <w:szCs w:val="15"/>
        </w:rPr>
        <w:tab/>
      </w:r>
    </w:p>
    <w:p w:rsidR="003F4BE7" w:rsidRPr="003F4BE7" w:rsidRDefault="003F4BE7" w:rsidP="003F4BE7">
      <w:pPr>
        <w:rPr>
          <w:rFonts w:ascii="Tahoma" w:hAnsi="Tahoma" w:cs="Tahoma"/>
          <w:sz w:val="15"/>
          <w:szCs w:val="15"/>
        </w:rPr>
      </w:pPr>
      <w:r w:rsidRPr="003F4BE7">
        <w:rPr>
          <w:rFonts w:ascii="Tahoma" w:hAnsi="Tahoma" w:cs="Tahoma"/>
          <w:sz w:val="15"/>
          <w:szCs w:val="15"/>
        </w:rPr>
        <w:t xml:space="preserve">                                                                              _____________________________________</w:t>
      </w:r>
    </w:p>
    <w:p w:rsidR="006B6790" w:rsidRPr="003F4BE7" w:rsidRDefault="003F4BE7" w:rsidP="006B6790">
      <w:pPr>
        <w:spacing w:after="0" w:line="240" w:lineRule="auto"/>
        <w:rPr>
          <w:rFonts w:ascii="Tahoma" w:hAnsi="Tahoma" w:cs="Tahoma"/>
          <w:sz w:val="15"/>
          <w:szCs w:val="15"/>
          <w:lang w:eastAsia="pl-PL"/>
        </w:rPr>
      </w:pPr>
      <w:r w:rsidRPr="003F4BE7">
        <w:rPr>
          <w:rFonts w:ascii="Tahoma" w:hAnsi="Tahoma" w:cs="Tahoma"/>
          <w:sz w:val="15"/>
          <w:szCs w:val="15"/>
        </w:rPr>
        <w:tab/>
      </w:r>
      <w:r w:rsidRPr="003F4BE7">
        <w:rPr>
          <w:rFonts w:ascii="Tahoma" w:hAnsi="Tahoma" w:cs="Tahoma"/>
          <w:sz w:val="15"/>
          <w:szCs w:val="15"/>
        </w:rPr>
        <w:tab/>
      </w:r>
      <w:r w:rsidRPr="003F4BE7">
        <w:rPr>
          <w:rFonts w:ascii="Tahoma" w:hAnsi="Tahoma" w:cs="Tahoma"/>
          <w:sz w:val="15"/>
          <w:szCs w:val="15"/>
        </w:rPr>
        <w:tab/>
      </w:r>
      <w:r w:rsidRPr="003F4BE7">
        <w:rPr>
          <w:rFonts w:ascii="Tahoma" w:hAnsi="Tahoma" w:cs="Tahoma"/>
          <w:sz w:val="15"/>
          <w:szCs w:val="15"/>
        </w:rPr>
        <w:tab/>
      </w:r>
      <w:r w:rsidRPr="003F4BE7">
        <w:rPr>
          <w:rFonts w:ascii="Tahoma" w:hAnsi="Tahoma" w:cs="Tahoma"/>
          <w:sz w:val="15"/>
          <w:szCs w:val="15"/>
        </w:rPr>
        <w:tab/>
        <w:t>Czytelny podpis osoby uprawnionej do reprezentacji Wykonawcy</w:t>
      </w:r>
      <w:bookmarkStart w:id="0" w:name="_GoBack"/>
      <w:bookmarkEnd w:id="0"/>
    </w:p>
    <w:sectPr w:rsidR="006B6790" w:rsidRPr="003F4BE7" w:rsidSect="00606A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E13" w:rsidRDefault="000C6E13" w:rsidP="0096329A">
      <w:pPr>
        <w:spacing w:after="0" w:line="240" w:lineRule="auto"/>
      </w:pPr>
      <w:r>
        <w:separator/>
      </w:r>
    </w:p>
  </w:endnote>
  <w:endnote w:type="continuationSeparator" w:id="0">
    <w:p w:rsidR="000C6E13" w:rsidRDefault="000C6E13" w:rsidP="0096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4060652"/>
      <w:docPartObj>
        <w:docPartGallery w:val="Page Numbers (Bottom of Page)"/>
        <w:docPartUnique/>
      </w:docPartObj>
    </w:sdtPr>
    <w:sdtContent>
      <w:p w:rsidR="00933C5E" w:rsidRDefault="00933C5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BE7">
          <w:rPr>
            <w:noProof/>
          </w:rPr>
          <w:t>3</w:t>
        </w:r>
        <w:r>
          <w:fldChar w:fldCharType="end"/>
        </w:r>
      </w:p>
    </w:sdtContent>
  </w:sdt>
  <w:p w:rsidR="0096329A" w:rsidRDefault="009632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E13" w:rsidRDefault="000C6E13" w:rsidP="0096329A">
      <w:pPr>
        <w:spacing w:after="0" w:line="240" w:lineRule="auto"/>
      </w:pPr>
      <w:r>
        <w:separator/>
      </w:r>
    </w:p>
  </w:footnote>
  <w:footnote w:type="continuationSeparator" w:id="0">
    <w:p w:rsidR="000C6E13" w:rsidRDefault="000C6E13" w:rsidP="00963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369" w:rsidRDefault="00514369" w:rsidP="00514369">
    <w:pPr>
      <w:pStyle w:val="Nagwek"/>
      <w:ind w:left="142" w:hanging="426"/>
      <w:jc w:val="cen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sz w:val="20"/>
        <w:szCs w:val="20"/>
      </w:rPr>
      <w:t>ZP/21/2025 „</w:t>
    </w:r>
    <w:r w:rsidRPr="00E278A7">
      <w:rPr>
        <w:rFonts w:ascii="Tahoma" w:hAnsi="Tahoma" w:cs="Tahoma"/>
        <w:b/>
        <w:bCs/>
        <w:sz w:val="18"/>
        <w:szCs w:val="18"/>
      </w:rPr>
      <w:t xml:space="preserve">Dostawa urządzeń, narzędzi i innego wyposażenia medycznego na potrzeby Kliniki </w:t>
    </w:r>
    <w:r>
      <w:rPr>
        <w:rFonts w:ascii="Tahoma" w:hAnsi="Tahoma" w:cs="Tahoma"/>
        <w:b/>
        <w:bCs/>
        <w:sz w:val="18"/>
        <w:szCs w:val="18"/>
      </w:rPr>
      <w:t xml:space="preserve"> </w:t>
    </w:r>
    <w:r w:rsidRPr="00E278A7">
      <w:rPr>
        <w:rFonts w:ascii="Tahoma" w:hAnsi="Tahoma" w:cs="Tahoma"/>
        <w:b/>
        <w:bCs/>
        <w:sz w:val="18"/>
        <w:szCs w:val="18"/>
      </w:rPr>
      <w:t>Chirurgii Ogólnej i Onkologicznej - Bloku Operacyjnego  Centralnego Szpitala Klinicznego Uniwersytetu Medycznego w Łodzi</w:t>
    </w:r>
    <w:r>
      <w:rPr>
        <w:rFonts w:ascii="Tahoma" w:hAnsi="Tahoma" w:cs="Tahoma"/>
        <w:b/>
        <w:bCs/>
        <w:sz w:val="20"/>
        <w:szCs w:val="20"/>
      </w:rPr>
      <w:t>”</w:t>
    </w:r>
  </w:p>
  <w:p w:rsidR="00514369" w:rsidRDefault="00514369" w:rsidP="00514369">
    <w:pPr>
      <w:pStyle w:val="Nagwek"/>
    </w:pPr>
    <w:r>
      <w:rPr>
        <w:rFonts w:ascii="Tahoma" w:hAnsi="Tahoma" w:cs="Tahoma"/>
        <w:b/>
        <w:bCs/>
        <w:sz w:val="20"/>
        <w:szCs w:val="20"/>
      </w:rPr>
      <w:t>_______________________________________________________________________</w:t>
    </w:r>
  </w:p>
  <w:p w:rsidR="00514369" w:rsidRDefault="005143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50FA2"/>
    <w:multiLevelType w:val="hybridMultilevel"/>
    <w:tmpl w:val="049E93C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8727707"/>
    <w:multiLevelType w:val="hybridMultilevel"/>
    <w:tmpl w:val="ED30F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6B24EC"/>
    <w:multiLevelType w:val="hybridMultilevel"/>
    <w:tmpl w:val="B394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506605"/>
    <w:multiLevelType w:val="hybridMultilevel"/>
    <w:tmpl w:val="5096D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AD2F73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4C"/>
    <w:rsid w:val="00025898"/>
    <w:rsid w:val="0003546D"/>
    <w:rsid w:val="00076886"/>
    <w:rsid w:val="000849DC"/>
    <w:rsid w:val="000A5C33"/>
    <w:rsid w:val="000C255A"/>
    <w:rsid w:val="000C6E13"/>
    <w:rsid w:val="000E0814"/>
    <w:rsid w:val="000F3AF3"/>
    <w:rsid w:val="001940E4"/>
    <w:rsid w:val="001D0F67"/>
    <w:rsid w:val="001D5427"/>
    <w:rsid w:val="00245BF9"/>
    <w:rsid w:val="002669CE"/>
    <w:rsid w:val="002816C7"/>
    <w:rsid w:val="002908CB"/>
    <w:rsid w:val="002909C0"/>
    <w:rsid w:val="00295A5B"/>
    <w:rsid w:val="002A7485"/>
    <w:rsid w:val="00302700"/>
    <w:rsid w:val="00303567"/>
    <w:rsid w:val="00312D09"/>
    <w:rsid w:val="003B3741"/>
    <w:rsid w:val="003C483F"/>
    <w:rsid w:val="003F4BE7"/>
    <w:rsid w:val="004438F6"/>
    <w:rsid w:val="00447CA3"/>
    <w:rsid w:val="00452D42"/>
    <w:rsid w:val="00463FEE"/>
    <w:rsid w:val="00472B0B"/>
    <w:rsid w:val="0049623D"/>
    <w:rsid w:val="00514369"/>
    <w:rsid w:val="0053302D"/>
    <w:rsid w:val="00550BEE"/>
    <w:rsid w:val="00580AD6"/>
    <w:rsid w:val="00593759"/>
    <w:rsid w:val="005A2510"/>
    <w:rsid w:val="005E5162"/>
    <w:rsid w:val="005F48AE"/>
    <w:rsid w:val="00601CCA"/>
    <w:rsid w:val="00602420"/>
    <w:rsid w:val="00602C65"/>
    <w:rsid w:val="00606AD5"/>
    <w:rsid w:val="006266FB"/>
    <w:rsid w:val="00636E24"/>
    <w:rsid w:val="006A5E36"/>
    <w:rsid w:val="006B6790"/>
    <w:rsid w:val="007047D6"/>
    <w:rsid w:val="00705364"/>
    <w:rsid w:val="007372E7"/>
    <w:rsid w:val="00752576"/>
    <w:rsid w:val="00763375"/>
    <w:rsid w:val="00770E4F"/>
    <w:rsid w:val="007736C2"/>
    <w:rsid w:val="00774FD0"/>
    <w:rsid w:val="007858E4"/>
    <w:rsid w:val="007E4D3B"/>
    <w:rsid w:val="007F214C"/>
    <w:rsid w:val="008121C5"/>
    <w:rsid w:val="00814492"/>
    <w:rsid w:val="00825682"/>
    <w:rsid w:val="00857BA0"/>
    <w:rsid w:val="00877ED6"/>
    <w:rsid w:val="008A7A30"/>
    <w:rsid w:val="008E070C"/>
    <w:rsid w:val="008F4227"/>
    <w:rsid w:val="008F6D94"/>
    <w:rsid w:val="0091541A"/>
    <w:rsid w:val="00933C5E"/>
    <w:rsid w:val="009450F4"/>
    <w:rsid w:val="00955F01"/>
    <w:rsid w:val="00960E2D"/>
    <w:rsid w:val="0096329A"/>
    <w:rsid w:val="009A5AC3"/>
    <w:rsid w:val="009B6DDC"/>
    <w:rsid w:val="009F1E62"/>
    <w:rsid w:val="00A10E16"/>
    <w:rsid w:val="00A33D41"/>
    <w:rsid w:val="00A35C58"/>
    <w:rsid w:val="00A54F8C"/>
    <w:rsid w:val="00A57C3D"/>
    <w:rsid w:val="00A61540"/>
    <w:rsid w:val="00A653A6"/>
    <w:rsid w:val="00A65CCC"/>
    <w:rsid w:val="00AB3708"/>
    <w:rsid w:val="00AE0129"/>
    <w:rsid w:val="00AE2243"/>
    <w:rsid w:val="00AE563D"/>
    <w:rsid w:val="00B0321A"/>
    <w:rsid w:val="00B2475D"/>
    <w:rsid w:val="00B26F13"/>
    <w:rsid w:val="00B865AE"/>
    <w:rsid w:val="00B93BEC"/>
    <w:rsid w:val="00B9622B"/>
    <w:rsid w:val="00B96958"/>
    <w:rsid w:val="00BA3F96"/>
    <w:rsid w:val="00BF7621"/>
    <w:rsid w:val="00C54BEF"/>
    <w:rsid w:val="00C56DF7"/>
    <w:rsid w:val="00C6237F"/>
    <w:rsid w:val="00C83DB4"/>
    <w:rsid w:val="00C8535F"/>
    <w:rsid w:val="00CD4F26"/>
    <w:rsid w:val="00CE060F"/>
    <w:rsid w:val="00CE3863"/>
    <w:rsid w:val="00CF7148"/>
    <w:rsid w:val="00D26671"/>
    <w:rsid w:val="00D50EF1"/>
    <w:rsid w:val="00D8368D"/>
    <w:rsid w:val="00DA17AA"/>
    <w:rsid w:val="00DB7285"/>
    <w:rsid w:val="00DC5366"/>
    <w:rsid w:val="00DC69D1"/>
    <w:rsid w:val="00DE4F5A"/>
    <w:rsid w:val="00E117DC"/>
    <w:rsid w:val="00E31CF2"/>
    <w:rsid w:val="00E37DA8"/>
    <w:rsid w:val="00E44E41"/>
    <w:rsid w:val="00E7004C"/>
    <w:rsid w:val="00E76B5D"/>
    <w:rsid w:val="00E906C8"/>
    <w:rsid w:val="00EB1EDB"/>
    <w:rsid w:val="00EC65E7"/>
    <w:rsid w:val="00EE6B6B"/>
    <w:rsid w:val="00F13C3E"/>
    <w:rsid w:val="00F50C51"/>
    <w:rsid w:val="00F916B6"/>
    <w:rsid w:val="00FA2C01"/>
    <w:rsid w:val="00FB0BD2"/>
    <w:rsid w:val="00FB1CFF"/>
    <w:rsid w:val="00FD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E9919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D8368D"/>
    <w:pPr>
      <w:ind w:left="720"/>
      <w:contextualSpacing/>
    </w:pPr>
  </w:style>
  <w:style w:type="character" w:customStyle="1" w:styleId="Inne">
    <w:name w:val="Inne_"/>
    <w:link w:val="Inne0"/>
    <w:uiPriority w:val="99"/>
    <w:rsid w:val="00D8368D"/>
    <w:rPr>
      <w:rFonts w:ascii="Trebuchet MS" w:eastAsia="Trebuchet MS" w:hAnsi="Trebuchet MS" w:cs="Trebuchet MS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D8368D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eastAsia="pl-PL"/>
    </w:rPr>
  </w:style>
  <w:style w:type="paragraph" w:styleId="Stopka">
    <w:name w:val="footer"/>
    <w:basedOn w:val="Normalny"/>
    <w:link w:val="StopkaZnak"/>
    <w:uiPriority w:val="99"/>
    <w:rsid w:val="00AE22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E2243"/>
    <w:rPr>
      <w:rFonts w:ascii="Times New Roman" w:eastAsia="Times New Roman" w:hAnsi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63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9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06586-1F15-4F96-BD49-80963C7D4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833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Miazek</dc:creator>
  <cp:keywords/>
  <dc:description/>
  <cp:lastModifiedBy>Marta Radziszewska</cp:lastModifiedBy>
  <cp:revision>25</cp:revision>
  <dcterms:created xsi:type="dcterms:W3CDTF">2025-03-25T12:11:00Z</dcterms:created>
  <dcterms:modified xsi:type="dcterms:W3CDTF">2025-03-25T12:20:00Z</dcterms:modified>
</cp:coreProperties>
</file>