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536A4CD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A938F4">
        <w:rPr>
          <w:rFonts w:ascii="Arial" w:eastAsia="Times New Roman" w:hAnsi="Arial" w:cs="Arial"/>
          <w:snapToGrid w:val="0"/>
          <w:lang w:eastAsia="pl-PL"/>
        </w:rPr>
        <w:t>07.05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6FBE209" w14:textId="77777777" w:rsidR="00440150" w:rsidRPr="00705558" w:rsidRDefault="00440150" w:rsidP="00440150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WZP.272.50.2025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20D35F70" w14:textId="600C81AD" w:rsidR="00AC2CE3" w:rsidRDefault="00AC2CE3" w:rsidP="00440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="00440150" w:rsidRPr="00F701B2">
        <w:rPr>
          <w:rFonts w:ascii="Arial" w:eastAsia="Times New Roman" w:hAnsi="Arial" w:cs="Arial"/>
          <w:b/>
          <w:bCs/>
          <w:lang w:eastAsia="pl-PL"/>
        </w:rPr>
        <w:t>Przebudowa i modernizacja boiska sportowego „Moje Boisko – Orlik 2012”                   w Wołominie w ramach zadania: Modernizacja kompleksu sportowego – „Moje boisko- Orlik 2012” przy Zespole Szkół w Wołominie przy ul. Legionów 85</w:t>
      </w:r>
    </w:p>
    <w:p w14:paraId="6CCE65A8" w14:textId="77777777" w:rsidR="00440150" w:rsidRPr="00AA7AA7" w:rsidRDefault="00440150" w:rsidP="00440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440150" w:rsidRDefault="00807B20" w:rsidP="00440150">
      <w:pPr>
        <w:spacing w:after="0" w:line="240" w:lineRule="auto"/>
        <w:jc w:val="both"/>
        <w:rPr>
          <w:rFonts w:ascii="Arial" w:hAnsi="Arial" w:cs="Arial"/>
        </w:rPr>
      </w:pPr>
    </w:p>
    <w:p w14:paraId="410C6F45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5156EA1" w14:textId="77777777" w:rsidR="00A938F4" w:rsidRPr="00A938F4" w:rsidRDefault="00A938F4" w:rsidP="00A938F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 Dotyczy: WZP.272.50.2025 Przebudowa i modernizacja boiska sportowego „Moje Boisko – Orlik 2012” w Wołominie w ramach zadania: Modernizacja kompleksu sportowego – „Moje boisko- Orlik 2012” przy Zespole Szkół w Wołominie przy ul. Legionów 85 </w:t>
      </w:r>
    </w:p>
    <w:p w14:paraId="7241D1AE" w14:textId="77777777" w:rsidR="00A938F4" w:rsidRPr="00A938F4" w:rsidRDefault="00A938F4" w:rsidP="00A938F4">
      <w:p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Zamawiający ma prawo opisać przedmiot zamówienia w taki sposób, aby spełniał wszystkie jego potrzeby i gwarantował jak najlepszą jakość, natomiast Zamawiający nie ma prawa, aby działać niezgodnie z Ustawą Zamówień Publicznych, co w tym przetargu ma miejsce, gdyż Zamawiający poprzez określenie konkretnych parametrów i dokumentów wymaganych dla trawy syntetycznej zawęził przetarg do jednego producenta - jednego produktu, co jest niezgodne z prawem zamówień publicznych. </w:t>
      </w:r>
    </w:p>
    <w:p w14:paraId="6215ED14" w14:textId="77777777" w:rsidR="00A938F4" w:rsidRPr="00A938F4" w:rsidRDefault="00A938F4" w:rsidP="00A938F4">
      <w:p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  <w:i/>
          <w:iCs/>
        </w:rPr>
        <w:t xml:space="preserve">1. Dlaczego przyjęty opis sztucznej nawierzchni trawiastej oparty jest o konkretny produkt, konkretnego producenta? To, że Zamawiający opisał wymagania nawierzchni z trawy syntetycznej za pomocą minimalnych wymagań bez wskazywania jakichkolwiek nazw własnych o niczym nie świadczy. Nie trzeba przywoływać nazwy własnej, żeby branża wiedziała że postępowanie przetargowe ukierunkowane jest na konkretnego producenta. </w:t>
      </w:r>
    </w:p>
    <w:p w14:paraId="7E35159E" w14:textId="77777777" w:rsidR="00A938F4" w:rsidRPr="00A938F4" w:rsidRDefault="00A938F4" w:rsidP="00A938F4">
      <w:p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  <w:i/>
          <w:iCs/>
        </w:rPr>
        <w:t xml:space="preserve">2. Jeżeli Zamawiający stoi na stanowisku, że nie ogranicza w żaden sposób konkurencji - prosimy o wskazanie nazw producentów, którzy oferują sztuczną trawę o parametrach, których wymaga Zamawiający. </w:t>
      </w:r>
    </w:p>
    <w:p w14:paraId="558B4A2E" w14:textId="77777777" w:rsidR="00A938F4" w:rsidRPr="00A938F4" w:rsidRDefault="00A938F4" w:rsidP="00A938F4">
      <w:pPr>
        <w:spacing w:after="0" w:line="240" w:lineRule="auto"/>
        <w:jc w:val="both"/>
        <w:rPr>
          <w:rFonts w:ascii="Arial" w:hAnsi="Arial" w:cs="Arial"/>
        </w:rPr>
      </w:pPr>
    </w:p>
    <w:p w14:paraId="5BA9A33F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Zamawiający jest zobowiązany zachować niezbędną równowagę między interesem polegającym na uzyskaniu rękojmi należytego wykonania zamówienia a interesem potencjalnych wykonawców, których nie można przez wprowadzenie nadmiernych wymagań co do opisu przedmiotu zamówienia z góry eliminować z udziału w postępowaniu czy też utrudniać im udział w postępowaniu o zamówienie publiczne (Wyrok Krajowej Izby Odwoławczej przy Prezesie Urzędu Zamówień Publicznych z dn. 24 kwietnia 2017 r., KIO 664/17). Przejawem naruszenia uczciwej konkurencji jest nie tylko opisanie przedmiotu zamówienia z użyciem oznaczeń wskazujących na konkretnego producenta lub konkretny produkt albo z użyciem parametrów wskazujących na konkretnego dostawcę, wyrób, ale także określenie na tyle rygorystycznych wymagań co do parametrów technicznych, które nie są uzasadnione obiektywnymi potrzebami zamawiającego i które uniemożliwiają ubieganie się niektórych wykonawców o udzielenie zamówienia, ograniczając w ten sposób krąg podmiotów zdolnych do wykonania zamówienia. </w:t>
      </w:r>
    </w:p>
    <w:p w14:paraId="15E88E3E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Zamawiający ma prawo wymagać pewnych standardów technicznych i jakościowych, o ile nie są one wymogami zbędnymi i wygórowanymi i znajdują uzasadnienie w jego obiektywnych potrzebach. Dla uznania naruszenia przepisów odnoszących się do opisu </w:t>
      </w:r>
      <w:r w:rsidRPr="00A938F4">
        <w:rPr>
          <w:rFonts w:ascii="Arial" w:hAnsi="Arial" w:cs="Arial"/>
        </w:rPr>
        <w:lastRenderedPageBreak/>
        <w:t xml:space="preserve">przedmiotu zamówienia wystarczające jest jedynie uprawdopodobnienie utrudnienia konkurencji przy opisie przedmiotu zamówienia (Wyrok Krajowej Izby Odwoławczej przy Prezesie Urzędu Zamówień Publicznych z dn. 19 kwietnia 2017 r., KIO 607/17). Warunkiem prawidłowego przeprowadzenia postępowania jest wyeliminowanie sytuacji, w których dokonuje się opisu przedmiotu zamówienia w sposób uniemożliwiający udział w postępowaniu bez uzasadnienia w obiektywnych potrzebach i interesach zamawiającego, oraz w sytuacji, w której dochodzi do zamierzonego przez zamawiającego uprzywilejowania określonej grupy wykonawców (Wyrok Krajowej Izby Odwoławczej przy Prezesie Urzędu Zamówień Publicznych z dn. 30 stycznia 2017 r., KIO 71/17). </w:t>
      </w:r>
    </w:p>
    <w:p w14:paraId="15A598A6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Zamawiający ma prawo określić szczególne wymagania, ale tylko wtedy, jeżeli są uzasadnione jego zobiektywizowanymi potrzebami (Wyrok Krajowej Izby Odwoławczej przy Prezesie Urzędu Zamówień Publicznych z dn. 21 marca 2017 r., KIO 463/17). </w:t>
      </w:r>
    </w:p>
    <w:p w14:paraId="0CDDCDA8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Uprawnienie do określenia przedmiotu zamówienia w taki sposób, który w pełni zabezpiecza jego potrzeby przysługuje w sposób oczywisty Zamawiającemu, który jako profesjonalista jest w tym zakresie najlepiej zorientowany. Jednocześnie jednak opis przedmiotu zamówienia, którego zrealizowanie ma zaspokoić uzasadnione potrzeby zamawiającego nie może naruszać zasad zamówień publicznych, w szczególności wynikających z treści art. 16 pkt 1-3 oraz art. 99 ust. 1-4 Ustawy Wynikające z przepisów wartości tj. potrzeba zamawiającego musi uwzględniać zasady konkurencyjności i dostępu do zamówienia wykonawców bez stosowania preferencji podmiotowych. Potrzeby muszą być obiektywnie uzasadnione, a ewentualne przedmiotowe wymagania nie mogą mieć na celu preferowanie określonego wykonawcy (Wyrok Krajowej Izby Odwoławczej przy Prezesie Urzędu Zamówień Publicznych z dn. 13 stycznia 2017 r., KIO 2419/16). Oczywiście zgadzamy się z faktem, że Zamawiający ma prawo opisać swoje potrzeby, ale opis przedmiotu zamówienia nie może faworyzować konkretny produkt konkretnego producenta sztucznej trawy. </w:t>
      </w:r>
    </w:p>
    <w:p w14:paraId="34276619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Czy zgodnie z zasadą uczciwej konkurencji (art. 99 ust. 1 </w:t>
      </w:r>
      <w:proofErr w:type="spellStart"/>
      <w:r w:rsidRPr="00A938F4">
        <w:rPr>
          <w:rFonts w:ascii="Arial" w:hAnsi="Arial" w:cs="Arial"/>
        </w:rPr>
        <w:t>Pzp</w:t>
      </w:r>
      <w:proofErr w:type="spellEnd"/>
      <w:r w:rsidRPr="00A938F4">
        <w:rPr>
          <w:rFonts w:ascii="Arial" w:hAnsi="Arial" w:cs="Arial"/>
        </w:rPr>
        <w:t xml:space="preserve">) Zamawiający dokona </w:t>
      </w:r>
      <w:r w:rsidRPr="00A938F4">
        <w:rPr>
          <w:rFonts w:ascii="Arial" w:hAnsi="Arial" w:cs="Arial"/>
          <w:i/>
          <w:iCs/>
        </w:rPr>
        <w:t xml:space="preserve">stosownych zmian tak, aby w postępowaniu mogło wziąć udział więcej niż jeden wykonawca? Nie tracąc jednocześnie na jakości nawierzchni. Prosimy o zaakceptowanie nawierzchni jednego z ośmiu producentów preferowanych przez FIFA o parametrach i dokumentach jak niżej: </w:t>
      </w:r>
    </w:p>
    <w:p w14:paraId="66848C2B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skład włókna: polietylen (PE) 100% </w:t>
      </w:r>
    </w:p>
    <w:p w14:paraId="06024B94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rodzaj i przekrój włókien: włókno </w:t>
      </w:r>
      <w:proofErr w:type="spellStart"/>
      <w:r w:rsidRPr="00A938F4">
        <w:rPr>
          <w:rFonts w:ascii="Arial" w:hAnsi="Arial" w:cs="Arial"/>
        </w:rPr>
        <w:t>monofilowe</w:t>
      </w:r>
      <w:proofErr w:type="spellEnd"/>
      <w:r w:rsidRPr="00A938F4">
        <w:rPr>
          <w:rFonts w:ascii="Arial" w:hAnsi="Arial" w:cs="Arial"/>
        </w:rPr>
        <w:t xml:space="preserve"> wzmocnione rdzeniem i włókno </w:t>
      </w:r>
      <w:proofErr w:type="spellStart"/>
      <w:r w:rsidRPr="00A938F4">
        <w:rPr>
          <w:rFonts w:ascii="Arial" w:hAnsi="Arial" w:cs="Arial"/>
        </w:rPr>
        <w:t>fibrylowane</w:t>
      </w:r>
      <w:proofErr w:type="spellEnd"/>
      <w:r w:rsidRPr="00A938F4">
        <w:rPr>
          <w:rFonts w:ascii="Arial" w:hAnsi="Arial" w:cs="Arial"/>
        </w:rPr>
        <w:t xml:space="preserve"> </w:t>
      </w:r>
    </w:p>
    <w:p w14:paraId="211A2D35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wysokość włókien: min 48mm, max 50 mm </w:t>
      </w:r>
    </w:p>
    <w:p w14:paraId="044505D3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grubość włókna </w:t>
      </w:r>
      <w:proofErr w:type="spellStart"/>
      <w:r w:rsidRPr="00A938F4">
        <w:rPr>
          <w:rFonts w:ascii="Arial" w:hAnsi="Arial" w:cs="Arial"/>
        </w:rPr>
        <w:t>monofilowego</w:t>
      </w:r>
      <w:proofErr w:type="spellEnd"/>
      <w:r w:rsidRPr="00A938F4">
        <w:rPr>
          <w:rFonts w:ascii="Arial" w:hAnsi="Arial" w:cs="Arial"/>
        </w:rPr>
        <w:t xml:space="preserve">: min. 360 </w:t>
      </w:r>
      <w:proofErr w:type="spellStart"/>
      <w:r w:rsidRPr="00A938F4">
        <w:rPr>
          <w:rFonts w:ascii="Arial" w:hAnsi="Arial" w:cs="Arial"/>
        </w:rPr>
        <w:t>μm</w:t>
      </w:r>
      <w:proofErr w:type="spellEnd"/>
      <w:r w:rsidRPr="00A938F4">
        <w:rPr>
          <w:rFonts w:ascii="Arial" w:hAnsi="Arial" w:cs="Arial"/>
        </w:rPr>
        <w:t xml:space="preserve">, </w:t>
      </w:r>
    </w:p>
    <w:p w14:paraId="66FD32A3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grubość włókna </w:t>
      </w:r>
      <w:proofErr w:type="spellStart"/>
      <w:r w:rsidRPr="00A938F4">
        <w:rPr>
          <w:rFonts w:ascii="Arial" w:hAnsi="Arial" w:cs="Arial"/>
        </w:rPr>
        <w:t>fibrylowanego</w:t>
      </w:r>
      <w:proofErr w:type="spellEnd"/>
      <w:r w:rsidRPr="00A938F4">
        <w:rPr>
          <w:rFonts w:ascii="Arial" w:hAnsi="Arial" w:cs="Arial"/>
        </w:rPr>
        <w:t xml:space="preserve">: min. 120 </w:t>
      </w:r>
      <w:proofErr w:type="spellStart"/>
      <w:r w:rsidRPr="00A938F4">
        <w:rPr>
          <w:rFonts w:ascii="Arial" w:hAnsi="Arial" w:cs="Arial"/>
        </w:rPr>
        <w:t>μm</w:t>
      </w:r>
      <w:proofErr w:type="spellEnd"/>
      <w:r w:rsidRPr="00A938F4">
        <w:rPr>
          <w:rFonts w:ascii="Arial" w:hAnsi="Arial" w:cs="Arial"/>
        </w:rPr>
        <w:t xml:space="preserve">, </w:t>
      </w:r>
    </w:p>
    <w:p w14:paraId="1A8C7FE4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938F4">
        <w:rPr>
          <w:rFonts w:ascii="Arial" w:hAnsi="Arial" w:cs="Arial"/>
        </w:rPr>
        <w:t>Dtex</w:t>
      </w:r>
      <w:proofErr w:type="spellEnd"/>
      <w:r w:rsidRPr="00A938F4">
        <w:rPr>
          <w:rFonts w:ascii="Arial" w:hAnsi="Arial" w:cs="Arial"/>
        </w:rPr>
        <w:t xml:space="preserve">: min. 21 000, </w:t>
      </w:r>
    </w:p>
    <w:p w14:paraId="1B131E27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ilość pęczków: min. 8800/m2 </w:t>
      </w:r>
    </w:p>
    <w:p w14:paraId="47788D38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ilość włókien: min. 124 000/m2 </w:t>
      </w:r>
    </w:p>
    <w:p w14:paraId="76CE6905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wyrywanie pęczka po starzeniu: min. 70N </w:t>
      </w:r>
    </w:p>
    <w:p w14:paraId="679FD030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łączenie klejone po starzeniu: min. 150N/ 100mm </w:t>
      </w:r>
    </w:p>
    <w:p w14:paraId="7902A683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waga pojedynczego włókna: min 1980 g/m2 </w:t>
      </w:r>
    </w:p>
    <w:p w14:paraId="75BAF110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waga całkowita trawy: min. 3000 g/m2 </w:t>
      </w:r>
    </w:p>
    <w:p w14:paraId="1FBEEE39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podkład trawy: poliuretan </w:t>
      </w:r>
    </w:p>
    <w:p w14:paraId="7AC5BA79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przepuszczalność wody dla całego systemu sztucznej trawa: min 3000 mm/h </w:t>
      </w:r>
    </w:p>
    <w:p w14:paraId="0E8FB5E3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przepuszczalność wody przez trawę min. 4500mm/h </w:t>
      </w:r>
    </w:p>
    <w:p w14:paraId="3A4177BE" w14:textId="77777777" w:rsidR="00A938F4" w:rsidRPr="00A938F4" w:rsidRDefault="00A938F4" w:rsidP="00A938F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Dokumenty potwierdzające jakość oferowanej nawierzchni: </w:t>
      </w:r>
    </w:p>
    <w:p w14:paraId="7C9B894A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a. autoryzacja producenta nawierzchni wystawiona (w oryginale) na wykonawcę z określeniem miejsca wykonywania prac (miejsce wybudowania, nazwa inwestycji) wraz z potwierdzeniem gwarancji udzielonej przez producenta; </w:t>
      </w:r>
    </w:p>
    <w:p w14:paraId="75EED0D8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b. karta techniczna nawierzchni z trawy syntetycznej, maty amortyzującej oraz wypełnienia korkowego (naturalnego) poświadczona przez producenta z określeniem miejsca wykonywania prac (miejsce wbudowania, nazwa inwestycji); </w:t>
      </w:r>
    </w:p>
    <w:p w14:paraId="65CEDD23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c. Atest PZH dla trawy i maty amortyzującej </w:t>
      </w:r>
    </w:p>
    <w:p w14:paraId="4C066C7E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lastRenderedPageBreak/>
        <w:t xml:space="preserve">d. Raport z badań przeprowadzonych przez uprawnione laboratorium np. </w:t>
      </w:r>
      <w:proofErr w:type="spellStart"/>
      <w:r w:rsidRPr="00A938F4">
        <w:rPr>
          <w:rFonts w:ascii="Arial" w:hAnsi="Arial" w:cs="Arial"/>
        </w:rPr>
        <w:t>Labosport</w:t>
      </w:r>
      <w:proofErr w:type="spellEnd"/>
      <w:r w:rsidRPr="00A938F4">
        <w:rPr>
          <w:rFonts w:ascii="Arial" w:hAnsi="Arial" w:cs="Arial"/>
        </w:rPr>
        <w:t xml:space="preserve"> lub ISA-Sport lub Sports </w:t>
      </w:r>
      <w:proofErr w:type="spellStart"/>
      <w:r w:rsidRPr="00A938F4">
        <w:rPr>
          <w:rFonts w:ascii="Arial" w:hAnsi="Arial" w:cs="Arial"/>
        </w:rPr>
        <w:t>Labs</w:t>
      </w:r>
      <w:proofErr w:type="spellEnd"/>
      <w:r w:rsidRPr="00A938F4">
        <w:rPr>
          <w:rFonts w:ascii="Arial" w:hAnsi="Arial" w:cs="Arial"/>
        </w:rPr>
        <w:t xml:space="preserve"> </w:t>
      </w:r>
      <w:proofErr w:type="spellStart"/>
      <w:r w:rsidRPr="00A938F4">
        <w:rPr>
          <w:rFonts w:ascii="Arial" w:hAnsi="Arial" w:cs="Arial"/>
        </w:rPr>
        <w:t>Ltd</w:t>
      </w:r>
      <w:proofErr w:type="spellEnd"/>
      <w:r w:rsidRPr="00A938F4">
        <w:rPr>
          <w:rFonts w:ascii="Arial" w:hAnsi="Arial" w:cs="Arial"/>
        </w:rPr>
        <w:t xml:space="preserve"> , </w:t>
      </w:r>
      <w:proofErr w:type="spellStart"/>
      <w:r w:rsidRPr="00A938F4">
        <w:rPr>
          <w:rFonts w:ascii="Arial" w:hAnsi="Arial" w:cs="Arial"/>
        </w:rPr>
        <w:t>Ercat</w:t>
      </w:r>
      <w:proofErr w:type="spellEnd"/>
      <w:r w:rsidRPr="00A938F4">
        <w:rPr>
          <w:rFonts w:ascii="Arial" w:hAnsi="Arial" w:cs="Arial"/>
        </w:rPr>
        <w:t xml:space="preserve">, dotyczący oferowanego systemu nawierzchni (trawa, zasyp naturalny , podkład amortyzujący), potwierdzający zgodność jej parametrów z FIFA </w:t>
      </w:r>
      <w:proofErr w:type="spellStart"/>
      <w:r w:rsidRPr="00A938F4">
        <w:rPr>
          <w:rFonts w:ascii="Arial" w:hAnsi="Arial" w:cs="Arial"/>
        </w:rPr>
        <w:t>Quality</w:t>
      </w:r>
      <w:proofErr w:type="spellEnd"/>
      <w:r w:rsidRPr="00A938F4">
        <w:rPr>
          <w:rFonts w:ascii="Arial" w:hAnsi="Arial" w:cs="Arial"/>
        </w:rPr>
        <w:t xml:space="preserve"> </w:t>
      </w:r>
      <w:proofErr w:type="spellStart"/>
      <w:r w:rsidRPr="00A938F4">
        <w:rPr>
          <w:rFonts w:ascii="Arial" w:hAnsi="Arial" w:cs="Arial"/>
        </w:rPr>
        <w:t>Programme</w:t>
      </w:r>
      <w:proofErr w:type="spellEnd"/>
      <w:r w:rsidRPr="00A938F4">
        <w:rPr>
          <w:rFonts w:ascii="Arial" w:hAnsi="Arial" w:cs="Arial"/>
        </w:rPr>
        <w:t xml:space="preserve"> for Football Turf (dostępny na www.FIFA.com) Podręcznik 2015 oraz potwierdzający wymagane wszystkie minimalne parametry oferowanego systemu trawy syntetycznej, wypełnienia naturalnego oraz maty amortyzującej dla poziomu FIFA </w:t>
      </w:r>
      <w:proofErr w:type="spellStart"/>
      <w:r w:rsidRPr="00A938F4">
        <w:rPr>
          <w:rFonts w:ascii="Arial" w:hAnsi="Arial" w:cs="Arial"/>
        </w:rPr>
        <w:t>Quality</w:t>
      </w:r>
      <w:proofErr w:type="spellEnd"/>
      <w:r w:rsidRPr="00A938F4">
        <w:rPr>
          <w:rFonts w:ascii="Arial" w:hAnsi="Arial" w:cs="Arial"/>
        </w:rPr>
        <w:t xml:space="preserve"> PRO; </w:t>
      </w:r>
    </w:p>
    <w:p w14:paraId="2D7D0361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e. raport z badań laboratoryjnych przeprowadzony przez niezależne, akredytowane laboratorium dla systemu sztucznej trawy tj. nawierzchnia, podkład elastyczny i wypełnienie naturalne typu korek , potwierdzający zgodność z aktualną normą EN 15330-1:2013 </w:t>
      </w:r>
    </w:p>
    <w:p w14:paraId="2FF75F67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f. aktualny certyfikat FIFA </w:t>
      </w:r>
      <w:proofErr w:type="spellStart"/>
      <w:r w:rsidRPr="00A938F4">
        <w:rPr>
          <w:rFonts w:ascii="Arial" w:hAnsi="Arial" w:cs="Arial"/>
        </w:rPr>
        <w:t>Preferred</w:t>
      </w:r>
      <w:proofErr w:type="spellEnd"/>
      <w:r w:rsidRPr="00A938F4">
        <w:rPr>
          <w:rFonts w:ascii="Arial" w:hAnsi="Arial" w:cs="Arial"/>
        </w:rPr>
        <w:t xml:space="preserve"> Producer wystawiony dla producenta trawy; </w:t>
      </w:r>
    </w:p>
    <w:p w14:paraId="4013D0FA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g. raport wykonany przez niezależne laboratorium zgodności z normą EN 71-3 kategoria III na zawartość metali ciężkich dla wypełnienia. </w:t>
      </w:r>
    </w:p>
    <w:p w14:paraId="5344E980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h. raport wykonany przez niezależne laboratorium potwierdzający gęstość nasypową korka </w:t>
      </w:r>
    </w:p>
    <w:p w14:paraId="15BEB5CF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proofErr w:type="spellStart"/>
      <w:r w:rsidRPr="00A938F4">
        <w:rPr>
          <w:rFonts w:ascii="Arial" w:hAnsi="Arial" w:cs="Arial"/>
        </w:rPr>
        <w:t>i.raport</w:t>
      </w:r>
      <w:proofErr w:type="spellEnd"/>
      <w:r w:rsidRPr="00A938F4">
        <w:rPr>
          <w:rFonts w:ascii="Arial" w:hAnsi="Arial" w:cs="Arial"/>
        </w:rPr>
        <w:t xml:space="preserve"> z badań testu </w:t>
      </w:r>
      <w:proofErr w:type="spellStart"/>
      <w:r w:rsidRPr="00A938F4">
        <w:rPr>
          <w:rFonts w:ascii="Arial" w:hAnsi="Arial" w:cs="Arial"/>
        </w:rPr>
        <w:t>Lisport</w:t>
      </w:r>
      <w:proofErr w:type="spellEnd"/>
      <w:r w:rsidRPr="00A938F4">
        <w:rPr>
          <w:rFonts w:ascii="Arial" w:hAnsi="Arial" w:cs="Arial"/>
        </w:rPr>
        <w:t xml:space="preserve"> na min 200 000 cykli dla włókna </w:t>
      </w:r>
      <w:proofErr w:type="spellStart"/>
      <w:r w:rsidRPr="00A938F4">
        <w:rPr>
          <w:rFonts w:ascii="Arial" w:hAnsi="Arial" w:cs="Arial"/>
        </w:rPr>
        <w:t>mofilowego</w:t>
      </w:r>
      <w:proofErr w:type="spellEnd"/>
      <w:r w:rsidRPr="00A938F4">
        <w:rPr>
          <w:rFonts w:ascii="Arial" w:hAnsi="Arial" w:cs="Arial"/>
        </w:rPr>
        <w:t xml:space="preserve"> oferowanej trawy syntetycznej zgodnie z normą EN 1506 ”Nawierzchnie do otwartych terenów sportowych – narażenie trawy na oddziaływanie”. </w:t>
      </w:r>
    </w:p>
    <w:p w14:paraId="505185AA" w14:textId="77777777" w:rsidR="00A938F4" w:rsidRPr="00A938F4" w:rsidRDefault="00A938F4" w:rsidP="00A938F4">
      <w:pPr>
        <w:spacing w:after="0" w:line="240" w:lineRule="auto"/>
        <w:ind w:left="1800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j. dokument wydany przez akredytowane laboratorium/instytut potwierdzający, że oferowana sztuczna trawa nadaje się w 100% do recyklingu </w:t>
      </w:r>
    </w:p>
    <w:p w14:paraId="62819ED3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Oferowane rozwiązanie w żaden sposób nie spowoduje obniżenia jakości budowanego boiska. Pozytywnie rozpatrując naszą prośbę, Zamawiający jedynie poszerza grono wykonawców i oferentów, a co za tym idzie, jest w stanie uzyskać bardziej konkurencyjne oferty, sama jakość wykonanej nawierzchni pozostaje bez zmian. Producent oferowanej przez nas trawy jest jednym z ośmiu na świecie Preferowanych Producentów FIFA, co daje całkowitą gwarancję, że oferowany produkt jest najwyższej jakości. </w:t>
      </w:r>
    </w:p>
    <w:p w14:paraId="21B6FD37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 xml:space="preserve">Nadmieniamy, że Zamawiający wydatkuje środki publiczne i jego rolą jest wybranie oferty jak najkorzystniejszej zarówno jakościowo jak i finansowo, dlatego powinien tak opisać przedmiot zamówienia, aby jak największa ilość oferentów mogła wystartować w tym przetargu, nie utrudniając dostępu do zamówienia potencjalnym wykonawcom. Zamawiający winien również dołożyć wszelkich starań aby określić wymagania w sposób nie budzący jakichkolwiek podejrzeń i niezgodności z wytycznymi i standardami obowiązującymi w branży. </w:t>
      </w:r>
    </w:p>
    <w:p w14:paraId="041CE46D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8F4">
        <w:rPr>
          <w:rFonts w:ascii="Arial" w:hAnsi="Arial" w:cs="Arial"/>
        </w:rPr>
        <w:t>Mając powyższe na uwadze, prosimy o przychylenie się do naszego wniosku.</w:t>
      </w:r>
    </w:p>
    <w:p w14:paraId="6373DAF9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6EA47731" w14:textId="77777777" w:rsidR="00A938F4" w:rsidRPr="00A938F4" w:rsidRDefault="00A938F4" w:rsidP="00A938F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367D92DB" w14:textId="77777777" w:rsidR="00A938F4" w:rsidRPr="00A938F4" w:rsidRDefault="00A938F4" w:rsidP="00A938F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A938F4">
        <w:rPr>
          <w:rFonts w:ascii="Arial" w:hAnsi="Arial" w:cs="Arial"/>
          <w:u w:val="single"/>
        </w:rPr>
        <w:t xml:space="preserve">Zamawiający uprzejmie informuje, że wszystkie parametry nawierzchni z trawy zostały dokładnie opisane w projekcie oraz w specyfikacji technicznej. </w:t>
      </w:r>
    </w:p>
    <w:p w14:paraId="0A779F5F" w14:textId="77777777" w:rsidR="00A938F4" w:rsidRPr="00A938F4" w:rsidRDefault="00A938F4" w:rsidP="00A938F4">
      <w:pPr>
        <w:spacing w:after="0" w:line="240" w:lineRule="auto"/>
        <w:ind w:left="1428"/>
        <w:jc w:val="both"/>
        <w:rPr>
          <w:rFonts w:ascii="Arial" w:hAnsi="Arial" w:cs="Arial"/>
          <w:u w:val="single"/>
        </w:rPr>
      </w:pPr>
      <w:r w:rsidRPr="00A938F4">
        <w:rPr>
          <w:rFonts w:ascii="Arial" w:hAnsi="Arial" w:cs="Arial"/>
          <w:u w:val="single"/>
        </w:rPr>
        <w:t xml:space="preserve">Wykowana zobowiązany jest przedstawić produkty spełniające parametry opisane </w:t>
      </w:r>
      <w:r w:rsidRPr="00A938F4">
        <w:rPr>
          <w:rFonts w:ascii="Arial" w:hAnsi="Arial" w:cs="Arial"/>
          <w:u w:val="single"/>
        </w:rPr>
        <w:br/>
        <w:t>w projekcie lub je przewyższające.</w:t>
      </w:r>
    </w:p>
    <w:p w14:paraId="59BB4288" w14:textId="77777777" w:rsidR="00440150" w:rsidRPr="00A938F4" w:rsidRDefault="00440150" w:rsidP="00A938F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8606FE6" w14:textId="77777777" w:rsidR="00440150" w:rsidRDefault="0044015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01A141E" w14:textId="77777777" w:rsidR="00A938F4" w:rsidRPr="00FF01C0" w:rsidRDefault="00A938F4" w:rsidP="00A938F4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07CC324C" w14:textId="77777777" w:rsidR="00440150" w:rsidRDefault="00440150" w:rsidP="00A938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C98C5C" w14:textId="0ECB48A6" w:rsidR="00A938F4" w:rsidRDefault="00A938F4" w:rsidP="00A938F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Było:</w:t>
      </w:r>
    </w:p>
    <w:p w14:paraId="1F3DB233" w14:textId="19A6DAB6" w:rsidR="00A938F4" w:rsidRPr="00A938F4" w:rsidRDefault="00A938F4" w:rsidP="00A938F4">
      <w:pPr>
        <w:numPr>
          <w:ilvl w:val="0"/>
          <w:numId w:val="15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938F4">
        <w:rPr>
          <w:rFonts w:ascii="Arial" w:eastAsia="Times New Roman" w:hAnsi="Arial" w:cs="Arial"/>
          <w:b/>
        </w:rPr>
        <w:t>Wymagania dotyczące wadium</w:t>
      </w:r>
    </w:p>
    <w:p w14:paraId="0B41CA98" w14:textId="77777777" w:rsidR="00A938F4" w:rsidRPr="00A938F4" w:rsidRDefault="00A938F4" w:rsidP="00A938F4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A938F4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10.000,00 zł (słownie: dziesięć tysięcy złotych).</w:t>
      </w:r>
    </w:p>
    <w:p w14:paraId="7605D400" w14:textId="77777777" w:rsidR="00A938F4" w:rsidRPr="00A938F4" w:rsidRDefault="00A938F4" w:rsidP="00A938F4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A938F4">
        <w:rPr>
          <w:rFonts w:ascii="Arial" w:eastAsia="Times New Roman" w:hAnsi="Arial" w:cs="Arial"/>
          <w:bCs/>
          <w:lang w:eastAsia="pl-PL"/>
        </w:rPr>
        <w:t>2)</w:t>
      </w:r>
      <w:r w:rsidRPr="00A938F4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A938F4">
        <w:rPr>
          <w:rFonts w:ascii="Arial" w:eastAsia="Times New Roman" w:hAnsi="Arial" w:cs="Arial"/>
          <w:b/>
          <w:lang w:eastAsia="pl-PL"/>
        </w:rPr>
        <w:t>do dnia 06.06.2025 r.</w:t>
      </w:r>
    </w:p>
    <w:p w14:paraId="42D7AE0D" w14:textId="77777777" w:rsidR="00A938F4" w:rsidRPr="00A938F4" w:rsidRDefault="00A938F4" w:rsidP="00A938F4">
      <w:pPr>
        <w:numPr>
          <w:ilvl w:val="0"/>
          <w:numId w:val="26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938F4">
        <w:rPr>
          <w:rFonts w:ascii="Arial" w:eastAsia="Times New Roman" w:hAnsi="Arial" w:cs="Arial"/>
          <w:b/>
        </w:rPr>
        <w:t>Sposób oraz termin składania ofert. Termin otwarcia ofert</w:t>
      </w:r>
    </w:p>
    <w:p w14:paraId="673CFC57" w14:textId="77777777" w:rsidR="00A938F4" w:rsidRPr="00A938F4" w:rsidRDefault="00A938F4" w:rsidP="00A938F4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lastRenderedPageBreak/>
        <w:t xml:space="preserve">Ofertę należy złożyć w terminie do dnia </w:t>
      </w:r>
      <w:r w:rsidRPr="00A938F4">
        <w:rPr>
          <w:rFonts w:ascii="Arial" w:eastAsia="Times New Roman" w:hAnsi="Arial" w:cs="Arial"/>
          <w:b/>
          <w:bCs/>
          <w:lang w:eastAsia="pl-PL"/>
        </w:rPr>
        <w:t>08.05.2025 r. do godz. 10:00</w:t>
      </w:r>
    </w:p>
    <w:p w14:paraId="29A98AB8" w14:textId="77777777" w:rsidR="00A938F4" w:rsidRPr="00A938F4" w:rsidRDefault="00A938F4" w:rsidP="00A938F4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t>Sposób składania ofert:</w:t>
      </w:r>
    </w:p>
    <w:p w14:paraId="683B8B02" w14:textId="77777777" w:rsidR="00A938F4" w:rsidRPr="00A938F4" w:rsidRDefault="00A938F4" w:rsidP="00A938F4">
      <w:pPr>
        <w:numPr>
          <w:ilvl w:val="0"/>
          <w:numId w:val="13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A938F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F50C795" w14:textId="77777777" w:rsidR="00A938F4" w:rsidRPr="00A938F4" w:rsidRDefault="00A938F4" w:rsidP="00A938F4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A938F4">
        <w:rPr>
          <w:rFonts w:ascii="Arial" w:eastAsia="Times New Roman" w:hAnsi="Arial" w:cs="Arial"/>
          <w:b/>
          <w:bCs/>
          <w:lang w:eastAsia="pl-PL"/>
        </w:rPr>
        <w:t>08.05.2025 r. o godz. 10:10</w:t>
      </w:r>
      <w:r w:rsidRPr="00A938F4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79B8894A" w14:textId="77777777" w:rsidR="00A938F4" w:rsidRPr="003A65B1" w:rsidRDefault="00A938F4" w:rsidP="00A938F4">
      <w:pPr>
        <w:numPr>
          <w:ilvl w:val="0"/>
          <w:numId w:val="12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3777D558" w14:textId="77777777" w:rsidR="00A938F4" w:rsidRPr="003A65B1" w:rsidRDefault="00A938F4" w:rsidP="00A938F4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06.06.2025 r.</w:t>
      </w:r>
    </w:p>
    <w:p w14:paraId="0B405562" w14:textId="77777777" w:rsidR="00A938F4" w:rsidRDefault="00A938F4" w:rsidP="00A938F4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4D7D70D1" w14:textId="4E1F06E3" w:rsidR="00A938F4" w:rsidRPr="003A65B1" w:rsidRDefault="00A938F4" w:rsidP="00A938F4">
      <w:pPr>
        <w:spacing w:line="271" w:lineRule="auto"/>
        <w:ind w:right="-1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Jest:</w:t>
      </w:r>
    </w:p>
    <w:p w14:paraId="3271A8D9" w14:textId="77777777" w:rsidR="00A938F4" w:rsidRPr="00A938F4" w:rsidRDefault="00A938F4" w:rsidP="00A938F4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938F4">
        <w:rPr>
          <w:rFonts w:ascii="Arial" w:eastAsia="Times New Roman" w:hAnsi="Arial" w:cs="Arial"/>
          <w:b/>
        </w:rPr>
        <w:t>Wymagania dotyczące wadium</w:t>
      </w:r>
    </w:p>
    <w:p w14:paraId="4D674A6C" w14:textId="77777777" w:rsidR="00A938F4" w:rsidRPr="00A938F4" w:rsidRDefault="00A938F4" w:rsidP="00A938F4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A938F4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10.000,00 zł (słownie: dziesięć tysięcy złotych).</w:t>
      </w:r>
    </w:p>
    <w:p w14:paraId="0E9EF6EA" w14:textId="3F7EF1CA" w:rsidR="00A938F4" w:rsidRPr="00A938F4" w:rsidRDefault="00A938F4" w:rsidP="00A938F4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A938F4">
        <w:rPr>
          <w:rFonts w:ascii="Arial" w:eastAsia="Times New Roman" w:hAnsi="Arial" w:cs="Arial"/>
          <w:bCs/>
          <w:lang w:eastAsia="pl-PL"/>
        </w:rPr>
        <w:t>2)</w:t>
      </w:r>
      <w:r w:rsidRPr="00A938F4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A938F4">
        <w:rPr>
          <w:rFonts w:ascii="Arial" w:eastAsia="Times New Roman" w:hAnsi="Arial" w:cs="Arial"/>
          <w:b/>
          <w:lang w:eastAsia="pl-PL"/>
        </w:rPr>
        <w:t xml:space="preserve">do dnia </w:t>
      </w:r>
      <w:r>
        <w:rPr>
          <w:rFonts w:ascii="Arial" w:eastAsia="Times New Roman" w:hAnsi="Arial" w:cs="Arial"/>
          <w:b/>
          <w:lang w:eastAsia="pl-PL"/>
        </w:rPr>
        <w:t>10</w:t>
      </w:r>
      <w:r w:rsidRPr="00A938F4">
        <w:rPr>
          <w:rFonts w:ascii="Arial" w:eastAsia="Times New Roman" w:hAnsi="Arial" w:cs="Arial"/>
          <w:b/>
          <w:lang w:eastAsia="pl-PL"/>
        </w:rPr>
        <w:t>.06.2025 r.</w:t>
      </w:r>
    </w:p>
    <w:p w14:paraId="03733525" w14:textId="77777777" w:rsidR="00A938F4" w:rsidRPr="00A938F4" w:rsidRDefault="00A938F4" w:rsidP="00A938F4">
      <w:pPr>
        <w:numPr>
          <w:ilvl w:val="0"/>
          <w:numId w:val="26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938F4">
        <w:rPr>
          <w:rFonts w:ascii="Arial" w:eastAsia="Times New Roman" w:hAnsi="Arial" w:cs="Arial"/>
          <w:b/>
        </w:rPr>
        <w:t>Sposób oraz termin składania ofert. Termin otwarcia ofert</w:t>
      </w:r>
    </w:p>
    <w:p w14:paraId="75CA8083" w14:textId="5706AA53" w:rsidR="00A938F4" w:rsidRPr="00A938F4" w:rsidRDefault="00A938F4" w:rsidP="00A938F4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b/>
          <w:bCs/>
          <w:lang w:eastAsia="pl-PL"/>
        </w:rPr>
        <w:t>12</w:t>
      </w:r>
      <w:r w:rsidRPr="00A938F4">
        <w:rPr>
          <w:rFonts w:ascii="Arial" w:eastAsia="Times New Roman" w:hAnsi="Arial" w:cs="Arial"/>
          <w:b/>
          <w:bCs/>
          <w:lang w:eastAsia="pl-PL"/>
        </w:rPr>
        <w:t>.05.2025 r. do godz. 10:00</w:t>
      </w:r>
    </w:p>
    <w:p w14:paraId="74B12B01" w14:textId="77777777" w:rsidR="00A938F4" w:rsidRPr="00A938F4" w:rsidRDefault="00A938F4" w:rsidP="00A938F4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t>Sposób składania ofert:</w:t>
      </w:r>
    </w:p>
    <w:p w14:paraId="4BCBCAA9" w14:textId="77777777" w:rsidR="00A938F4" w:rsidRPr="00A938F4" w:rsidRDefault="00A938F4" w:rsidP="00A938F4">
      <w:pPr>
        <w:numPr>
          <w:ilvl w:val="0"/>
          <w:numId w:val="13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A938F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642A94A0" w14:textId="7E39EF47" w:rsidR="00A938F4" w:rsidRPr="00A938F4" w:rsidRDefault="00A938F4" w:rsidP="00A938F4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A938F4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b/>
          <w:bCs/>
          <w:lang w:eastAsia="pl-PL"/>
        </w:rPr>
        <w:t>12</w:t>
      </w:r>
      <w:r w:rsidRPr="00A938F4">
        <w:rPr>
          <w:rFonts w:ascii="Arial" w:eastAsia="Times New Roman" w:hAnsi="Arial" w:cs="Arial"/>
          <w:b/>
          <w:bCs/>
          <w:lang w:eastAsia="pl-PL"/>
        </w:rPr>
        <w:t>.05.2025 r. o godz. 10:10</w:t>
      </w:r>
      <w:r w:rsidRPr="00A938F4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5094B928" w14:textId="77777777" w:rsidR="00A938F4" w:rsidRPr="003A65B1" w:rsidRDefault="00A938F4" w:rsidP="00A938F4">
      <w:pPr>
        <w:numPr>
          <w:ilvl w:val="0"/>
          <w:numId w:val="12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7490171C" w14:textId="599E8AA0" w:rsidR="00A938F4" w:rsidRPr="003A65B1" w:rsidRDefault="00A938F4" w:rsidP="00A938F4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.06.2025 r.</w:t>
      </w:r>
    </w:p>
    <w:p w14:paraId="56D3765F" w14:textId="77777777" w:rsidR="00A938F4" w:rsidRPr="003A65B1" w:rsidRDefault="00A938F4" w:rsidP="00A938F4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75415B02" w14:textId="77777777" w:rsidR="00A938F4" w:rsidRDefault="00A938F4" w:rsidP="00A938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75D594C" w14:textId="77777777" w:rsidR="00440150" w:rsidRDefault="0044015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FE98FCA" w14:textId="77777777" w:rsidR="00A938F4" w:rsidRDefault="00A938F4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B096C04" w14:textId="77777777" w:rsidR="00A938F4" w:rsidRDefault="00A938F4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7E3DFC6A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573"/>
    <w:multiLevelType w:val="hybridMultilevel"/>
    <w:tmpl w:val="78CCC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49A"/>
    <w:multiLevelType w:val="hybridMultilevel"/>
    <w:tmpl w:val="FAECE56A"/>
    <w:lvl w:ilvl="0" w:tplc="1DEE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7C5"/>
    <w:multiLevelType w:val="hybridMultilevel"/>
    <w:tmpl w:val="6748A4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450FC"/>
    <w:multiLevelType w:val="hybridMultilevel"/>
    <w:tmpl w:val="93464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D3903"/>
    <w:multiLevelType w:val="hybridMultilevel"/>
    <w:tmpl w:val="941C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36C5"/>
    <w:multiLevelType w:val="hybridMultilevel"/>
    <w:tmpl w:val="88C45EA8"/>
    <w:lvl w:ilvl="0" w:tplc="C39E1DD0">
      <w:start w:val="1"/>
      <w:numFmt w:val="lowerLetter"/>
      <w:pStyle w:val="Styl7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0A54"/>
    <w:multiLevelType w:val="hybridMultilevel"/>
    <w:tmpl w:val="96667238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018FA"/>
    <w:multiLevelType w:val="hybridMultilevel"/>
    <w:tmpl w:val="A90830BA"/>
    <w:lvl w:ilvl="0" w:tplc="A438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90C5A"/>
    <w:multiLevelType w:val="hybridMultilevel"/>
    <w:tmpl w:val="D85A6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0E3A90"/>
    <w:multiLevelType w:val="hybridMultilevel"/>
    <w:tmpl w:val="51D8437E"/>
    <w:lvl w:ilvl="0" w:tplc="C2129F7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6664C"/>
    <w:multiLevelType w:val="hybridMultilevel"/>
    <w:tmpl w:val="18885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58B"/>
    <w:multiLevelType w:val="hybridMultilevel"/>
    <w:tmpl w:val="E0EA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6"/>
  </w:num>
  <w:num w:numId="2" w16cid:durableId="1325742573">
    <w:abstractNumId w:val="3"/>
  </w:num>
  <w:num w:numId="3" w16cid:durableId="645474471">
    <w:abstractNumId w:val="12"/>
  </w:num>
  <w:num w:numId="4" w16cid:durableId="705251598">
    <w:abstractNumId w:val="9"/>
  </w:num>
  <w:num w:numId="5" w16cid:durableId="563107349">
    <w:abstractNumId w:val="7"/>
  </w:num>
  <w:num w:numId="6" w16cid:durableId="437455131">
    <w:abstractNumId w:val="4"/>
  </w:num>
  <w:num w:numId="7" w16cid:durableId="960501782">
    <w:abstractNumId w:val="18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5"/>
  </w:num>
  <w:num w:numId="10" w16cid:durableId="288777442">
    <w:abstractNumId w:val="25"/>
  </w:num>
  <w:num w:numId="11" w16cid:durableId="1631201892">
    <w:abstractNumId w:val="24"/>
  </w:num>
  <w:num w:numId="12" w16cid:durableId="24672938">
    <w:abstractNumId w:val="19"/>
  </w:num>
  <w:num w:numId="13" w16cid:durableId="661398521">
    <w:abstractNumId w:val="10"/>
  </w:num>
  <w:num w:numId="14" w16cid:durableId="2095466904">
    <w:abstractNumId w:val="17"/>
  </w:num>
  <w:num w:numId="15" w16cid:durableId="64844246">
    <w:abstractNumId w:val="15"/>
  </w:num>
  <w:num w:numId="16" w16cid:durableId="332344790">
    <w:abstractNumId w:val="23"/>
  </w:num>
  <w:num w:numId="17" w16cid:durableId="341972560">
    <w:abstractNumId w:val="20"/>
  </w:num>
  <w:num w:numId="18" w16cid:durableId="5172310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067241">
    <w:abstractNumId w:val="2"/>
  </w:num>
  <w:num w:numId="20" w16cid:durableId="1188064705">
    <w:abstractNumId w:val="11"/>
  </w:num>
  <w:num w:numId="21" w16cid:durableId="1029839037">
    <w:abstractNumId w:val="1"/>
  </w:num>
  <w:num w:numId="22" w16cid:durableId="111948116">
    <w:abstractNumId w:val="14"/>
  </w:num>
  <w:num w:numId="23" w16cid:durableId="165367088">
    <w:abstractNumId w:val="16"/>
  </w:num>
  <w:num w:numId="24" w16cid:durableId="585378820">
    <w:abstractNumId w:val="13"/>
  </w:num>
  <w:num w:numId="25" w16cid:durableId="1394353327">
    <w:abstractNumId w:val="8"/>
  </w:num>
  <w:num w:numId="26" w16cid:durableId="1593974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3B403E"/>
    <w:rsid w:val="004172DE"/>
    <w:rsid w:val="00440150"/>
    <w:rsid w:val="004A7460"/>
    <w:rsid w:val="004B4C39"/>
    <w:rsid w:val="004D2C3B"/>
    <w:rsid w:val="005563FC"/>
    <w:rsid w:val="005B2E9B"/>
    <w:rsid w:val="005C4094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07B20"/>
    <w:rsid w:val="00820B53"/>
    <w:rsid w:val="00A175AA"/>
    <w:rsid w:val="00A33AAB"/>
    <w:rsid w:val="00A938F4"/>
    <w:rsid w:val="00AC2CE3"/>
    <w:rsid w:val="00AD543C"/>
    <w:rsid w:val="00B015C8"/>
    <w:rsid w:val="00B70DDD"/>
    <w:rsid w:val="00C02025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516AC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  <w:style w:type="character" w:customStyle="1" w:styleId="size">
    <w:name w:val="size"/>
    <w:basedOn w:val="Domylnaczcionkaakapitu"/>
    <w:rsid w:val="004172DE"/>
  </w:style>
  <w:style w:type="character" w:styleId="Hipercze">
    <w:name w:val="Hyperlink"/>
    <w:semiHidden/>
    <w:rsid w:val="0044015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4015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0150"/>
    <w:rPr>
      <w:rFonts w:ascii="Calibri" w:hAnsi="Calibri"/>
      <w:szCs w:val="21"/>
    </w:rPr>
  </w:style>
  <w:style w:type="paragraph" w:styleId="Bezodstpw">
    <w:name w:val="No Spacing"/>
    <w:uiPriority w:val="1"/>
    <w:qFormat/>
    <w:rsid w:val="00B015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7">
    <w:name w:val="Styl7"/>
    <w:basedOn w:val="Normalny"/>
    <w:autoRedefine/>
    <w:rsid w:val="00B015C8"/>
    <w:pPr>
      <w:numPr>
        <w:numId w:val="22"/>
      </w:numPr>
      <w:spacing w:after="0" w:line="240" w:lineRule="auto"/>
    </w:pPr>
    <w:rPr>
      <w:rFonts w:ascii="Arial" w:eastAsia="Times New Roman" w:hAnsi="Arial" w:cs="Arial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2025-03-27T08:29:00Z</cp:lastPrinted>
  <dcterms:created xsi:type="dcterms:W3CDTF">2025-05-07T11:27:00Z</dcterms:created>
  <dcterms:modified xsi:type="dcterms:W3CDTF">2025-05-07T11:27:00Z</dcterms:modified>
</cp:coreProperties>
</file>