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B930" w14:textId="77777777" w:rsidR="00AC2455" w:rsidRPr="00AC2455" w:rsidRDefault="00AC2455" w:rsidP="00AC245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bookmarkStart w:id="0" w:name="_GoBack"/>
      <w:bookmarkEnd w:id="0"/>
      <w:r w:rsidRPr="00AC2455">
        <w:rPr>
          <w:rFonts w:ascii="Cambria" w:hAnsi="Cambria"/>
          <w:b/>
          <w:iCs/>
          <w:color w:val="002060"/>
          <w:sz w:val="22"/>
          <w:szCs w:val="22"/>
        </w:rPr>
        <w:t>Załącznik nr 1 do SWZ – Formularz ofertowy</w:t>
      </w:r>
    </w:p>
    <w:p w14:paraId="1F224453" w14:textId="77777777" w:rsidR="00AC2455" w:rsidRPr="00AC2455" w:rsidRDefault="00AC2455" w:rsidP="00AC245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AC2455">
        <w:rPr>
          <w:rFonts w:ascii="Cambria" w:hAnsi="Cambria"/>
          <w:sz w:val="22"/>
          <w:szCs w:val="22"/>
        </w:rPr>
        <w:t xml:space="preserve"> </w:t>
      </w:r>
    </w:p>
    <w:p w14:paraId="00A3EE7C" w14:textId="77777777" w:rsidR="00AC2455" w:rsidRPr="00AC2455" w:rsidRDefault="00AC2455" w:rsidP="00AC245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AC2455">
        <w:rPr>
          <w:rFonts w:ascii="Cambria" w:hAnsi="Cambria" w:cstheme="minorHAnsi"/>
          <w:sz w:val="22"/>
          <w:szCs w:val="22"/>
        </w:rPr>
        <w:t>____________</w:t>
      </w:r>
      <w:r w:rsidRPr="00AC2455">
        <w:rPr>
          <w:rFonts w:ascii="Cambria" w:hAnsi="Cambria"/>
          <w:sz w:val="22"/>
          <w:szCs w:val="22"/>
        </w:rPr>
        <w:t>2021 r.</w:t>
      </w:r>
    </w:p>
    <w:p w14:paraId="2C00C5B8" w14:textId="77777777" w:rsidR="00AC2455" w:rsidRPr="00AC2455" w:rsidRDefault="00AC2455" w:rsidP="00AC245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C2455" w:rsidRPr="00AC2455" w14:paraId="55D2F3D5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34ADDFF0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AC2455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0D74D318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C2455" w:rsidRPr="00AC2455" w14:paraId="778B253C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18E105BD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BA5ED3E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3D803520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3020541A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3473319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277EE498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7A82EDCE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0BE9E83B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7CD25200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4A1467CC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BDEC904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48C3F552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2BA0C901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24C00B5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794A0002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20A73544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9B32973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6620DF06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26EF47C3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4A0C135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66DA9B88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1618E20B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3A472F2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C2455" w:rsidRPr="00AC2455" w14:paraId="69465FF9" w14:textId="77777777" w:rsidTr="00F026F9">
        <w:trPr>
          <w:trHeight w:val="340"/>
        </w:trPr>
        <w:tc>
          <w:tcPr>
            <w:tcW w:w="2802" w:type="dxa"/>
            <w:vAlign w:val="center"/>
          </w:tcPr>
          <w:p w14:paraId="6B8DA6A4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43ED38C" w14:textId="77777777" w:rsidR="00AC2455" w:rsidRPr="00AC2455" w:rsidRDefault="00AC2455" w:rsidP="00F026F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BDCC38D" w14:textId="77777777" w:rsidR="00AC2455" w:rsidRPr="00AC2455" w:rsidRDefault="00AC2455" w:rsidP="00AC2455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AC2455">
        <w:rPr>
          <w:rFonts w:ascii="Cambria" w:hAnsi="Cambria"/>
          <w:bCs/>
          <w:sz w:val="22"/>
          <w:szCs w:val="22"/>
        </w:rPr>
        <w:br w:type="textWrapping" w:clear="all"/>
      </w:r>
    </w:p>
    <w:p w14:paraId="6F46C7DE" w14:textId="77777777" w:rsidR="00AC2455" w:rsidRPr="00AC2455" w:rsidRDefault="00AC2455" w:rsidP="00AC245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096E9314" w14:textId="77777777" w:rsidR="00AC2455" w:rsidRPr="00AC2455" w:rsidRDefault="00AC2455" w:rsidP="00AC245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720D0A74" w14:textId="77777777" w:rsidR="00AC2455" w:rsidRPr="00AC2455" w:rsidRDefault="00AC2455" w:rsidP="00AC2455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AC2455">
        <w:rPr>
          <w:rFonts w:ascii="Cambria" w:hAnsi="Cambria"/>
          <w:sz w:val="22"/>
          <w:szCs w:val="22"/>
          <w:lang w:val="en-US"/>
        </w:rPr>
        <w:tab/>
      </w:r>
    </w:p>
    <w:p w14:paraId="7956FA13" w14:textId="77777777" w:rsidR="00AC2455" w:rsidRPr="00AC2455" w:rsidRDefault="00AC2455" w:rsidP="00AC2455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AC2455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18C4A783" w14:textId="77777777" w:rsidR="00AC2455" w:rsidRPr="00AC2455" w:rsidRDefault="00AC2455" w:rsidP="00AC2455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AC2455">
        <w:rPr>
          <w:rFonts w:ascii="Cambria" w:hAnsi="Cambria"/>
          <w:sz w:val="22"/>
          <w:szCs w:val="22"/>
        </w:rPr>
        <w:t>dla</w:t>
      </w:r>
    </w:p>
    <w:p w14:paraId="4B5B02C3" w14:textId="77777777" w:rsidR="00AC2455" w:rsidRPr="00AC2455" w:rsidRDefault="00AC2455" w:rsidP="00AC2455">
      <w:pPr>
        <w:suppressAutoHyphens/>
        <w:spacing w:line="276" w:lineRule="auto"/>
        <w:contextualSpacing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AC2455">
        <w:rPr>
          <w:rFonts w:ascii="Cambria" w:hAnsi="Cambria" w:cstheme="minorHAnsi"/>
          <w:b/>
          <w:bCs/>
          <w:sz w:val="22"/>
          <w:szCs w:val="22"/>
        </w:rPr>
        <w:t>TORUŃSKA INFRASTRUKTURA SPORTOWA SP. Z O.O.</w:t>
      </w:r>
    </w:p>
    <w:p w14:paraId="7D85D930" w14:textId="77777777" w:rsidR="00AC2455" w:rsidRPr="00AC2455" w:rsidRDefault="00AC2455" w:rsidP="00AC2455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12EA0B4A" w14:textId="77777777" w:rsidR="00AC2455" w:rsidRPr="00AC2455" w:rsidRDefault="00AC2455" w:rsidP="00AC2455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AC2455">
        <w:rPr>
          <w:rFonts w:ascii="Cambria" w:hAnsi="Cambria" w:cs="Arial"/>
          <w:sz w:val="22"/>
          <w:szCs w:val="22"/>
        </w:rPr>
        <w:t xml:space="preserve">podstawowym o jakim stanowi art. 275 pkt 1 Pzp. </w:t>
      </w:r>
      <w:r w:rsidRPr="00AC2455">
        <w:rPr>
          <w:rFonts w:ascii="Cambria" w:hAnsi="Cambria" w:cs="Calibri"/>
          <w:sz w:val="22"/>
          <w:szCs w:val="22"/>
        </w:rPr>
        <w:t>na:</w:t>
      </w:r>
    </w:p>
    <w:p w14:paraId="37BFCB4F" w14:textId="77777777" w:rsidR="00AC2455" w:rsidRPr="00AC2455" w:rsidRDefault="00AC2455" w:rsidP="00AC2455">
      <w:pPr>
        <w:suppressAutoHyphens/>
        <w:spacing w:before="120"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AC2455">
        <w:rPr>
          <w:rFonts w:ascii="Cambria" w:hAnsi="Cambria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53E75CBB" w14:textId="77777777" w:rsidR="00AC2455" w:rsidRPr="00AC2455" w:rsidRDefault="00AC2455" w:rsidP="00AC245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AC2455">
        <w:rPr>
          <w:rFonts w:ascii="Cambria" w:hAnsi="Cambria" w:cs="Calibri"/>
          <w:b/>
          <w:color w:val="002060"/>
          <w:sz w:val="22"/>
          <w:szCs w:val="22"/>
        </w:rPr>
        <w:t>TORUŃSKIEJ INFRASTRUKTURY SPORTOWEJ SP. Z O.O.</w:t>
      </w:r>
    </w:p>
    <w:p w14:paraId="6DDD5343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5ED02FAB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AC245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3C1968C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AC245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B97A7C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3A9CCA2D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2C05061A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 xml:space="preserve">składamy ofertę na </w:t>
      </w:r>
      <w:r w:rsidRPr="00AC2455">
        <w:rPr>
          <w:rFonts w:ascii="Cambria" w:hAnsi="Cambria" w:cs="Calibri"/>
          <w:b/>
          <w:sz w:val="22"/>
          <w:szCs w:val="22"/>
        </w:rPr>
        <w:t>wykonanie przedmiotu zamówienia</w:t>
      </w:r>
      <w:r w:rsidRPr="00AC2455">
        <w:rPr>
          <w:rFonts w:ascii="Cambria" w:hAnsi="Cambria" w:cs="Calibri"/>
          <w:sz w:val="22"/>
          <w:szCs w:val="22"/>
        </w:rPr>
        <w:t>, w zakresie określonym w  Specyfikacji  Warunków Zamówienia (SWZ);</w:t>
      </w:r>
    </w:p>
    <w:p w14:paraId="57C7E08C" w14:textId="77777777" w:rsidR="00AC2455" w:rsidRPr="00AC2455" w:rsidRDefault="00AC2455" w:rsidP="00AC2455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 xml:space="preserve">cena brutto*) łącznie z opcją za okres 24 miesięcy, </w:t>
      </w:r>
      <w:r w:rsidRPr="00AC2455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29FE312E" w14:textId="77777777" w:rsidR="00AC2455" w:rsidRPr="00AC2455" w:rsidRDefault="00AC2455" w:rsidP="00AC2455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AC2455" w:rsidRPr="00AC2455" w14:paraId="0CF3A38F" w14:textId="77777777" w:rsidTr="00F026F9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7B16EC8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AC2455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łącznie za cały okres zamówienia tj. 24 miesiące:</w:t>
            </w:r>
          </w:p>
        </w:tc>
      </w:tr>
      <w:tr w:rsidR="00AC2455" w:rsidRPr="00AC2455" w14:paraId="6649EA1D" w14:textId="77777777" w:rsidTr="00F026F9">
        <w:trPr>
          <w:trHeight w:val="464"/>
        </w:trPr>
        <w:tc>
          <w:tcPr>
            <w:tcW w:w="1139" w:type="dxa"/>
            <w:vAlign w:val="center"/>
          </w:tcPr>
          <w:p w14:paraId="79D66190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069CF7E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AC2455" w:rsidRPr="00AC2455" w14:paraId="598DC080" w14:textId="77777777" w:rsidTr="00F026F9">
        <w:trPr>
          <w:trHeight w:val="464"/>
        </w:trPr>
        <w:tc>
          <w:tcPr>
            <w:tcW w:w="1139" w:type="dxa"/>
            <w:vAlign w:val="center"/>
          </w:tcPr>
          <w:p w14:paraId="3CA75678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AACFDB3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2E1ECDBC" w14:textId="77777777" w:rsidR="00AC2455" w:rsidRPr="00AC2455" w:rsidRDefault="00AC2455" w:rsidP="00AC2455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AC2455">
        <w:rPr>
          <w:rFonts w:ascii="Cambria" w:hAnsi="Cambria" w:cs="Calibri"/>
          <w:iCs/>
          <w:sz w:val="22"/>
          <w:szCs w:val="22"/>
        </w:rPr>
        <w:t>w  tym:</w:t>
      </w:r>
    </w:p>
    <w:p w14:paraId="6EC779F7" w14:textId="77777777" w:rsidR="00AC2455" w:rsidRPr="00AC2455" w:rsidRDefault="00AC2455" w:rsidP="00AC2455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tbl>
      <w:tblPr>
        <w:tblW w:w="89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51"/>
        <w:gridCol w:w="7787"/>
      </w:tblGrid>
      <w:tr w:rsidR="00AC2455" w:rsidRPr="00AC2455" w14:paraId="6A76ABF9" w14:textId="77777777" w:rsidTr="00F026F9">
        <w:trPr>
          <w:trHeight w:val="46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59EDC4F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AC2455">
              <w:rPr>
                <w:rFonts w:ascii="Cambria" w:hAnsi="Cambria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AC2455" w:rsidRPr="00AC2455" w14:paraId="28370DF5" w14:textId="77777777" w:rsidTr="00F026F9">
        <w:trPr>
          <w:trHeight w:val="464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513D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C93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AC2455" w:rsidRPr="00AC2455" w14:paraId="0F635473" w14:textId="77777777" w:rsidTr="00F026F9">
        <w:trPr>
          <w:trHeight w:val="464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3F93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6DC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AC2455" w:rsidRPr="00AC2455" w14:paraId="7E823E7C" w14:textId="77777777" w:rsidTr="00F026F9">
        <w:trPr>
          <w:trHeight w:val="46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0AB810A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AC2455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AC2455" w:rsidRPr="00AC2455" w14:paraId="58770D4F" w14:textId="77777777" w:rsidTr="00F026F9">
        <w:trPr>
          <w:trHeight w:val="46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23F0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8FE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AC2455" w:rsidRPr="00AC2455" w14:paraId="14C357C6" w14:textId="77777777" w:rsidTr="00F026F9">
        <w:trPr>
          <w:trHeight w:val="69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542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AC245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4F5" w14:textId="77777777" w:rsidR="00AC2455" w:rsidRPr="00AC2455" w:rsidRDefault="00AC2455" w:rsidP="00F026F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250B0652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AC2455" w:rsidRPr="00AC2455" w:rsidSect="00725FFE">
          <w:headerReference w:type="default" r:id="rId8"/>
          <w:pgSz w:w="11906" w:h="16838"/>
          <w:pgMar w:top="1247" w:right="1134" w:bottom="1247" w:left="1418" w:header="426" w:footer="431" w:gutter="0"/>
          <w:cols w:space="708"/>
          <w:docGrid w:linePitch="360"/>
        </w:sectPr>
      </w:pPr>
    </w:p>
    <w:p w14:paraId="32FE44E4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p w14:paraId="5FA5B525" w14:textId="77777777" w:rsidR="00AC2455" w:rsidRPr="00AC2455" w:rsidRDefault="00AC2455" w:rsidP="00AC2455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 xml:space="preserve">Szczegółowy formularz cenowy za poszczególne ryzyka*): </w:t>
      </w:r>
    </w:p>
    <w:p w14:paraId="73232FDE" w14:textId="77777777" w:rsidR="00AC2455" w:rsidRPr="00AC2455" w:rsidRDefault="00AC2455" w:rsidP="00AC2455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Kryterium cena oferty – 80%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825"/>
        <w:gridCol w:w="2459"/>
        <w:gridCol w:w="1851"/>
        <w:gridCol w:w="2116"/>
        <w:gridCol w:w="2376"/>
        <w:gridCol w:w="2174"/>
      </w:tblGrid>
      <w:tr w:rsidR="00AC2455" w:rsidRPr="00AC2455" w14:paraId="4B12465F" w14:textId="77777777" w:rsidTr="00F026F9">
        <w:trPr>
          <w:trHeight w:val="1798"/>
          <w:jc w:val="center"/>
        </w:trPr>
        <w:tc>
          <w:tcPr>
            <w:tcW w:w="207" w:type="pct"/>
            <w:shd w:val="clear" w:color="auto" w:fill="002060"/>
            <w:vAlign w:val="center"/>
          </w:tcPr>
          <w:p w14:paraId="27F05947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981" w:type="pct"/>
            <w:shd w:val="clear" w:color="auto" w:fill="002060"/>
            <w:vAlign w:val="center"/>
          </w:tcPr>
          <w:p w14:paraId="4A9DB58F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1F4B14B4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54" w:type="pct"/>
            <w:shd w:val="clear" w:color="auto" w:fill="002060"/>
            <w:vAlign w:val="center"/>
          </w:tcPr>
          <w:p w14:paraId="1E660A7F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Suma ubezp. / </w:t>
            </w:r>
          </w:p>
          <w:p w14:paraId="4BAD5A1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gwaran. w zł</w:t>
            </w:r>
          </w:p>
          <w:p w14:paraId="546607C9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643" w:type="pct"/>
            <w:shd w:val="clear" w:color="auto" w:fill="002060"/>
            <w:vAlign w:val="center"/>
          </w:tcPr>
          <w:p w14:paraId="69458548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2B16FE23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za 12 miesięcy</w:t>
            </w:r>
          </w:p>
          <w:p w14:paraId="2C205C88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za zamówienie podstawowe </w:t>
            </w:r>
          </w:p>
          <w:p w14:paraId="708AA2BF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(zł)</w:t>
            </w:r>
          </w:p>
        </w:tc>
        <w:tc>
          <w:tcPr>
            <w:tcW w:w="735" w:type="pct"/>
            <w:shd w:val="clear" w:color="auto" w:fill="002060"/>
            <w:vAlign w:val="center"/>
          </w:tcPr>
          <w:p w14:paraId="1192755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Składka</w:t>
            </w:r>
          </w:p>
          <w:p w14:paraId="3AAB8F0D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za 24 miesiące</w:t>
            </w:r>
          </w:p>
          <w:p w14:paraId="629BAB6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za zamówienie podstawowe</w:t>
            </w:r>
          </w:p>
          <w:p w14:paraId="090B8BC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(zł)</w:t>
            </w:r>
          </w:p>
        </w:tc>
        <w:tc>
          <w:tcPr>
            <w:tcW w:w="825" w:type="pct"/>
            <w:shd w:val="clear" w:color="auto" w:fill="002060"/>
          </w:tcPr>
          <w:p w14:paraId="1AFE005A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Opcja – </w:t>
            </w:r>
          </w:p>
          <w:p w14:paraId="1D6032DF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wydłużenie zamówienia </w:t>
            </w:r>
            <w:r w:rsidRPr="00AC2455">
              <w:rPr>
                <w:rFonts w:ascii="Cambria" w:hAnsi="Cambria" w:cs="Calibri"/>
                <w:b/>
                <w:sz w:val="22"/>
                <w:szCs w:val="22"/>
              </w:rPr>
              <w:br/>
              <w:t xml:space="preserve">o dodatkowe 12 miesięcy </w:t>
            </w:r>
          </w:p>
          <w:p w14:paraId="0E8C5501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(zł)</w:t>
            </w:r>
          </w:p>
        </w:tc>
        <w:tc>
          <w:tcPr>
            <w:tcW w:w="756" w:type="pct"/>
            <w:shd w:val="clear" w:color="auto" w:fill="002060"/>
          </w:tcPr>
          <w:p w14:paraId="38A5BF7C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Składka</w:t>
            </w:r>
          </w:p>
          <w:p w14:paraId="49AFD3C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za 24 miesiące zamówienia podstawowego oraz opcję</w:t>
            </w:r>
          </w:p>
          <w:p w14:paraId="795B9FE6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(zł)</w:t>
            </w:r>
          </w:p>
        </w:tc>
      </w:tr>
      <w:tr w:rsidR="00AC2455" w:rsidRPr="00AC2455" w14:paraId="47E5E4F1" w14:textId="77777777" w:rsidTr="00F026F9">
        <w:trPr>
          <w:trHeight w:val="87"/>
          <w:jc w:val="center"/>
        </w:trPr>
        <w:tc>
          <w:tcPr>
            <w:tcW w:w="207" w:type="pct"/>
            <w:shd w:val="clear" w:color="auto" w:fill="C6D9F1"/>
            <w:vAlign w:val="center"/>
          </w:tcPr>
          <w:p w14:paraId="17228241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981" w:type="pct"/>
            <w:shd w:val="clear" w:color="auto" w:fill="C6D9F1"/>
            <w:vAlign w:val="center"/>
          </w:tcPr>
          <w:p w14:paraId="21EBC5FE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854" w:type="pct"/>
            <w:shd w:val="clear" w:color="auto" w:fill="C6D9F1"/>
            <w:vAlign w:val="center"/>
          </w:tcPr>
          <w:p w14:paraId="6D175499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33155BAE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735" w:type="pct"/>
            <w:shd w:val="clear" w:color="auto" w:fill="C6D9F1"/>
          </w:tcPr>
          <w:p w14:paraId="556B03D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825" w:type="pct"/>
            <w:shd w:val="clear" w:color="auto" w:fill="C6D9F1"/>
          </w:tcPr>
          <w:p w14:paraId="057F42F3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756" w:type="pct"/>
            <w:shd w:val="clear" w:color="auto" w:fill="C6D9F1"/>
          </w:tcPr>
          <w:p w14:paraId="7E3810B5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</w:tr>
      <w:tr w:rsidR="00AC2455" w:rsidRPr="00AC2455" w14:paraId="3038DB1E" w14:textId="77777777" w:rsidTr="00F026F9">
        <w:trPr>
          <w:trHeight w:val="1186"/>
          <w:jc w:val="center"/>
        </w:trPr>
        <w:tc>
          <w:tcPr>
            <w:tcW w:w="207" w:type="pct"/>
            <w:shd w:val="clear" w:color="auto" w:fill="C6D9F1"/>
            <w:vAlign w:val="center"/>
          </w:tcPr>
          <w:p w14:paraId="598CCEAF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A</w:t>
            </w:r>
          </w:p>
        </w:tc>
        <w:tc>
          <w:tcPr>
            <w:tcW w:w="981" w:type="pct"/>
            <w:vAlign w:val="center"/>
          </w:tcPr>
          <w:p w14:paraId="09E20750" w14:textId="77777777" w:rsidR="00AC2455" w:rsidRPr="00AC2455" w:rsidRDefault="00AC2455" w:rsidP="00F026F9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Ubezpieczenie mienia od wszystkich ryzyk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3F3F4594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AC2455">
              <w:rPr>
                <w:rFonts w:ascii="Cambria" w:hAnsi="Cambria" w:cs="Calibri"/>
                <w:bCs/>
                <w:sz w:val="22"/>
                <w:szCs w:val="22"/>
              </w:rPr>
              <w:t>175 381 923,94 zł + limity w systemie na I ryzyko</w:t>
            </w:r>
          </w:p>
        </w:tc>
        <w:tc>
          <w:tcPr>
            <w:tcW w:w="643" w:type="pct"/>
            <w:vAlign w:val="center"/>
          </w:tcPr>
          <w:p w14:paraId="795D1D79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35" w:type="pct"/>
          </w:tcPr>
          <w:p w14:paraId="04409B94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25" w:type="pct"/>
          </w:tcPr>
          <w:p w14:paraId="3D9D308B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14:paraId="525C0BAD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AC2455" w:rsidRPr="00AC2455" w14:paraId="52999BA3" w14:textId="77777777" w:rsidTr="00F026F9">
        <w:trPr>
          <w:trHeight w:val="1035"/>
          <w:jc w:val="center"/>
        </w:trPr>
        <w:tc>
          <w:tcPr>
            <w:tcW w:w="207" w:type="pct"/>
            <w:shd w:val="clear" w:color="auto" w:fill="C6D9F1"/>
            <w:vAlign w:val="center"/>
          </w:tcPr>
          <w:p w14:paraId="103ADDA0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B</w:t>
            </w:r>
          </w:p>
        </w:tc>
        <w:tc>
          <w:tcPr>
            <w:tcW w:w="981" w:type="pct"/>
            <w:vAlign w:val="center"/>
          </w:tcPr>
          <w:p w14:paraId="3D5500CB" w14:textId="77777777" w:rsidR="00AC2455" w:rsidRPr="00AC2455" w:rsidRDefault="00AC2455" w:rsidP="00F026F9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Ubezpieczenie sprzętu elektronicznego od wszystkich ryzyk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010C3208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2"/>
                <w:szCs w:val="22"/>
              </w:rPr>
            </w:pPr>
            <w:r w:rsidRPr="00AC2455">
              <w:rPr>
                <w:rFonts w:ascii="Cambria" w:hAnsi="Cambria" w:cs="Calibri"/>
                <w:bCs/>
                <w:sz w:val="22"/>
                <w:szCs w:val="22"/>
              </w:rPr>
              <w:t>1 149 355,40 zł + limity w systemie na I ryzyko</w:t>
            </w:r>
          </w:p>
        </w:tc>
        <w:tc>
          <w:tcPr>
            <w:tcW w:w="643" w:type="pct"/>
            <w:vAlign w:val="center"/>
          </w:tcPr>
          <w:p w14:paraId="4BE81EEB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35" w:type="pct"/>
          </w:tcPr>
          <w:p w14:paraId="22F6F830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25" w:type="pct"/>
          </w:tcPr>
          <w:p w14:paraId="779C0E1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14:paraId="38D4B111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AC2455" w:rsidRPr="00AC2455" w14:paraId="16EBA905" w14:textId="77777777" w:rsidTr="00F026F9">
        <w:trPr>
          <w:trHeight w:val="676"/>
          <w:jc w:val="center"/>
        </w:trPr>
        <w:tc>
          <w:tcPr>
            <w:tcW w:w="207" w:type="pct"/>
            <w:shd w:val="clear" w:color="auto" w:fill="C6D9F1"/>
            <w:vAlign w:val="center"/>
          </w:tcPr>
          <w:p w14:paraId="69F49A79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C</w:t>
            </w:r>
          </w:p>
        </w:tc>
        <w:tc>
          <w:tcPr>
            <w:tcW w:w="981" w:type="pct"/>
            <w:vAlign w:val="center"/>
          </w:tcPr>
          <w:p w14:paraId="67D70120" w14:textId="77777777" w:rsidR="00AC2455" w:rsidRPr="00AC2455" w:rsidRDefault="00AC2455" w:rsidP="00F026F9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854" w:type="pct"/>
            <w:vAlign w:val="center"/>
          </w:tcPr>
          <w:p w14:paraId="3E531B6A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zgodnie z SWZ</w:t>
            </w:r>
          </w:p>
        </w:tc>
        <w:tc>
          <w:tcPr>
            <w:tcW w:w="643" w:type="pct"/>
            <w:vAlign w:val="center"/>
          </w:tcPr>
          <w:p w14:paraId="154F95D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</w:tcPr>
          <w:p w14:paraId="293414E6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25" w:type="pct"/>
          </w:tcPr>
          <w:p w14:paraId="4E12937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14:paraId="39AF58BA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AC2455" w:rsidRPr="00AC2455" w14:paraId="6AE81292" w14:textId="77777777" w:rsidTr="00F026F9">
        <w:trPr>
          <w:trHeight w:val="416"/>
          <w:jc w:val="center"/>
        </w:trPr>
        <w:tc>
          <w:tcPr>
            <w:tcW w:w="2042" w:type="pct"/>
            <w:gridSpan w:val="3"/>
            <w:shd w:val="clear" w:color="auto" w:fill="C6D9F1"/>
            <w:vAlign w:val="center"/>
          </w:tcPr>
          <w:p w14:paraId="69BFE94C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02660991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C6D9F1"/>
          </w:tcPr>
          <w:p w14:paraId="1F89A3F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C6D9F1"/>
          </w:tcPr>
          <w:p w14:paraId="7E632B18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C6D9F1"/>
          </w:tcPr>
          <w:p w14:paraId="3D7920B2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641D56EF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549CFE3E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25D26E30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Kolumna IV: prosimy o podanie składki  za 12 miesięcy za zamówienie podstawowe;</w:t>
      </w:r>
    </w:p>
    <w:p w14:paraId="14D9DCDD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Kolumna V: prosimy o podanie składki  za 24 miesiące  za zamówienie podstawowe oznaczającej iloczyn kolumny IV x2;</w:t>
      </w:r>
    </w:p>
    <w:p w14:paraId="04FAD152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Kolumna VI: prosimy o podanie składki za Opcje – składka za pełny 12 miesięczny okres ubezpieczenia (Opcja – stawka/składka musi być tożsama z wyceną ryzyk dla zamówienia podstawowego – kolumna IV);</w:t>
      </w:r>
    </w:p>
    <w:p w14:paraId="253CF1C2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Kolumna VII: prosimy o podanie sumy łącznej składki za 24 miesięczny okres zamówienia podstawowego (kol. V)  oraz Opcji (kol. VI);</w:t>
      </w:r>
    </w:p>
    <w:p w14:paraId="2E137772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BDA0D55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  <w:sectPr w:rsidR="00AC2455" w:rsidRPr="00AC2455" w:rsidSect="001663A5">
          <w:pgSz w:w="16838" w:h="11906" w:orient="landscape"/>
          <w:pgMar w:top="1418" w:right="1247" w:bottom="1134" w:left="1247" w:header="426" w:footer="431" w:gutter="0"/>
          <w:cols w:space="708"/>
          <w:docGrid w:linePitch="360"/>
        </w:sectPr>
      </w:pPr>
    </w:p>
    <w:p w14:paraId="373E4335" w14:textId="77777777" w:rsidR="00AC2455" w:rsidRPr="00AC2455" w:rsidRDefault="00AC2455" w:rsidP="00AC245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6AA50D1C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AC2455" w:rsidRPr="00AC2455" w14:paraId="0C59ED4C" w14:textId="77777777" w:rsidTr="00F026F9">
        <w:tc>
          <w:tcPr>
            <w:tcW w:w="4252" w:type="dxa"/>
            <w:shd w:val="clear" w:color="auto" w:fill="002060"/>
            <w:vAlign w:val="center"/>
          </w:tcPr>
          <w:p w14:paraId="58F4E89A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68C3855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AC2455" w:rsidRPr="00AC2455" w14:paraId="796CB17D" w14:textId="77777777" w:rsidTr="00F026F9">
        <w:tc>
          <w:tcPr>
            <w:tcW w:w="4252" w:type="dxa"/>
          </w:tcPr>
          <w:p w14:paraId="70F13CF8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71BCF76B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AC2455" w:rsidRPr="00AC2455" w14:paraId="6A807F72" w14:textId="77777777" w:rsidTr="00F026F9">
        <w:tc>
          <w:tcPr>
            <w:tcW w:w="4252" w:type="dxa"/>
          </w:tcPr>
          <w:p w14:paraId="59E1FEB8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AC2455">
              <w:rPr>
                <w:rFonts w:ascii="Cambria" w:hAnsi="Cambria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4DF5D1DA" w14:textId="77777777" w:rsidR="00AC2455" w:rsidRPr="00AC2455" w:rsidRDefault="00AC2455" w:rsidP="00F026F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5EA61DCA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AC2455">
        <w:rPr>
          <w:rFonts w:ascii="Cambria" w:hAnsi="Cambria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25D1C55F" w14:textId="77777777" w:rsidR="00AC2455" w:rsidRPr="00AC2455" w:rsidRDefault="00AC2455" w:rsidP="00AC2455">
      <w:p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7B8D9211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01299E1A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AC2455">
        <w:rPr>
          <w:rFonts w:ascii="Cambria" w:hAnsi="Cambria" w:cs="Calibri"/>
          <w:b/>
          <w:sz w:val="22"/>
          <w:szCs w:val="22"/>
        </w:rPr>
        <w:t>Przyjmujemy fakultatywne warunki ubezpieczenia - 20% z podkryteriami: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543"/>
        <w:gridCol w:w="800"/>
        <w:gridCol w:w="989"/>
      </w:tblGrid>
      <w:tr w:rsidR="00AC2455" w:rsidRPr="00AC2455" w14:paraId="07AD17AB" w14:textId="77777777" w:rsidTr="00F026F9">
        <w:trPr>
          <w:trHeight w:val="549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34A2EBB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625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93A968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MIENIA OD WSZYSTSKICH RYZYK – waga (znaczenie): 7%</w:t>
            </w:r>
          </w:p>
        </w:tc>
      </w:tr>
      <w:tr w:rsidR="00AC2455" w:rsidRPr="00AC2455" w14:paraId="16EE8847" w14:textId="77777777" w:rsidTr="00F026F9">
        <w:trPr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6719E7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FD9F11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701A98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5D0D0F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AC2455" w:rsidRPr="00AC2455" w14:paraId="05FDCC2A" w14:textId="77777777" w:rsidTr="00F026F9">
        <w:trPr>
          <w:cantSplit/>
          <w:trHeight w:hRule="exact" w:val="150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7EEC3C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DD903FA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10 000 000,00  zł</w:t>
            </w:r>
          </w:p>
          <w:p w14:paraId="097A7C7E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10 000 000,00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zł 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06AC3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0A08930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2455" w:rsidRPr="00AC2455" w14:paraId="5A753051" w14:textId="77777777" w:rsidTr="00F026F9">
        <w:trPr>
          <w:cantSplit/>
          <w:trHeight w:val="300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748E1F73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5987D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C65A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4A953DE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DB5DDE0" w14:textId="77777777" w:rsidTr="00F026F9">
        <w:trPr>
          <w:cantSplit/>
          <w:trHeight w:hRule="exact" w:val="733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CCB8C5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7D485B5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Dewastacja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500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7F1A33E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Graffiti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50 000 zł</w:t>
            </w:r>
          </w:p>
          <w:p w14:paraId="2B45821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9C016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FEF630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0F613D0" w14:textId="77777777" w:rsidTr="00F026F9">
        <w:trPr>
          <w:cantSplit/>
          <w:trHeight w:val="365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50DC346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C0939A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5CB2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87F914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FC2C364" w14:textId="77777777" w:rsidTr="00F026F9">
        <w:trPr>
          <w:cantSplit/>
          <w:trHeight w:hRule="exact" w:val="1320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B62C81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A1DBD0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Mienie podczas rozbudowy, przebudowy – </w:t>
            </w: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zwiększenie limitu dla przedmiotu prac remontowo- budowlanych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do 2 000 000,00 zł</w:t>
            </w:r>
          </w:p>
          <w:p w14:paraId="577A97C6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Katastrofa budowlana – </w:t>
            </w:r>
          </w:p>
          <w:p w14:paraId="151D5F46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zwiększenie limitu odpowiedzialności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do 30 000 000,00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CB9D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8D1B2B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1AB23491" w14:textId="77777777" w:rsidTr="00F026F9">
        <w:trPr>
          <w:cantSplit/>
          <w:trHeight w:hRule="exact" w:val="41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DCEBF27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F87FD55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E684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6C2CFF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D600292" w14:textId="77777777" w:rsidTr="00724B55">
        <w:trPr>
          <w:cantSplit/>
          <w:trHeight w:hRule="exact" w:val="1527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1976AB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8E6496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3 000 000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B84A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A3C10D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35395BA" w14:textId="77777777" w:rsidTr="00F026F9">
        <w:trPr>
          <w:cantSplit/>
          <w:trHeight w:val="24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374F606C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7B32F0B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9826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B1BC4A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216A399" w14:textId="77777777" w:rsidTr="00F026F9">
        <w:trPr>
          <w:cantSplit/>
          <w:trHeight w:val="243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8A3EBB8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96C1F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Przepięcia  zgodnie z klauzulą przepięć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599B1B0F" w14:textId="495AB04B" w:rsidR="00724B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limitu odpowiedzialności do </w:t>
            </w:r>
            <w:r w:rsidR="00724B55" w:rsidRPr="00724B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6 000 000,00 zł, </w:t>
            </w:r>
            <w:r w:rsidR="00724B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</w:t>
            </w:r>
            <w:r w:rsidR="00724B55" w:rsidRPr="00724B55">
              <w:rPr>
                <w:rFonts w:ascii="Cambria" w:hAnsi="Cambria" w:cstheme="minorHAnsi"/>
                <w:sz w:val="22"/>
                <w:szCs w:val="22"/>
                <w:lang w:eastAsia="en-US"/>
              </w:rPr>
              <w:t>podlimit</w:t>
            </w:r>
            <w:r w:rsidR="00724B55">
              <w:rPr>
                <w:rFonts w:ascii="Cambria" w:hAnsi="Cambria" w:cstheme="minorHAnsi"/>
                <w:sz w:val="22"/>
                <w:szCs w:val="22"/>
                <w:lang w:eastAsia="en-US"/>
              </w:rPr>
              <w:t>u</w:t>
            </w:r>
            <w:r w:rsidR="00724B55" w:rsidRPr="00724B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dla szkód powstałych wskutek przetężeń - 600 000,00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9E67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FBC33A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4CD6DB65" w14:textId="77777777" w:rsidTr="00F026F9">
        <w:trPr>
          <w:cantSplit/>
          <w:trHeight w:val="243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8F102F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206C884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413C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D66D3C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7A152386" w14:textId="77777777" w:rsidTr="00F026F9">
        <w:trPr>
          <w:cantSplit/>
          <w:trHeight w:hRule="exact" w:val="677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9AB9FAF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819EF4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ubezpieczenia maszyn, urządzeń od uszkodzeń -</w:t>
            </w:r>
          </w:p>
          <w:p w14:paraId="15FDC73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limitu odpowiedzialności do 500 000 zł 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17BF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68CFEB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14B3DDB" w14:textId="77777777" w:rsidTr="00F026F9">
        <w:trPr>
          <w:cantSplit/>
          <w:trHeight w:val="550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800B27C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BFA9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A426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1926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7DFCD2C" w14:textId="77777777" w:rsidTr="00F026F9">
        <w:trPr>
          <w:cantSplit/>
          <w:trHeight w:hRule="exact" w:val="686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E90E7BB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16BD5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100 000,00 zł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(w tym wartości pieniężne do 10 000 zł)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B56C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FEBE5E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F58B899" w14:textId="77777777" w:rsidTr="00F026F9">
        <w:trPr>
          <w:cantSplit/>
          <w:trHeight w:val="26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FCEED4C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0724E1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2959E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96C006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465E5DD2" w14:textId="77777777" w:rsidTr="00F026F9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9AEBA78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347538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Osuwanie się i zapadanie się ziemi związane z działalnością człowieka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81C73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FC3D20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20CD316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D420926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65B1B2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5EF10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2E515A95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40D7647" w14:textId="77777777" w:rsidTr="00F026F9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10A9503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A.9</w:t>
            </w:r>
          </w:p>
        </w:tc>
        <w:tc>
          <w:tcPr>
            <w:tcW w:w="36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03596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włączenie do ochrony ubezpieczeniowej szkód powstałych w  wyniku wad konstrukcyjnych lub projektowych – limit 1 000 000,00 zł</w:t>
            </w:r>
          </w:p>
        </w:tc>
        <w:tc>
          <w:tcPr>
            <w:tcW w:w="44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98F9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555B4F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DDCA7C7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37F3AE4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303000B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2556D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3481AD2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5F71A56" w14:textId="77777777" w:rsidTr="00F026F9">
        <w:trPr>
          <w:trHeight w:val="297"/>
          <w:jc w:val="right"/>
        </w:trPr>
        <w:tc>
          <w:tcPr>
            <w:tcW w:w="0" w:type="auto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51D6BBD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4BB019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Franszyza redukcyjna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równa  0,00 zł dla terroryzmu oraz zamieszek, niepokojów społecznych, rozruchów, strajków, lokautów, protestów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9903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5F7AC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38FA829D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A257E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3D1AD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Franszyza redukcyjna  równa  4 000,00 zł dla terroryzmu oraz zamieszek, niepokojów społecznych, rozruchów, strajków, lokautów, protestów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C135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1BF750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F02F6F7" w14:textId="77777777" w:rsidTr="00F026F9">
        <w:trPr>
          <w:trHeight w:val="297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D71836B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A.11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6CB9D88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zwiększonej wypłaty odszkodowania</w:t>
            </w: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 xml:space="preserve"> – w treści zgodnie z  lit. A pkt 8.1 (załącznik nr 6 – opis przedmiotu zamówienia) – włączenie do ochrony ubezpieczeniowej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70F0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8B9126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57EA02D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C958DF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30F25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8D7C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689F4B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23D48B8" w14:textId="77777777" w:rsidTr="00F026F9">
        <w:trPr>
          <w:trHeight w:val="297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5D38396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6BF5E5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AC2455">
              <w:rPr>
                <w:rFonts w:ascii="Cambria" w:hAnsi="Cambria" w:cs="Tahoma"/>
                <w:b/>
                <w:bCs/>
                <w:sz w:val="22"/>
                <w:szCs w:val="22"/>
              </w:rPr>
              <w:t>Klauzula kosztów stałych działalności</w:t>
            </w:r>
            <w:r w:rsidRPr="00AC2455">
              <w:rPr>
                <w:rFonts w:ascii="Cambria" w:hAnsi="Cambria" w:cs="Tahoma"/>
                <w:sz w:val="22"/>
                <w:szCs w:val="22"/>
              </w:rPr>
              <w:t xml:space="preserve"> – w treści zgodnie z  lit. A pkt 8.2. (załącznik nr 6 – opis przedmiotu zamówienia) – włączenie do ochrony ubezpieczeniowej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53B5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F816645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045CE89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1BAB02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C68B6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AC2455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9C0B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6DF2377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B5E3BAC" w14:textId="77777777" w:rsidTr="00F026F9">
        <w:trPr>
          <w:trHeight w:val="297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1110137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A.13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84B3C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szkód w następstwie braku dostaw mediów</w:t>
            </w:r>
            <w:r w:rsidRPr="00AC2455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– w treści zgodnie z  lit. A pkt 8.3 (załącznik nr 6 – opis przedmiotu zamówienia) – włączenie do ochrony ubezpieczeniowej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B241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C44EDA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4EDDF7B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23EFDA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2B56B24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AC2455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C21F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C0FCB0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B08A087" w14:textId="77777777" w:rsidTr="00F026F9">
        <w:trPr>
          <w:trHeight w:val="297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4A35424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A.14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8DFB67A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Tahoma"/>
                <w:b/>
                <w:bCs/>
                <w:sz w:val="22"/>
                <w:szCs w:val="22"/>
              </w:rPr>
              <w:t>Doubezpieczenie</w:t>
            </w:r>
            <w:r w:rsidRPr="00AC2455">
              <w:rPr>
                <w:rFonts w:ascii="Cambria" w:hAnsi="Cambria" w:cs="Tahoma"/>
                <w:sz w:val="22"/>
                <w:szCs w:val="22"/>
              </w:rPr>
              <w:t xml:space="preserve"> – w przypadku wyczerpania limitów odpowiedzialności ubezpieczający będzie miał prawo do wystąpienia o uzupełnienie limitów na warunkach zawartej umowy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8588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3186C8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EFCEFFC" w14:textId="77777777" w:rsidTr="00F026F9">
        <w:trPr>
          <w:trHeight w:val="297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503564D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C129A2C" w14:textId="77777777" w:rsidR="00AC2455" w:rsidRPr="00AC2455" w:rsidRDefault="00AC2455" w:rsidP="00F026F9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1476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C0DF85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3E945CD" w14:textId="77777777" w:rsidTr="00F026F9">
        <w:trPr>
          <w:trHeight w:val="561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188F49E0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4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C11DA1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br/>
              <w:t>waga (znaczenie): 2%</w:t>
            </w:r>
          </w:p>
        </w:tc>
      </w:tr>
      <w:tr w:rsidR="00AC2455" w:rsidRPr="00AC2455" w14:paraId="7869C00C" w14:textId="77777777" w:rsidTr="00F026F9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727BD5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A9678D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hideMark/>
          </w:tcPr>
          <w:p w14:paraId="19A75EC0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4EAA28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AC2455" w:rsidRPr="00AC2455" w14:paraId="241B1760" w14:textId="77777777" w:rsidTr="00F026F9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BF9969B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B.1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011370BC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Ataki hakerskie, cyberataki, cyberprzestępstwa – włączenie odpowiedzialności za szkody powstałe wskutek ataku hakerskiego, wirusów, cyberataku, cyberprzestępstwa w limicie odpowiedzialności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8872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AC5DF7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C2455" w:rsidRPr="00AC2455" w14:paraId="5B256140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E5C7F5D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D8EE32E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DAE581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476584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C2455" w:rsidRPr="00AC2455" w14:paraId="712FDAEC" w14:textId="77777777" w:rsidTr="00F026F9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410BCB3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B.2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12400CF" w14:textId="77777777" w:rsidR="00AC2455" w:rsidRPr="00AC2455" w:rsidRDefault="00AC2455" w:rsidP="00F026F9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500 000,00  zł</w:t>
            </w:r>
          </w:p>
          <w:p w14:paraId="6D3FE09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500 000,00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8B19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AE1BD8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C2455" w:rsidRPr="00AC2455" w14:paraId="5327D24E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3EE80A7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FCA565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05E3E7D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900BF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C2455" w:rsidRPr="00AC2455" w14:paraId="5DC371EE" w14:textId="77777777" w:rsidTr="00F026F9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9BBD06E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B.3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537DA7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50 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000  zł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C5AEAB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CCADE6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2455" w:rsidRPr="00AC2455" w14:paraId="6C0BB9F0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DF6A71B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6A75830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FD984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BB8651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AC2455" w:rsidRPr="00AC2455" w14:paraId="60E21FFF" w14:textId="77777777" w:rsidTr="00F026F9">
        <w:trPr>
          <w:trHeight w:val="392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18E9133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4625" w:type="pct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092F58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ODPOWIEDZIALNOŚCI CYWILNEJ – waga (znaczenie): 6%</w:t>
            </w:r>
          </w:p>
        </w:tc>
      </w:tr>
      <w:tr w:rsidR="00AC2455" w:rsidRPr="00AC2455" w14:paraId="0645779B" w14:textId="77777777" w:rsidTr="00F026F9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5DF25F5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363F6C8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34846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0BC7AD0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AC2455" w:rsidRPr="00AC2455" w14:paraId="6C67BA6F" w14:textId="77777777" w:rsidTr="00F026F9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0A202B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980E79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Wina umyślna </w:t>
            </w:r>
            <w:r w:rsidRPr="00AC2455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zwiększenie podlimitu do 1 000 000,00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0664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EA00835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A57FF21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26824B7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0556C0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D2EF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29E9F75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A79DD31" w14:textId="77777777" w:rsidTr="00F026F9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CE37499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1E87B0" w14:textId="0B33A4A7" w:rsidR="00944356" w:rsidRDefault="00AC2455" w:rsidP="0094435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(RODO) - odpowiedzialność cywilna za szkody 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s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powodowane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nieprawidłowym przetwarzaniem danych osobowych, ich utratą i nielegalnym wykorzystaniem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danych wskutek nieprawidłowego ich przetwarzania, administrowania oraz gromadzenia i przechowywania przez 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ubezpieczonego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 tym polegające na naruszeniu dóbr osobistych i/lub wynikające z naruszenia przepisów o ochronie danych osobowych.</w:t>
            </w:r>
          </w:p>
          <w:p w14:paraId="4CFCE2BB" w14:textId="20EC7A60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- 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włączenie do ochrony ubezpieczeniowej z podlimitem 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2</w:t>
            </w:r>
            <w:r w:rsidR="00944356" w:rsidRP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00 000,00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2EEE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BE4255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4593B7E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0275F12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176E6D9" w14:textId="19291EAB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</w:t>
            </w:r>
            <w:r w:rsidR="00944356">
              <w:rPr>
                <w:rFonts w:ascii="Cambria" w:hAnsi="Cambria" w:cstheme="minorHAnsi"/>
                <w:sz w:val="22"/>
                <w:szCs w:val="22"/>
                <w:lang w:eastAsia="en-US"/>
              </w:rPr>
              <w:t>włączenia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82B3E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63B848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7939B76" w14:textId="77777777" w:rsidTr="00F026F9">
        <w:trPr>
          <w:trHeight w:val="1013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E4C0693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C.3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5A4F8E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ryzyka szkód osobowych do naprawienia których Ubezpieczony zobowiązany jest w oparciu o zasadę słuszności na</w:t>
            </w:r>
            <w:r w:rsidRPr="00AC2455">
              <w:rPr>
                <w:rFonts w:ascii="Cambria" w:hAnsi="Cambria"/>
              </w:rPr>
              <w:t xml:space="preserve"> 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EDF5B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7F9072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A866DA6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4BFDE39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BD212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E877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3901BC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497DE052" w14:textId="77777777" w:rsidTr="00F026F9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29304D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C.4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EE04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OC stopniowe oddziaływanie</w:t>
            </w: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- odpowiedzialność za szkody powstałe wskutek stopniowego lub długotrwałego oddziaływania temperatury, gazów, par lub wilgoci, osadów oraz wibracji - włączenie do ochrony ubezpieczeniowej z podlimitem 100 000,00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5DCEC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D2150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EC55C8C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1392C3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22F0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03513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4EDEC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7C7C2C7" w14:textId="77777777" w:rsidTr="00F026F9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C420C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FEA260" w14:textId="77777777" w:rsidR="00AC2455" w:rsidRPr="00AC2455" w:rsidRDefault="00AC2455" w:rsidP="00F026F9">
            <w:pPr>
              <w:suppressAutoHyphens/>
              <w:spacing w:line="256" w:lineRule="aut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7CA7F27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W przypadku sporu sądowego pomiędzy Ubezpieczonym a poszkodowanym lub jego następcami prawnymi, Ubezpieczyciel przystąpi do toczącego się procesu sądowego jako interwenient uboczny.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CFABF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FC4AA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1C117FAD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8204A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B821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B5418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661A7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A4095F1" w14:textId="77777777" w:rsidTr="00F026F9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BD7C7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1D58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Tahoma"/>
                <w:b/>
                <w:bCs/>
                <w:sz w:val="22"/>
                <w:szCs w:val="22"/>
              </w:rPr>
              <w:t>Czyste straty finansowe</w:t>
            </w:r>
            <w:r w:rsidRPr="00AC2455">
              <w:rPr>
                <w:rFonts w:ascii="Cambria" w:hAnsi="Cambria" w:cs="Tahoma"/>
                <w:sz w:val="22"/>
                <w:szCs w:val="22"/>
              </w:rPr>
              <w:t xml:space="preserve"> – zwiększenie limitu odpowiedzialności do 1 000 000,00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91C3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5B6BB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0140CF8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4EA3B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5AD5A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Tahoma"/>
                <w:sz w:val="22"/>
                <w:szCs w:val="22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3BAE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E5986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502A784F" w14:textId="77777777" w:rsidTr="00F026F9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25B5D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C.7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7CD62" w14:textId="343C050A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OC choroby zakaźne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 </w:t>
            </w:r>
            <w:r w:rsidRPr="00AC2455">
              <w:rPr>
                <w:rFonts w:ascii="Cambria" w:hAnsi="Cambria" w:cs="Tahoma"/>
                <w:sz w:val="22"/>
                <w:szCs w:val="22"/>
              </w:rPr>
              <w:t xml:space="preserve">limitu odpowiedzialności do </w:t>
            </w:r>
            <w:r w:rsidR="00985B71">
              <w:rPr>
                <w:rFonts w:ascii="Cambria" w:hAnsi="Cambria" w:cs="Tahoma"/>
                <w:sz w:val="22"/>
                <w:szCs w:val="22"/>
              </w:rPr>
              <w:t>6</w:t>
            </w:r>
            <w:r w:rsidRPr="00AC2455">
              <w:rPr>
                <w:rFonts w:ascii="Cambria" w:hAnsi="Cambria" w:cs="Tahoma"/>
                <w:sz w:val="22"/>
                <w:szCs w:val="22"/>
              </w:rPr>
              <w:t>00 000,00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F1733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39B6E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41A53B3F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657FA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79CD2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098B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AF002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10B2FA4D" w14:textId="77777777" w:rsidTr="00F026F9">
        <w:trPr>
          <w:trHeight w:val="302"/>
          <w:jc w:val="right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EB560" w14:textId="77777777" w:rsidR="00AC2455" w:rsidRPr="00AC2455" w:rsidRDefault="00AC2455" w:rsidP="00F026F9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E12DBE" w14:textId="6B821C40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 Klauzula przywrócenia sumy gwarancyjnej</w:t>
            </w:r>
            <w:r w:rsidRPr="00AC245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AC2455">
              <w:rPr>
                <w:rFonts w:ascii="Cambria" w:hAnsi="Cambria" w:cs="Calibri"/>
                <w:sz w:val="22"/>
                <w:szCs w:val="22"/>
              </w:rPr>
              <w:t xml:space="preserve">w treści zgodnie z  lit. C pkt </w:t>
            </w:r>
            <w:r w:rsidR="00B41D73">
              <w:rPr>
                <w:rFonts w:ascii="Cambria" w:hAnsi="Cambria" w:cs="Calibri"/>
                <w:sz w:val="22"/>
                <w:szCs w:val="22"/>
              </w:rPr>
              <w:t>8.1.</w:t>
            </w:r>
            <w:r w:rsidRPr="00AC2455">
              <w:rPr>
                <w:rFonts w:ascii="Cambria" w:hAnsi="Cambria" w:cs="Calibri"/>
                <w:sz w:val="22"/>
                <w:szCs w:val="22"/>
              </w:rPr>
              <w:t xml:space="preserve"> (załącznik nr 6 – opis przedmiotu zamówienia) </w:t>
            </w: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4B44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A4007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0CA3A6BD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155E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5963B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="Arial"/>
                <w:color w:val="000000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14287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B220D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02C4162" w14:textId="77777777" w:rsidTr="00F026F9">
        <w:trPr>
          <w:trHeight w:val="815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D405C13" w14:textId="77777777" w:rsidR="00AC2455" w:rsidRPr="00AC2455" w:rsidRDefault="00AC2455" w:rsidP="00F026F9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C.9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91946AE" w14:textId="5D19CC5A" w:rsidR="00AC2455" w:rsidRPr="00AC2455" w:rsidRDefault="00AC2455" w:rsidP="00F026F9">
            <w:pPr>
              <w:suppressAutoHyphens/>
              <w:snapToGrid w:val="0"/>
              <w:spacing w:after="120"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/>
                <w:b/>
                <w:bCs/>
                <w:sz w:val="22"/>
                <w:szCs w:val="22"/>
              </w:rPr>
              <w:t xml:space="preserve">Klauzula odtworzenia sumy </w:t>
            </w:r>
            <w:r w:rsidRPr="00AC2455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AC2455">
              <w:rPr>
                <w:rFonts w:ascii="Cambria" w:hAnsi="Cambria" w:cs="Calibri"/>
                <w:sz w:val="22"/>
                <w:szCs w:val="22"/>
              </w:rPr>
              <w:t xml:space="preserve">w treści zgodnie z  lit. C pkt </w:t>
            </w:r>
            <w:r w:rsidR="00B41D73">
              <w:rPr>
                <w:rFonts w:ascii="Cambria" w:hAnsi="Cambria" w:cs="Calibri"/>
                <w:sz w:val="22"/>
                <w:szCs w:val="22"/>
              </w:rPr>
              <w:t>8.2.</w:t>
            </w:r>
            <w:r w:rsidRPr="00AC2455">
              <w:rPr>
                <w:rFonts w:ascii="Cambria" w:hAnsi="Cambria" w:cs="Calibri"/>
                <w:sz w:val="22"/>
                <w:szCs w:val="22"/>
              </w:rPr>
              <w:t xml:space="preserve"> (załącznik nr 6 – opis przedmiotu zamówienia) </w:t>
            </w:r>
            <w:r w:rsidRPr="00AC2455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B94BC4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49C6DC6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643FDC28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D5417E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C3E400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B7B20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E1F5D02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28E40CEB" w14:textId="77777777" w:rsidTr="00F026F9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0EDE0D9" w14:textId="77777777" w:rsidR="00AC2455" w:rsidRPr="00AC2455" w:rsidRDefault="00AC2455" w:rsidP="00F026F9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0D7910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funduszu prewencyjnego – waga (znaczenie): 5%</w:t>
            </w:r>
          </w:p>
        </w:tc>
      </w:tr>
      <w:tr w:rsidR="00AC2455" w:rsidRPr="00AC2455" w14:paraId="14F00070" w14:textId="77777777" w:rsidTr="00F026F9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FD061F8" w14:textId="77777777" w:rsidR="00AC2455" w:rsidRPr="00AC2455" w:rsidRDefault="00AC2455" w:rsidP="00F026F9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84B55B1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231EA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75C8F3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AC2455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AC2455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AC2455" w:rsidRPr="00AC2455" w14:paraId="04C9A88D" w14:textId="77777777" w:rsidTr="00F026F9">
        <w:trPr>
          <w:trHeight w:val="3292"/>
          <w:jc w:val="right"/>
        </w:trPr>
        <w:tc>
          <w:tcPr>
            <w:tcW w:w="375" w:type="pct"/>
            <w:vMerge w:val="restar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64D8408" w14:textId="77777777" w:rsidR="00AC2455" w:rsidRPr="00AC2455" w:rsidRDefault="00AC2455" w:rsidP="00F026F9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D.1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6CEFB5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41D73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- Z zastrzeżeniem pozostałych, nie zmienionych niniejszą klauzulą postanowień umowy ubezpieczenia oraz ogólnych warunków ubezpieczenia, uzgadnia się, że: ubezpieczyciel stawia do dyspozycji ubezpieczającego fundusz prewencyjny w wysokości 10% płaconych składek z całości ubezpieczeń zawartych w wyniku niniejszego postępowania (zamówienie podstawowe oraz opcja)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D7A5E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79C5DDD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2455" w:rsidRPr="00AC2455" w14:paraId="16B18652" w14:textId="77777777" w:rsidTr="00F026F9">
        <w:trPr>
          <w:trHeight w:val="3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753E4B7" w14:textId="77777777" w:rsidR="00AC2455" w:rsidRPr="00AC2455" w:rsidRDefault="00AC2455" w:rsidP="00F026F9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87A22DC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83EB9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AC2455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BAAE8CA" w14:textId="77777777" w:rsidR="00AC2455" w:rsidRPr="00AC2455" w:rsidRDefault="00AC2455" w:rsidP="00F026F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37ABD40" w14:textId="77777777" w:rsidR="00AC2455" w:rsidRPr="00AC2455" w:rsidRDefault="00AC2455" w:rsidP="00AC245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# - zaznacz wybór X – 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06BB0257" w14:textId="77777777" w:rsidR="00AC2455" w:rsidRPr="00AC2455" w:rsidRDefault="00AC2455" w:rsidP="00AC245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4F557F06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</w:t>
      </w:r>
      <w:r w:rsidRPr="00AC2455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1DF6E498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AC2455">
        <w:rPr>
          <w:rFonts w:ascii="Cambria" w:hAnsi="Cambria" w:cs="Calibri"/>
          <w:b/>
          <w:sz w:val="22"/>
          <w:szCs w:val="22"/>
        </w:rPr>
        <w:t>nie będzie</w:t>
      </w:r>
      <w:r w:rsidRPr="00AC2455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23AC65C6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AC2455">
        <w:rPr>
          <w:rFonts w:ascii="Cambria" w:hAnsi="Cambria" w:cs="Calibri"/>
          <w:b/>
          <w:bCs/>
          <w:sz w:val="22"/>
          <w:szCs w:val="22"/>
        </w:rPr>
        <w:t>będzie</w:t>
      </w:r>
      <w:r w:rsidRPr="00AC2455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AC2455">
        <w:rPr>
          <w:rFonts w:ascii="Cambria" w:hAnsi="Cambria"/>
          <w:sz w:val="22"/>
          <w:szCs w:val="22"/>
        </w:rPr>
        <w:t xml:space="preserve">godnie z </w:t>
      </w:r>
      <w:hyperlink r:id="rId9" w:anchor="/document/17086198?cm=DOCUMENT" w:history="1">
        <w:r w:rsidRPr="00AC2455">
          <w:rPr>
            <w:rStyle w:val="Hipercze"/>
            <w:rFonts w:ascii="Cambria" w:hAnsi="Cambria"/>
            <w:sz w:val="22"/>
            <w:szCs w:val="22"/>
          </w:rPr>
          <w:t>ustawą</w:t>
        </w:r>
      </w:hyperlink>
      <w:r w:rsidRPr="00AC2455">
        <w:rPr>
          <w:rFonts w:ascii="Cambria" w:hAnsi="Cambria"/>
          <w:sz w:val="22"/>
          <w:szCs w:val="22"/>
        </w:rPr>
        <w:t xml:space="preserve"> z dnia 11 marca 2004 r. o podatku od towarów i usług (Dz. U. 2020, poz. 106 z późn. zm.)</w:t>
      </w:r>
    </w:p>
    <w:p w14:paraId="27C92C81" w14:textId="77777777" w:rsidR="00AC2455" w:rsidRPr="00AC2455" w:rsidRDefault="00AC2455" w:rsidP="00AC2455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6BBD26F4" w14:textId="77777777" w:rsidR="00AC2455" w:rsidRPr="00AC2455" w:rsidRDefault="00AC2455" w:rsidP="00AC2455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AC2455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AC2455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28C5387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6C6D49AB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 xml:space="preserve">Oświadczamy, że akceptujemy zawarty w SWZ wzór umowy stanowiący załącznik nr 4 </w:t>
      </w:r>
      <w:r w:rsidRPr="00AC2455">
        <w:rPr>
          <w:rFonts w:ascii="Cambria" w:hAnsi="Cambria"/>
        </w:rPr>
        <w:t>do </w:t>
      </w:r>
      <w:r w:rsidRPr="00AC2455">
        <w:rPr>
          <w:rFonts w:ascii="Cambria" w:hAnsi="Cambria"/>
          <w:sz w:val="22"/>
          <w:szCs w:val="22"/>
        </w:rPr>
        <w:t>SWZ</w:t>
      </w:r>
      <w:r w:rsidRPr="00AC2455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37B006FA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77088759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D3D5C11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akceptujemy zakres wymagany w załączniku nr 6 – opis przedmiotu zamówienia,</w:t>
      </w:r>
    </w:p>
    <w:p w14:paraId="5601C008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1C30D42A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18482042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bookmarkStart w:id="2" w:name="_Hlk66790915"/>
      <w:r w:rsidRPr="00AC2455">
        <w:rPr>
          <w:rFonts w:ascii="Cambria" w:hAnsi="Cambria" w:cs="Calibri"/>
          <w:sz w:val="22"/>
          <w:szCs w:val="22"/>
        </w:rPr>
        <w:t>uważamy się za związanych niniejszą ofertą na czas wskazany w rodz. XVI SWZ – 30 dni od upływu terminu składania ofert,</w:t>
      </w:r>
    </w:p>
    <w:bookmarkEnd w:id="2"/>
    <w:p w14:paraId="220A4504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7F067767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akceptujemy warunki płatności określone w SWZ.</w:t>
      </w:r>
    </w:p>
    <w:p w14:paraId="361F992A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7543A5B7" w14:textId="77777777" w:rsidR="00AC2455" w:rsidRPr="00AC2455" w:rsidRDefault="00AC2455" w:rsidP="00AC2455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nie będziemy wnosili żadnych roszczeń w stosunku do Zamawiającego w przypadku, gdy nie skorzysta z opcji.</w:t>
      </w:r>
    </w:p>
    <w:p w14:paraId="3F3945EE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Oświadczamy, że:</w:t>
      </w:r>
    </w:p>
    <w:p w14:paraId="133C9D65" w14:textId="77777777" w:rsidR="00AC2455" w:rsidRPr="00AC2455" w:rsidRDefault="00AC2455" w:rsidP="00AC2455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przedmiot zamówienia wykonamy samodzielnie</w:t>
      </w:r>
      <w:r w:rsidRPr="00AC2455">
        <w:rPr>
          <w:rFonts w:ascii="Cambria" w:hAnsi="Cambria" w:cs="Calibri"/>
          <w:b/>
          <w:bCs/>
          <w:sz w:val="22"/>
          <w:szCs w:val="22"/>
        </w:rPr>
        <w:t>**</w:t>
      </w:r>
      <w:r w:rsidRPr="00AC2455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AC245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76EEEAE" w14:textId="77777777" w:rsidR="00AC2455" w:rsidRPr="00AC2455" w:rsidRDefault="00AC2455" w:rsidP="00AC2455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AC2455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AC245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5C74B86" w14:textId="77777777" w:rsidR="00AC2455" w:rsidRPr="00AC2455" w:rsidRDefault="00AC2455" w:rsidP="00AC245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A92401" w14:textId="77777777" w:rsidR="00AC2455" w:rsidRPr="00AC2455" w:rsidRDefault="00AC2455" w:rsidP="00AC245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AC2455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08D7096B" w14:textId="77777777" w:rsidR="00AC2455" w:rsidRPr="00AC2455" w:rsidRDefault="00AC2455" w:rsidP="00AC245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3C90F330" w14:textId="77777777" w:rsidR="00AC2455" w:rsidRPr="00AC2455" w:rsidRDefault="00AC2455" w:rsidP="00AC245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AC245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FCE3D73" w14:textId="77777777" w:rsidR="00AC2455" w:rsidRPr="00AC2455" w:rsidRDefault="00AC2455" w:rsidP="00AC245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4618236B" w14:textId="77777777" w:rsidR="00AC2455" w:rsidRPr="00AC2455" w:rsidRDefault="00AC2455" w:rsidP="00AC245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AC245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139404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AC2455">
        <w:rPr>
          <w:rFonts w:ascii="Cambria" w:hAnsi="Cambria"/>
          <w:sz w:val="22"/>
          <w:szCs w:val="22"/>
        </w:rPr>
        <w:t>lub średnim</w:t>
      </w:r>
      <w:r w:rsidRPr="00AC245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3522369E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AC2455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7C962B14" w14:textId="77777777" w:rsidR="00AC2455" w:rsidRPr="00AC2455" w:rsidRDefault="00AC2455" w:rsidP="00AC2455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AC2455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27FF9CBF" w14:textId="77777777" w:rsidR="00AC2455" w:rsidRPr="00AC2455" w:rsidRDefault="00AC2455" w:rsidP="00AC245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42D163E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0BB0D9C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AC2455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4305DF48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AC2455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53539D2E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49C1C740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2A05BE6A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3966AC05" w14:textId="77777777" w:rsidR="00AC2455" w:rsidRPr="00AC2455" w:rsidRDefault="00AC2455" w:rsidP="00AC2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32E2088B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adres ________</w:t>
      </w:r>
      <w:r w:rsidRPr="00AC2455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246E9656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nr  telefonu ______________</w:t>
      </w:r>
      <w:r w:rsidRPr="00AC2455">
        <w:rPr>
          <w:rFonts w:ascii="Cambria" w:hAnsi="Cambria" w:cs="Calibri"/>
          <w:bCs/>
          <w:sz w:val="22"/>
          <w:szCs w:val="22"/>
        </w:rPr>
        <w:t>________</w:t>
      </w:r>
      <w:r w:rsidRPr="00AC2455">
        <w:rPr>
          <w:rFonts w:ascii="Cambria" w:hAnsi="Cambria" w:cs="Calibri"/>
          <w:sz w:val="22"/>
          <w:szCs w:val="22"/>
        </w:rPr>
        <w:t>_________________________________________</w:t>
      </w:r>
    </w:p>
    <w:p w14:paraId="418A32EA" w14:textId="77777777" w:rsidR="00AC2455" w:rsidRPr="00AC2455" w:rsidRDefault="00AC2455" w:rsidP="00AC245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e-mail __________________</w:t>
      </w:r>
      <w:r w:rsidRPr="00AC2455">
        <w:rPr>
          <w:rFonts w:ascii="Cambria" w:hAnsi="Cambria" w:cs="Calibri"/>
          <w:bCs/>
          <w:sz w:val="22"/>
          <w:szCs w:val="22"/>
        </w:rPr>
        <w:t>________</w:t>
      </w:r>
      <w:r w:rsidRPr="00AC2455">
        <w:rPr>
          <w:rFonts w:ascii="Cambria" w:hAnsi="Cambria" w:cs="Calibri"/>
          <w:sz w:val="22"/>
          <w:szCs w:val="22"/>
        </w:rPr>
        <w:t>___________________________________________</w:t>
      </w:r>
    </w:p>
    <w:p w14:paraId="6DD01465" w14:textId="77777777" w:rsidR="00AC2455" w:rsidRPr="00AC2455" w:rsidRDefault="00AC2455" w:rsidP="00AC2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62AB5B47" w14:textId="77777777" w:rsidR="00AC2455" w:rsidRPr="00AC2455" w:rsidRDefault="00AC2455" w:rsidP="00AC2455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62D9A4E8" w14:textId="77777777" w:rsidR="00AC2455" w:rsidRPr="00AC2455" w:rsidRDefault="00AC2455" w:rsidP="00AC2455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52984A9F" w14:textId="77777777" w:rsidR="00AC2455" w:rsidRPr="00AC2455" w:rsidRDefault="00AC2455" w:rsidP="00AC2455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377396A5" w14:textId="77777777" w:rsidR="00AC2455" w:rsidRPr="00AC2455" w:rsidRDefault="00AC2455" w:rsidP="00AC2455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>_______________________</w:t>
      </w:r>
    </w:p>
    <w:p w14:paraId="68670C75" w14:textId="77777777" w:rsidR="00AC2455" w:rsidRPr="00AC2455" w:rsidRDefault="00AC2455" w:rsidP="00AC2455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bookmarkStart w:id="3" w:name="_Hlk66790887"/>
      <w:r w:rsidRPr="00AC2455">
        <w:rPr>
          <w:rFonts w:ascii="Cambria" w:hAnsi="Cambria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p w14:paraId="5455E082" w14:textId="77777777" w:rsidR="00AC2455" w:rsidRPr="00AC2455" w:rsidRDefault="00AC2455" w:rsidP="00AC2455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AC2455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7D92CCAA" w14:textId="77777777" w:rsidR="00AC2455" w:rsidRPr="00AC2455" w:rsidRDefault="00AC2455" w:rsidP="00AC2455">
      <w:pPr>
        <w:suppressAutoHyphens/>
        <w:spacing w:line="276" w:lineRule="auto"/>
        <w:contextualSpacing/>
        <w:jc w:val="right"/>
        <w:rPr>
          <w:rFonts w:ascii="Cambria" w:hAnsi="Cambria" w:cs="Calibri"/>
          <w:sz w:val="22"/>
          <w:szCs w:val="22"/>
        </w:rPr>
      </w:pPr>
    </w:p>
    <w:p w14:paraId="03C2961D" w14:textId="77777777" w:rsidR="00AC2455" w:rsidRPr="00AC2455" w:rsidRDefault="00AC2455" w:rsidP="00AC2455">
      <w:pPr>
        <w:suppressAutoHyphens/>
        <w:autoSpaceDE w:val="0"/>
        <w:autoSpaceDN w:val="0"/>
        <w:adjustRightInd w:val="0"/>
        <w:rPr>
          <w:rFonts w:ascii="Cambria" w:hAnsi="Cambria" w:cs="Segoe UI"/>
          <w:i/>
          <w:color w:val="FF0000"/>
          <w:sz w:val="22"/>
          <w:szCs w:val="22"/>
        </w:rPr>
      </w:pPr>
      <w:r w:rsidRPr="00AC2455">
        <w:rPr>
          <w:rFonts w:ascii="Cambria" w:hAnsi="Cambria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5B058FDB" w14:textId="77777777" w:rsidR="00AC2455" w:rsidRPr="00AC2455" w:rsidRDefault="00AC2455" w:rsidP="00AC2455">
      <w:pPr>
        <w:suppressAutoHyphens/>
        <w:spacing w:line="276" w:lineRule="auto"/>
        <w:contextualSpacing/>
        <w:rPr>
          <w:rFonts w:ascii="Cambria" w:hAnsi="Cambria" w:cs="Calibri"/>
          <w:b/>
          <w:bCs/>
          <w:sz w:val="22"/>
          <w:szCs w:val="22"/>
        </w:rPr>
      </w:pPr>
    </w:p>
    <w:p w14:paraId="7F6C9CAC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AC2455">
        <w:rPr>
          <w:rFonts w:ascii="Cambria" w:hAnsi="Cambria" w:cs="Calibri"/>
          <w:b/>
          <w:sz w:val="20"/>
          <w:szCs w:val="22"/>
        </w:rPr>
        <w:t>*)</w:t>
      </w:r>
      <w:r w:rsidRPr="00AC2455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04C363B4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AC2455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AC2455">
        <w:rPr>
          <w:rFonts w:ascii="Cambria" w:hAnsi="Cambria" w:cs="Calibri"/>
          <w:bCs/>
          <w:sz w:val="20"/>
          <w:szCs w:val="20"/>
        </w:rPr>
        <w:t>niepotrzebne skreślić,</w:t>
      </w:r>
      <w:r w:rsidRPr="00AC2455">
        <w:rPr>
          <w:rFonts w:ascii="Cambria" w:hAnsi="Cambria" w:cs="Calibri"/>
          <w:sz w:val="20"/>
          <w:szCs w:val="20"/>
        </w:rPr>
        <w:tab/>
      </w:r>
    </w:p>
    <w:p w14:paraId="56D4B58C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AC2455">
        <w:rPr>
          <w:rFonts w:ascii="Cambria" w:hAnsi="Cambria" w:cs="Calibri"/>
          <w:b/>
          <w:sz w:val="20"/>
          <w:szCs w:val="20"/>
        </w:rPr>
        <w:t>***)</w:t>
      </w:r>
      <w:r w:rsidRPr="00AC2455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AC2455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AC2455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3945AECD" w14:textId="77777777" w:rsidR="00AC2455" w:rsidRPr="00AC2455" w:rsidRDefault="00AC2455" w:rsidP="00AC2455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AC2455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AC2455">
        <w:rPr>
          <w:rFonts w:ascii="Cambria" w:hAnsi="Cambria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414FBA60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AC2455">
        <w:rPr>
          <w:rFonts w:ascii="Cambria" w:hAnsi="Cambria" w:cs="Calibri"/>
          <w:b/>
          <w:sz w:val="20"/>
          <w:szCs w:val="20"/>
        </w:rPr>
        <w:t>*****)</w:t>
      </w:r>
      <w:r w:rsidRPr="00AC2455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2AADCECA" w14:textId="77777777" w:rsidR="00AC2455" w:rsidRPr="00AC2455" w:rsidRDefault="00AC2455" w:rsidP="00AC245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48B1FED0" w14:textId="77777777" w:rsidR="006824C1" w:rsidRPr="00AC2455" w:rsidRDefault="006824C1">
      <w:pPr>
        <w:rPr>
          <w:rFonts w:ascii="Cambria" w:hAnsi="Cambria"/>
        </w:rPr>
      </w:pPr>
    </w:p>
    <w:sectPr w:rsidR="006824C1" w:rsidRPr="00AC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F9B05" w14:textId="77777777" w:rsidR="00C42395" w:rsidRDefault="00C42395" w:rsidP="00AC2455">
      <w:r>
        <w:separator/>
      </w:r>
    </w:p>
  </w:endnote>
  <w:endnote w:type="continuationSeparator" w:id="0">
    <w:p w14:paraId="0B51965F" w14:textId="77777777" w:rsidR="00C42395" w:rsidRDefault="00C42395" w:rsidP="00AC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42D9" w14:textId="77777777" w:rsidR="00C42395" w:rsidRDefault="00C42395" w:rsidP="00AC2455">
      <w:r>
        <w:separator/>
      </w:r>
    </w:p>
  </w:footnote>
  <w:footnote w:type="continuationSeparator" w:id="0">
    <w:p w14:paraId="4A300D92" w14:textId="77777777" w:rsidR="00C42395" w:rsidRDefault="00C42395" w:rsidP="00AC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42D1" w14:textId="77777777" w:rsidR="00AC2455" w:rsidRPr="00AC2455" w:rsidRDefault="00AC2455" w:rsidP="00AC2455">
    <w:pPr>
      <w:pStyle w:val="WW-Tekstpodstawowy3"/>
      <w:spacing w:line="40" w:lineRule="atLeast"/>
      <w:jc w:val="center"/>
      <w:rPr>
        <w:rFonts w:ascii="Cambria" w:hAnsi="Cambria" w:cs="Arial"/>
        <w:i/>
        <w:sz w:val="20"/>
        <w:szCs w:val="20"/>
      </w:rPr>
    </w:pPr>
    <w:bookmarkStart w:id="1" w:name="_Hlk33736545"/>
    <w:r w:rsidRPr="00AC2455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607DCD8" wp14:editId="56B0499F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455">
      <w:rPr>
        <w:rFonts w:ascii="Cambria" w:hAnsi="Cambria" w:cs="Arial"/>
        <w:i/>
        <w:sz w:val="20"/>
        <w:szCs w:val="20"/>
      </w:rPr>
      <w:t xml:space="preserve">KOMPLEKSOWE UBEZPIECZENIE MIENIA I ODPOWIEDZIALNOŚCI CYWILNEJ </w:t>
    </w:r>
  </w:p>
  <w:bookmarkEnd w:id="1"/>
  <w:p w14:paraId="4B250399" w14:textId="77777777" w:rsidR="00AC2455" w:rsidRPr="00AC2455" w:rsidRDefault="00AC2455" w:rsidP="00AC2455">
    <w:pPr>
      <w:pStyle w:val="Nagwek"/>
      <w:tabs>
        <w:tab w:val="left" w:pos="1065"/>
        <w:tab w:val="center" w:pos="4677"/>
      </w:tabs>
      <w:jc w:val="center"/>
      <w:rPr>
        <w:rFonts w:ascii="Cambria" w:hAnsi="Cambria"/>
        <w:i/>
        <w:iCs/>
        <w:sz w:val="22"/>
        <w:szCs w:val="22"/>
      </w:rPr>
    </w:pPr>
    <w:r w:rsidRPr="00AC2455">
      <w:rPr>
        <w:rFonts w:ascii="Cambria" w:hAnsi="Cambria" w:cs="Calibri"/>
        <w:i/>
        <w:iCs/>
        <w:sz w:val="20"/>
        <w:szCs w:val="20"/>
      </w:rPr>
      <w:t>TORUŃSKIEJ INFRASTRUKTURY SPORTOWEJ SP. Z O.O.</w:t>
    </w:r>
  </w:p>
  <w:p w14:paraId="1135F69B" w14:textId="77777777" w:rsidR="00AC2455" w:rsidRPr="00AC2455" w:rsidRDefault="00AC2455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55"/>
    <w:rsid w:val="00061D7F"/>
    <w:rsid w:val="006824C1"/>
    <w:rsid w:val="00724B55"/>
    <w:rsid w:val="00944356"/>
    <w:rsid w:val="00985B71"/>
    <w:rsid w:val="00AC2455"/>
    <w:rsid w:val="00B41D73"/>
    <w:rsid w:val="00C42395"/>
    <w:rsid w:val="00E857DB"/>
    <w:rsid w:val="00EF4C6E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C245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AC2455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AC2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AC2455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C245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AC2455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AC2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AC2455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2396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Jędrzejewska</dc:creator>
  <cp:lastModifiedBy>Patrycja Kazimierska</cp:lastModifiedBy>
  <cp:revision>2</cp:revision>
  <dcterms:created xsi:type="dcterms:W3CDTF">2021-06-28T13:10:00Z</dcterms:created>
  <dcterms:modified xsi:type="dcterms:W3CDTF">2021-06-28T13:10:00Z</dcterms:modified>
</cp:coreProperties>
</file>