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2D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C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61CC3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61CC3" w:rsidRPr="00DE3F49" w:rsidRDefault="00F42DCE" w:rsidP="00361CC3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Hlk132805670"/>
            <w:r w:rsidRPr="00F42DCE">
              <w:rPr>
                <w:b/>
                <w:sz w:val="22"/>
                <w:szCs w:val="22"/>
              </w:rPr>
              <w:t>Sukcesywne dostawy wody mineralnej gazowanej, lekko gazowanej  i niegazowanej w butelkach PET o pojemności: 1,5 l. i 0,5 l. przez okres 36 miesięcy  na potrzeby pracownicze w OR POLATOM</w:t>
            </w:r>
            <w:bookmarkStart w:id="1" w:name="_GoBack"/>
            <w:bookmarkEnd w:id="1"/>
          </w:p>
          <w:bookmarkEnd w:id="0"/>
          <w:p w:rsidR="003434ED" w:rsidRPr="00D42E95" w:rsidRDefault="003434ED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CC3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42DCE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10C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2FE5-1A57-44DF-8E98-3074F46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35</cp:revision>
  <cp:lastPrinted>2018-04-03T11:08:00Z</cp:lastPrinted>
  <dcterms:created xsi:type="dcterms:W3CDTF">2022-07-04T10:23:00Z</dcterms:created>
  <dcterms:modified xsi:type="dcterms:W3CDTF">2023-07-07T11:25:00Z</dcterms:modified>
</cp:coreProperties>
</file>