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AAF7" w14:textId="637A3BDF" w:rsidR="00586410" w:rsidRPr="00AC07FE" w:rsidRDefault="00586410" w:rsidP="00586410">
      <w:pPr>
        <w:pStyle w:val="Default"/>
        <w:spacing w:line="360" w:lineRule="auto"/>
        <w:jc w:val="both"/>
        <w:rPr>
          <w:rFonts w:ascii="Garamond" w:hAnsi="Garamond"/>
          <w:b/>
          <w:bCs/>
          <w:color w:val="auto"/>
          <w:sz w:val="22"/>
          <w:szCs w:val="22"/>
        </w:rPr>
      </w:pPr>
      <w:r w:rsidRPr="00AC07FE">
        <w:rPr>
          <w:rFonts w:ascii="Garamond" w:hAnsi="Garamond"/>
          <w:b/>
          <w:bCs/>
          <w:color w:val="auto"/>
          <w:sz w:val="22"/>
          <w:szCs w:val="22"/>
        </w:rPr>
        <w:t>Zakup i dostawa odczynnik</w:t>
      </w:r>
      <w:r w:rsidR="00E210E3" w:rsidRPr="00AC07FE">
        <w:rPr>
          <w:rFonts w:ascii="Garamond" w:hAnsi="Garamond"/>
          <w:b/>
          <w:bCs/>
          <w:color w:val="auto"/>
          <w:sz w:val="22"/>
          <w:szCs w:val="22"/>
        </w:rPr>
        <w:t>ów i materiałów zużywalnych</w:t>
      </w:r>
      <w:r w:rsidRPr="00AC07FE">
        <w:rPr>
          <w:rFonts w:ascii="Garamond" w:hAnsi="Garamond"/>
          <w:b/>
          <w:bCs/>
          <w:color w:val="auto"/>
          <w:sz w:val="22"/>
          <w:szCs w:val="22"/>
        </w:rPr>
        <w:t xml:space="preserve"> wraz z dzierżawą </w:t>
      </w:r>
      <w:r w:rsidR="001E13D8" w:rsidRPr="00AC07FE">
        <w:rPr>
          <w:rFonts w:ascii="Garamond" w:hAnsi="Garamond"/>
          <w:b/>
          <w:bCs/>
          <w:color w:val="auto"/>
          <w:sz w:val="22"/>
          <w:szCs w:val="22"/>
        </w:rPr>
        <w:t>urządzeń</w:t>
      </w:r>
      <w:r w:rsidRPr="00AC07FE">
        <w:rPr>
          <w:rFonts w:ascii="Garamond" w:hAnsi="Garamond"/>
          <w:b/>
          <w:bCs/>
          <w:color w:val="auto"/>
          <w:sz w:val="22"/>
          <w:szCs w:val="22"/>
        </w:rPr>
        <w:t xml:space="preserve"> do immunohistochemii </w:t>
      </w:r>
    </w:p>
    <w:p w14:paraId="7EDA7F0C" w14:textId="77777777" w:rsidR="00586410" w:rsidRPr="00AC07FE" w:rsidRDefault="00586410" w:rsidP="00586410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AC07FE">
        <w:rPr>
          <w:rFonts w:ascii="Garamond" w:hAnsi="Garamond"/>
          <w:color w:val="auto"/>
          <w:sz w:val="22"/>
          <w:szCs w:val="22"/>
        </w:rPr>
        <w:t>Przedmiotem zamówienia jest:</w:t>
      </w:r>
    </w:p>
    <w:p w14:paraId="1F48EDD7" w14:textId="77777777" w:rsidR="00586410" w:rsidRPr="00AC07FE" w:rsidRDefault="00586410" w:rsidP="00586410">
      <w:pPr>
        <w:pStyle w:val="Default"/>
        <w:numPr>
          <w:ilvl w:val="0"/>
          <w:numId w:val="1"/>
        </w:numPr>
        <w:ind w:left="714" w:hanging="357"/>
        <w:jc w:val="both"/>
        <w:rPr>
          <w:rFonts w:ascii="Garamond" w:hAnsi="Garamond"/>
          <w:color w:val="auto"/>
          <w:sz w:val="22"/>
          <w:szCs w:val="22"/>
        </w:rPr>
      </w:pPr>
      <w:r w:rsidRPr="00AC07FE">
        <w:rPr>
          <w:rFonts w:ascii="Garamond" w:hAnsi="Garamond"/>
          <w:color w:val="auto"/>
          <w:sz w:val="22"/>
          <w:szCs w:val="22"/>
        </w:rPr>
        <w:t>zakup i dostawa odczynników przeznaczonych do bada</w:t>
      </w:r>
      <w:r w:rsidR="00674855" w:rsidRPr="00AC07FE">
        <w:rPr>
          <w:rFonts w:ascii="Garamond" w:hAnsi="Garamond"/>
          <w:color w:val="auto"/>
          <w:sz w:val="22"/>
          <w:szCs w:val="22"/>
        </w:rPr>
        <w:t>ń immunohistochemicznych wraz z </w:t>
      </w:r>
      <w:r w:rsidRPr="00AC07FE">
        <w:rPr>
          <w:rFonts w:ascii="Garamond" w:hAnsi="Garamond"/>
          <w:color w:val="auto"/>
          <w:sz w:val="22"/>
          <w:szCs w:val="22"/>
        </w:rPr>
        <w:t>materiałami zużywalnymi na okres 5</w:t>
      </w:r>
      <w:r w:rsidR="00674855" w:rsidRPr="00AC07FE">
        <w:rPr>
          <w:rFonts w:ascii="Garamond" w:hAnsi="Garamond"/>
          <w:color w:val="auto"/>
          <w:sz w:val="22"/>
          <w:szCs w:val="22"/>
        </w:rPr>
        <w:t xml:space="preserve"> lat;</w:t>
      </w:r>
    </w:p>
    <w:p w14:paraId="4BD91BF5" w14:textId="7B584D02" w:rsidR="00586410" w:rsidRPr="00AC07FE" w:rsidRDefault="00586410" w:rsidP="001E13D8">
      <w:pPr>
        <w:pStyle w:val="Default"/>
        <w:numPr>
          <w:ilvl w:val="0"/>
          <w:numId w:val="1"/>
        </w:numPr>
        <w:jc w:val="both"/>
        <w:rPr>
          <w:rFonts w:ascii="Garamond" w:hAnsi="Garamond"/>
          <w:color w:val="auto"/>
          <w:sz w:val="22"/>
          <w:szCs w:val="22"/>
        </w:rPr>
      </w:pPr>
      <w:r w:rsidRPr="00AC07FE">
        <w:rPr>
          <w:rFonts w:ascii="Garamond" w:hAnsi="Garamond"/>
          <w:color w:val="auto"/>
          <w:sz w:val="22"/>
          <w:szCs w:val="22"/>
        </w:rPr>
        <w:t xml:space="preserve">dzierżawa systemu do barwień składającego się z dwóch sztuk </w:t>
      </w:r>
      <w:r w:rsidR="001E13D8" w:rsidRPr="00AC07FE">
        <w:rPr>
          <w:rFonts w:ascii="Garamond" w:hAnsi="Garamond"/>
          <w:color w:val="auto"/>
          <w:sz w:val="22"/>
          <w:szCs w:val="22"/>
        </w:rPr>
        <w:t xml:space="preserve">urządzeń </w:t>
      </w:r>
      <w:r w:rsidRPr="00AC07FE">
        <w:rPr>
          <w:rFonts w:ascii="Garamond" w:hAnsi="Garamond"/>
          <w:color w:val="auto"/>
          <w:sz w:val="22"/>
          <w:szCs w:val="22"/>
        </w:rPr>
        <w:t>do wykonania w/w badań na okres 5</w:t>
      </w:r>
      <w:r w:rsidR="00674855" w:rsidRPr="00AC07FE">
        <w:rPr>
          <w:rFonts w:ascii="Garamond" w:hAnsi="Garamond"/>
          <w:color w:val="auto"/>
          <w:sz w:val="22"/>
          <w:szCs w:val="22"/>
        </w:rPr>
        <w:t xml:space="preserve"> lat.</w:t>
      </w:r>
    </w:p>
    <w:p w14:paraId="63127173" w14:textId="77777777" w:rsidR="00674855" w:rsidRPr="00AC07FE" w:rsidRDefault="00674855" w:rsidP="00674855">
      <w:pPr>
        <w:pStyle w:val="Default"/>
        <w:ind w:left="714"/>
        <w:jc w:val="both"/>
        <w:rPr>
          <w:rFonts w:ascii="Garamond" w:hAnsi="Garamond"/>
          <w:color w:val="auto"/>
          <w:sz w:val="22"/>
          <w:szCs w:val="22"/>
        </w:rPr>
      </w:pPr>
    </w:p>
    <w:p w14:paraId="559734BF" w14:textId="77777777" w:rsidR="00A87A70" w:rsidRPr="00AC07FE" w:rsidRDefault="003B574E" w:rsidP="00586410">
      <w:pPr>
        <w:pStyle w:val="Default"/>
        <w:spacing w:after="120"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AC07FE">
        <w:rPr>
          <w:rFonts w:ascii="Garamond" w:hAnsi="Garamond"/>
          <w:color w:val="auto"/>
          <w:sz w:val="22"/>
          <w:szCs w:val="22"/>
        </w:rPr>
        <w:t>D</w:t>
      </w:r>
      <w:r w:rsidR="00586410" w:rsidRPr="00AC07FE">
        <w:rPr>
          <w:rFonts w:ascii="Garamond" w:hAnsi="Garamond"/>
          <w:color w:val="auto"/>
          <w:sz w:val="22"/>
          <w:szCs w:val="22"/>
        </w:rPr>
        <w:t>ostawa dwóch drukarek do szkiełek, dwóch hybrydyzatorów, miniwirówki, oraz pipet</w:t>
      </w:r>
      <w:r w:rsidR="00A87A70" w:rsidRPr="00AC07FE">
        <w:rPr>
          <w:rFonts w:ascii="Garamond" w:hAnsi="Garamond"/>
          <w:color w:val="auto"/>
          <w:sz w:val="22"/>
          <w:szCs w:val="22"/>
        </w:rPr>
        <w:t xml:space="preserve">. </w:t>
      </w:r>
    </w:p>
    <w:p w14:paraId="24CF79C7" w14:textId="77777777" w:rsidR="007E608E" w:rsidRPr="00AC07FE" w:rsidRDefault="007E608E" w:rsidP="00674855">
      <w:pPr>
        <w:pStyle w:val="Default"/>
        <w:spacing w:after="120" w:line="360" w:lineRule="auto"/>
        <w:jc w:val="center"/>
        <w:rPr>
          <w:rFonts w:ascii="Garamond" w:hAnsi="Garamond"/>
          <w:b/>
          <w:bCs/>
          <w:color w:val="auto"/>
          <w:sz w:val="22"/>
          <w:szCs w:val="22"/>
        </w:rPr>
      </w:pPr>
    </w:p>
    <w:p w14:paraId="467F7A78" w14:textId="77777777" w:rsidR="00586410" w:rsidRPr="00AC07FE" w:rsidRDefault="00674855" w:rsidP="00674855">
      <w:pPr>
        <w:pStyle w:val="Default"/>
        <w:spacing w:after="120" w:line="360" w:lineRule="auto"/>
        <w:jc w:val="center"/>
        <w:rPr>
          <w:rFonts w:ascii="Garamond" w:hAnsi="Garamond"/>
          <w:b/>
          <w:bCs/>
          <w:color w:val="auto"/>
          <w:sz w:val="22"/>
          <w:szCs w:val="22"/>
        </w:rPr>
      </w:pPr>
      <w:r w:rsidRPr="00AC07FE">
        <w:rPr>
          <w:rFonts w:ascii="Garamond" w:hAnsi="Garamond"/>
          <w:b/>
          <w:bCs/>
          <w:color w:val="auto"/>
          <w:sz w:val="22"/>
          <w:szCs w:val="22"/>
        </w:rPr>
        <w:t>SZCZEGÓŁOWY OPIS PRZEDMIOTU ZAMÓWIENIA – WARUNKI GRANICZNE:</w:t>
      </w:r>
    </w:p>
    <w:p w14:paraId="238A29C2" w14:textId="77777777" w:rsidR="00A87A70" w:rsidRPr="00AC07FE" w:rsidRDefault="00A87A70" w:rsidP="00A87A70">
      <w:pPr>
        <w:pStyle w:val="Default"/>
        <w:spacing w:after="120"/>
        <w:jc w:val="both"/>
        <w:rPr>
          <w:rFonts w:ascii="Garamond" w:hAnsi="Garamond"/>
          <w:color w:val="auto"/>
          <w:sz w:val="22"/>
          <w:szCs w:val="22"/>
          <w:u w:val="single"/>
        </w:rPr>
      </w:pPr>
      <w:r w:rsidRPr="00AC07FE">
        <w:rPr>
          <w:rFonts w:ascii="Garamond" w:hAnsi="Garamond"/>
          <w:color w:val="auto"/>
          <w:sz w:val="22"/>
          <w:szCs w:val="22"/>
          <w:u w:val="single"/>
        </w:rPr>
        <w:t>Wykonawca dostarczy system do diagnostyki immunohistochemicznej obejmujący:</w:t>
      </w:r>
    </w:p>
    <w:p w14:paraId="0670BAFE" w14:textId="77777777" w:rsidR="00A87A70" w:rsidRPr="00AC07FE" w:rsidRDefault="00A87A70" w:rsidP="00A87A70">
      <w:pPr>
        <w:pStyle w:val="Default"/>
        <w:spacing w:after="120"/>
        <w:jc w:val="both"/>
        <w:rPr>
          <w:rFonts w:ascii="Garamond" w:hAnsi="Garamond"/>
          <w:color w:val="auto"/>
          <w:sz w:val="22"/>
          <w:szCs w:val="22"/>
          <w:u w:val="single"/>
        </w:rPr>
      </w:pPr>
    </w:p>
    <w:p w14:paraId="2DC248A3" w14:textId="058F31ED" w:rsidR="00A87A70" w:rsidRPr="00AC07FE" w:rsidRDefault="00A87A70" w:rsidP="00A87A70">
      <w:pPr>
        <w:pStyle w:val="Default"/>
        <w:numPr>
          <w:ilvl w:val="0"/>
          <w:numId w:val="2"/>
        </w:numPr>
        <w:spacing w:after="120"/>
        <w:jc w:val="both"/>
        <w:rPr>
          <w:rFonts w:ascii="Garamond" w:hAnsi="Garamond"/>
          <w:b/>
          <w:color w:val="auto"/>
          <w:sz w:val="22"/>
          <w:szCs w:val="22"/>
        </w:rPr>
      </w:pPr>
      <w:r w:rsidRPr="00AC07FE">
        <w:rPr>
          <w:rFonts w:ascii="Garamond" w:hAnsi="Garamond"/>
          <w:b/>
          <w:color w:val="auto"/>
          <w:sz w:val="22"/>
          <w:szCs w:val="22"/>
        </w:rPr>
        <w:t xml:space="preserve">Dwa </w:t>
      </w:r>
      <w:r w:rsidR="001E13D8" w:rsidRPr="00AC07FE">
        <w:rPr>
          <w:rFonts w:ascii="Garamond" w:hAnsi="Garamond"/>
          <w:color w:val="auto"/>
        </w:rPr>
        <w:t xml:space="preserve">urządzenia </w:t>
      </w:r>
      <w:r w:rsidRPr="00AC07FE">
        <w:rPr>
          <w:rFonts w:ascii="Garamond" w:hAnsi="Garamond"/>
          <w:b/>
          <w:color w:val="auto"/>
          <w:sz w:val="22"/>
          <w:szCs w:val="22"/>
        </w:rPr>
        <w:t>wraz z osprzętem i oprogramowaniem wg poniższej specyfikacji:</w:t>
      </w:r>
    </w:p>
    <w:p w14:paraId="11696F0F" w14:textId="77777777" w:rsidR="00A87A70" w:rsidRPr="00AC07FE" w:rsidRDefault="00A87A70" w:rsidP="00586410">
      <w:pPr>
        <w:pStyle w:val="Default"/>
        <w:spacing w:after="120" w:line="360" w:lineRule="auto"/>
        <w:jc w:val="both"/>
        <w:rPr>
          <w:rFonts w:ascii="Garamond" w:hAnsi="Garamond"/>
          <w:b/>
          <w:bCs/>
          <w:color w:val="auto"/>
          <w:sz w:val="22"/>
          <w:szCs w:val="22"/>
        </w:rPr>
      </w:pPr>
    </w:p>
    <w:tbl>
      <w:tblPr>
        <w:tblW w:w="91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"/>
        <w:gridCol w:w="6020"/>
        <w:gridCol w:w="2645"/>
      </w:tblGrid>
      <w:tr w:rsidR="00AC07FE" w:rsidRPr="00AC07FE" w14:paraId="730A0CF6" w14:textId="77777777" w:rsidTr="001005F7">
        <w:trPr>
          <w:trHeight w:val="16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63DC3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Lp.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C14DD" w14:textId="77777777" w:rsidR="004A7CC9" w:rsidRPr="00AC07FE" w:rsidRDefault="004A7CC9" w:rsidP="005963CD">
            <w:pPr>
              <w:keepNext/>
              <w:jc w:val="center"/>
              <w:outlineLvl w:val="2"/>
              <w:rPr>
                <w:rFonts w:ascii="Garamond" w:eastAsia="Times New Roman" w:hAnsi="Garamond" w:cs="Arial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Nazwa parametru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956E0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Potwierdzenie spełnienia</w:t>
            </w:r>
          </w:p>
          <w:p w14:paraId="7BD69B20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(należy wpisać Tak lub Nie)*</w:t>
            </w:r>
          </w:p>
        </w:tc>
      </w:tr>
      <w:tr w:rsidR="00AC07FE" w:rsidRPr="00AC07FE" w14:paraId="6B82E8CE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040C3" w14:textId="77777777" w:rsidR="004A7CC9" w:rsidRPr="00AC07FE" w:rsidRDefault="004A7CC9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1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15B60" w14:textId="617B0FA9" w:rsidR="004A7CC9" w:rsidRPr="00AC07FE" w:rsidRDefault="00A87A70" w:rsidP="00AC07F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Dwa </w:t>
            </w:r>
            <w:r w:rsidR="001E13D8" w:rsidRPr="00AC07FE">
              <w:rPr>
                <w:rFonts w:ascii="Garamond" w:hAnsi="Garamond"/>
                <w:bCs/>
              </w:rPr>
              <w:t>urządzenia</w:t>
            </w:r>
            <w:r w:rsidR="001E13D8" w:rsidRPr="00AC07FE">
              <w:rPr>
                <w:rFonts w:ascii="Garamond" w:hAnsi="Garamond"/>
                <w:b/>
                <w:bCs/>
              </w:rPr>
              <w:t xml:space="preserve"> </w:t>
            </w:r>
            <w:r w:rsidRPr="00AC07FE">
              <w:rPr>
                <w:rFonts w:ascii="Garamond" w:hAnsi="Garamond"/>
              </w:rPr>
              <w:t>wraz z osprzętem i oprogramowaniem (komputer (2szt.), drukarka kodów paskowych, systemy awaryjnego zasilania, które stanowią integralną, dedykowaną do urządzenia część systemu) wraz z zestawami odczynników do barwień (lista w załączniku 1a),  kompletem buforów oraz pozostałych reagentów i materiałów eksploatacyjnych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B1FE3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1A2A4052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A2086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2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2E7319" w14:textId="77777777" w:rsidR="004A7CC9" w:rsidRPr="00AC07FE" w:rsidRDefault="00A87A70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Ilość buforów, dodatkowych reagentów i materiałów zużywalnych niezbędnych do wykonania barwień powinna uwzględnić konieczność częstego czyszczenia urządzenia, powinna być dostarczona w ilości umożliwiającej wykonanie tylu barwień immunohistochemicznych i hybrydyzacji in situ ile można wykonać z wykorzystaniem wskazanych w załączniku </w:t>
            </w:r>
            <w:r w:rsidR="007E608E" w:rsidRPr="00AC07FE">
              <w:rPr>
                <w:rFonts w:ascii="Garamond" w:hAnsi="Garamond"/>
              </w:rPr>
              <w:t xml:space="preserve">1a </w:t>
            </w:r>
            <w:r w:rsidRPr="00AC07FE">
              <w:rPr>
                <w:rFonts w:ascii="Garamond" w:hAnsi="Garamond"/>
              </w:rPr>
              <w:t>przeciwciał, na okres 5 lat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24552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7E994AB3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241FC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3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DA433B" w14:textId="77777777" w:rsidR="004A7CC9" w:rsidRPr="00AC07FE" w:rsidRDefault="00A87A70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Wykonawca dostarczy naklejki i taśmy do drukarki w ilości proporcjonalnej do liczby przeciwciał wskazanych w w/w załączniku  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1EA60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7F1F91EB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D3AF75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4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FF1437" w14:textId="77777777" w:rsidR="004A7CC9" w:rsidRPr="00AC07FE" w:rsidRDefault="00A87A70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Wykonawca zobowiązany jest dostarczyć wymaganą ilość szkiełek adhezyjnych do badań immunohistochemicznych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B74D5B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  <w:highlight w:val="yellow"/>
              </w:rPr>
            </w:pPr>
          </w:p>
        </w:tc>
      </w:tr>
      <w:tr w:rsidR="00AC07FE" w:rsidRPr="00AC07FE" w14:paraId="00309D6D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2DD9DB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/>
              </w:rPr>
              <w:lastRenderedPageBreak/>
              <w:t>5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0B9F91" w14:textId="77777777" w:rsidR="004A7CC9" w:rsidRPr="00AC07FE" w:rsidRDefault="00A87A70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zapewnia automatyczny proces barwienia, obejmujący wszystkie etapy od deparafinizacji do podbarwienia tła, w ramach jednego urządzenia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56501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2C2AB3E8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140BB4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6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11DF91" w14:textId="77777777" w:rsidR="004A7CC9" w:rsidRPr="00AC07FE" w:rsidRDefault="00A87A70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umożliwia wykonywanie barwienia metodami immunohistochemicznymi (IHC) oraz hybrydyzacji in situ (ISH)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AAA78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3979597B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449DEC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7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6B7459" w14:textId="77777777" w:rsidR="004A7CC9" w:rsidRPr="00AC07FE" w:rsidRDefault="006C5194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umożliwi równoczesne wybarwianie IHC, ISH, barwienie podwójne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B5FDC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40F1F725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6AA65C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8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7D2018" w14:textId="3DA3D340" w:rsidR="004A7CC9" w:rsidRPr="00AC07FE" w:rsidRDefault="006C5194" w:rsidP="00AC07F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</w:t>
            </w:r>
            <w:r w:rsidR="00AC07FE" w:rsidRPr="00AC07FE">
              <w:rPr>
                <w:rFonts w:ascii="Garamond" w:hAnsi="Garamond"/>
              </w:rPr>
              <w:t xml:space="preserve"> </w:t>
            </w:r>
            <w:r w:rsidR="00012CFB" w:rsidRPr="00AC07FE">
              <w:rPr>
                <w:rFonts w:ascii="Garamond" w:hAnsi="Garamond"/>
              </w:rPr>
              <w:t>umożliwia</w:t>
            </w:r>
            <w:r w:rsidRPr="00AC07FE">
              <w:rPr>
                <w:rFonts w:ascii="Garamond" w:hAnsi="Garamond"/>
              </w:rPr>
              <w:t xml:space="preserve"> wykonanie do 90 oznaczeń w ciągu 8-godzinnego cyklu pracy, czas pełnego cyklu pojedynczego barwienia immunohistochemicznego wynosi 2,5-3 godzin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4F830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06852854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A318A4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9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F50906" w14:textId="77777777" w:rsidR="004A7CC9" w:rsidRPr="00AC07FE" w:rsidRDefault="00340824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Czas pełnego cyklu pojedynczego barwienia metodami hybrydyzacji in situ powinien wynosić ok.6 godzin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7DC8F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6309253B" w14:textId="77777777" w:rsidTr="001005F7">
        <w:trPr>
          <w:trHeight w:val="298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68D1D8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10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470F33" w14:textId="77777777" w:rsidR="004A7CC9" w:rsidRPr="00AC07FE" w:rsidRDefault="00340824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musi posiadać 30 miejsc na barwione preparaty, z niezależnym sterowaniem temperaturą dla każdej  pozycji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F1F86" w14:textId="77777777" w:rsidR="004A7CC9" w:rsidRPr="00AC07FE" w:rsidRDefault="004A7CC9" w:rsidP="007E608E">
            <w:pPr>
              <w:rPr>
                <w:rFonts w:ascii="Garamond" w:eastAsia="Times New Roman" w:hAnsi="Garamond"/>
              </w:rPr>
            </w:pPr>
          </w:p>
        </w:tc>
      </w:tr>
      <w:tr w:rsidR="00AC07FE" w:rsidRPr="00AC07FE" w14:paraId="59DB26A2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E62232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11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BAC93B" w14:textId="77777777" w:rsidR="004A7CC9" w:rsidRPr="00AC07FE" w:rsidRDefault="00340824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będzie wyposażony w 35-pozycyjny rotor na odczynniki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6BA04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77BB2D21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66065E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12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0F251B" w14:textId="77777777" w:rsidR="004A7CC9" w:rsidRPr="00AC07FE" w:rsidRDefault="00340824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musi pozwalać na oznaczenie od 1 do 27 różnych przeciwciał w jednym cyklu pracy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0F584C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71153E84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BF3CCD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 w:cs="Arial"/>
              </w:rPr>
              <w:t>13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C8160" w14:textId="77777777" w:rsidR="004A7CC9" w:rsidRPr="00AC07FE" w:rsidRDefault="00340824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bezigłowy, eliminujący ryzyko kontaminacji próbki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C3835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0E3B4071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0C3222" w14:textId="77777777" w:rsidR="004A7CC9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/>
              </w:rPr>
              <w:t>14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EC16A6" w14:textId="77777777" w:rsidR="004A7CC9" w:rsidRPr="00AC07FE" w:rsidRDefault="00340824" w:rsidP="007E608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wykorzysta bezksylenową technikę deparafinizacji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2D9F0B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183F0D9B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23E18E" w14:textId="77777777" w:rsidR="004A7CC9" w:rsidRPr="00AC07FE" w:rsidRDefault="004A7CC9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</w:t>
            </w:r>
            <w:r w:rsidR="00BE3C57" w:rsidRPr="00AC07FE">
              <w:rPr>
                <w:rFonts w:ascii="Garamond" w:eastAsia="Times New Roman" w:hAnsi="Garamond" w:cs="Arial"/>
              </w:rPr>
              <w:t>5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90C866" w14:textId="77777777" w:rsidR="004A7CC9" w:rsidRPr="00AC07FE" w:rsidRDefault="00340824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Stała ilość dozowanych odczynników podczas cyklu barwienia – 100 μl dla każdego oznaczenia, niezależnie od wielkości badanego materiału i umiejscowienia na szkiełku, bez konieczności programowania miejsca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64B34B" w14:textId="77777777" w:rsidR="004A7CC9" w:rsidRPr="00AC07FE" w:rsidRDefault="004A7CC9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7C7DA37A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F9A01E" w14:textId="77777777" w:rsidR="0034082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16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806A34" w14:textId="77777777" w:rsidR="00340824" w:rsidRPr="00AC07FE" w:rsidRDefault="00340824" w:rsidP="005963CD">
            <w:pPr>
              <w:spacing w:line="135" w:lineRule="atLeast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hAnsi="Garamond"/>
              </w:rPr>
              <w:t>System identyfikuje preparaty za pomocą kodów</w:t>
            </w:r>
            <w:r w:rsidR="00FC1304" w:rsidRPr="00AC07FE">
              <w:rPr>
                <w:rFonts w:ascii="Garamond" w:hAnsi="Garamond"/>
              </w:rPr>
              <w:t xml:space="preserve"> 2D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77156C" w14:textId="77777777" w:rsidR="00340824" w:rsidRPr="00AC07FE" w:rsidRDefault="0034082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7B7F7863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F577F4" w14:textId="77777777" w:rsidR="0034082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17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07B690" w14:textId="77777777" w:rsidR="00340824" w:rsidRPr="00AC07FE" w:rsidRDefault="00FC1304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Odczynniki barwiące będą wprowadzane przy użyciu kodów 2D, eliminując błędy związane z manualnym wprowadzaniem danych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F393F1" w14:textId="77777777" w:rsidR="00340824" w:rsidRPr="00AC07FE" w:rsidRDefault="0034082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7B14F144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3A671F" w14:textId="77777777" w:rsidR="0034082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18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930587" w14:textId="77777777" w:rsidR="00340824" w:rsidRPr="00AC07FE" w:rsidRDefault="00FC1304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musi zabezpieczać tkankę przed wysychaniem na każdym etapie barwienia, bez konieczności stosowania dodatkowych nakładek na szkiełka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47C9C9" w14:textId="77777777" w:rsidR="00340824" w:rsidRPr="00AC07FE" w:rsidRDefault="0034082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5B1D70F7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78C851" w14:textId="77777777" w:rsidR="0034082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lastRenderedPageBreak/>
              <w:t>19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A9CD20" w14:textId="50EC0176" w:rsidR="00340824" w:rsidRPr="00AC07FE" w:rsidRDefault="001E13D8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  <w:bCs/>
              </w:rPr>
              <w:t>Urządzenie</w:t>
            </w:r>
            <w:r w:rsidRPr="00AC07FE">
              <w:rPr>
                <w:rFonts w:ascii="Garamond" w:hAnsi="Garamond"/>
                <w:b/>
                <w:bCs/>
              </w:rPr>
              <w:t xml:space="preserve"> </w:t>
            </w:r>
            <w:r w:rsidR="00FC1304" w:rsidRPr="00AC07FE">
              <w:rPr>
                <w:rFonts w:ascii="Garamond" w:hAnsi="Garamond"/>
              </w:rPr>
              <w:t>musi posiadać moduł płynów, niezbędnych do poszczególnych etapów barwienia, w których poziom płynów kontrolowany jest za pomocą czujników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2F2EA7" w14:textId="77777777" w:rsidR="00340824" w:rsidRPr="00AC07FE" w:rsidRDefault="0034082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338500F7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83ABB2" w14:textId="77777777" w:rsidR="00340824" w:rsidRPr="00AC07FE" w:rsidRDefault="00340824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21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5E77B9" w14:textId="77777777" w:rsidR="00340824" w:rsidRPr="00AC07FE" w:rsidRDefault="00FC1304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System musi być częściowo otwarty, dający możliwość wyboru własnego rodzaju przeciwciał używanych do barwienia 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23C68D" w14:textId="77777777" w:rsidR="00340824" w:rsidRPr="00AC07FE" w:rsidRDefault="0034082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1CA103E1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82D362" w14:textId="77777777" w:rsidR="0034082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21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F40D4E" w14:textId="0900E316" w:rsidR="00340824" w:rsidRPr="00AC07FE" w:rsidRDefault="001E13D8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  <w:bCs/>
              </w:rPr>
              <w:t>Urządzenie</w:t>
            </w:r>
            <w:r w:rsidRPr="00AC07FE">
              <w:rPr>
                <w:rFonts w:ascii="Garamond" w:hAnsi="Garamond"/>
                <w:b/>
                <w:bCs/>
              </w:rPr>
              <w:t xml:space="preserve"> </w:t>
            </w:r>
            <w:r w:rsidR="00FC1304" w:rsidRPr="00AC07FE">
              <w:rPr>
                <w:rFonts w:ascii="Garamond" w:hAnsi="Garamond"/>
              </w:rPr>
              <w:t>będzie segregował</w:t>
            </w:r>
            <w:r w:rsidRPr="00AC07FE">
              <w:rPr>
                <w:rFonts w:ascii="Garamond" w:hAnsi="Garamond"/>
              </w:rPr>
              <w:t>o</w:t>
            </w:r>
            <w:r w:rsidR="00FC1304" w:rsidRPr="00AC07FE">
              <w:rPr>
                <w:rFonts w:ascii="Garamond" w:hAnsi="Garamond"/>
              </w:rPr>
              <w:t xml:space="preserve"> odpady na fazę płynną i olejową oraz będzie wyposażony w lampę UV, która zdezaktywuje DAB w odpadach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AF0D5F" w14:textId="77777777" w:rsidR="00340824" w:rsidRPr="00AC07FE" w:rsidRDefault="0034082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61B88AEA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1E86B5" w14:textId="77777777" w:rsidR="0034082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22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22C1E4" w14:textId="688A0ED0" w:rsidR="00340824" w:rsidRPr="00AC07FE" w:rsidRDefault="00FC1304" w:rsidP="00AC07F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System posiada zintegrowany ekran dotykowy do obsługi funkcjonalności bez przechodzenia do komputera głównego umożliwia: przeglądanie preparatów, odczynników, odpadów i ogólnego statusu </w:t>
            </w:r>
            <w:r w:rsidR="001E13D8" w:rsidRPr="00AC07FE">
              <w:rPr>
                <w:rFonts w:ascii="Garamond" w:hAnsi="Garamond"/>
              </w:rPr>
              <w:t>urządzenia</w:t>
            </w:r>
            <w:r w:rsidRPr="00AC07FE">
              <w:rPr>
                <w:rFonts w:ascii="Garamond" w:hAnsi="Garamond"/>
              </w:rPr>
              <w:t>, przeglądanie i potwierdzanie komunikatów, ustawianie</w:t>
            </w:r>
            <w:r w:rsidR="001E13D8" w:rsidRPr="00AC07FE">
              <w:rPr>
                <w:rFonts w:ascii="Garamond" w:hAnsi="Garamond"/>
              </w:rPr>
              <w:t xml:space="preserve"> urządzenia</w:t>
            </w:r>
            <w:r w:rsidRPr="00AC07FE">
              <w:rPr>
                <w:rFonts w:ascii="Garamond" w:hAnsi="Garamond"/>
              </w:rPr>
              <w:t xml:space="preserve"> w trybie Uśpienia, Gotowości lub Przebiegu, planowanie punktu dostępu do odczynników, zarządzanie zakraplaniem ręcznym, zatrzymywanie przebiegu obróbki preparatów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753680" w14:textId="77777777" w:rsidR="00340824" w:rsidRPr="00AC07FE" w:rsidRDefault="0034082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5770138B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B6189B" w14:textId="77777777" w:rsidR="0034082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23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DAFE34" w14:textId="77777777" w:rsidR="00340824" w:rsidRPr="00AC07FE" w:rsidRDefault="00FC1304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pozwala na w pełni zautomatyzowane ogrzewanie, deparafinizację, odsłonięcie antygenów oraz barwienie, wliczając IHC, ISH (w tym SISH), podwójne barwienie IHC, barwienie tła oraz zakrapianie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56C929" w14:textId="77777777" w:rsidR="00340824" w:rsidRPr="00AC07FE" w:rsidRDefault="0034082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06F23971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AA99D6" w14:textId="77777777" w:rsidR="0034082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24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DC4E28" w14:textId="1367290B" w:rsidR="00340824" w:rsidRPr="00AC07FE" w:rsidRDefault="00FC1304" w:rsidP="00AC07F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Wymiary </w:t>
            </w:r>
            <w:r w:rsidR="001E13D8" w:rsidRPr="00AC07FE">
              <w:rPr>
                <w:rFonts w:ascii="Garamond" w:hAnsi="Garamond"/>
              </w:rPr>
              <w:t>urządzenia</w:t>
            </w:r>
            <w:r w:rsidRPr="00AC07FE">
              <w:rPr>
                <w:rFonts w:ascii="Garamond" w:hAnsi="Garamond"/>
              </w:rPr>
              <w:t>: wysokość 140 cm, szerokość 115 cm, głębokość 90 cm (+/- 5cm)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F1CD8" w14:textId="77777777" w:rsidR="00340824" w:rsidRPr="00AC07FE" w:rsidRDefault="0034082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3BBF0631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926A5D" w14:textId="77777777" w:rsidR="0034082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25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73B35" w14:textId="779E4F8D" w:rsidR="00340824" w:rsidRPr="00AC07FE" w:rsidRDefault="00FC1304" w:rsidP="00AC07F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System umożliwia dodawanie szkiełek, uzupełnianie buforów oraz usuwanie odpadów w czasie pracy </w:t>
            </w:r>
            <w:r w:rsidR="001E13D8" w:rsidRPr="00AC07FE">
              <w:rPr>
                <w:rFonts w:ascii="Garamond" w:hAnsi="Garamond"/>
              </w:rPr>
              <w:t xml:space="preserve">urządzenia </w:t>
            </w:r>
            <w:r w:rsidRPr="00AC07FE">
              <w:rPr>
                <w:rFonts w:ascii="Garamond" w:hAnsi="Garamond"/>
              </w:rPr>
              <w:t>bez wpływu na jednocześnie przetwarzane preparaty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72B26" w14:textId="77777777" w:rsidR="00340824" w:rsidRPr="00AC07FE" w:rsidRDefault="0034082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20E20472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5D5C88" w14:textId="77777777" w:rsidR="00FC130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26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B39D94" w14:textId="77777777" w:rsidR="00FC1304" w:rsidRPr="00AC07FE" w:rsidRDefault="00FC1304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Wszystkie przeciwciała z załączonej listy muszą być „gotowe do użycia”,</w:t>
            </w:r>
            <w:r w:rsidR="008E02DF" w:rsidRPr="00AC07FE">
              <w:rPr>
                <w:rFonts w:ascii="Garamond" w:hAnsi="Garamond"/>
              </w:rPr>
              <w:t xml:space="preserve"> bez konieczności rozcieńczania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B11E3E" w14:textId="77777777" w:rsidR="00FC1304" w:rsidRPr="00AC07FE" w:rsidRDefault="00FC130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1187B97A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D14DAD" w14:textId="77777777" w:rsidR="00FC130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27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9DAB89" w14:textId="77777777" w:rsidR="00FC1304" w:rsidRPr="00AC07FE" w:rsidRDefault="00E917C8" w:rsidP="00FC1304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Przeciwciała (w opakowaniach na min. 50 oznaczeń z jednego opakowania) muszą być kompatybilne z systemem wizualizacyjnym opartym o technologię multimerową. Muszą pracować na tkankach parafinowych 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CA5765" w14:textId="77777777" w:rsidR="00FC1304" w:rsidRPr="00AC07FE" w:rsidRDefault="00FC130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2D9BD6E3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E3337F" w14:textId="77777777" w:rsidR="00FC130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28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3B4F21" w14:textId="77777777" w:rsidR="00FC1304" w:rsidRPr="00AC07FE" w:rsidRDefault="00E917C8" w:rsidP="00FC1304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Systemy wizualizacji zawierają wszystkie odczynniki i inne dodatkowe wyposażenie niezbędne do wykonania badań immunohistochemicznych i hybrydyzacji in situ. Systemy dla </w:t>
            </w:r>
            <w:r w:rsidRPr="00AC07FE">
              <w:rPr>
                <w:rFonts w:ascii="Garamond" w:hAnsi="Garamond"/>
              </w:rPr>
              <w:lastRenderedPageBreak/>
              <w:t xml:space="preserve">przeciwciał mysich i króliczych znakowane HRP i wolne od biotyny. Muszą pracować na tkance parafinowej 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575D1C" w14:textId="77777777" w:rsidR="00FC1304" w:rsidRPr="00AC07FE" w:rsidRDefault="00FC130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1ED67373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8F8287" w14:textId="77777777" w:rsidR="00FC130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29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8F5A7E" w14:textId="4569B2CE" w:rsidR="00FC1304" w:rsidRPr="00AC07FE" w:rsidRDefault="008E02DF" w:rsidP="00AC07FE">
            <w:p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Wszystkie przeciwciała, sondy</w:t>
            </w:r>
            <w:r w:rsidR="00E917C8" w:rsidRPr="00AC07FE">
              <w:rPr>
                <w:rFonts w:ascii="Garamond" w:hAnsi="Garamond"/>
              </w:rPr>
              <w:t xml:space="preserve"> i systemy wizualizacji muszą być przeznaczone do diagnostyki in vitro i po</w:t>
            </w:r>
            <w:r w:rsidR="00DE1D22" w:rsidRPr="00AC07FE">
              <w:rPr>
                <w:rFonts w:ascii="Garamond" w:hAnsi="Garamond"/>
              </w:rPr>
              <w:t>siadać deklarację zgodności (</w:t>
            </w:r>
            <w:r w:rsidR="00AC07FE" w:rsidRPr="00AC07FE">
              <w:rPr>
                <w:rFonts w:ascii="Garamond" w:hAnsi="Garamond"/>
              </w:rPr>
              <w:t>certyfikat IVD dla poz. 1 – 24, 26 – 88</w:t>
            </w:r>
            <w:r w:rsidR="00AC07FE" w:rsidRPr="00AC07FE">
              <w:rPr>
                <w:rStyle w:val="Odwoaniedokomentarza"/>
              </w:rPr>
              <w:t>)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8F91BB" w14:textId="77777777" w:rsidR="00FC1304" w:rsidRPr="00AC07FE" w:rsidRDefault="00FC130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0ABD09CF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17C551" w14:textId="77777777" w:rsidR="00FC130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30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F97ECB" w14:textId="77777777" w:rsidR="00FC1304" w:rsidRPr="00AC07FE" w:rsidRDefault="00E917C8" w:rsidP="008E02DF">
            <w:pPr>
              <w:spacing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Urządzenia fabrycznie nowe, rok produkcji nie starszy niż 2024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20316" w14:textId="77777777" w:rsidR="00FC1304" w:rsidRPr="00AC07FE" w:rsidRDefault="00FC130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FC1304" w:rsidRPr="00AC07FE" w14:paraId="638FC14E" w14:textId="77777777" w:rsidTr="001005F7">
        <w:trPr>
          <w:trHeight w:val="29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2E0120" w14:textId="77777777" w:rsidR="00FC1304" w:rsidRPr="00AC07FE" w:rsidRDefault="00BE3C57" w:rsidP="005963CD">
            <w:pPr>
              <w:spacing w:line="150" w:lineRule="atLeast"/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31</w:t>
            </w:r>
          </w:p>
        </w:tc>
        <w:tc>
          <w:tcPr>
            <w:tcW w:w="6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EDE192" w14:textId="77777777" w:rsidR="003723A7" w:rsidRPr="00AC07FE" w:rsidRDefault="00E917C8" w:rsidP="003723A7">
            <w:pPr>
              <w:spacing w:after="240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Zestaw pipet automatycznych typu Eppendorf Research plus:  pipeta 100-1000ul  niebieska (1szt); pipeta 2-20ul szara (2szt); pipeta 20-200ul  żółta (2szt.); pipeta 10-100ul żółta (2szt.)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F379AD" w14:textId="77777777" w:rsidR="00FC1304" w:rsidRPr="00AC07FE" w:rsidRDefault="00FC1304" w:rsidP="005963CD">
            <w:pPr>
              <w:jc w:val="center"/>
              <w:rPr>
                <w:rFonts w:ascii="Garamond" w:eastAsia="Times New Roman" w:hAnsi="Garamond"/>
              </w:rPr>
            </w:pPr>
          </w:p>
        </w:tc>
      </w:tr>
    </w:tbl>
    <w:p w14:paraId="1CF7B6EA" w14:textId="77777777" w:rsidR="0015306C" w:rsidRPr="00AC07FE" w:rsidRDefault="0015306C" w:rsidP="00E917C8">
      <w:pPr>
        <w:rPr>
          <w:rFonts w:ascii="Garamond" w:hAnsi="Garamond"/>
          <w:b/>
        </w:rPr>
      </w:pPr>
    </w:p>
    <w:p w14:paraId="6630DFDC" w14:textId="77777777" w:rsidR="009809CE" w:rsidRPr="00AC07FE" w:rsidRDefault="009809CE" w:rsidP="00E917C8">
      <w:pPr>
        <w:pStyle w:val="Akapitzlist"/>
        <w:spacing w:before="120" w:after="120"/>
        <w:ind w:left="792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C08E53E" w14:textId="77777777" w:rsidR="00E917C8" w:rsidRPr="00AC07FE" w:rsidRDefault="008E02DF" w:rsidP="008E02DF">
      <w:pPr>
        <w:pStyle w:val="Akapitzlist"/>
        <w:spacing w:before="120" w:after="120"/>
        <w:ind w:left="792"/>
        <w:jc w:val="center"/>
        <w:rPr>
          <w:rFonts w:ascii="Garamond" w:hAnsi="Garamond"/>
          <w:b/>
          <w:sz w:val="22"/>
          <w:szCs w:val="22"/>
          <w:u w:val="single"/>
        </w:rPr>
      </w:pPr>
      <w:r w:rsidRPr="00AC07FE">
        <w:rPr>
          <w:rFonts w:ascii="Garamond" w:hAnsi="Garamond"/>
          <w:b/>
          <w:sz w:val="22"/>
          <w:szCs w:val="22"/>
          <w:u w:val="single"/>
        </w:rPr>
        <w:t>WYMAGANIA DLA  OBSŁUGI SERWISOWEJ I WSPARCIA</w:t>
      </w:r>
    </w:p>
    <w:p w14:paraId="7C4F720F" w14:textId="77777777" w:rsidR="00E917C8" w:rsidRPr="00AC07FE" w:rsidRDefault="00E917C8" w:rsidP="00E917C8">
      <w:pPr>
        <w:pStyle w:val="Default"/>
        <w:spacing w:after="120" w:line="360" w:lineRule="auto"/>
        <w:jc w:val="both"/>
        <w:rPr>
          <w:rFonts w:ascii="Garamond" w:hAnsi="Garamond"/>
          <w:b/>
          <w:bCs/>
          <w:color w:val="auto"/>
          <w:sz w:val="22"/>
          <w:szCs w:val="22"/>
        </w:rPr>
      </w:pPr>
    </w:p>
    <w:tbl>
      <w:tblPr>
        <w:tblW w:w="93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"/>
        <w:gridCol w:w="6161"/>
        <w:gridCol w:w="2708"/>
      </w:tblGrid>
      <w:tr w:rsidR="00AC07FE" w:rsidRPr="00AC07FE" w14:paraId="39461FF4" w14:textId="77777777" w:rsidTr="008E02DF">
        <w:trPr>
          <w:trHeight w:val="1022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79114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Lp.</w:t>
            </w:r>
          </w:p>
        </w:tc>
        <w:tc>
          <w:tcPr>
            <w:tcW w:w="6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67D5" w14:textId="77777777" w:rsidR="00E917C8" w:rsidRPr="00AC07FE" w:rsidRDefault="00E917C8" w:rsidP="005A65DF">
            <w:pPr>
              <w:keepNext/>
              <w:jc w:val="center"/>
              <w:outlineLvl w:val="2"/>
              <w:rPr>
                <w:rFonts w:ascii="Garamond" w:eastAsia="Times New Roman" w:hAnsi="Garamond" w:cs="Arial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Nazwa parametru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D3FBA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Potwierdzenie spełnienia</w:t>
            </w:r>
          </w:p>
          <w:p w14:paraId="7A12AB64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(należy wpisać Tak lub Nie)*</w:t>
            </w:r>
          </w:p>
        </w:tc>
      </w:tr>
      <w:tr w:rsidR="00AC07FE" w:rsidRPr="00AC07FE" w14:paraId="1A4EC3E8" w14:textId="77777777" w:rsidTr="008E02DF">
        <w:trPr>
          <w:trHeight w:val="137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449A99" w14:textId="77777777" w:rsidR="00E917C8" w:rsidRPr="00AC07FE" w:rsidRDefault="00AA401D" w:rsidP="005A65DF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/>
              </w:rPr>
              <w:t>1</w:t>
            </w:r>
          </w:p>
        </w:tc>
        <w:tc>
          <w:tcPr>
            <w:tcW w:w="6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EBB9F2" w14:textId="77777777" w:rsidR="00E917C8" w:rsidRPr="00AC07FE" w:rsidRDefault="00AA401D" w:rsidP="008E02DF">
            <w:pPr>
              <w:spacing w:before="120" w:after="120"/>
              <w:jc w:val="both"/>
              <w:rPr>
                <w:rFonts w:ascii="Garamond" w:hAnsi="Garamond"/>
                <w:strike/>
              </w:rPr>
            </w:pPr>
            <w:r w:rsidRPr="00AC07FE">
              <w:rPr>
                <w:rFonts w:ascii="Garamond" w:hAnsi="Garamond"/>
              </w:rPr>
              <w:t>Wprowadzenie podstawowych protokołów barwień immunohistochemicznych, hybrydyzacji in situ,</w:t>
            </w:r>
            <w:r w:rsidR="00BF7B7F" w:rsidRPr="00AC07FE">
              <w:rPr>
                <w:rFonts w:ascii="Garamond" w:hAnsi="Garamond"/>
              </w:rPr>
              <w:t xml:space="preserve"> b</w:t>
            </w:r>
            <w:r w:rsidRPr="00AC07FE">
              <w:rPr>
                <w:rFonts w:ascii="Garamond" w:hAnsi="Garamond"/>
              </w:rPr>
              <w:t xml:space="preserve">ezpośrednio przez specjalistę aplikacyjnego na miejscu u Zamawiającego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95500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582D24DF" w14:textId="77777777" w:rsidTr="008E02DF">
        <w:trPr>
          <w:trHeight w:val="137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BE6C21" w14:textId="77777777" w:rsidR="00E917C8" w:rsidRPr="00AC07FE" w:rsidRDefault="00AA401D" w:rsidP="005A65DF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/>
              </w:rPr>
              <w:t>2</w:t>
            </w:r>
          </w:p>
        </w:tc>
        <w:tc>
          <w:tcPr>
            <w:tcW w:w="6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470774" w14:textId="77777777" w:rsidR="00E917C8" w:rsidRPr="00AC07FE" w:rsidRDefault="00AA401D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Walidacja protokołów barwienia po stronie Wykonawcy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5C255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68DB4B2D" w14:textId="77777777" w:rsidTr="008E02DF">
        <w:trPr>
          <w:trHeight w:val="137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EC71BA" w14:textId="77777777" w:rsidR="00E917C8" w:rsidRPr="00AC07FE" w:rsidRDefault="00AA401D" w:rsidP="005A65DF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/>
              </w:rPr>
              <w:t>3</w:t>
            </w:r>
          </w:p>
        </w:tc>
        <w:tc>
          <w:tcPr>
            <w:tcW w:w="6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D3C9EE" w14:textId="02FD587D" w:rsidR="00E917C8" w:rsidRPr="00AC07FE" w:rsidRDefault="00AA401D" w:rsidP="00AC07FE">
            <w:pPr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System zostanie podłączony do systemu informatycznego funkcjonującego w Zakładzie </w:t>
            </w:r>
            <w:r w:rsidR="001E13D8" w:rsidRPr="00AC07FE">
              <w:rPr>
                <w:rFonts w:ascii="Garamond" w:hAnsi="Garamond"/>
              </w:rPr>
              <w:t>Patomorfologii Zamawiającego, w </w:t>
            </w:r>
            <w:r w:rsidRPr="00AC07FE">
              <w:rPr>
                <w:rFonts w:ascii="Garamond" w:hAnsi="Garamond"/>
              </w:rPr>
              <w:t>sposób umożliwiający min. identyfikację pró</w:t>
            </w:r>
            <w:r w:rsidR="008E02DF" w:rsidRPr="00AC07FE">
              <w:rPr>
                <w:rFonts w:ascii="Garamond" w:hAnsi="Garamond"/>
              </w:rPr>
              <w:t>bki na każdym etapie procesu, w </w:t>
            </w:r>
            <w:r w:rsidRPr="00AC07FE">
              <w:rPr>
                <w:rFonts w:ascii="Garamond" w:hAnsi="Garamond"/>
              </w:rPr>
              <w:t>tym podczas obsługi na dostarczanym</w:t>
            </w:r>
            <w:r w:rsidR="001E13D8" w:rsidRPr="00AC07FE">
              <w:rPr>
                <w:rFonts w:ascii="Garamond" w:hAnsi="Garamond"/>
              </w:rPr>
              <w:t xml:space="preserve"> urządzeniu</w:t>
            </w:r>
            <w:r w:rsidRPr="00AC07FE">
              <w:rPr>
                <w:rFonts w:ascii="Garamond" w:hAnsi="Garamond"/>
              </w:rPr>
              <w:t xml:space="preserve"> jak i po jej zakończeniu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95BD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1A12FFC3" w14:textId="77777777" w:rsidTr="008E02DF">
        <w:trPr>
          <w:trHeight w:val="137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DFDD2E" w14:textId="77777777" w:rsidR="00E917C8" w:rsidRPr="00AC07FE" w:rsidRDefault="00AA401D" w:rsidP="005A65DF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/>
              </w:rPr>
              <w:t>4</w:t>
            </w:r>
          </w:p>
        </w:tc>
        <w:tc>
          <w:tcPr>
            <w:tcW w:w="6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3513C4" w14:textId="4C386A1B" w:rsidR="00E917C8" w:rsidRPr="00AC07FE" w:rsidRDefault="00AA401D" w:rsidP="00AC07F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Coroczny przegląd techniczny będzie wykonywał bezpłatnie właściciel </w:t>
            </w:r>
            <w:r w:rsidR="001E13D8" w:rsidRPr="00AC07FE">
              <w:rPr>
                <w:rFonts w:ascii="Garamond" w:hAnsi="Garamond"/>
              </w:rPr>
              <w:t>urządzeń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408D1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679AAE44" w14:textId="77777777" w:rsidTr="008E02DF">
        <w:trPr>
          <w:trHeight w:val="137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EA9A67" w14:textId="77777777" w:rsidR="00E917C8" w:rsidRPr="00AC07FE" w:rsidRDefault="00AA401D" w:rsidP="005A65DF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/>
              </w:rPr>
              <w:t>5</w:t>
            </w:r>
          </w:p>
        </w:tc>
        <w:tc>
          <w:tcPr>
            <w:tcW w:w="6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3254F4" w14:textId="77777777" w:rsidR="00E917C8" w:rsidRPr="00AC07FE" w:rsidRDefault="00AA401D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Wykonawca zobowiąże się do bezpłatnego wsparcia aplikacyjnego oraz merytorycznego w zakresie wyboru przeciwciał i optymalizacji protokołów diagnostycznych, w trakcie trwania umowy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F2184A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  <w:highlight w:val="yellow"/>
              </w:rPr>
            </w:pPr>
          </w:p>
        </w:tc>
      </w:tr>
      <w:tr w:rsidR="00AC07FE" w:rsidRPr="00AC07FE" w14:paraId="2598BE0A" w14:textId="77777777" w:rsidTr="008E02DF">
        <w:trPr>
          <w:trHeight w:val="137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1C494F" w14:textId="77777777" w:rsidR="00E917C8" w:rsidRPr="00AC07FE" w:rsidRDefault="00AA401D" w:rsidP="005A65DF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/>
              </w:rPr>
              <w:t>6</w:t>
            </w:r>
          </w:p>
        </w:tc>
        <w:tc>
          <w:tcPr>
            <w:tcW w:w="6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35370A" w14:textId="2B4B7E94" w:rsidR="00E917C8" w:rsidRPr="00AC07FE" w:rsidRDefault="00AA401D" w:rsidP="00AC07FE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Wykonawca zobowiązuje się do bezpłatnej obsługi serwisowej i innych czynności wymaganych przy obsłudze </w:t>
            </w:r>
            <w:r w:rsidR="001E13D8" w:rsidRPr="00AC07FE">
              <w:rPr>
                <w:rFonts w:ascii="Garamond" w:hAnsi="Garamond"/>
              </w:rPr>
              <w:t xml:space="preserve">urządzeń </w:t>
            </w:r>
            <w:r w:rsidRPr="00AC07FE">
              <w:rPr>
                <w:rFonts w:ascii="Garamond" w:hAnsi="Garamond"/>
              </w:rPr>
              <w:t>w ramach umowy dzierżawy przez cały okres trwania umowy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D3E37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AC07FE" w:rsidRPr="00AC07FE" w14:paraId="2ED945AF" w14:textId="77777777" w:rsidTr="008E02DF">
        <w:trPr>
          <w:trHeight w:val="137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BF5B59" w14:textId="77777777" w:rsidR="00E917C8" w:rsidRPr="00AC07FE" w:rsidRDefault="00AA401D" w:rsidP="005A65DF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/>
              </w:rPr>
              <w:lastRenderedPageBreak/>
              <w:t>7</w:t>
            </w:r>
          </w:p>
        </w:tc>
        <w:tc>
          <w:tcPr>
            <w:tcW w:w="6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205DBF" w14:textId="77777777" w:rsidR="00E917C8" w:rsidRPr="00AC07FE" w:rsidRDefault="00AA401D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Czas reakcji serwisowej nie dłużej niż 24 godziny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917F7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E917C8" w:rsidRPr="00AC07FE" w14:paraId="58A1758B" w14:textId="77777777" w:rsidTr="008E02DF">
        <w:trPr>
          <w:trHeight w:val="137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531414" w14:textId="77777777" w:rsidR="00E917C8" w:rsidRPr="00AC07FE" w:rsidRDefault="00AA401D" w:rsidP="005A65DF">
            <w:pPr>
              <w:spacing w:line="150" w:lineRule="atLeast"/>
              <w:jc w:val="center"/>
              <w:rPr>
                <w:rFonts w:ascii="Garamond" w:eastAsia="Times New Roman" w:hAnsi="Garamond"/>
              </w:rPr>
            </w:pPr>
            <w:r w:rsidRPr="00AC07FE">
              <w:rPr>
                <w:rFonts w:ascii="Garamond" w:eastAsia="Times New Roman" w:hAnsi="Garamond"/>
              </w:rPr>
              <w:t>8</w:t>
            </w:r>
          </w:p>
        </w:tc>
        <w:tc>
          <w:tcPr>
            <w:tcW w:w="6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36245F" w14:textId="2953ED18" w:rsidR="00E917C8" w:rsidRPr="00903841" w:rsidRDefault="00AA401D" w:rsidP="00A775EF">
            <w:pPr>
              <w:spacing w:before="120" w:after="120"/>
              <w:jc w:val="both"/>
              <w:rPr>
                <w:rFonts w:cstheme="minorHAnsi"/>
              </w:rPr>
            </w:pPr>
            <w:r w:rsidRPr="00A775EF">
              <w:rPr>
                <w:rFonts w:ascii="Garamond" w:hAnsi="Garamond"/>
              </w:rPr>
              <w:t xml:space="preserve">Wykonawca zobowiązany jest do niezwłocznego usunięcia wszelkich wad i usterek </w:t>
            </w:r>
            <w:r w:rsidR="001E13D8" w:rsidRPr="00A775EF">
              <w:rPr>
                <w:rFonts w:ascii="Garamond" w:hAnsi="Garamond"/>
              </w:rPr>
              <w:t>urządzeń</w:t>
            </w:r>
            <w:r w:rsidRPr="00A775EF">
              <w:rPr>
                <w:rFonts w:ascii="Garamond" w:hAnsi="Garamond"/>
              </w:rPr>
              <w:t xml:space="preserve"> ciągu 48 godzin w dni robocze, jeśli usunięcie uste</w:t>
            </w:r>
            <w:r w:rsidR="00903841" w:rsidRPr="00A775EF">
              <w:rPr>
                <w:rFonts w:ascii="Garamond" w:hAnsi="Garamond"/>
              </w:rPr>
              <w:t>rki w tym czasie jest niemożliwe. Zamawiający  zastrzega sobie prawo do skorzystania z wykonania zastępczego polegającego na wykonaniu odczynów u podmiotu trzeciego do czasu usunięcia usterki lub dostarczenia i uruchomienia sprzętu o nie gorszych parametrach. Zamawiający poinformuje o tym uprzednio Wykonawcę pocztą elektroniczną na adres e-mail osoby odpowiedzialnej za realizację</w:t>
            </w:r>
            <w:r w:rsidR="00903841" w:rsidRPr="00903841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E39F0" w14:textId="77777777" w:rsidR="00E917C8" w:rsidRPr="00AC07FE" w:rsidRDefault="00E917C8" w:rsidP="005A65DF">
            <w:pPr>
              <w:jc w:val="center"/>
              <w:rPr>
                <w:rFonts w:ascii="Garamond" w:eastAsia="Times New Roman" w:hAnsi="Garamond"/>
              </w:rPr>
            </w:pPr>
          </w:p>
        </w:tc>
      </w:tr>
    </w:tbl>
    <w:p w14:paraId="452728AB" w14:textId="77777777" w:rsidR="00E917C8" w:rsidRPr="00AC07FE" w:rsidRDefault="00E917C8">
      <w:pPr>
        <w:rPr>
          <w:rFonts w:ascii="Garamond" w:hAnsi="Garamond"/>
        </w:rPr>
      </w:pPr>
    </w:p>
    <w:p w14:paraId="0A4FF36D" w14:textId="77777777" w:rsidR="00AA401D" w:rsidRPr="00AC07FE" w:rsidRDefault="00AA401D">
      <w:pPr>
        <w:rPr>
          <w:rFonts w:ascii="Garamond" w:hAnsi="Garamond"/>
        </w:rPr>
      </w:pPr>
    </w:p>
    <w:p w14:paraId="383A6521" w14:textId="77777777" w:rsidR="00AA401D" w:rsidRPr="00AC07FE" w:rsidRDefault="008E02DF" w:rsidP="008E02DF">
      <w:pPr>
        <w:pStyle w:val="Akapitzlist"/>
        <w:spacing w:before="120" w:after="120"/>
        <w:ind w:left="792"/>
        <w:jc w:val="center"/>
        <w:rPr>
          <w:rFonts w:ascii="Garamond" w:hAnsi="Garamond"/>
          <w:b/>
          <w:sz w:val="22"/>
          <w:szCs w:val="22"/>
          <w:u w:val="single"/>
        </w:rPr>
      </w:pPr>
      <w:r w:rsidRPr="00AC07FE">
        <w:rPr>
          <w:rFonts w:ascii="Garamond" w:hAnsi="Garamond"/>
          <w:b/>
          <w:sz w:val="22"/>
          <w:szCs w:val="22"/>
          <w:u w:val="single"/>
        </w:rPr>
        <w:t>INNE WYMAGANIA</w:t>
      </w:r>
    </w:p>
    <w:p w14:paraId="3346763C" w14:textId="77777777" w:rsidR="00AA401D" w:rsidRPr="00AC07FE" w:rsidRDefault="00AA401D" w:rsidP="00AA401D">
      <w:pPr>
        <w:pStyle w:val="Default"/>
        <w:spacing w:after="120" w:line="360" w:lineRule="auto"/>
        <w:jc w:val="both"/>
        <w:rPr>
          <w:rFonts w:ascii="Garamond" w:hAnsi="Garamond"/>
          <w:b/>
          <w:bCs/>
          <w:color w:val="auto"/>
          <w:sz w:val="22"/>
          <w:szCs w:val="22"/>
        </w:rPr>
      </w:pPr>
    </w:p>
    <w:tbl>
      <w:tblPr>
        <w:tblW w:w="942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"/>
        <w:gridCol w:w="6200"/>
        <w:gridCol w:w="2724"/>
      </w:tblGrid>
      <w:tr w:rsidR="00AC07FE" w:rsidRPr="00AC07FE" w14:paraId="623A43DF" w14:textId="77777777" w:rsidTr="001005F7">
        <w:trPr>
          <w:trHeight w:val="807"/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2AE12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Lp.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CACF4" w14:textId="77777777" w:rsidR="00AA401D" w:rsidRPr="00AC07FE" w:rsidRDefault="00AA401D" w:rsidP="005A65DF">
            <w:pPr>
              <w:keepNext/>
              <w:jc w:val="center"/>
              <w:outlineLvl w:val="2"/>
              <w:rPr>
                <w:rFonts w:ascii="Garamond" w:eastAsia="Times New Roman" w:hAnsi="Garamond" w:cs="Arial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Nazwa parametru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3B9E6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Potwierdzenie spełnienia</w:t>
            </w:r>
          </w:p>
          <w:p w14:paraId="764F7B4E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(należy wpisać Tak lub Nie)*</w:t>
            </w:r>
          </w:p>
        </w:tc>
      </w:tr>
      <w:tr w:rsidR="00AC07FE" w:rsidRPr="00AC07FE" w14:paraId="4953536E" w14:textId="77777777" w:rsidTr="001005F7">
        <w:trPr>
          <w:trHeight w:val="558"/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4A9AA6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1BCDEF" w14:textId="77777777" w:rsidR="00AA401D" w:rsidRPr="00AC07FE" w:rsidRDefault="00AA401D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Wykonawca zobowiązuje się do dostarczenia wszystkich zamawianych odczynników z terminem ważności minimum 6 miesięcy 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B83EF0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5399CAB3" w14:textId="77777777" w:rsidTr="001005F7">
        <w:trPr>
          <w:trHeight w:val="748"/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B47F6D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89319E" w14:textId="77777777" w:rsidR="00AA401D" w:rsidRPr="00AC07FE" w:rsidRDefault="00AA401D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Wykonawca zobowiązuje się do dostarczenia bezpłatnego zestawu startowego odczynników koniecznych do walidacji i wdrożenia protokołów barwień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415D01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65E65187" w14:textId="77777777" w:rsidTr="001005F7">
        <w:trPr>
          <w:trHeight w:val="926"/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021EFA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3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6B3084" w14:textId="77777777" w:rsidR="00AA401D" w:rsidRPr="00AC07FE" w:rsidRDefault="00AA401D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Wykonawca zobowiązuje się do udostępniania (bezpłatnie) próbki przeciwciał, w przypadku nowych wprowadzanych na rynek immunoreagentów oraz w sytuacji, kiedy laboratorium nie posiada opracowanej metody barwienia, walidacja metody na koszt Wykonawcy 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310DAC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69DC2215" w14:textId="77777777" w:rsidTr="001005F7">
        <w:trPr>
          <w:trHeight w:val="938"/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D2A446" w14:textId="77777777" w:rsidR="00AA401D" w:rsidRPr="00AC07FE" w:rsidRDefault="00BE3C5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4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F4F169" w14:textId="77777777" w:rsidR="00AA401D" w:rsidRPr="00AC07FE" w:rsidRDefault="00AA401D" w:rsidP="00AA401D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W przypadku wycofania danego odczynnika z obrotu lub zmiany jego klonu, Wykonawca zobowiązany jest dostarczyć produkt równoważny, o porównywalnych wynikach kontroli jakości NORDIQC – walidacja w cenie dostawy zastępczego asortymentu </w:t>
            </w:r>
            <w:bookmarkStart w:id="0" w:name="_GoBack"/>
            <w:bookmarkEnd w:id="0"/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DE3D21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A401D" w:rsidRPr="00AC07FE" w14:paraId="17B0EEDB" w14:textId="77777777" w:rsidTr="001005F7">
        <w:trPr>
          <w:trHeight w:val="748"/>
          <w:tblCellSpacing w:w="0" w:type="dxa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146CA6" w14:textId="77777777" w:rsidR="00AA401D" w:rsidRPr="00AC07FE" w:rsidRDefault="00BE3C5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5</w:t>
            </w:r>
          </w:p>
        </w:tc>
        <w:tc>
          <w:tcPr>
            <w:tcW w:w="6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990128" w14:textId="77777777" w:rsidR="00AA401D" w:rsidRPr="00AC07FE" w:rsidRDefault="00AA401D" w:rsidP="008E02DF">
            <w:pPr>
              <w:spacing w:before="120" w:after="12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Wykonawca zobowiązuje się do przeprowadzenia szkolenia personelu z obsługi sprzętu wraz z dostawą sprzętu, szkolenia potwierdzone certyfikatami 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CE481B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</w:tbl>
    <w:p w14:paraId="79C80020" w14:textId="77777777" w:rsidR="00BE3C57" w:rsidRPr="00AC07FE" w:rsidRDefault="00BE3C57">
      <w:pPr>
        <w:rPr>
          <w:rFonts w:ascii="Garamond" w:hAnsi="Garamond"/>
        </w:rPr>
      </w:pPr>
    </w:p>
    <w:p w14:paraId="08B9D127" w14:textId="77777777" w:rsidR="00BE3C57" w:rsidRPr="00AC07FE" w:rsidRDefault="00BE3C57">
      <w:pPr>
        <w:rPr>
          <w:rFonts w:ascii="Garamond" w:hAnsi="Garamond"/>
        </w:rPr>
      </w:pPr>
    </w:p>
    <w:p w14:paraId="5B996CA7" w14:textId="77777777" w:rsidR="00BE3C57" w:rsidRPr="00AC07FE" w:rsidRDefault="00BE3C57">
      <w:pPr>
        <w:rPr>
          <w:rFonts w:ascii="Garamond" w:hAnsi="Garamond"/>
        </w:rPr>
      </w:pPr>
    </w:p>
    <w:p w14:paraId="27EA384F" w14:textId="77777777" w:rsidR="00BE3C57" w:rsidRPr="00AC07FE" w:rsidRDefault="00BE3C57">
      <w:pPr>
        <w:rPr>
          <w:rFonts w:ascii="Garamond" w:hAnsi="Garamond"/>
        </w:rPr>
      </w:pPr>
    </w:p>
    <w:p w14:paraId="5F7EE8EB" w14:textId="77777777" w:rsidR="00AA401D" w:rsidRPr="00AC07FE" w:rsidRDefault="0087070C" w:rsidP="00AA401D">
      <w:pPr>
        <w:pStyle w:val="Akapitzlist"/>
        <w:numPr>
          <w:ilvl w:val="0"/>
          <w:numId w:val="2"/>
        </w:numPr>
        <w:shd w:val="clear" w:color="auto" w:fill="FFFFFF"/>
        <w:spacing w:before="240"/>
        <w:jc w:val="both"/>
        <w:rPr>
          <w:rFonts w:ascii="Garamond" w:hAnsi="Garamond"/>
          <w:b/>
          <w:sz w:val="22"/>
          <w:szCs w:val="22"/>
        </w:rPr>
      </w:pPr>
      <w:r w:rsidRPr="00AC07FE">
        <w:rPr>
          <w:rFonts w:ascii="Garamond" w:hAnsi="Garamond"/>
          <w:b/>
          <w:sz w:val="22"/>
          <w:szCs w:val="22"/>
        </w:rPr>
        <w:t>Wymagania dla d</w:t>
      </w:r>
      <w:r w:rsidR="00AA401D" w:rsidRPr="00AC07FE">
        <w:rPr>
          <w:rFonts w:ascii="Garamond" w:hAnsi="Garamond"/>
          <w:b/>
          <w:sz w:val="22"/>
          <w:szCs w:val="22"/>
        </w:rPr>
        <w:t>rukar</w:t>
      </w:r>
      <w:r w:rsidRPr="00AC07FE">
        <w:rPr>
          <w:rFonts w:ascii="Garamond" w:hAnsi="Garamond"/>
          <w:b/>
          <w:sz w:val="22"/>
          <w:szCs w:val="22"/>
        </w:rPr>
        <w:t>ki</w:t>
      </w:r>
      <w:r w:rsidR="00AA401D" w:rsidRPr="00AC07FE">
        <w:rPr>
          <w:rFonts w:ascii="Garamond" w:hAnsi="Garamond"/>
          <w:b/>
          <w:sz w:val="22"/>
          <w:szCs w:val="22"/>
        </w:rPr>
        <w:t xml:space="preserve"> do szkiełek mikroskopowych (2szt.)  - urządzenia fabrycznie nowe, rok produkcji - nie starsze niż 2024r.</w:t>
      </w:r>
    </w:p>
    <w:p w14:paraId="22BA5E62" w14:textId="77777777" w:rsidR="00AA401D" w:rsidRPr="00AC07FE" w:rsidRDefault="00AA401D" w:rsidP="00AA401D">
      <w:pPr>
        <w:pStyle w:val="Default"/>
        <w:spacing w:after="120" w:line="360" w:lineRule="auto"/>
        <w:jc w:val="both"/>
        <w:rPr>
          <w:rFonts w:ascii="Garamond" w:hAnsi="Garamond"/>
          <w:b/>
          <w:bCs/>
          <w:color w:val="auto"/>
          <w:sz w:val="22"/>
          <w:szCs w:val="22"/>
        </w:rPr>
      </w:pPr>
    </w:p>
    <w:tbl>
      <w:tblPr>
        <w:tblW w:w="95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"/>
        <w:gridCol w:w="6260"/>
        <w:gridCol w:w="2751"/>
      </w:tblGrid>
      <w:tr w:rsidR="00AC07FE" w:rsidRPr="00AC07FE" w14:paraId="39A83C8B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3955D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Lp.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600BB" w14:textId="77777777" w:rsidR="00AA401D" w:rsidRPr="00AC07FE" w:rsidRDefault="00AA401D" w:rsidP="005A65DF">
            <w:pPr>
              <w:keepNext/>
              <w:jc w:val="center"/>
              <w:outlineLvl w:val="2"/>
              <w:rPr>
                <w:rFonts w:ascii="Garamond" w:eastAsia="Times New Roman" w:hAnsi="Garamond" w:cs="Arial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Nazwa parametru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6C7A6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Potwierdzenie spełnienia</w:t>
            </w:r>
          </w:p>
          <w:p w14:paraId="0F75EA3F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(należy wpisać Tak lub Nie)*</w:t>
            </w:r>
          </w:p>
        </w:tc>
      </w:tr>
      <w:tr w:rsidR="00AC07FE" w:rsidRPr="00AC07FE" w14:paraId="362410D9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27692E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FAC488" w14:textId="77777777" w:rsidR="00AA401D" w:rsidRPr="00AC07FE" w:rsidRDefault="00AA401D" w:rsidP="008E02DF">
            <w:pPr>
              <w:shd w:val="clear" w:color="auto" w:fill="FFFFFF"/>
              <w:spacing w:before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Termotransferowa technologia nadruku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525F70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55E81112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A72169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B9850C" w14:textId="77777777" w:rsidR="00AA401D" w:rsidRPr="00AC07FE" w:rsidRDefault="00AA401D" w:rsidP="008E02DF">
            <w:pPr>
              <w:shd w:val="clear" w:color="auto" w:fill="FFFFFF"/>
              <w:spacing w:before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Nadruk odporny na odczynniki chemiczne stosowane w procedurach histopatologicznych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1F746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1B378621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E3B4CF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3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9C37CD" w14:textId="77777777" w:rsidR="00AA401D" w:rsidRPr="00AC07FE" w:rsidRDefault="00AA401D" w:rsidP="008E02DF">
            <w:pPr>
              <w:shd w:val="clear" w:color="auto" w:fill="FFFFFF"/>
              <w:spacing w:before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Całkowita pojemność podajnika na szkiełka - 200szt.  (2 podajniki na szkiełka umożliwiające załadowanie do urządzenia równolegle 2 różnych rodzajów szkiełek)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157BB4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73971D0D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215C62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4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E1DE83" w14:textId="77777777" w:rsidR="00AA401D" w:rsidRPr="00AC07FE" w:rsidRDefault="00AA401D" w:rsidP="008E02DF">
            <w:pPr>
              <w:shd w:val="clear" w:color="auto" w:fill="FFFFFF"/>
              <w:spacing w:before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Edytowalne pole wydruku (możliwość drukowania kodów 1D i 2D, znaków graficznych, logo użytkownika i tekstu)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22294D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6CEE8757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4270C4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5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CCF1F" w14:textId="77777777" w:rsidR="00AA401D" w:rsidRPr="00AC07FE" w:rsidRDefault="00AA401D" w:rsidP="008E02D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Podajniki na szkiełka umiejscowione wewnątrz urządzenia – ochrona przed osadzającym się kurzem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D2896B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2386D8A9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CAFAA9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6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FEE828" w14:textId="77777777" w:rsidR="00AA401D" w:rsidRPr="00AC07FE" w:rsidRDefault="00AA401D" w:rsidP="008E02DF">
            <w:pPr>
              <w:spacing w:before="240" w:after="240" w:line="360" w:lineRule="auto"/>
              <w:contextualSpacing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Dodatkowy podajnik szkiełek umożliwiający zadruk pojedynczych szkiełek z nałożonym materiałem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1D1A4E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7F4F8587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329953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7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30B508" w14:textId="77777777" w:rsidR="00AA401D" w:rsidRPr="00AC07FE" w:rsidRDefault="00AA401D" w:rsidP="008E02DF">
            <w:pPr>
              <w:spacing w:before="240" w:after="240" w:line="360" w:lineRule="auto"/>
              <w:contextualSpacing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Transmisja danych: WiFi, USB, LAN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9DD05E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2D58D88E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C29503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8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DB6F6D" w14:textId="77777777" w:rsidR="00AA401D" w:rsidRPr="00AC07FE" w:rsidRDefault="00AA401D" w:rsidP="008E02DF">
            <w:pPr>
              <w:spacing w:before="240" w:after="240" w:line="360" w:lineRule="auto"/>
              <w:contextualSpacing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Wbudowany czytnik kodów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4E928C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3FD72794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78954E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9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04A361" w14:textId="77777777" w:rsidR="00AA401D" w:rsidRPr="00AC07FE" w:rsidRDefault="00AA401D" w:rsidP="00AA401D">
            <w:pPr>
              <w:spacing w:before="240" w:after="240" w:line="360" w:lineRule="auto"/>
              <w:contextualSpacing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Wymiary zewnętrzne: 120mm (Szer.) x 240mm (gł.) x 250mm (wys.) +/-2cm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FCBC79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3A4F3F94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162664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10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CBAB10" w14:textId="77777777" w:rsidR="00AA401D" w:rsidRPr="00AC07FE" w:rsidRDefault="00AA401D" w:rsidP="00AA401D">
            <w:pPr>
              <w:spacing w:before="240" w:after="240" w:line="360" w:lineRule="auto"/>
              <w:contextualSpacing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W</w:t>
            </w:r>
            <w:r w:rsidR="008E02DF" w:rsidRPr="00AC07FE">
              <w:rPr>
                <w:rFonts w:ascii="Garamond" w:hAnsi="Garamond"/>
              </w:rPr>
              <w:t xml:space="preserve">aga drukarki nieprzekraczająca </w:t>
            </w:r>
            <w:r w:rsidRPr="00AC07FE">
              <w:rPr>
                <w:rFonts w:ascii="Garamond" w:hAnsi="Garamond"/>
              </w:rPr>
              <w:t>5kg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6E4B64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A401D" w:rsidRPr="00AC07FE" w14:paraId="7A315EEE" w14:textId="77777777" w:rsidTr="005A65DF">
        <w:trPr>
          <w:tblCellSpacing w:w="0" w:type="dxa"/>
        </w:trPr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46DB2C" w14:textId="77777777" w:rsidR="00AA401D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11</w:t>
            </w:r>
          </w:p>
        </w:tc>
        <w:tc>
          <w:tcPr>
            <w:tcW w:w="6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52E89E" w14:textId="77777777" w:rsidR="00AA401D" w:rsidRPr="00AC07FE" w:rsidRDefault="00864B2F" w:rsidP="008E02DF">
            <w:pPr>
              <w:contextualSpacing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Integracja z systemem informatycznym funkcjonującym w zakładzie patomorfologii po stronie Wykonawcy</w:t>
            </w:r>
          </w:p>
        </w:tc>
        <w:tc>
          <w:tcPr>
            <w:tcW w:w="2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B2FA18" w14:textId="77777777" w:rsidR="00AA401D" w:rsidRPr="00AC07FE" w:rsidRDefault="00AA401D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</w:tbl>
    <w:p w14:paraId="38A66D9C" w14:textId="2EEE9EF2" w:rsidR="008E02DF" w:rsidRPr="00AC07FE" w:rsidRDefault="008E02DF">
      <w:pPr>
        <w:rPr>
          <w:rFonts w:ascii="Garamond" w:hAnsi="Garamond"/>
        </w:rPr>
      </w:pPr>
    </w:p>
    <w:p w14:paraId="63C7DB87" w14:textId="77777777" w:rsidR="00864B2F" w:rsidRPr="00AC07FE" w:rsidRDefault="0087070C" w:rsidP="00864B2F">
      <w:pPr>
        <w:pStyle w:val="Akapitzlist"/>
        <w:numPr>
          <w:ilvl w:val="0"/>
          <w:numId w:val="2"/>
        </w:numPr>
        <w:shd w:val="clear" w:color="auto" w:fill="FFFFFF"/>
        <w:spacing w:before="240" w:after="240"/>
        <w:jc w:val="both"/>
        <w:rPr>
          <w:rFonts w:ascii="Garamond" w:hAnsi="Garamond"/>
          <w:b/>
          <w:sz w:val="22"/>
          <w:szCs w:val="22"/>
        </w:rPr>
      </w:pPr>
      <w:r w:rsidRPr="00AC07FE">
        <w:rPr>
          <w:rFonts w:ascii="Garamond" w:hAnsi="Garamond"/>
          <w:b/>
          <w:sz w:val="22"/>
          <w:szCs w:val="22"/>
        </w:rPr>
        <w:lastRenderedPageBreak/>
        <w:t>Wymagania dla  m</w:t>
      </w:r>
      <w:r w:rsidR="00864B2F" w:rsidRPr="00AC07FE">
        <w:rPr>
          <w:rFonts w:ascii="Garamond" w:hAnsi="Garamond"/>
          <w:b/>
          <w:sz w:val="22"/>
          <w:szCs w:val="22"/>
        </w:rPr>
        <w:t xml:space="preserve">ini </w:t>
      </w:r>
      <w:r w:rsidRPr="00AC07FE">
        <w:rPr>
          <w:rFonts w:ascii="Garamond" w:hAnsi="Garamond"/>
          <w:b/>
          <w:sz w:val="22"/>
          <w:szCs w:val="22"/>
        </w:rPr>
        <w:t>wirówki</w:t>
      </w:r>
      <w:r w:rsidR="00864B2F" w:rsidRPr="00AC07FE">
        <w:rPr>
          <w:rFonts w:ascii="Garamond" w:hAnsi="Garamond"/>
          <w:b/>
          <w:sz w:val="22"/>
          <w:szCs w:val="22"/>
        </w:rPr>
        <w:t xml:space="preserve"> do eppendorfów - 1 szt.</w:t>
      </w:r>
      <w:r w:rsidR="00864B2F" w:rsidRPr="00AC07FE">
        <w:rPr>
          <w:rFonts w:ascii="Garamond" w:hAnsi="Garamond"/>
          <w:sz w:val="22"/>
          <w:szCs w:val="22"/>
        </w:rPr>
        <w:t xml:space="preserve"> </w:t>
      </w:r>
      <w:r w:rsidR="00864B2F" w:rsidRPr="00AC07FE">
        <w:rPr>
          <w:rFonts w:ascii="Garamond" w:hAnsi="Garamond"/>
          <w:b/>
          <w:sz w:val="22"/>
          <w:szCs w:val="22"/>
        </w:rPr>
        <w:t>- urządzenie fabrycznie nowe, rok produkcji - nie starsze niż 2024r.</w:t>
      </w:r>
    </w:p>
    <w:tbl>
      <w:tblPr>
        <w:tblW w:w="95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"/>
        <w:gridCol w:w="6259"/>
        <w:gridCol w:w="2752"/>
      </w:tblGrid>
      <w:tr w:rsidR="00AC07FE" w:rsidRPr="00AC07FE" w14:paraId="4576F045" w14:textId="77777777" w:rsidTr="008E02DF">
        <w:trPr>
          <w:tblCellSpacing w:w="0" w:type="dxa"/>
        </w:trPr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DAC6D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Lp.</w:t>
            </w:r>
          </w:p>
        </w:tc>
        <w:tc>
          <w:tcPr>
            <w:tcW w:w="6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C9808" w14:textId="77777777" w:rsidR="00864B2F" w:rsidRPr="00AC07FE" w:rsidRDefault="00864B2F" w:rsidP="005A65DF">
            <w:pPr>
              <w:keepNext/>
              <w:jc w:val="center"/>
              <w:outlineLvl w:val="2"/>
              <w:rPr>
                <w:rFonts w:ascii="Garamond" w:eastAsia="Times New Roman" w:hAnsi="Garamond" w:cs="Arial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Nazwa parametru</w:t>
            </w:r>
          </w:p>
        </w:tc>
        <w:tc>
          <w:tcPr>
            <w:tcW w:w="2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13ADB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Potwierdzenie spełnienia</w:t>
            </w:r>
          </w:p>
          <w:p w14:paraId="3BABB621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(należy wpisać Tak lub Nie)*</w:t>
            </w:r>
          </w:p>
        </w:tc>
      </w:tr>
      <w:tr w:rsidR="00AC07FE" w:rsidRPr="00AC07FE" w14:paraId="6D08BA61" w14:textId="77777777" w:rsidTr="008E02DF">
        <w:trPr>
          <w:tblCellSpacing w:w="0" w:type="dxa"/>
        </w:trPr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EC7090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</w:t>
            </w:r>
          </w:p>
        </w:tc>
        <w:tc>
          <w:tcPr>
            <w:tcW w:w="6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A73AEC" w14:textId="77777777" w:rsidR="00864B2F" w:rsidRPr="00AC07FE" w:rsidRDefault="00864B2F" w:rsidP="008E02D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  <w:b/>
              </w:rPr>
            </w:pPr>
            <w:r w:rsidRPr="00AC07FE">
              <w:rPr>
                <w:rFonts w:ascii="Garamond" w:hAnsi="Garamond"/>
              </w:rPr>
              <w:t>Prędkość do 14.100 x g (14</w:t>
            </w:r>
            <w:r w:rsidRPr="00AC07FE">
              <w:rPr>
                <w:rFonts w:ascii="Times New Roman" w:hAnsi="Times New Roman" w:cs="Times New Roman"/>
              </w:rPr>
              <w:t> </w:t>
            </w:r>
            <w:r w:rsidRPr="00AC07FE">
              <w:rPr>
                <w:rFonts w:ascii="Garamond" w:hAnsi="Garamond"/>
              </w:rPr>
              <w:t>500 rpm).</w:t>
            </w:r>
          </w:p>
        </w:tc>
        <w:tc>
          <w:tcPr>
            <w:tcW w:w="2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C5E41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4FB4A92A" w14:textId="77777777" w:rsidTr="008E02DF">
        <w:trPr>
          <w:tblCellSpacing w:w="0" w:type="dxa"/>
        </w:trPr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E3021E" w14:textId="77777777" w:rsidR="00864B2F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</w:t>
            </w:r>
          </w:p>
        </w:tc>
        <w:tc>
          <w:tcPr>
            <w:tcW w:w="6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D4FB82" w14:textId="77777777" w:rsidR="00864B2F" w:rsidRPr="00AC07FE" w:rsidRDefault="00864B2F" w:rsidP="008E02D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  <w:b/>
              </w:rPr>
            </w:pPr>
            <w:r w:rsidRPr="00AC07FE">
              <w:rPr>
                <w:rFonts w:ascii="Garamond" w:hAnsi="Garamond"/>
              </w:rPr>
              <w:t>Czas rozpędzania do 15s, czas hamowania do 15s.</w:t>
            </w:r>
          </w:p>
        </w:tc>
        <w:tc>
          <w:tcPr>
            <w:tcW w:w="2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C1966D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50CE031A" w14:textId="77777777" w:rsidTr="008E02DF">
        <w:trPr>
          <w:tblCellSpacing w:w="0" w:type="dxa"/>
        </w:trPr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CA9ABB" w14:textId="77777777" w:rsidR="00864B2F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3</w:t>
            </w:r>
          </w:p>
        </w:tc>
        <w:tc>
          <w:tcPr>
            <w:tcW w:w="6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9ED60B" w14:textId="77777777" w:rsidR="00864B2F" w:rsidRPr="00AC07FE" w:rsidRDefault="00864B2F" w:rsidP="008E02D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  <w:b/>
              </w:rPr>
            </w:pPr>
            <w:r w:rsidRPr="00AC07FE">
              <w:rPr>
                <w:rFonts w:ascii="Garamond" w:hAnsi="Garamond"/>
              </w:rPr>
              <w:t>Poziom hałasu &lt;55dB(A).</w:t>
            </w:r>
          </w:p>
        </w:tc>
        <w:tc>
          <w:tcPr>
            <w:tcW w:w="2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86433C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70432D62" w14:textId="77777777" w:rsidTr="008E02DF">
        <w:trPr>
          <w:tblCellSpacing w:w="0" w:type="dxa"/>
        </w:trPr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59E007" w14:textId="77777777" w:rsidR="00864B2F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4</w:t>
            </w:r>
          </w:p>
        </w:tc>
        <w:tc>
          <w:tcPr>
            <w:tcW w:w="6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F42F61" w14:textId="77777777" w:rsidR="00864B2F" w:rsidRPr="00AC07FE" w:rsidRDefault="00864B2F" w:rsidP="008E02D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  <w:b/>
              </w:rPr>
            </w:pPr>
            <w:r w:rsidRPr="00AC07FE">
              <w:rPr>
                <w:rFonts w:ascii="Garamond" w:hAnsi="Garamond"/>
              </w:rPr>
              <w:t>Waga do 4kg.</w:t>
            </w:r>
          </w:p>
        </w:tc>
        <w:tc>
          <w:tcPr>
            <w:tcW w:w="2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CA76FB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4E2B824A" w14:textId="77777777" w:rsidTr="008E02DF">
        <w:trPr>
          <w:tblCellSpacing w:w="0" w:type="dxa"/>
        </w:trPr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30FD43" w14:textId="77777777" w:rsidR="00864B2F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5</w:t>
            </w:r>
          </w:p>
        </w:tc>
        <w:tc>
          <w:tcPr>
            <w:tcW w:w="6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70EC7F" w14:textId="77777777" w:rsidR="00864B2F" w:rsidRPr="00AC07FE" w:rsidRDefault="00864B2F" w:rsidP="00864B2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  <w:b/>
              </w:rPr>
            </w:pPr>
            <w:r w:rsidRPr="00AC07FE">
              <w:rPr>
                <w:rFonts w:ascii="Garamond" w:hAnsi="Garamond"/>
              </w:rPr>
              <w:t>Pojemność rotora: 12 × 1,5/2,0mL probówki.</w:t>
            </w:r>
          </w:p>
        </w:tc>
        <w:tc>
          <w:tcPr>
            <w:tcW w:w="2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2DB953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864B2F" w:rsidRPr="00AC07FE" w14:paraId="4457123F" w14:textId="77777777" w:rsidTr="008E02DF">
        <w:trPr>
          <w:tblCellSpacing w:w="0" w:type="dxa"/>
        </w:trPr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322241" w14:textId="77777777" w:rsidR="00864B2F" w:rsidRPr="00AC07FE" w:rsidRDefault="00B00FE7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6</w:t>
            </w:r>
          </w:p>
        </w:tc>
        <w:tc>
          <w:tcPr>
            <w:tcW w:w="6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58FB7D" w14:textId="77777777" w:rsidR="00864B2F" w:rsidRPr="00AC07FE" w:rsidRDefault="00864B2F" w:rsidP="00864B2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  <w:b/>
              </w:rPr>
            </w:pPr>
            <w:r w:rsidRPr="00AC07FE">
              <w:rPr>
                <w:rFonts w:ascii="Garamond" w:hAnsi="Garamond"/>
              </w:rPr>
              <w:t>Cyfrowy wyświetlacz czasu i prędkości.</w:t>
            </w:r>
          </w:p>
        </w:tc>
        <w:tc>
          <w:tcPr>
            <w:tcW w:w="2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B4EF8E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</w:tbl>
    <w:p w14:paraId="5B63D7DF" w14:textId="77777777" w:rsidR="008E02DF" w:rsidRPr="00AC07FE" w:rsidRDefault="008E02DF">
      <w:pPr>
        <w:rPr>
          <w:rFonts w:ascii="Garamond" w:hAnsi="Garamond"/>
        </w:rPr>
      </w:pPr>
    </w:p>
    <w:p w14:paraId="205D6FD0" w14:textId="77777777" w:rsidR="008E02DF" w:rsidRPr="00AC07FE" w:rsidRDefault="008E02DF">
      <w:pPr>
        <w:rPr>
          <w:rFonts w:ascii="Garamond" w:hAnsi="Garamond"/>
        </w:rPr>
      </w:pPr>
      <w:r w:rsidRPr="00AC07FE">
        <w:rPr>
          <w:rFonts w:ascii="Garamond" w:hAnsi="Garamond"/>
        </w:rPr>
        <w:br w:type="page"/>
      </w:r>
    </w:p>
    <w:p w14:paraId="3B974452" w14:textId="77777777" w:rsidR="00864B2F" w:rsidRPr="00AC07FE" w:rsidRDefault="0087070C" w:rsidP="0087070C">
      <w:pPr>
        <w:pStyle w:val="Akapitzlist"/>
        <w:numPr>
          <w:ilvl w:val="0"/>
          <w:numId w:val="2"/>
        </w:numPr>
        <w:shd w:val="clear" w:color="auto" w:fill="FFFFFF"/>
        <w:spacing w:before="240" w:after="240"/>
        <w:jc w:val="both"/>
        <w:rPr>
          <w:rFonts w:ascii="Garamond" w:hAnsi="Garamond"/>
          <w:b/>
          <w:sz w:val="22"/>
          <w:szCs w:val="22"/>
        </w:rPr>
      </w:pPr>
      <w:r w:rsidRPr="00AC07FE">
        <w:rPr>
          <w:rFonts w:ascii="Garamond" w:hAnsi="Garamond"/>
          <w:b/>
          <w:sz w:val="22"/>
          <w:szCs w:val="22"/>
        </w:rPr>
        <w:lastRenderedPageBreak/>
        <w:t>Wymagania dla h</w:t>
      </w:r>
      <w:r w:rsidR="00864B2F" w:rsidRPr="00AC07FE">
        <w:rPr>
          <w:rFonts w:ascii="Garamond" w:hAnsi="Garamond"/>
          <w:b/>
          <w:sz w:val="22"/>
          <w:szCs w:val="22"/>
        </w:rPr>
        <w:t>ybrydyzator</w:t>
      </w:r>
      <w:r w:rsidRPr="00AC07FE">
        <w:rPr>
          <w:rFonts w:ascii="Garamond" w:hAnsi="Garamond"/>
          <w:b/>
          <w:sz w:val="22"/>
          <w:szCs w:val="22"/>
        </w:rPr>
        <w:t>a</w:t>
      </w:r>
      <w:r w:rsidR="00864B2F" w:rsidRPr="00AC07FE">
        <w:rPr>
          <w:rFonts w:ascii="Garamond" w:hAnsi="Garamond"/>
          <w:b/>
          <w:sz w:val="22"/>
          <w:szCs w:val="22"/>
        </w:rPr>
        <w:t xml:space="preserve"> przeznaczony do procedur FISH oraz inkubacyjnych – 2szt. - urządzenie fabrycznie nowe, rok produkcji - nie starsze niż 2024r.</w:t>
      </w:r>
    </w:p>
    <w:p w14:paraId="3524DBC0" w14:textId="77777777" w:rsidR="00864B2F" w:rsidRPr="00AC07FE" w:rsidRDefault="00864B2F" w:rsidP="00864B2F">
      <w:pPr>
        <w:pStyle w:val="Akapitzlist"/>
        <w:ind w:left="360"/>
        <w:rPr>
          <w:rFonts w:ascii="Garamond" w:hAnsi="Garamond"/>
          <w:sz w:val="22"/>
          <w:szCs w:val="22"/>
        </w:rPr>
      </w:pPr>
    </w:p>
    <w:tbl>
      <w:tblPr>
        <w:tblW w:w="96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6345"/>
        <w:gridCol w:w="2789"/>
      </w:tblGrid>
      <w:tr w:rsidR="00AC07FE" w:rsidRPr="00AC07FE" w14:paraId="1D3B10C8" w14:textId="77777777" w:rsidTr="008E02DF">
        <w:trPr>
          <w:trHeight w:val="1073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F260C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Lp.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37744" w14:textId="77777777" w:rsidR="00864B2F" w:rsidRPr="00AC07FE" w:rsidRDefault="00864B2F" w:rsidP="005A65DF">
            <w:pPr>
              <w:keepNext/>
              <w:jc w:val="center"/>
              <w:outlineLvl w:val="2"/>
              <w:rPr>
                <w:rFonts w:ascii="Garamond" w:eastAsia="Times New Roman" w:hAnsi="Garamond" w:cs="Arial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Nazwa parametru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374E6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Potwierdzenie spełnienia</w:t>
            </w:r>
          </w:p>
          <w:p w14:paraId="1F586583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/>
                <w:b/>
              </w:rPr>
            </w:pPr>
            <w:r w:rsidRPr="00AC07FE">
              <w:rPr>
                <w:rFonts w:ascii="Garamond" w:eastAsia="Times New Roman" w:hAnsi="Garamond" w:cs="Arial"/>
                <w:b/>
              </w:rPr>
              <w:t>(należy wpisać Tak lub Nie)*</w:t>
            </w:r>
          </w:p>
        </w:tc>
      </w:tr>
      <w:tr w:rsidR="00AC07FE" w:rsidRPr="00AC07FE" w14:paraId="536D6758" w14:textId="77777777" w:rsidTr="008E02DF">
        <w:trPr>
          <w:trHeight w:val="1314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FF995A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AB0396" w14:textId="77777777" w:rsidR="00864B2F" w:rsidRPr="00AC07FE" w:rsidRDefault="00864B2F" w:rsidP="008E02D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Urządzenie posiada znak IVD lub IVDR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B56EEE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64154A47" w14:textId="77777777" w:rsidTr="008E02DF">
        <w:trPr>
          <w:trHeight w:val="706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226E5E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2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F0C5FE" w14:textId="77777777" w:rsidR="00864B2F" w:rsidRPr="00AC07FE" w:rsidRDefault="00864B2F" w:rsidP="008E02D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Wymiary maksymalnie (dł x szer x wys) 425x230x150mm (+/- 20mm)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E883CE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0FAC635F" w14:textId="77777777" w:rsidTr="008E02DF">
        <w:trPr>
          <w:trHeight w:val="706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CF7AD5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3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A80C93" w14:textId="77777777" w:rsidR="00864B2F" w:rsidRPr="00AC07FE" w:rsidRDefault="00864B2F" w:rsidP="008E02D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Waga maksymalnie 8kg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F76361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26B036C9" w14:textId="77777777" w:rsidTr="008E02DF">
        <w:trPr>
          <w:trHeight w:val="706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6CF2E6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4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AF5504" w14:textId="77777777" w:rsidR="00864B2F" w:rsidRPr="00AC07FE" w:rsidRDefault="00864B2F" w:rsidP="008E02D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12 lub więcej pozycji na szkiełka mikroskopowe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5D7723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3F6399EF" w14:textId="77777777" w:rsidTr="008E02DF">
        <w:trPr>
          <w:trHeight w:val="965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3271EB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5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9275B" w14:textId="77777777" w:rsidR="00864B2F" w:rsidRPr="00AC07FE" w:rsidRDefault="00864B2F" w:rsidP="00864B2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Dwupłytowe ogrzewanie, bloki grze</w:t>
            </w:r>
            <w:r w:rsidR="008E02DF" w:rsidRPr="00AC07FE">
              <w:rPr>
                <w:rFonts w:ascii="Garamond" w:hAnsi="Garamond"/>
              </w:rPr>
              <w:t>jne zarówno w podstawie jak i w </w:t>
            </w:r>
            <w:r w:rsidRPr="00AC07FE">
              <w:rPr>
                <w:rFonts w:ascii="Garamond" w:hAnsi="Garamond"/>
              </w:rPr>
              <w:t>pokrywie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777F82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3FC67E4F" w14:textId="77777777" w:rsidTr="008E02DF">
        <w:trPr>
          <w:trHeight w:val="965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153B77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6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9735AC" w14:textId="77777777" w:rsidR="00864B2F" w:rsidRPr="00AC07FE" w:rsidRDefault="00864B2F" w:rsidP="00864B2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System kontrolowania wilgotności komory z pojemnikami na wodę wielorazowego użytku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F2E19F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65B28E78" w14:textId="77777777" w:rsidTr="008E02DF">
        <w:trPr>
          <w:trHeight w:val="706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E8659B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7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8EBB08" w14:textId="77777777" w:rsidR="00864B2F" w:rsidRPr="00AC07FE" w:rsidRDefault="00864B2F" w:rsidP="00864B2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Zakres temperatur od 30 do 99 o °C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AA05F0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30BFD41B" w14:textId="77777777" w:rsidTr="008E02DF">
        <w:trPr>
          <w:trHeight w:val="706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1079F9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8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23F9E9" w14:textId="77777777" w:rsidR="00864B2F" w:rsidRPr="00AC07FE" w:rsidRDefault="00864B2F" w:rsidP="00864B2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Urządzenie posiada ekran dotykowy ułatwiający obsługę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3718D0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72D14997" w14:textId="77777777" w:rsidTr="008E02DF">
        <w:trPr>
          <w:trHeight w:val="706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8E2E7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9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65A29F" w14:textId="77777777" w:rsidR="00864B2F" w:rsidRPr="00AC07FE" w:rsidRDefault="00864B2F" w:rsidP="00864B2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Możliwe programowanie minimum 60 gotowych protokołów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1C540C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7B11D13D" w14:textId="77777777" w:rsidTr="008E02DF">
        <w:trPr>
          <w:trHeight w:val="974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012229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10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8865EB" w14:textId="77777777" w:rsidR="00864B2F" w:rsidRPr="00AC07FE" w:rsidRDefault="00864B2F" w:rsidP="00864B2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Gniazdo pamięci USB pozwalające na eksportowanie / importowanie danych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BADF34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AC07FE" w:rsidRPr="00AC07FE" w14:paraId="5AC227D4" w14:textId="77777777" w:rsidTr="008E02DF">
        <w:trPr>
          <w:trHeight w:val="965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94FB08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lastRenderedPageBreak/>
              <w:t>11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6F5512" w14:textId="7D1ACC52" w:rsidR="00864B2F" w:rsidRPr="00AC07FE" w:rsidRDefault="00864B2F" w:rsidP="00AC07FE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 xml:space="preserve">Dostawa i instalacja </w:t>
            </w:r>
            <w:r w:rsidR="001E13D8" w:rsidRPr="00AC07FE">
              <w:rPr>
                <w:rFonts w:ascii="Garamond" w:hAnsi="Garamond"/>
              </w:rPr>
              <w:t xml:space="preserve">urządzenia </w:t>
            </w:r>
            <w:r w:rsidRPr="00AC07FE">
              <w:rPr>
                <w:rFonts w:ascii="Garamond" w:hAnsi="Garamond"/>
              </w:rPr>
              <w:t>w przeciągu 14 dni roboczych od daty podpisania umowy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1F746C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  <w:tr w:rsidR="00864B2F" w:rsidRPr="00AC07FE" w14:paraId="7CE2DC60" w14:textId="77777777" w:rsidTr="008E02DF">
        <w:trPr>
          <w:trHeight w:val="715"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7ECCA0" w14:textId="77777777" w:rsidR="00864B2F" w:rsidRPr="00AC07FE" w:rsidRDefault="000E34F0" w:rsidP="005A65DF">
            <w:pPr>
              <w:jc w:val="center"/>
              <w:rPr>
                <w:rFonts w:ascii="Garamond" w:eastAsia="Times New Roman" w:hAnsi="Garamond" w:cs="Arial"/>
              </w:rPr>
            </w:pPr>
            <w:r w:rsidRPr="00AC07FE">
              <w:rPr>
                <w:rFonts w:ascii="Garamond" w:eastAsia="Times New Roman" w:hAnsi="Garamond" w:cs="Arial"/>
              </w:rPr>
              <w:t>12</w:t>
            </w:r>
          </w:p>
        </w:tc>
        <w:tc>
          <w:tcPr>
            <w:tcW w:w="6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7D0372" w14:textId="77777777" w:rsidR="00864B2F" w:rsidRPr="00AC07FE" w:rsidRDefault="00864B2F" w:rsidP="00864B2F">
            <w:pPr>
              <w:shd w:val="clear" w:color="auto" w:fill="FFFFFF"/>
              <w:spacing w:before="240" w:after="240"/>
              <w:jc w:val="both"/>
              <w:rPr>
                <w:rFonts w:ascii="Garamond" w:hAnsi="Garamond"/>
              </w:rPr>
            </w:pPr>
            <w:r w:rsidRPr="00AC07FE">
              <w:rPr>
                <w:rFonts w:ascii="Garamond" w:hAnsi="Garamond"/>
              </w:rPr>
              <w:t>2 letnia gwarancja fabryczna od daty instalacji</w:t>
            </w:r>
          </w:p>
        </w:tc>
        <w:tc>
          <w:tcPr>
            <w:tcW w:w="2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FA06C6" w14:textId="77777777" w:rsidR="00864B2F" w:rsidRPr="00AC07FE" w:rsidRDefault="00864B2F" w:rsidP="005A65DF">
            <w:pPr>
              <w:jc w:val="center"/>
              <w:rPr>
                <w:rFonts w:ascii="Garamond" w:eastAsia="Times New Roman" w:hAnsi="Garamond" w:cs="Arial"/>
              </w:rPr>
            </w:pPr>
          </w:p>
        </w:tc>
      </w:tr>
    </w:tbl>
    <w:p w14:paraId="262D5838" w14:textId="77777777" w:rsidR="00864B2F" w:rsidRPr="00AC07FE" w:rsidRDefault="00864B2F">
      <w:pPr>
        <w:rPr>
          <w:rFonts w:ascii="Garamond" w:hAnsi="Garamond"/>
        </w:rPr>
      </w:pPr>
    </w:p>
    <w:p w14:paraId="349E343C" w14:textId="77777777" w:rsidR="008E02DF" w:rsidRPr="00A775EF" w:rsidRDefault="008E02DF" w:rsidP="008E02DF">
      <w:pPr>
        <w:rPr>
          <w:rFonts w:ascii="Garamond" w:hAnsi="Garamond" w:cs="Tahoma"/>
          <w:b/>
          <w:color w:val="FF0000"/>
          <w:szCs w:val="28"/>
        </w:rPr>
      </w:pPr>
    </w:p>
    <w:p w14:paraId="3446BE1C" w14:textId="330EFD7F" w:rsidR="008E02DF" w:rsidRPr="00A775EF" w:rsidRDefault="008E02DF" w:rsidP="008E02DF">
      <w:pPr>
        <w:rPr>
          <w:rFonts w:ascii="Garamond" w:hAnsi="Garamond" w:cs="Tahoma"/>
          <w:b/>
          <w:color w:val="FF0000"/>
          <w:sz w:val="20"/>
          <w:szCs w:val="20"/>
        </w:rPr>
      </w:pPr>
      <w:r w:rsidRPr="00A775EF">
        <w:rPr>
          <w:rFonts w:ascii="Garamond" w:hAnsi="Garamond" w:cs="Tahoma"/>
          <w:b/>
          <w:color w:val="FF0000"/>
          <w:sz w:val="20"/>
          <w:szCs w:val="20"/>
        </w:rPr>
        <w:t>Uwaga:</w:t>
      </w:r>
      <w:r w:rsidR="00665375" w:rsidRPr="00A775EF">
        <w:rPr>
          <w:rFonts w:ascii="Garamond" w:hAnsi="Garamond" w:cs="Tahoma"/>
          <w:b/>
          <w:color w:val="FF0000"/>
          <w:sz w:val="20"/>
          <w:szCs w:val="20"/>
        </w:rPr>
        <w:t xml:space="preserve">  </w:t>
      </w:r>
    </w:p>
    <w:p w14:paraId="18F8099F" w14:textId="2743634B" w:rsidR="008E02DF" w:rsidRPr="00A775EF" w:rsidRDefault="008E02DF" w:rsidP="008E02DF">
      <w:pPr>
        <w:jc w:val="both"/>
        <w:rPr>
          <w:rFonts w:ascii="Garamond" w:hAnsi="Garamond" w:cs="Tahoma"/>
          <w:b/>
          <w:color w:val="FF0000"/>
          <w:sz w:val="20"/>
          <w:szCs w:val="20"/>
        </w:rPr>
      </w:pPr>
      <w:r w:rsidRPr="00A775EF">
        <w:rPr>
          <w:rFonts w:ascii="Garamond" w:hAnsi="Garamond" w:cs="Tahoma"/>
          <w:b/>
          <w:color w:val="FF0000"/>
          <w:sz w:val="20"/>
          <w:szCs w:val="20"/>
        </w:rPr>
        <w:t>*Niespełnienie któregokolwiek z wymagań granicznych przedstawionych w</w:t>
      </w:r>
      <w:r w:rsidR="00A775EF" w:rsidRPr="00A775EF">
        <w:rPr>
          <w:rFonts w:ascii="Garamond" w:hAnsi="Garamond" w:cs="Tahoma"/>
          <w:b/>
          <w:color w:val="FF0000"/>
          <w:sz w:val="20"/>
          <w:szCs w:val="20"/>
        </w:rPr>
        <w:t xml:space="preserve"> </w:t>
      </w:r>
      <w:r w:rsidR="00665375" w:rsidRPr="00A775EF">
        <w:rPr>
          <w:rFonts w:ascii="Garamond" w:hAnsi="Garamond" w:cs="Tahoma"/>
          <w:b/>
          <w:color w:val="FF0000"/>
          <w:sz w:val="20"/>
          <w:szCs w:val="20"/>
        </w:rPr>
        <w:t xml:space="preserve">tabelach </w:t>
      </w:r>
      <w:r w:rsidRPr="00A775EF">
        <w:rPr>
          <w:rFonts w:ascii="Garamond" w:hAnsi="Garamond" w:cs="Tahoma"/>
          <w:b/>
          <w:color w:val="FF0000"/>
          <w:sz w:val="20"/>
          <w:szCs w:val="20"/>
        </w:rPr>
        <w:t>powyżej spowoduje odrzucenie oferty.</w:t>
      </w:r>
    </w:p>
    <w:p w14:paraId="7E95DD3E" w14:textId="77777777" w:rsidR="008E02DF" w:rsidRPr="00AC07FE" w:rsidRDefault="008E02DF">
      <w:pPr>
        <w:rPr>
          <w:rFonts w:ascii="Garamond" w:hAnsi="Garamond"/>
        </w:rPr>
      </w:pPr>
    </w:p>
    <w:p w14:paraId="56559479" w14:textId="77777777" w:rsidR="00864B2F" w:rsidRPr="00AC07FE" w:rsidRDefault="008E02DF" w:rsidP="008E02DF">
      <w:pPr>
        <w:shd w:val="clear" w:color="auto" w:fill="FFFFFF"/>
        <w:spacing w:before="240" w:after="240"/>
        <w:jc w:val="both"/>
        <w:rPr>
          <w:rFonts w:ascii="Garamond" w:hAnsi="Garamond"/>
        </w:rPr>
      </w:pPr>
      <w:r w:rsidRPr="00AC07FE">
        <w:rPr>
          <w:rFonts w:ascii="Garamond" w:hAnsi="Garamond"/>
        </w:rPr>
        <w:t>Oświadczamy, że spełniamy ww. wymogi.</w:t>
      </w:r>
    </w:p>
    <w:sectPr w:rsidR="00864B2F" w:rsidRPr="00AC07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85DC" w14:textId="77777777" w:rsidR="004E1029" w:rsidRDefault="004E1029" w:rsidP="00674855">
      <w:pPr>
        <w:spacing w:after="0" w:line="240" w:lineRule="auto"/>
      </w:pPr>
      <w:r>
        <w:separator/>
      </w:r>
    </w:p>
  </w:endnote>
  <w:endnote w:type="continuationSeparator" w:id="0">
    <w:p w14:paraId="70757D74" w14:textId="77777777" w:rsidR="004E1029" w:rsidRDefault="004E1029" w:rsidP="0067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014A7" w14:textId="77777777" w:rsidR="004E1029" w:rsidRDefault="004E1029" w:rsidP="00674855">
      <w:pPr>
        <w:spacing w:after="0" w:line="240" w:lineRule="auto"/>
      </w:pPr>
      <w:r>
        <w:separator/>
      </w:r>
    </w:p>
  </w:footnote>
  <w:footnote w:type="continuationSeparator" w:id="0">
    <w:p w14:paraId="38D3872E" w14:textId="77777777" w:rsidR="004E1029" w:rsidRDefault="004E1029" w:rsidP="0067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416C" w14:textId="77777777" w:rsidR="00674855" w:rsidRPr="00674855" w:rsidRDefault="00674855" w:rsidP="00674855">
    <w:pPr>
      <w:pStyle w:val="Nagwek"/>
      <w:rPr>
        <w:rFonts w:ascii="Garamond" w:hAnsi="Garamond"/>
      </w:rPr>
    </w:pPr>
    <w:r w:rsidRPr="00674855">
      <w:rPr>
        <w:rFonts w:ascii="Garamond" w:hAnsi="Garamond"/>
      </w:rPr>
      <w:t>DFP.271.52.2025.EP</w:t>
    </w:r>
  </w:p>
  <w:p w14:paraId="02F9B031" w14:textId="77777777" w:rsidR="00674855" w:rsidRPr="00674855" w:rsidRDefault="00674855" w:rsidP="00674855">
    <w:pPr>
      <w:spacing w:after="0" w:line="240" w:lineRule="auto"/>
      <w:jc w:val="right"/>
      <w:rPr>
        <w:rFonts w:ascii="Garamond" w:hAnsi="Garamond" w:cstheme="minorHAnsi"/>
      </w:rPr>
    </w:pPr>
    <w:r w:rsidRPr="00674855">
      <w:rPr>
        <w:rFonts w:ascii="Garamond" w:hAnsi="Garamond" w:cstheme="minorHAnsi"/>
      </w:rPr>
      <w:t>Załącznik 1b do specyfikacji</w:t>
    </w:r>
  </w:p>
  <w:p w14:paraId="3FE9071E" w14:textId="77777777" w:rsidR="00674855" w:rsidRPr="00674855" w:rsidRDefault="00674855" w:rsidP="00674855">
    <w:pPr>
      <w:spacing w:after="0" w:line="240" w:lineRule="auto"/>
      <w:jc w:val="center"/>
      <w:rPr>
        <w:rFonts w:ascii="Garamond" w:hAnsi="Garamond" w:cstheme="minorHAnsi"/>
      </w:rPr>
    </w:pPr>
    <w:r w:rsidRPr="00674855">
      <w:rPr>
        <w:rFonts w:ascii="Garamond" w:hAnsi="Garamond" w:cstheme="minorHAnsi"/>
      </w:rPr>
      <w:t>Warunki graniczne</w:t>
    </w:r>
  </w:p>
  <w:p w14:paraId="69C2D008" w14:textId="77777777" w:rsidR="00674855" w:rsidRDefault="006748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3622"/>
    <w:multiLevelType w:val="hybridMultilevel"/>
    <w:tmpl w:val="E346A504"/>
    <w:lvl w:ilvl="0" w:tplc="D4CC3AE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2E9D"/>
    <w:multiLevelType w:val="multilevel"/>
    <w:tmpl w:val="90C8E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C71913"/>
    <w:multiLevelType w:val="hybridMultilevel"/>
    <w:tmpl w:val="68724540"/>
    <w:lvl w:ilvl="0" w:tplc="02BEA502">
      <w:start w:val="1"/>
      <w:numFmt w:val="bullet"/>
      <w:lvlText w:val="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C9"/>
    <w:rsid w:val="00012CFB"/>
    <w:rsid w:val="000E34F0"/>
    <w:rsid w:val="001005F7"/>
    <w:rsid w:val="00116759"/>
    <w:rsid w:val="0015306C"/>
    <w:rsid w:val="001928F4"/>
    <w:rsid w:val="001D6975"/>
    <w:rsid w:val="001E13D8"/>
    <w:rsid w:val="002E2BD2"/>
    <w:rsid w:val="00340824"/>
    <w:rsid w:val="00354DF9"/>
    <w:rsid w:val="003723A7"/>
    <w:rsid w:val="003B574E"/>
    <w:rsid w:val="003E1F2C"/>
    <w:rsid w:val="004A7CC9"/>
    <w:rsid w:val="004E1029"/>
    <w:rsid w:val="004F394C"/>
    <w:rsid w:val="00586410"/>
    <w:rsid w:val="00594887"/>
    <w:rsid w:val="006255AC"/>
    <w:rsid w:val="00633C4B"/>
    <w:rsid w:val="00665375"/>
    <w:rsid w:val="00674855"/>
    <w:rsid w:val="006C5194"/>
    <w:rsid w:val="00725676"/>
    <w:rsid w:val="00754690"/>
    <w:rsid w:val="007610E0"/>
    <w:rsid w:val="007809F5"/>
    <w:rsid w:val="007E608E"/>
    <w:rsid w:val="00864B2F"/>
    <w:rsid w:val="0087070C"/>
    <w:rsid w:val="00875900"/>
    <w:rsid w:val="008847EA"/>
    <w:rsid w:val="008E02DF"/>
    <w:rsid w:val="00903841"/>
    <w:rsid w:val="00932C67"/>
    <w:rsid w:val="009809CE"/>
    <w:rsid w:val="009D3BFD"/>
    <w:rsid w:val="00A66937"/>
    <w:rsid w:val="00A775EF"/>
    <w:rsid w:val="00A83D4E"/>
    <w:rsid w:val="00A87A70"/>
    <w:rsid w:val="00AA401D"/>
    <w:rsid w:val="00AB2768"/>
    <w:rsid w:val="00AC07FE"/>
    <w:rsid w:val="00B00FE7"/>
    <w:rsid w:val="00BA6422"/>
    <w:rsid w:val="00BB434A"/>
    <w:rsid w:val="00BE3C57"/>
    <w:rsid w:val="00BF7B7F"/>
    <w:rsid w:val="00C17F8C"/>
    <w:rsid w:val="00CA5CE8"/>
    <w:rsid w:val="00CB3885"/>
    <w:rsid w:val="00CB57A8"/>
    <w:rsid w:val="00D10970"/>
    <w:rsid w:val="00D324A4"/>
    <w:rsid w:val="00DC6E98"/>
    <w:rsid w:val="00DE1D22"/>
    <w:rsid w:val="00E210E3"/>
    <w:rsid w:val="00E23F45"/>
    <w:rsid w:val="00E917C8"/>
    <w:rsid w:val="00F81D9B"/>
    <w:rsid w:val="00FB1C49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A88D"/>
  <w15:chartTrackingRefBased/>
  <w15:docId w15:val="{6B6B8878-2918-4954-B8E7-FA0F1A5F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4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64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855"/>
  </w:style>
  <w:style w:type="paragraph" w:styleId="Stopka">
    <w:name w:val="footer"/>
    <w:basedOn w:val="Normalny"/>
    <w:link w:val="StopkaZnak"/>
    <w:uiPriority w:val="99"/>
    <w:unhideWhenUsed/>
    <w:rsid w:val="0067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55"/>
  </w:style>
  <w:style w:type="character" w:styleId="Odwoaniedokomentarza">
    <w:name w:val="annotation reference"/>
    <w:basedOn w:val="Domylnaczcionkaakapitu"/>
    <w:uiPriority w:val="99"/>
    <w:semiHidden/>
    <w:unhideWhenUsed/>
    <w:rsid w:val="007E60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0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0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0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0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62DD-A314-42BA-9DD2-5B4910E1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Gut</dc:creator>
  <cp:keywords/>
  <dc:description/>
  <cp:lastModifiedBy>Edyta Natalia Prokopiuk</cp:lastModifiedBy>
  <cp:revision>2</cp:revision>
  <dcterms:created xsi:type="dcterms:W3CDTF">2025-04-01T07:47:00Z</dcterms:created>
  <dcterms:modified xsi:type="dcterms:W3CDTF">2025-04-01T07:47:00Z</dcterms:modified>
</cp:coreProperties>
</file>