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83F66">
        <w:rPr>
          <w:rFonts w:ascii="Times New Roman" w:hAnsi="Times New Roman"/>
          <w:b/>
        </w:rPr>
        <w:t xml:space="preserve">Przebudowa </w:t>
      </w:r>
      <w:r w:rsidR="00970613">
        <w:rPr>
          <w:rFonts w:ascii="Times New Roman" w:hAnsi="Times New Roman"/>
          <w:b/>
        </w:rPr>
        <w:t>ul. Widok w Suchej (droga 110190W)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należy/należy* do tej samej grupy kapitałowej, w rozumieniu ustawy z dnia 16 lutego 2007 r. o ochronie konkurencji i konsumentów (t.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970613">
      <w:rPr>
        <w:rFonts w:ascii="Times New Roman" w:hAnsi="Times New Roman" w:cs="Times New Roman"/>
        <w:sz w:val="20"/>
        <w:szCs w:val="20"/>
      </w:rPr>
      <w:t>3.2023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0613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5</cp:revision>
  <dcterms:created xsi:type="dcterms:W3CDTF">2022-08-03T08:26:00Z</dcterms:created>
  <dcterms:modified xsi:type="dcterms:W3CDTF">2023-01-30T11:03:00Z</dcterms:modified>
</cp:coreProperties>
</file>