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1505" w14:textId="77777777" w:rsidR="00157ACA" w:rsidRDefault="00157ACA"/>
    <w:p w14:paraId="7BD54EE2" w14:textId="2FE7CD30" w:rsidR="00157ACA" w:rsidRDefault="00887496">
      <w:pPr>
        <w:jc w:val="center"/>
      </w:pPr>
      <w:r>
        <w:rPr>
          <w:rFonts w:ascii="Calibri" w:hAnsi="Calibri" w:cs="Calibri"/>
          <w:b/>
        </w:rPr>
        <w:t xml:space="preserve">SZCZEGÓŁOWY OPIS PRZEDMIOTU ZAMÓWIENIA DLA CZĘŚCI II </w:t>
      </w:r>
    </w:p>
    <w:p w14:paraId="41402DDC" w14:textId="77777777" w:rsidR="00157ACA" w:rsidRDefault="00157ACA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842"/>
        <w:gridCol w:w="8792"/>
      </w:tblGrid>
      <w:tr w:rsidR="00157ACA" w14:paraId="5C38A993" w14:textId="77777777" w:rsidTr="00B419AB">
        <w:trPr>
          <w:trHeight w:val="567"/>
          <w:jc w:val="center"/>
        </w:trPr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562C3134" w14:textId="77777777" w:rsidR="00157ACA" w:rsidRDefault="00887496">
            <w:pPr>
              <w:pStyle w:val="Domylnie"/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8791" w:type="dxa"/>
            <w:shd w:val="clear" w:color="auto" w:fill="D9D9D9" w:themeFill="background1" w:themeFillShade="D9"/>
            <w:vAlign w:val="center"/>
          </w:tcPr>
          <w:p w14:paraId="78688163" w14:textId="77777777" w:rsidR="00157ACA" w:rsidRDefault="00887496" w:rsidP="00887496">
            <w:pPr>
              <w:pStyle w:val="Domylnie"/>
              <w:widowControl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Parametry wymagane</w:t>
            </w:r>
          </w:p>
        </w:tc>
      </w:tr>
      <w:tr w:rsidR="00157ACA" w14:paraId="7B82E67F" w14:textId="77777777" w:rsidTr="00B419AB">
        <w:trPr>
          <w:trHeight w:val="567"/>
          <w:jc w:val="center"/>
        </w:trPr>
        <w:tc>
          <w:tcPr>
            <w:tcW w:w="9633" w:type="dxa"/>
            <w:gridSpan w:val="2"/>
            <w:shd w:val="clear" w:color="auto" w:fill="D9D9D9" w:themeFill="background1" w:themeFillShade="D9"/>
            <w:vAlign w:val="center"/>
          </w:tcPr>
          <w:p w14:paraId="04CE5AED" w14:textId="2B84C1AA" w:rsidR="00157ACA" w:rsidRDefault="00887496">
            <w:pPr>
              <w:pStyle w:val="Domylnie"/>
              <w:widowControl w:val="0"/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Serwer</w:t>
            </w:r>
            <w:r w:rsidR="00D72CF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 1 szt.</w:t>
            </w:r>
          </w:p>
        </w:tc>
      </w:tr>
      <w:tr w:rsidR="00157ACA" w14:paraId="671058A3" w14:textId="77777777" w:rsidTr="00B419AB">
        <w:trPr>
          <w:trHeight w:val="2171"/>
          <w:jc w:val="center"/>
        </w:trPr>
        <w:tc>
          <w:tcPr>
            <w:tcW w:w="842" w:type="dxa"/>
            <w:vAlign w:val="center"/>
          </w:tcPr>
          <w:p w14:paraId="67D1A360" w14:textId="77777777" w:rsidR="00157ACA" w:rsidRDefault="00887496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91" w:type="dxa"/>
            <w:vAlign w:val="center"/>
          </w:tcPr>
          <w:p w14:paraId="707582D9" w14:textId="77777777" w:rsidR="00157ACA" w:rsidRDefault="00887496">
            <w:pPr>
              <w:pStyle w:val="Tabelapozycja"/>
              <w:spacing w:line="240" w:lineRule="atLeast"/>
              <w:ind w:left="57" w:right="57"/>
              <w:jc w:val="both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Procesor:</w:t>
            </w:r>
          </w:p>
          <w:p w14:paraId="6729AB07" w14:textId="77777777" w:rsidR="00157ACA" w:rsidRPr="00FF5229" w:rsidRDefault="00887496">
            <w:pPr>
              <w:pStyle w:val="Tabelapozycja"/>
              <w:numPr>
                <w:ilvl w:val="0"/>
                <w:numId w:val="1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229">
              <w:rPr>
                <w:rFonts w:ascii="Calibri" w:eastAsia="Times New Roman" w:hAnsi="Calibri" w:cs="Calibri"/>
                <w:color w:val="00000A"/>
                <w:sz w:val="22"/>
                <w:szCs w:val="22"/>
                <w:lang w:val="pl-PL"/>
              </w:rPr>
              <w:t xml:space="preserve">przynajmniej jeden wynik wydajności dla zainstalowanego procesora w serwerze musi być większy lub równy 55 punktów w teście SPEC CPU 2017 </w:t>
            </w:r>
            <w:proofErr w:type="spellStart"/>
            <w:r w:rsidRPr="00FF5229">
              <w:rPr>
                <w:rFonts w:ascii="Calibri" w:eastAsia="Times New Roman" w:hAnsi="Calibri" w:cs="Calibri"/>
                <w:color w:val="00000A"/>
                <w:sz w:val="22"/>
                <w:szCs w:val="22"/>
                <w:lang w:val="pl-PL"/>
              </w:rPr>
              <w:t>Integer</w:t>
            </w:r>
            <w:proofErr w:type="spellEnd"/>
            <w:r w:rsidRPr="00FF5229">
              <w:rPr>
                <w:rFonts w:ascii="Calibri" w:eastAsia="Times New Roman" w:hAnsi="Calibri" w:cs="Calibri"/>
                <w:color w:val="00000A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F5229">
              <w:rPr>
                <w:rFonts w:ascii="Calibri" w:eastAsia="Times New Roman" w:hAnsi="Calibri" w:cs="Calibri"/>
                <w:color w:val="00000A"/>
                <w:sz w:val="22"/>
                <w:szCs w:val="22"/>
                <w:lang w:val="pl-PL"/>
              </w:rPr>
              <w:t>Rate</w:t>
            </w:r>
            <w:proofErr w:type="spellEnd"/>
            <w:r w:rsidRPr="00FF5229">
              <w:rPr>
                <w:rFonts w:ascii="Calibri" w:eastAsia="Times New Roman" w:hAnsi="Calibri" w:cs="Calibri"/>
                <w:color w:val="00000A"/>
                <w:sz w:val="22"/>
                <w:szCs w:val="22"/>
                <w:lang w:val="pl-PL"/>
              </w:rPr>
              <w:t xml:space="preserve"> dla dowolnej platformy testowej (testy i wyniki muszą być opublikowane i dostępne pod adresem: </w:t>
            </w:r>
            <w:hyperlink r:id="rId7">
              <w:r w:rsidRPr="00FF5229">
                <w:rPr>
                  <w:rStyle w:val="czeinternetowe"/>
                  <w:rFonts w:ascii="Calibri" w:eastAsia="Times New Roman" w:hAnsi="Calibri" w:cs="Calibri"/>
                  <w:color w:val="000000"/>
                  <w:sz w:val="22"/>
                  <w:szCs w:val="22"/>
                  <w:u w:val="none"/>
                  <w:lang w:val="pl-PL"/>
                </w:rPr>
                <w:t>https://www.spec.org/cgi-bin/osgresults?conf=rint2017</w:t>
              </w:r>
            </w:hyperlink>
            <w:r w:rsidRPr="00FF5229">
              <w:rPr>
                <w:rFonts w:ascii="Calibri" w:eastAsia="Times New Roman" w:hAnsi="Calibri" w:cs="Calibri"/>
                <w:sz w:val="22"/>
                <w:szCs w:val="22"/>
                <w:lang w:val="pl-PL"/>
              </w:rPr>
              <w:t xml:space="preserve"> – SPECrate2017_int_base / </w:t>
            </w:r>
            <w:proofErr w:type="spellStart"/>
            <w:r w:rsidRPr="00FF5229">
              <w:rPr>
                <w:rFonts w:ascii="Calibri" w:eastAsia="Times New Roman" w:hAnsi="Calibri" w:cs="Calibri"/>
                <w:sz w:val="22"/>
                <w:szCs w:val="22"/>
                <w:lang w:val="pl-PL"/>
              </w:rPr>
              <w:t>Baseline</w:t>
            </w:r>
            <w:proofErr w:type="spellEnd"/>
            <w:r w:rsidRPr="00FF5229">
              <w:rPr>
                <w:rFonts w:ascii="Calibri" w:eastAsia="Times New Roman" w:hAnsi="Calibri" w:cs="Calibri"/>
                <w:sz w:val="22"/>
                <w:szCs w:val="22"/>
                <w:lang w:val="pl-PL"/>
              </w:rPr>
              <w:t>),</w:t>
            </w:r>
          </w:p>
          <w:p w14:paraId="44931079" w14:textId="77777777" w:rsidR="00157ACA" w:rsidRPr="00FF5229" w:rsidRDefault="00887496">
            <w:pPr>
              <w:pStyle w:val="Tabelapozycja"/>
              <w:numPr>
                <w:ilvl w:val="0"/>
                <w:numId w:val="1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229">
              <w:rPr>
                <w:rFonts w:ascii="Calibri" w:eastAsia="Times New Roman" w:hAnsi="Calibri" w:cs="Calibri"/>
                <w:color w:val="00000A"/>
                <w:sz w:val="22"/>
                <w:szCs w:val="22"/>
                <w:lang w:val="pl-PL"/>
              </w:rPr>
              <w:t>sprzętowe wsparcie dla wirtualizacji,</w:t>
            </w:r>
          </w:p>
          <w:p w14:paraId="58EBBF22" w14:textId="77777777" w:rsidR="00157ACA" w:rsidRDefault="00887496">
            <w:pPr>
              <w:pStyle w:val="Tabelapozycja"/>
              <w:numPr>
                <w:ilvl w:val="0"/>
                <w:numId w:val="1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229">
              <w:rPr>
                <w:rFonts w:ascii="Calibri" w:eastAsia="Times New Roman" w:hAnsi="Calibri" w:cs="Calibri"/>
                <w:color w:val="00000A"/>
                <w:sz w:val="22"/>
                <w:szCs w:val="22"/>
                <w:lang w:val="pl-PL"/>
              </w:rPr>
              <w:t xml:space="preserve">zainstalowany minimum jeden procesor  </w:t>
            </w:r>
            <w:proofErr w:type="spellStart"/>
            <w:r w:rsidRPr="00FF5229">
              <w:rPr>
                <w:rFonts w:ascii="Calibri" w:hAnsi="Calibri" w:cs="Calibri"/>
                <w:sz w:val="22"/>
                <w:szCs w:val="22"/>
              </w:rPr>
              <w:t>sześciordzeniowy</w:t>
            </w:r>
            <w:proofErr w:type="spellEnd"/>
            <w:r w:rsidRPr="00FF5229">
              <w:rPr>
                <w:rFonts w:ascii="Calibri" w:eastAsia="Times New Roman" w:hAnsi="Calibri" w:cs="Calibri"/>
                <w:color w:val="00000A"/>
                <w:sz w:val="22"/>
                <w:szCs w:val="22"/>
                <w:lang w:val="pl-PL"/>
              </w:rPr>
              <w:t>.</w:t>
            </w:r>
          </w:p>
        </w:tc>
      </w:tr>
      <w:tr w:rsidR="00157ACA" w14:paraId="11E58273" w14:textId="77777777" w:rsidTr="00B419AB">
        <w:trPr>
          <w:trHeight w:val="6100"/>
          <w:jc w:val="center"/>
        </w:trPr>
        <w:tc>
          <w:tcPr>
            <w:tcW w:w="842" w:type="dxa"/>
            <w:vAlign w:val="center"/>
          </w:tcPr>
          <w:p w14:paraId="79254485" w14:textId="77777777" w:rsidR="00157ACA" w:rsidRDefault="00887496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91" w:type="dxa"/>
            <w:vAlign w:val="center"/>
          </w:tcPr>
          <w:p w14:paraId="25C2A452" w14:textId="77777777" w:rsidR="00157ACA" w:rsidRDefault="00887496">
            <w:pPr>
              <w:pStyle w:val="Tabelapozycja"/>
              <w:tabs>
                <w:tab w:val="left" w:pos="1279"/>
                <w:tab w:val="left" w:pos="2695"/>
              </w:tabs>
              <w:spacing w:line="240" w:lineRule="atLeast"/>
              <w:ind w:left="57" w:right="57"/>
              <w:jc w:val="both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Płyta główna:</w:t>
            </w:r>
          </w:p>
          <w:p w14:paraId="372696F6" w14:textId="77777777" w:rsidR="00157ACA" w:rsidRDefault="00887496">
            <w:pPr>
              <w:pStyle w:val="Tabelapozycja"/>
              <w:numPr>
                <w:ilvl w:val="0"/>
                <w:numId w:val="15"/>
              </w:numPr>
              <w:tabs>
                <w:tab w:val="clear" w:pos="720"/>
              </w:tabs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ilość gniazd pamięci – minimum 4 szt.,</w:t>
            </w:r>
          </w:p>
          <w:p w14:paraId="5E7A258B" w14:textId="77777777" w:rsidR="00157ACA" w:rsidRDefault="00887496">
            <w:pPr>
              <w:pStyle w:val="Tabelapozycja"/>
              <w:numPr>
                <w:ilvl w:val="0"/>
                <w:numId w:val="16"/>
              </w:numPr>
              <w:tabs>
                <w:tab w:val="clear" w:pos="720"/>
              </w:tabs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gniazdo PCI-Express minimum Gen4 – minimum 2 szt. (wolne, do obsadzenia),</w:t>
            </w:r>
          </w:p>
          <w:p w14:paraId="0EFF3EF5" w14:textId="77777777" w:rsidR="00157ACA" w:rsidRDefault="00887496">
            <w:pPr>
              <w:pStyle w:val="Tabelapozycja"/>
              <w:numPr>
                <w:ilvl w:val="0"/>
                <w:numId w:val="17"/>
              </w:numPr>
              <w:tabs>
                <w:tab w:val="clear" w:pos="720"/>
              </w:tabs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gniazdo USB typu A zainstalowane w sposób trwały przez producenta – minimum 2 szt. (w tym minimum 1 szt. USB minimum 3.0),</w:t>
            </w:r>
          </w:p>
          <w:p w14:paraId="711F0156" w14:textId="1E8B2AC4" w:rsidR="00157ACA" w:rsidRDefault="00887496">
            <w:pPr>
              <w:pStyle w:val="Tabelapozycja"/>
              <w:numPr>
                <w:ilvl w:val="0"/>
                <w:numId w:val="18"/>
              </w:numPr>
              <w:tabs>
                <w:tab w:val="clear" w:pos="720"/>
              </w:tabs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wsparcie technologii IPMI 2.0 – zintegrowany, dedykowany do obsługi zdalnego diagnostyki, zarządzania oraz monitorowania pracy  IPMI (osobny) kontroler sieci z portem RJ-45. Wszystkie funkcje muszą być aktywne, działające i nie mogą powodować wymogu zakupu dodatkowej licencji producenta serwera lub dostawcy oprogramowania do zdalnego zarządzania:</w:t>
            </w:r>
          </w:p>
          <w:p w14:paraId="4D833342" w14:textId="77777777" w:rsidR="00157ACA" w:rsidRDefault="00887496">
            <w:pPr>
              <w:pStyle w:val="Tabelapozycja"/>
              <w:numPr>
                <w:ilvl w:val="0"/>
                <w:numId w:val="9"/>
              </w:numPr>
              <w:spacing w:line="240" w:lineRule="atLeast"/>
              <w:ind w:left="511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połączenie zdalne, przekierowanie wirtualnej konsoli KVM-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pl-PL"/>
              </w:rPr>
              <w:t>over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pl-PL"/>
              </w:rPr>
              <w:t>-LAN/IP, umożliwiające zarządzanie zainstalowanym na serwerze systemem operacyjnym, nawet w przypadku jego awarii,</w:t>
            </w:r>
          </w:p>
          <w:p w14:paraId="3D523DEC" w14:textId="77777777" w:rsidR="00157ACA" w:rsidRDefault="00887496">
            <w:pPr>
              <w:pStyle w:val="Tabelapozycja"/>
              <w:numPr>
                <w:ilvl w:val="0"/>
                <w:numId w:val="9"/>
              </w:numPr>
              <w:spacing w:line="240" w:lineRule="atLeast"/>
              <w:ind w:left="511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zdalne zarządzanie KVM ma odbywać się z wykorzystaniem przynajmniej HTML5, </w:t>
            </w:r>
          </w:p>
          <w:p w14:paraId="171E6380" w14:textId="77777777" w:rsidR="00157ACA" w:rsidRDefault="00887496">
            <w:pPr>
              <w:pStyle w:val="Tabelapozycja"/>
              <w:numPr>
                <w:ilvl w:val="0"/>
                <w:numId w:val="9"/>
              </w:numPr>
              <w:spacing w:line="240" w:lineRule="atLeast"/>
              <w:ind w:left="511" w:right="57" w:hanging="227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serwer musi posiadać możliwość przeprowadzenia zdalnej aktualizacji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pl-PL"/>
              </w:rPr>
              <w:t>BIOSu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oraz oprogramowania układowego,</w:t>
            </w:r>
          </w:p>
          <w:p w14:paraId="03DBD409" w14:textId="77777777" w:rsidR="00157ACA" w:rsidRDefault="00887496">
            <w:pPr>
              <w:pStyle w:val="Tabelapozycja"/>
              <w:numPr>
                <w:ilvl w:val="0"/>
                <w:numId w:val="9"/>
              </w:numPr>
              <w:spacing w:line="240" w:lineRule="atLeast"/>
              <w:ind w:left="511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funkcja nośnika wirtualnego, który pozwala na zdalne wykorzystanie plików obrazów (plików ISO), których można użyć do instalacji lub aktualizacji systemów operacyjnych,</w:t>
            </w:r>
          </w:p>
          <w:p w14:paraId="23620908" w14:textId="77777777" w:rsidR="00157ACA" w:rsidRDefault="00887496">
            <w:pPr>
              <w:pStyle w:val="Tabelapozycja"/>
              <w:numPr>
                <w:ilvl w:val="0"/>
                <w:numId w:val="9"/>
              </w:numPr>
              <w:spacing w:line="240" w:lineRule="atLeast"/>
              <w:ind w:left="511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funkcja zdalnego udostępniania plików, dzięki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której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możliwe jest użycie np. obrazu dysku ISO znajdującego się w udostępnionych przez  CIFS udziale sieciowym,</w:t>
            </w:r>
          </w:p>
          <w:p w14:paraId="03012E62" w14:textId="77777777" w:rsidR="00157ACA" w:rsidRDefault="00887496">
            <w:pPr>
              <w:pStyle w:val="Tabelapozycja"/>
              <w:numPr>
                <w:ilvl w:val="0"/>
                <w:numId w:val="9"/>
              </w:numPr>
              <w:spacing w:line="240" w:lineRule="atLeast"/>
              <w:ind w:left="511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funkcja zdalnej konfiguracji dysków – RAID,</w:t>
            </w:r>
          </w:p>
          <w:p w14:paraId="5F5D1B19" w14:textId="77777777" w:rsidR="00157ACA" w:rsidRDefault="00887496">
            <w:pPr>
              <w:pStyle w:val="Tabelapozycja"/>
              <w:numPr>
                <w:ilvl w:val="0"/>
                <w:numId w:val="9"/>
              </w:numPr>
              <w:spacing w:line="240" w:lineRule="atLeast"/>
              <w:ind w:left="511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możliwość </w:t>
            </w:r>
            <w:r>
              <w:rPr>
                <w:rFonts w:cs="Calibri"/>
              </w:rPr>
              <w:t xml:space="preserve">–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z poziomu interfejsu zarządczego, monitorowania oraz prezentacji wykresu zawierającego dane dotyczące zużycia prądu oraz temperatury.</w:t>
            </w:r>
          </w:p>
        </w:tc>
      </w:tr>
      <w:tr w:rsidR="00157ACA" w14:paraId="6E54876B" w14:textId="77777777" w:rsidTr="00B419AB">
        <w:trPr>
          <w:trHeight w:val="688"/>
          <w:jc w:val="center"/>
        </w:trPr>
        <w:tc>
          <w:tcPr>
            <w:tcW w:w="842" w:type="dxa"/>
            <w:vAlign w:val="center"/>
          </w:tcPr>
          <w:p w14:paraId="2CCA43A1" w14:textId="77777777" w:rsidR="00157ACA" w:rsidRDefault="00887496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91" w:type="dxa"/>
            <w:vAlign w:val="center"/>
          </w:tcPr>
          <w:p w14:paraId="669146C3" w14:textId="77777777" w:rsidR="00157ACA" w:rsidRDefault="00887496">
            <w:pPr>
              <w:pStyle w:val="Akapitzlist"/>
              <w:widowControl w:val="0"/>
              <w:spacing w:after="0" w:line="240" w:lineRule="atLeast"/>
              <w:ind w:left="57" w:right="57"/>
              <w:jc w:val="both"/>
              <w:rPr>
                <w:rFonts w:cs="Calibri"/>
              </w:rPr>
            </w:pPr>
            <w:r>
              <w:rPr>
                <w:rFonts w:eastAsia="Lucida Grande" w:cs="Calibri"/>
                <w:b/>
              </w:rPr>
              <w:t xml:space="preserve">Interfejsy sieciowe </w:t>
            </w:r>
            <w:r>
              <w:rPr>
                <w:rFonts w:cs="Calibri"/>
                <w:color w:val="00000A"/>
              </w:rPr>
              <w:t>–</w:t>
            </w:r>
            <w:r>
              <w:rPr>
                <w:rFonts w:eastAsia="Lucida Grande" w:cs="Calibri"/>
              </w:rPr>
              <w:t xml:space="preserve"> minimum 2x RJ45 Gigabit Ethernet – 1000BASE-T, nie wlicza się dedykowany interfejs IPMI.</w:t>
            </w:r>
          </w:p>
        </w:tc>
      </w:tr>
      <w:tr w:rsidR="00157ACA" w14:paraId="284E63AC" w14:textId="77777777" w:rsidTr="00B419AB">
        <w:trPr>
          <w:trHeight w:val="995"/>
          <w:jc w:val="center"/>
        </w:trPr>
        <w:tc>
          <w:tcPr>
            <w:tcW w:w="842" w:type="dxa"/>
            <w:vAlign w:val="center"/>
          </w:tcPr>
          <w:p w14:paraId="3BDC193E" w14:textId="77777777" w:rsidR="00157ACA" w:rsidRDefault="00887496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91" w:type="dxa"/>
            <w:vAlign w:val="center"/>
          </w:tcPr>
          <w:p w14:paraId="05C145A8" w14:textId="77777777" w:rsidR="00157ACA" w:rsidRDefault="00887496">
            <w:pPr>
              <w:pStyle w:val="Akapitzlist"/>
              <w:widowControl w:val="0"/>
              <w:spacing w:after="0" w:line="240" w:lineRule="atLeast"/>
              <w:ind w:left="57" w:right="57"/>
              <w:rPr>
                <w:rFonts w:cs="Calibri"/>
              </w:rPr>
            </w:pPr>
            <w:r>
              <w:rPr>
                <w:rFonts w:eastAsia="Lucida Grande" w:cs="Calibri"/>
                <w:b/>
              </w:rPr>
              <w:t>Pamięć operacyjna:</w:t>
            </w:r>
          </w:p>
          <w:p w14:paraId="6299E13F" w14:textId="77777777" w:rsidR="00157ACA" w:rsidRDefault="00887496">
            <w:pPr>
              <w:pStyle w:val="Akapitzlist"/>
              <w:widowControl w:val="0"/>
              <w:spacing w:after="0" w:line="240" w:lineRule="atLeast"/>
              <w:ind w:left="57" w:right="57"/>
              <w:rPr>
                <w:rFonts w:cs="Calibri"/>
              </w:rPr>
            </w:pPr>
            <w:r>
              <w:rPr>
                <w:rFonts w:eastAsia="Lucida Grande" w:cs="Calibri"/>
              </w:rPr>
              <w:t xml:space="preserve">1) obsługa pamięci </w:t>
            </w:r>
            <w:r>
              <w:rPr>
                <w:rFonts w:cs="Calibri"/>
              </w:rPr>
              <w:t xml:space="preserve">– </w:t>
            </w:r>
            <w:r>
              <w:rPr>
                <w:rFonts w:eastAsia="Lucida Grande" w:cs="Calibri"/>
              </w:rPr>
              <w:t>minimum 128GB,</w:t>
            </w:r>
          </w:p>
          <w:p w14:paraId="446315F6" w14:textId="77777777" w:rsidR="00157ACA" w:rsidRDefault="00887496">
            <w:pPr>
              <w:pStyle w:val="Akapitzlist"/>
              <w:widowControl w:val="0"/>
              <w:spacing w:after="0" w:line="240" w:lineRule="atLeast"/>
              <w:ind w:left="57" w:right="57"/>
              <w:rPr>
                <w:rFonts w:cs="Calibri"/>
              </w:rPr>
            </w:pPr>
            <w:r>
              <w:rPr>
                <w:rFonts w:eastAsia="Lucida Grande" w:cs="Calibri"/>
              </w:rPr>
              <w:t xml:space="preserve">2) całkowita ilość </w:t>
            </w:r>
            <w:r>
              <w:rPr>
                <w:rFonts w:cs="Calibri"/>
              </w:rPr>
              <w:t>–</w:t>
            </w:r>
            <w:r>
              <w:rPr>
                <w:rFonts w:eastAsia="Lucida Grande" w:cs="Calibri"/>
              </w:rPr>
              <w:t xml:space="preserve"> minimum 32 GB, w modułach po 16 GB, z korekcją błędów (ECC).</w:t>
            </w:r>
          </w:p>
        </w:tc>
      </w:tr>
      <w:tr w:rsidR="00157ACA" w14:paraId="49741DFD" w14:textId="77777777" w:rsidTr="00B419AB">
        <w:trPr>
          <w:trHeight w:val="425"/>
          <w:jc w:val="center"/>
        </w:trPr>
        <w:tc>
          <w:tcPr>
            <w:tcW w:w="842" w:type="dxa"/>
            <w:vAlign w:val="center"/>
          </w:tcPr>
          <w:p w14:paraId="62528723" w14:textId="77777777" w:rsidR="00157ACA" w:rsidRDefault="00887496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91" w:type="dxa"/>
            <w:vAlign w:val="center"/>
          </w:tcPr>
          <w:p w14:paraId="131738C3" w14:textId="77777777" w:rsidR="00157ACA" w:rsidRDefault="00887496">
            <w:pPr>
              <w:widowControl w:val="0"/>
              <w:tabs>
                <w:tab w:val="left" w:pos="341"/>
                <w:tab w:val="left" w:pos="1757"/>
              </w:tabs>
              <w:spacing w:line="240" w:lineRule="atLeast"/>
              <w:ind w:left="57" w:right="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sz w:val="22"/>
                <w:szCs w:val="22"/>
                <w:lang w:eastAsia="pl-PL"/>
              </w:rPr>
              <w:t>Kontroler RAID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  <w:p w14:paraId="7CE94BA8" w14:textId="77777777" w:rsidR="00157ACA" w:rsidRDefault="00887496">
            <w:pPr>
              <w:pStyle w:val="Tabelapozycja"/>
              <w:numPr>
                <w:ilvl w:val="0"/>
                <w:numId w:val="2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typ kontrolera – sprzętowy,</w:t>
            </w:r>
          </w:p>
          <w:p w14:paraId="1D085C6D" w14:textId="77777777" w:rsidR="00157ACA" w:rsidRDefault="00887496">
            <w:pPr>
              <w:pStyle w:val="Tabelapozycja"/>
              <w:numPr>
                <w:ilvl w:val="0"/>
                <w:numId w:val="2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obsługa dysków – SATA, SAS, NLSAS, SSD,</w:t>
            </w:r>
          </w:p>
          <w:p w14:paraId="64CE86C1" w14:textId="77777777" w:rsidR="00157ACA" w:rsidRDefault="00887496">
            <w:pPr>
              <w:pStyle w:val="Tabelapozycja"/>
              <w:numPr>
                <w:ilvl w:val="0"/>
                <w:numId w:val="2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cache – minimum 8 GB,</w:t>
            </w:r>
          </w:p>
          <w:p w14:paraId="62148D0D" w14:textId="77777777" w:rsidR="00157ACA" w:rsidRDefault="00887496">
            <w:pPr>
              <w:pStyle w:val="Tabelapozycja"/>
              <w:numPr>
                <w:ilvl w:val="0"/>
                <w:numId w:val="2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obsługa – RAID 0/1/5/6/10/50/60.</w:t>
            </w:r>
          </w:p>
        </w:tc>
      </w:tr>
      <w:tr w:rsidR="00157ACA" w14:paraId="77FE2EB0" w14:textId="77777777" w:rsidTr="00B419AB">
        <w:trPr>
          <w:trHeight w:val="2551"/>
          <w:jc w:val="center"/>
        </w:trPr>
        <w:tc>
          <w:tcPr>
            <w:tcW w:w="842" w:type="dxa"/>
            <w:vAlign w:val="center"/>
          </w:tcPr>
          <w:p w14:paraId="06AF4CD4" w14:textId="77777777" w:rsidR="00157ACA" w:rsidRDefault="00887496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8791" w:type="dxa"/>
            <w:vAlign w:val="center"/>
          </w:tcPr>
          <w:p w14:paraId="0E23134C" w14:textId="77777777" w:rsidR="00157ACA" w:rsidRDefault="00887496">
            <w:pPr>
              <w:pStyle w:val="Tabelapozycja"/>
              <w:tabs>
                <w:tab w:val="left" w:pos="199"/>
                <w:tab w:val="left" w:pos="1615"/>
              </w:tabs>
              <w:spacing w:line="240" w:lineRule="atLeast"/>
              <w:ind w:left="57" w:right="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b/>
                <w:sz w:val="22"/>
                <w:szCs w:val="22"/>
                <w:lang w:val="pl-PL"/>
              </w:rPr>
              <w:t>Dyski:</w:t>
            </w:r>
            <w:r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 </w:t>
            </w:r>
          </w:p>
          <w:p w14:paraId="72A7F983" w14:textId="77777777" w:rsidR="00157ACA" w:rsidRDefault="00887496">
            <w:pPr>
              <w:pStyle w:val="Tabelapozycja"/>
              <w:numPr>
                <w:ilvl w:val="0"/>
                <w:numId w:val="3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dyski klasy serwer/</w:t>
            </w:r>
            <w:proofErr w:type="spellStart"/>
            <w:r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enterprise</w:t>
            </w:r>
            <w:proofErr w:type="spellEnd"/>
            <w:r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 HDD SAS 2,5’’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–</w:t>
            </w:r>
            <w:r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 minimum 2 szt.:</w:t>
            </w:r>
          </w:p>
          <w:p w14:paraId="311C0B8E" w14:textId="77777777" w:rsidR="00157ACA" w:rsidRDefault="00887496">
            <w:pPr>
              <w:pStyle w:val="Tabelapozycja"/>
              <w:numPr>
                <w:ilvl w:val="1"/>
                <w:numId w:val="7"/>
              </w:numPr>
              <w:tabs>
                <w:tab w:val="left" w:pos="791"/>
              </w:tabs>
              <w:spacing w:line="240" w:lineRule="atLeast"/>
              <w:ind w:left="511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pojemność pojedynczego dysku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–</w:t>
            </w:r>
            <w:r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 minimum 600GB,</w:t>
            </w:r>
          </w:p>
          <w:p w14:paraId="1BF40EE5" w14:textId="77777777" w:rsidR="00157ACA" w:rsidRDefault="00887496">
            <w:pPr>
              <w:pStyle w:val="Tabelapozycja"/>
              <w:numPr>
                <w:ilvl w:val="1"/>
                <w:numId w:val="7"/>
              </w:numPr>
              <w:tabs>
                <w:tab w:val="left" w:pos="791"/>
              </w:tabs>
              <w:spacing w:line="240" w:lineRule="atLeast"/>
              <w:ind w:left="511" w:right="57" w:hanging="227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color w:val="auto"/>
                <w:sz w:val="22"/>
                <w:szCs w:val="22"/>
                <w:lang w:val="pl-PL"/>
              </w:rPr>
              <w:t xml:space="preserve">interfejs – minimum 12 </w:t>
            </w:r>
            <w:proofErr w:type="spellStart"/>
            <w:r>
              <w:rPr>
                <w:rFonts w:ascii="Calibri" w:eastAsia="Lucida Grande" w:hAnsi="Calibri" w:cs="Calibri"/>
                <w:color w:val="auto"/>
                <w:sz w:val="22"/>
                <w:szCs w:val="22"/>
                <w:lang w:val="pl-PL"/>
              </w:rPr>
              <w:t>Gb</w:t>
            </w:r>
            <w:proofErr w:type="spellEnd"/>
            <w:r>
              <w:rPr>
                <w:rFonts w:ascii="Calibri" w:eastAsia="Lucida Grande" w:hAnsi="Calibri" w:cs="Calibri"/>
                <w:color w:val="auto"/>
                <w:sz w:val="22"/>
                <w:szCs w:val="22"/>
                <w:lang w:val="pl-PL"/>
              </w:rPr>
              <w:t>/s SAS,</w:t>
            </w:r>
          </w:p>
          <w:p w14:paraId="7CEC2587" w14:textId="77777777" w:rsidR="00157ACA" w:rsidRDefault="00887496">
            <w:pPr>
              <w:pStyle w:val="Tabelapozycja"/>
              <w:numPr>
                <w:ilvl w:val="1"/>
                <w:numId w:val="7"/>
              </w:numPr>
              <w:tabs>
                <w:tab w:val="left" w:pos="791"/>
              </w:tabs>
              <w:spacing w:line="240" w:lineRule="atLeast"/>
              <w:ind w:left="511" w:right="57" w:hanging="227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color w:val="auto"/>
                <w:sz w:val="22"/>
                <w:szCs w:val="22"/>
                <w:lang w:val="pl-PL"/>
              </w:rPr>
              <w:t xml:space="preserve">prędkość obrotowa – minimum 15k </w:t>
            </w:r>
            <w:proofErr w:type="spellStart"/>
            <w:r>
              <w:rPr>
                <w:rFonts w:ascii="Calibri" w:eastAsia="Lucida Grande" w:hAnsi="Calibri" w:cs="Calibri"/>
                <w:color w:val="auto"/>
                <w:sz w:val="22"/>
                <w:szCs w:val="22"/>
                <w:lang w:val="pl-PL"/>
              </w:rPr>
              <w:t>obr</w:t>
            </w:r>
            <w:proofErr w:type="spellEnd"/>
            <w:r>
              <w:rPr>
                <w:rFonts w:ascii="Calibri" w:eastAsia="Lucida Grande" w:hAnsi="Calibri" w:cs="Calibri"/>
                <w:color w:val="auto"/>
                <w:sz w:val="22"/>
                <w:szCs w:val="22"/>
                <w:lang w:val="pl-PL"/>
              </w:rPr>
              <w:t xml:space="preserve">./min, </w:t>
            </w:r>
          </w:p>
          <w:p w14:paraId="0A68B10B" w14:textId="77777777" w:rsidR="00157ACA" w:rsidRDefault="00887496">
            <w:pPr>
              <w:pStyle w:val="Tabelapozycja"/>
              <w:numPr>
                <w:ilvl w:val="0"/>
                <w:numId w:val="3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color w:val="auto"/>
                <w:sz w:val="22"/>
                <w:szCs w:val="22"/>
                <w:lang w:val="pl-PL"/>
              </w:rPr>
              <w:t>dyski klasy serwer/</w:t>
            </w:r>
            <w:proofErr w:type="spellStart"/>
            <w:r>
              <w:rPr>
                <w:rFonts w:ascii="Calibri" w:eastAsia="Lucida Grande" w:hAnsi="Calibri" w:cs="Calibri"/>
                <w:color w:val="auto"/>
                <w:sz w:val="22"/>
                <w:szCs w:val="22"/>
                <w:lang w:val="pl-PL"/>
              </w:rPr>
              <w:t>enterprise</w:t>
            </w:r>
            <w:proofErr w:type="spellEnd"/>
            <w:r>
              <w:rPr>
                <w:rFonts w:ascii="Calibri" w:eastAsia="Lucida Grande" w:hAnsi="Calibri" w:cs="Calibri"/>
                <w:color w:val="auto"/>
                <w:sz w:val="22"/>
                <w:szCs w:val="22"/>
                <w:lang w:val="pl-PL"/>
              </w:rPr>
              <w:t xml:space="preserve"> HDD NLSAS 3,5’’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–</w:t>
            </w:r>
            <w:r>
              <w:rPr>
                <w:rFonts w:ascii="Calibri" w:eastAsia="Lucida Grande" w:hAnsi="Calibri" w:cs="Calibri"/>
                <w:color w:val="auto"/>
                <w:sz w:val="22"/>
                <w:szCs w:val="22"/>
                <w:lang w:val="pl-PL"/>
              </w:rPr>
              <w:t xml:space="preserve"> minimum 2 szt.:</w:t>
            </w:r>
          </w:p>
          <w:p w14:paraId="6D5CB65B" w14:textId="77777777" w:rsidR="00157ACA" w:rsidRDefault="00887496">
            <w:pPr>
              <w:pStyle w:val="Tabelapozycja"/>
              <w:numPr>
                <w:ilvl w:val="1"/>
                <w:numId w:val="8"/>
              </w:numPr>
              <w:tabs>
                <w:tab w:val="left" w:pos="791"/>
              </w:tabs>
              <w:spacing w:line="240" w:lineRule="atLeast"/>
              <w:ind w:left="511" w:right="57" w:hanging="227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color w:val="auto"/>
                <w:sz w:val="22"/>
                <w:szCs w:val="22"/>
                <w:lang w:val="pl-PL"/>
              </w:rPr>
              <w:t xml:space="preserve">pojemność pojedynczego dysku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–</w:t>
            </w:r>
            <w:r>
              <w:rPr>
                <w:rFonts w:ascii="Calibri" w:eastAsia="Lucida Grande" w:hAnsi="Calibri" w:cs="Calibri"/>
                <w:color w:val="auto"/>
                <w:sz w:val="22"/>
                <w:szCs w:val="22"/>
                <w:lang w:val="pl-PL"/>
              </w:rPr>
              <w:t xml:space="preserve"> minimum 4TB,</w:t>
            </w:r>
          </w:p>
          <w:p w14:paraId="18CCA637" w14:textId="77777777" w:rsidR="00157ACA" w:rsidRDefault="00887496">
            <w:pPr>
              <w:pStyle w:val="Tabelapozycja"/>
              <w:numPr>
                <w:ilvl w:val="1"/>
                <w:numId w:val="8"/>
              </w:numPr>
              <w:tabs>
                <w:tab w:val="left" w:pos="791"/>
              </w:tabs>
              <w:spacing w:line="240" w:lineRule="atLeast"/>
              <w:ind w:left="511" w:right="57" w:hanging="227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color w:val="auto"/>
                <w:sz w:val="22"/>
                <w:szCs w:val="22"/>
                <w:lang w:val="pl-PL"/>
              </w:rPr>
              <w:t xml:space="preserve">interfejs – minimum 12 </w:t>
            </w:r>
            <w:proofErr w:type="spellStart"/>
            <w:r>
              <w:rPr>
                <w:rFonts w:ascii="Calibri" w:eastAsia="Lucida Grande" w:hAnsi="Calibri" w:cs="Calibri"/>
                <w:color w:val="auto"/>
                <w:sz w:val="22"/>
                <w:szCs w:val="22"/>
                <w:lang w:val="pl-PL"/>
              </w:rPr>
              <w:t>Gb</w:t>
            </w:r>
            <w:proofErr w:type="spellEnd"/>
            <w:r>
              <w:rPr>
                <w:rFonts w:ascii="Calibri" w:eastAsia="Lucida Grande" w:hAnsi="Calibri" w:cs="Calibri"/>
                <w:color w:val="auto"/>
                <w:sz w:val="22"/>
                <w:szCs w:val="22"/>
                <w:lang w:val="pl-PL"/>
              </w:rPr>
              <w:t xml:space="preserve">/s SAS, </w:t>
            </w:r>
          </w:p>
          <w:p w14:paraId="7E1147D8" w14:textId="77777777" w:rsidR="00157ACA" w:rsidRDefault="00887496">
            <w:pPr>
              <w:pStyle w:val="Tabelapozycja"/>
              <w:numPr>
                <w:ilvl w:val="1"/>
                <w:numId w:val="8"/>
              </w:numPr>
              <w:tabs>
                <w:tab w:val="left" w:pos="791"/>
              </w:tabs>
              <w:spacing w:line="240" w:lineRule="atLeast"/>
              <w:ind w:left="511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color w:val="auto"/>
                <w:sz w:val="22"/>
                <w:szCs w:val="22"/>
                <w:lang w:val="pl-PL"/>
              </w:rPr>
              <w:t xml:space="preserve">prędkość obrotowa – minimum 7.2k </w:t>
            </w:r>
            <w:proofErr w:type="spellStart"/>
            <w:r>
              <w:rPr>
                <w:rFonts w:ascii="Calibri" w:eastAsia="Lucida Grande" w:hAnsi="Calibri" w:cs="Calibri"/>
                <w:color w:val="auto"/>
                <w:sz w:val="22"/>
                <w:szCs w:val="22"/>
                <w:lang w:val="pl-PL"/>
              </w:rPr>
              <w:t>obr</w:t>
            </w:r>
            <w:proofErr w:type="spellEnd"/>
            <w:r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./min.</w:t>
            </w:r>
          </w:p>
        </w:tc>
      </w:tr>
      <w:tr w:rsidR="00157ACA" w14:paraId="54E041A4" w14:textId="77777777" w:rsidTr="00B419AB">
        <w:trPr>
          <w:trHeight w:val="2672"/>
          <w:jc w:val="center"/>
        </w:trPr>
        <w:tc>
          <w:tcPr>
            <w:tcW w:w="842" w:type="dxa"/>
            <w:vAlign w:val="center"/>
          </w:tcPr>
          <w:p w14:paraId="6D5214A4" w14:textId="77777777" w:rsidR="00157ACA" w:rsidRDefault="00887496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91" w:type="dxa"/>
            <w:vAlign w:val="center"/>
          </w:tcPr>
          <w:p w14:paraId="00EEB76A" w14:textId="77777777" w:rsidR="00157ACA" w:rsidRDefault="00887496">
            <w:pPr>
              <w:pStyle w:val="Tabelapozycja"/>
              <w:tabs>
                <w:tab w:val="left" w:pos="199"/>
                <w:tab w:val="left" w:pos="1615"/>
              </w:tabs>
              <w:spacing w:line="240" w:lineRule="atLeast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b/>
                <w:color w:val="00000A"/>
                <w:sz w:val="22"/>
                <w:szCs w:val="22"/>
                <w:lang w:val="pl-PL"/>
              </w:rPr>
              <w:t>Obudowa:</w:t>
            </w:r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 xml:space="preserve"> </w:t>
            </w:r>
          </w:p>
          <w:p w14:paraId="60FF1D45" w14:textId="77777777" w:rsidR="00157ACA" w:rsidRDefault="00887496">
            <w:pPr>
              <w:pStyle w:val="Tabelapozycja"/>
              <w:numPr>
                <w:ilvl w:val="0"/>
                <w:numId w:val="4"/>
              </w:numPr>
              <w:spacing w:line="240" w:lineRule="atLeast"/>
              <w:ind w:left="284" w:right="57" w:hanging="227"/>
              <w:jc w:val="both"/>
              <w:rPr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 xml:space="preserve">przystosowana do montażu w szafie typu </w:t>
            </w:r>
            <w:proofErr w:type="spellStart"/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rack</w:t>
            </w:r>
            <w:proofErr w:type="spellEnd"/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 xml:space="preserve"> 19'',</w:t>
            </w:r>
          </w:p>
          <w:p w14:paraId="3612D003" w14:textId="77777777" w:rsidR="00157ACA" w:rsidRDefault="00887496">
            <w:pPr>
              <w:pStyle w:val="Tabelapozycja"/>
              <w:numPr>
                <w:ilvl w:val="0"/>
                <w:numId w:val="4"/>
              </w:numPr>
              <w:spacing w:line="240" w:lineRule="atLeast"/>
              <w:ind w:left="284" w:right="57" w:hanging="227"/>
              <w:jc w:val="both"/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</w:pPr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 xml:space="preserve">wysokość (w jednostkach U – </w:t>
            </w:r>
            <w:proofErr w:type="spellStart"/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units</w:t>
            </w:r>
            <w:proofErr w:type="spellEnd"/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–</w:t>
            </w:r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 xml:space="preserve"> maksymalnie 1U,</w:t>
            </w:r>
          </w:p>
          <w:p w14:paraId="0AC2D045" w14:textId="77777777" w:rsidR="00157ACA" w:rsidRDefault="00887496">
            <w:pPr>
              <w:pStyle w:val="Tabelapozycja"/>
              <w:numPr>
                <w:ilvl w:val="0"/>
                <w:numId w:val="4"/>
              </w:numPr>
              <w:spacing w:line="240" w:lineRule="atLeast"/>
              <w:ind w:left="284" w:right="57" w:hanging="227"/>
              <w:jc w:val="both"/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</w:pPr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minimum 4 sztuki kieszeni typu hot-</w:t>
            </w:r>
            <w:proofErr w:type="spellStart"/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swap</w:t>
            </w:r>
            <w:proofErr w:type="spellEnd"/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 xml:space="preserve"> (hot-plug), </w:t>
            </w:r>
          </w:p>
          <w:p w14:paraId="6EBC9DFC" w14:textId="77777777" w:rsidR="00157ACA" w:rsidRDefault="00887496">
            <w:pPr>
              <w:pStyle w:val="Tabelapozycja"/>
              <w:numPr>
                <w:ilvl w:val="0"/>
                <w:numId w:val="4"/>
              </w:numPr>
              <w:spacing w:line="240" w:lineRule="atLeast"/>
              <w:ind w:left="284" w:right="57" w:hanging="227"/>
              <w:jc w:val="both"/>
              <w:rPr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zintegrowany napęd DVD,</w:t>
            </w:r>
          </w:p>
          <w:p w14:paraId="5505D238" w14:textId="77777777" w:rsidR="00157ACA" w:rsidRDefault="00887496">
            <w:pPr>
              <w:pStyle w:val="Tabelapozycja"/>
              <w:numPr>
                <w:ilvl w:val="0"/>
                <w:numId w:val="4"/>
              </w:numPr>
              <w:spacing w:line="240" w:lineRule="atLeast"/>
              <w:ind w:left="284" w:right="57" w:hanging="227"/>
              <w:jc w:val="both"/>
              <w:rPr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panel z przodu obudowy zawierający wyświetlacz lub diody LCD informujące o statusie pracy serwera lub jego komponentów,</w:t>
            </w:r>
          </w:p>
          <w:p w14:paraId="5B5E89FB" w14:textId="77777777" w:rsidR="00157ACA" w:rsidRDefault="00887496">
            <w:pPr>
              <w:pStyle w:val="Tabelapozycja"/>
              <w:numPr>
                <w:ilvl w:val="0"/>
                <w:numId w:val="4"/>
              </w:numPr>
              <w:spacing w:line="240" w:lineRule="atLeast"/>
              <w:ind w:left="284" w:right="57" w:hanging="227"/>
              <w:jc w:val="both"/>
              <w:rPr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 xml:space="preserve">wyposażona w komplet przesuwnych szyn montażowych wraz z ramieniem na okablowanie, umożliwiających jej ruchomy montaż w szafach typu </w:t>
            </w:r>
            <w:proofErr w:type="spellStart"/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rack</w:t>
            </w:r>
            <w:proofErr w:type="spellEnd"/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 xml:space="preserve"> 19''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–</w:t>
            </w:r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 xml:space="preserve"> wysuwanie obudowy z szafy.</w:t>
            </w:r>
          </w:p>
        </w:tc>
      </w:tr>
      <w:tr w:rsidR="00157ACA" w14:paraId="33661B6A" w14:textId="77777777" w:rsidTr="00B419AB">
        <w:trPr>
          <w:trHeight w:val="454"/>
          <w:jc w:val="center"/>
        </w:trPr>
        <w:tc>
          <w:tcPr>
            <w:tcW w:w="842" w:type="dxa"/>
            <w:vAlign w:val="center"/>
          </w:tcPr>
          <w:p w14:paraId="3A431A27" w14:textId="77777777" w:rsidR="00157ACA" w:rsidRDefault="00887496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91" w:type="dxa"/>
            <w:vAlign w:val="center"/>
          </w:tcPr>
          <w:p w14:paraId="3B4F2163" w14:textId="77777777" w:rsidR="00157ACA" w:rsidRDefault="00887496">
            <w:pPr>
              <w:pStyle w:val="Tabelapozycja"/>
              <w:tabs>
                <w:tab w:val="left" w:pos="199"/>
                <w:tab w:val="left" w:pos="1615"/>
              </w:tabs>
              <w:spacing w:line="240" w:lineRule="atLeast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b/>
                <w:sz w:val="22"/>
                <w:szCs w:val="22"/>
                <w:lang w:val="pl-PL"/>
              </w:rPr>
              <w:t>Zasilacz:</w:t>
            </w:r>
            <w:r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    </w:t>
            </w:r>
          </w:p>
          <w:p w14:paraId="65C096EC" w14:textId="77777777" w:rsidR="00157ACA" w:rsidRDefault="00887496">
            <w:pPr>
              <w:pStyle w:val="Tabelapozycja"/>
              <w:numPr>
                <w:ilvl w:val="0"/>
                <w:numId w:val="5"/>
              </w:numPr>
              <w:spacing w:line="240" w:lineRule="atLeast"/>
              <w:ind w:left="284" w:right="57" w:hanging="227"/>
              <w:jc w:val="both"/>
              <w:rPr>
                <w:rFonts w:ascii="Calibri" w:eastAsia="Lucida Grande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redundantny,</w:t>
            </w:r>
          </w:p>
          <w:p w14:paraId="286AD246" w14:textId="77777777" w:rsidR="00157ACA" w:rsidRDefault="00887496">
            <w:pPr>
              <w:pStyle w:val="Tabelapozycja"/>
              <w:numPr>
                <w:ilvl w:val="0"/>
                <w:numId w:val="5"/>
              </w:numPr>
              <w:spacing w:line="240" w:lineRule="atLeast"/>
              <w:ind w:left="284" w:right="57" w:hanging="227"/>
              <w:jc w:val="both"/>
              <w:rPr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moc – minimum  600 W (każdy moduł),</w:t>
            </w:r>
          </w:p>
          <w:p w14:paraId="2511888B" w14:textId="77777777" w:rsidR="00157ACA" w:rsidRDefault="00887496">
            <w:pPr>
              <w:pStyle w:val="Tabelapozycja"/>
              <w:numPr>
                <w:ilvl w:val="0"/>
                <w:numId w:val="5"/>
              </w:numPr>
              <w:spacing w:line="240" w:lineRule="atLeast"/>
              <w:ind w:left="284" w:right="57" w:hanging="227"/>
              <w:jc w:val="both"/>
              <w:rPr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PFC – aktywne,</w:t>
            </w:r>
          </w:p>
          <w:p w14:paraId="2CB0106B" w14:textId="77777777" w:rsidR="00157ACA" w:rsidRDefault="00887496">
            <w:pPr>
              <w:pStyle w:val="Tabelapozycja"/>
              <w:numPr>
                <w:ilvl w:val="0"/>
                <w:numId w:val="5"/>
              </w:numPr>
              <w:spacing w:line="240" w:lineRule="atLeast"/>
              <w:ind w:left="284" w:right="57" w:hanging="227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posiadający przynajmniej certyfikat</w:t>
            </w:r>
            <w:r>
              <w:rPr>
                <w:rFonts w:ascii="Calibri" w:hAnsi="Calibri" w:cs="Calibri"/>
                <w:color w:val="00B05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80PLUS Platinum,</w:t>
            </w:r>
          </w:p>
          <w:p w14:paraId="79729D21" w14:textId="77777777" w:rsidR="00157ACA" w:rsidRDefault="00887496">
            <w:pPr>
              <w:pStyle w:val="Tabelapozycja"/>
              <w:numPr>
                <w:ilvl w:val="0"/>
                <w:numId w:val="5"/>
              </w:numPr>
              <w:spacing w:line="240" w:lineRule="atLeast"/>
              <w:ind w:left="284" w:right="57" w:hanging="227"/>
              <w:jc w:val="both"/>
              <w:rPr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możliwość wymiany pojedynczego modułu bez konieczności wyłączania serwera (hot-</w:t>
            </w:r>
            <w:proofErr w:type="spellStart"/>
            <w:r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swap</w:t>
            </w:r>
            <w:proofErr w:type="spellEnd"/>
            <w:r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/hot-plug),</w:t>
            </w:r>
          </w:p>
          <w:p w14:paraId="3D02E709" w14:textId="77777777" w:rsidR="00157ACA" w:rsidRDefault="00887496">
            <w:pPr>
              <w:pStyle w:val="Tabelapozycja"/>
              <w:numPr>
                <w:ilvl w:val="0"/>
                <w:numId w:val="5"/>
              </w:numPr>
              <w:spacing w:line="240" w:lineRule="atLeast"/>
              <w:ind w:left="284" w:right="57" w:hanging="227"/>
              <w:jc w:val="both"/>
              <w:rPr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odpowiedni do prawidłowego zasilania oferowanego zestawu i montażu w oferowanej obudowie.</w:t>
            </w:r>
          </w:p>
        </w:tc>
      </w:tr>
      <w:tr w:rsidR="00157ACA" w14:paraId="26090C58" w14:textId="77777777" w:rsidTr="00B419AB">
        <w:trPr>
          <w:trHeight w:val="572"/>
          <w:jc w:val="center"/>
        </w:trPr>
        <w:tc>
          <w:tcPr>
            <w:tcW w:w="842" w:type="dxa"/>
            <w:vAlign w:val="center"/>
          </w:tcPr>
          <w:p w14:paraId="6F366E7F" w14:textId="77777777" w:rsidR="00157ACA" w:rsidRDefault="00887496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91" w:type="dxa"/>
            <w:vAlign w:val="center"/>
          </w:tcPr>
          <w:p w14:paraId="1639F8CC" w14:textId="77777777" w:rsidR="00157ACA" w:rsidRDefault="00887496">
            <w:pPr>
              <w:pStyle w:val="Tabelapozycja"/>
              <w:tabs>
                <w:tab w:val="left" w:pos="284"/>
                <w:tab w:val="left" w:pos="1700"/>
              </w:tabs>
              <w:spacing w:line="240" w:lineRule="atLeast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  <w:lang w:val="pl-PL"/>
              </w:rPr>
              <w:t xml:space="preserve">System operacyjny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–</w:t>
            </w:r>
            <w:r>
              <w:rPr>
                <w:rFonts w:ascii="Calibri" w:hAnsi="Calibri" w:cs="Calibri"/>
                <w:color w:val="00000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Windows Server Standard 2022 16 </w:t>
            </w:r>
            <w:proofErr w:type="spellStart"/>
            <w:r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core</w:t>
            </w:r>
            <w:proofErr w:type="spellEnd"/>
            <w:r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 lub równoważny, nowy, nigdy wcześniej nie aktywowany i pochodzący z oficjalnego kanału dystrybucji wraz z 5 licencjami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MS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pl-PL"/>
              </w:rPr>
              <w:t>WinServer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 2022 User CAL lub równoważnymi licencjami dostępowymi na użytkownika do zaoferowanego systemu operacyjnego</w:t>
            </w:r>
            <w:r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.</w:t>
            </w:r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 xml:space="preserve"> Licencje na serwerowy system operacyjny muszą uprawniać do uruchamiania serwerowego systemu operacyjnego w środowisku fizycznym i wirtualnych środowisk serwerowego systemu operacyjnego za pomocą wbudowanych mechanizmów wirtualizacji. Serwerowy system operacyjny musi posiadać następujące, wbudowane cechy: </w:t>
            </w:r>
          </w:p>
          <w:p w14:paraId="490A6AEC" w14:textId="77777777" w:rsidR="00157ACA" w:rsidRDefault="00887496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284" w:right="57" w:hanging="227"/>
              <w:jc w:val="both"/>
              <w:rPr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współpraca z procesorami o architekturze x86-64,</w:t>
            </w:r>
          </w:p>
          <w:p w14:paraId="2FB4BE25" w14:textId="77777777" w:rsidR="00157ACA" w:rsidRDefault="00887496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284" w:right="57" w:hanging="227"/>
              <w:jc w:val="both"/>
              <w:rPr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instalacja i użytkowanie aplikacji 32-bit. i 64-bit. na dostarczonym systemie operacyjnym,</w:t>
            </w:r>
          </w:p>
          <w:p w14:paraId="43EF662F" w14:textId="77777777" w:rsidR="00157ACA" w:rsidRDefault="00887496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284" w:right="57" w:hanging="227"/>
              <w:jc w:val="both"/>
              <w:rPr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w ramach dostarczonej licencji zawarta możliwość instalacji oprogramowania na serwerze wyposażonym w 32 rdzenie,</w:t>
            </w:r>
          </w:p>
          <w:p w14:paraId="5230039F" w14:textId="77777777" w:rsidR="00157ACA" w:rsidRDefault="00887496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284" w:right="57" w:hanging="227"/>
              <w:jc w:val="both"/>
              <w:rPr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pojemność obsługiwanej pamięci RAM w ramach jednej instancji systemu operacyjnego - co najmniej 4TB,</w:t>
            </w:r>
          </w:p>
          <w:p w14:paraId="1707CFD8" w14:textId="77777777" w:rsidR="00157ACA" w:rsidRDefault="00887496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284" w:right="57" w:hanging="227"/>
              <w:jc w:val="both"/>
              <w:rPr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obsługa dostępu wielościeżkowego do zasobów LAN poprzez kontrolery Gigabit Ethernet, w trybie równoważenia obciążenia łącza (</w:t>
            </w:r>
            <w:proofErr w:type="spellStart"/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load</w:t>
            </w:r>
            <w:proofErr w:type="spellEnd"/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balancing</w:t>
            </w:r>
            <w:proofErr w:type="spellEnd"/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) i redundancji łącza (</w:t>
            </w:r>
            <w:proofErr w:type="spellStart"/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failover</w:t>
            </w:r>
            <w:proofErr w:type="spellEnd"/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) – natywnie lub z wykorzystaniem sterowników producenta sprzętu,</w:t>
            </w:r>
          </w:p>
          <w:p w14:paraId="21BD4638" w14:textId="77777777" w:rsidR="00157ACA" w:rsidRDefault="00887496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284" w:right="57" w:hanging="227"/>
              <w:jc w:val="both"/>
              <w:rPr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praca w roli klienta domeny Microsoft Active Directory,</w:t>
            </w:r>
          </w:p>
          <w:p w14:paraId="753BA762" w14:textId="77777777" w:rsidR="00157ACA" w:rsidRDefault="00887496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284" w:right="57" w:hanging="227"/>
              <w:jc w:val="both"/>
              <w:rPr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zawarta możliwość uruchomienia roli kontrolera domeny Microsoft Active Directory na poziomie Microsoft Windows Server 2012,</w:t>
            </w:r>
          </w:p>
          <w:p w14:paraId="0C916107" w14:textId="77777777" w:rsidR="00157ACA" w:rsidRDefault="00887496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284" w:right="57" w:hanging="227"/>
              <w:jc w:val="both"/>
              <w:rPr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 xml:space="preserve">zawarta możliwość uruchomienia roli serwera DHCP, w tym funkcji </w:t>
            </w:r>
            <w:proofErr w:type="spellStart"/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klastrowania</w:t>
            </w:r>
            <w:proofErr w:type="spellEnd"/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 xml:space="preserve"> serwera DHCP (możliwość uruchomienia co najmniej dwóch serwerów DHCP operujących jednocześnie na tej samej puli oferowanych adresów IP),</w:t>
            </w:r>
          </w:p>
          <w:p w14:paraId="4043F7ED" w14:textId="77777777" w:rsidR="00157ACA" w:rsidRDefault="00887496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284" w:right="57" w:hanging="227"/>
              <w:jc w:val="both"/>
              <w:rPr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zawarta możliwość uruchomienia roli serwera DNS,</w:t>
            </w:r>
          </w:p>
          <w:p w14:paraId="0A8B0349" w14:textId="77777777" w:rsidR="00157ACA" w:rsidRDefault="00887496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397" w:right="57" w:hanging="340"/>
              <w:jc w:val="both"/>
              <w:rPr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lastRenderedPageBreak/>
              <w:t>zawarta możliwość uruchomienia roli klienta i serwera czasu (NTP),</w:t>
            </w:r>
          </w:p>
          <w:p w14:paraId="1209C63D" w14:textId="77777777" w:rsidR="00157ACA" w:rsidRDefault="00887496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397" w:right="57" w:hanging="340"/>
              <w:jc w:val="both"/>
              <w:rPr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zawarta możliwość uruchomienia roli serwera plików z uwierzytelnieniem i autoryzacją dostępu w domenie Microsoft Active Directory,</w:t>
            </w:r>
          </w:p>
          <w:p w14:paraId="1C06C6EA" w14:textId="77777777" w:rsidR="00157ACA" w:rsidRDefault="00887496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397" w:right="57" w:hanging="340"/>
              <w:jc w:val="both"/>
              <w:rPr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zawarta możliwość uruchomienia roli serwera wydruku z uwierzytelnieniem i autoryzacją dostępu w domenie Microsoft Active Directory,</w:t>
            </w:r>
          </w:p>
          <w:p w14:paraId="4B09ADB0" w14:textId="77777777" w:rsidR="00157ACA" w:rsidRDefault="00887496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397" w:right="57" w:hanging="340"/>
              <w:jc w:val="both"/>
              <w:rPr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zawarta możliwość uruchomienia roli serwera stron WWW,</w:t>
            </w:r>
          </w:p>
          <w:p w14:paraId="4D5918FF" w14:textId="77777777" w:rsidR="00157ACA" w:rsidRDefault="00887496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397" w:right="57" w:hanging="340"/>
              <w:jc w:val="both"/>
              <w:rPr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 xml:space="preserve">w ramach dostarczonej licencji zawarte prawo do użytkowania i dostęp do oprogramowania oferowanego przez producenta systemu operacyjnego umożliwiającego </w:t>
            </w:r>
            <w:proofErr w:type="spellStart"/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wirtualizowanie</w:t>
            </w:r>
            <w:proofErr w:type="spellEnd"/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 xml:space="preserve"> zasobów sprzętowych serwera,</w:t>
            </w:r>
          </w:p>
          <w:p w14:paraId="6E20C33A" w14:textId="77777777" w:rsidR="00157ACA" w:rsidRDefault="00887496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397" w:right="57" w:hanging="340"/>
              <w:jc w:val="both"/>
              <w:rPr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w ramach dostarczonej licencji zawarte prawo do instalacji i użytkowania systemu operacyjnego na co najmniej dwóch maszynach wirtualnych,</w:t>
            </w:r>
          </w:p>
          <w:p w14:paraId="79EE8B0B" w14:textId="77777777" w:rsidR="00157ACA" w:rsidRDefault="00887496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397" w:right="57" w:hanging="340"/>
              <w:jc w:val="both"/>
              <w:rPr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w ramach dostarczonej licencji zawarte prawo do pobierania poprawek systemu operacyjnego,</w:t>
            </w:r>
          </w:p>
          <w:p w14:paraId="4F591251" w14:textId="77777777" w:rsidR="00157ACA" w:rsidRDefault="00887496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397" w:right="57" w:hanging="340"/>
              <w:jc w:val="both"/>
              <w:rPr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wszystkie wymienione w tabeli parametry, role, funkcje, itp. systemu operacyjnego objęte są dostarczoną licencją (licencjami) i zawarte w dostarczonej wersji oprogramowania (nie wymagają ponoszenia przez zamawiającego dodatkowych kosztów),</w:t>
            </w:r>
          </w:p>
          <w:p w14:paraId="272087DE" w14:textId="77777777" w:rsidR="00157ACA" w:rsidRDefault="00887496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397" w:right="57" w:hanging="340"/>
              <w:jc w:val="both"/>
              <w:rPr>
                <w:sz w:val="22"/>
                <w:szCs w:val="22"/>
              </w:rPr>
            </w:pPr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zamawiający dopuszcza instalację systemu operacyjnego przez wykonawcę, ale bez jego aktywacji.</w:t>
            </w:r>
          </w:p>
        </w:tc>
      </w:tr>
      <w:tr w:rsidR="00157ACA" w14:paraId="47D5D42A" w14:textId="77777777" w:rsidTr="00B419AB">
        <w:trPr>
          <w:trHeight w:val="678"/>
          <w:jc w:val="center"/>
        </w:trPr>
        <w:tc>
          <w:tcPr>
            <w:tcW w:w="842" w:type="dxa"/>
            <w:vAlign w:val="center"/>
          </w:tcPr>
          <w:p w14:paraId="442B4464" w14:textId="77777777" w:rsidR="00157ACA" w:rsidRDefault="00887496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8791" w:type="dxa"/>
            <w:vAlign w:val="center"/>
          </w:tcPr>
          <w:p w14:paraId="4AEB818D" w14:textId="77777777" w:rsidR="00157ACA" w:rsidRDefault="00887496">
            <w:pPr>
              <w:pStyle w:val="Tabelapozycja"/>
              <w:spacing w:line="240" w:lineRule="atLeast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  <w:lang w:val="pl-PL"/>
              </w:rPr>
              <w:t xml:space="preserve">Wymagania dodatkowe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–</w:t>
            </w:r>
            <w:r>
              <w:rPr>
                <w:rFonts w:ascii="Calibri" w:hAnsi="Calibri" w:cs="Calibri"/>
                <w:color w:val="00000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 xml:space="preserve">serwer musi być kompletny, jako gotowy do uruchomienia zestaw  producenta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–</w:t>
            </w:r>
            <w:r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nie dopuszcza się modyfikacji sprzętowej oraz programowej serwera.</w:t>
            </w:r>
          </w:p>
        </w:tc>
      </w:tr>
      <w:tr w:rsidR="00157ACA" w14:paraId="77D6A971" w14:textId="77777777" w:rsidTr="00B419AB">
        <w:trPr>
          <w:trHeight w:val="454"/>
          <w:jc w:val="center"/>
        </w:trPr>
        <w:tc>
          <w:tcPr>
            <w:tcW w:w="842" w:type="dxa"/>
            <w:vAlign w:val="center"/>
          </w:tcPr>
          <w:p w14:paraId="71393635" w14:textId="77777777" w:rsidR="00157ACA" w:rsidRDefault="00887496">
            <w:pPr>
              <w:pStyle w:val="Domylnie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91" w:type="dxa"/>
            <w:vAlign w:val="center"/>
          </w:tcPr>
          <w:p w14:paraId="3AE17F1F" w14:textId="77777777" w:rsidR="00157ACA" w:rsidRDefault="00887496">
            <w:pPr>
              <w:pStyle w:val="Akapitzlist"/>
              <w:widowControl w:val="0"/>
              <w:spacing w:after="0" w:line="240" w:lineRule="atLeast"/>
              <w:ind w:left="57" w:right="57"/>
              <w:jc w:val="both"/>
              <w:rPr>
                <w:rFonts w:cs="Calibri"/>
                <w:color w:val="00000A"/>
              </w:rPr>
            </w:pPr>
            <w:r>
              <w:rPr>
                <w:rFonts w:cs="Calibri"/>
                <w:b/>
                <w:color w:val="00000A"/>
              </w:rPr>
              <w:t xml:space="preserve">Gwarancja </w:t>
            </w:r>
            <w:r>
              <w:rPr>
                <w:rFonts w:cs="Calibri"/>
              </w:rPr>
              <w:t xml:space="preserve">– </w:t>
            </w:r>
            <w:r>
              <w:rPr>
                <w:rFonts w:cs="Calibri"/>
                <w:color w:val="00000A"/>
              </w:rPr>
              <w:t>36 miesięcy.</w:t>
            </w:r>
          </w:p>
        </w:tc>
      </w:tr>
    </w:tbl>
    <w:p w14:paraId="012F4473" w14:textId="77777777" w:rsidR="00157ACA" w:rsidRDefault="00157ACA"/>
    <w:sectPr w:rsidR="00157ACA" w:rsidSect="00887496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38C5" w14:textId="77777777" w:rsidR="00BB47CC" w:rsidRDefault="00BB47CC">
      <w:r>
        <w:separator/>
      </w:r>
    </w:p>
  </w:endnote>
  <w:endnote w:type="continuationSeparator" w:id="0">
    <w:p w14:paraId="00B3A8BA" w14:textId="77777777" w:rsidR="00BB47CC" w:rsidRDefault="00BB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331892"/>
      <w:docPartObj>
        <w:docPartGallery w:val="Page Numbers (Bottom of Page)"/>
        <w:docPartUnique/>
      </w:docPartObj>
    </w:sdtPr>
    <w:sdtEndPr/>
    <w:sdtContent>
      <w:p w14:paraId="595AF64D" w14:textId="77777777" w:rsidR="00157ACA" w:rsidRDefault="00887496">
        <w:pPr>
          <w:pStyle w:val="Stopka"/>
          <w:jc w:val="right"/>
        </w:pPr>
        <w:r>
          <w:rPr>
            <w:rFonts w:ascii="Calibri" w:hAnsi="Calibri" w:cs="Calibri"/>
            <w:sz w:val="20"/>
            <w:szCs w:val="20"/>
          </w:rPr>
          <w:fldChar w:fldCharType="begin"/>
        </w:r>
        <w:r>
          <w:rPr>
            <w:rFonts w:ascii="Calibri" w:hAnsi="Calibri" w:cs="Calibri"/>
            <w:sz w:val="20"/>
            <w:szCs w:val="20"/>
          </w:rPr>
          <w:instrText xml:space="preserve"> PAGE </w:instrText>
        </w:r>
        <w:r>
          <w:rPr>
            <w:rFonts w:ascii="Calibri" w:hAnsi="Calibri" w:cs="Calibri"/>
            <w:sz w:val="20"/>
            <w:szCs w:val="20"/>
          </w:rPr>
          <w:fldChar w:fldCharType="separate"/>
        </w:r>
        <w:r>
          <w:rPr>
            <w:rFonts w:ascii="Calibri" w:hAnsi="Calibri" w:cs="Calibri"/>
            <w:sz w:val="20"/>
            <w:szCs w:val="20"/>
          </w:rPr>
          <w:t>3</w:t>
        </w:r>
        <w:r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11A7DA3E" w14:textId="77777777" w:rsidR="00157ACA" w:rsidRDefault="00157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32FE" w14:textId="77777777" w:rsidR="00BB47CC" w:rsidRDefault="00BB47CC">
      <w:r>
        <w:separator/>
      </w:r>
    </w:p>
  </w:footnote>
  <w:footnote w:type="continuationSeparator" w:id="0">
    <w:p w14:paraId="14000DD2" w14:textId="77777777" w:rsidR="00BB47CC" w:rsidRDefault="00BB4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8E36" w14:textId="5860843D" w:rsidR="00157ACA" w:rsidRDefault="00887496">
    <w:pPr>
      <w:pStyle w:val="Nagwek"/>
      <w:rPr>
        <w:rFonts w:ascii="Calibri" w:hAnsi="Calibri" w:cs="Calibri"/>
        <w:sz w:val="20"/>
        <w:szCs w:val="20"/>
      </w:rPr>
    </w:pPr>
    <w:r w:rsidRPr="00E51859">
      <w:rPr>
        <w:rFonts w:ascii="Calibri" w:hAnsi="Calibri" w:cs="Calibri"/>
        <w:sz w:val="20"/>
        <w:szCs w:val="20"/>
      </w:rPr>
      <w:t>WO-IV.272.2</w:t>
    </w:r>
    <w:r>
      <w:rPr>
        <w:rFonts w:ascii="Calibri" w:hAnsi="Calibri" w:cs="Calibri"/>
        <w:sz w:val="20"/>
        <w:szCs w:val="20"/>
      </w:rPr>
      <w:t>3</w:t>
    </w:r>
    <w:r w:rsidRPr="00E51859">
      <w:rPr>
        <w:rFonts w:ascii="Calibri" w:hAnsi="Calibri" w:cs="Calibri"/>
        <w:sz w:val="20"/>
        <w:szCs w:val="20"/>
      </w:rPr>
      <w:t>.2023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 w:rsidRPr="00E51859">
      <w:rPr>
        <w:rFonts w:ascii="Calibri" w:hAnsi="Calibri" w:cs="Calibri"/>
        <w:sz w:val="20"/>
        <w:szCs w:val="20"/>
      </w:rPr>
      <w:t xml:space="preserve"> Załącznik nr </w:t>
    </w:r>
    <w:r>
      <w:rPr>
        <w:rFonts w:ascii="Calibri" w:hAnsi="Calibri" w:cs="Calibri"/>
        <w:sz w:val="20"/>
        <w:szCs w:val="20"/>
      </w:rPr>
      <w:t>4</w:t>
    </w:r>
    <w:r w:rsidRPr="00E51859">
      <w:rPr>
        <w:rFonts w:ascii="Calibri" w:hAnsi="Calibri" w:cs="Calibri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469"/>
    <w:multiLevelType w:val="multilevel"/>
    <w:tmpl w:val="4FC224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EA71C4"/>
    <w:multiLevelType w:val="multilevel"/>
    <w:tmpl w:val="649664F4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2" w15:restartNumberingAfterBreak="0">
    <w:nsid w:val="196F67FE"/>
    <w:multiLevelType w:val="multilevel"/>
    <w:tmpl w:val="812E22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0D12E9F"/>
    <w:multiLevelType w:val="multilevel"/>
    <w:tmpl w:val="B18000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A5359F"/>
    <w:multiLevelType w:val="multilevel"/>
    <w:tmpl w:val="82E4F22E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5" w15:restartNumberingAfterBreak="0">
    <w:nsid w:val="2DBE00FD"/>
    <w:multiLevelType w:val="multilevel"/>
    <w:tmpl w:val="4F66792C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1.%2)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6" w15:restartNumberingAfterBreak="0">
    <w:nsid w:val="33BA23BD"/>
    <w:multiLevelType w:val="multilevel"/>
    <w:tmpl w:val="7AE40BAE"/>
    <w:lvl w:ilvl="0">
      <w:start w:val="1"/>
      <w:numFmt w:val="lowerLetter"/>
      <w:lvlText w:val="%1)"/>
      <w:lvlJc w:val="left"/>
      <w:pPr>
        <w:tabs>
          <w:tab w:val="num" w:pos="0"/>
        </w:tabs>
        <w:ind w:left="94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07" w:hanging="180"/>
      </w:pPr>
    </w:lvl>
  </w:abstractNum>
  <w:abstractNum w:abstractNumId="7" w15:restartNumberingAfterBreak="0">
    <w:nsid w:val="341A078D"/>
    <w:multiLevelType w:val="multilevel"/>
    <w:tmpl w:val="BF281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7254174"/>
    <w:multiLevelType w:val="multilevel"/>
    <w:tmpl w:val="72BAE882"/>
    <w:lvl w:ilvl="0">
      <w:start w:val="1"/>
      <w:numFmt w:val="decimal"/>
      <w:lvlText w:val="%1)"/>
      <w:lvlJc w:val="left"/>
      <w:pPr>
        <w:tabs>
          <w:tab w:val="num" w:pos="0"/>
        </w:tabs>
        <w:ind w:left="777" w:hanging="360"/>
      </w:pPr>
      <w:rPr>
        <w:rFonts w:ascii="Calibri" w:hAnsi="Calibri" w:cs="Calibri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9" w15:restartNumberingAfterBreak="0">
    <w:nsid w:val="384F6AE7"/>
    <w:multiLevelType w:val="multilevel"/>
    <w:tmpl w:val="F61AD62C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10" w15:restartNumberingAfterBreak="0">
    <w:nsid w:val="47FE1B1C"/>
    <w:multiLevelType w:val="multilevel"/>
    <w:tmpl w:val="768AF0DE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11" w15:restartNumberingAfterBreak="0">
    <w:nsid w:val="51BB33B8"/>
    <w:multiLevelType w:val="multilevel"/>
    <w:tmpl w:val="ADFE56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7AE7143"/>
    <w:multiLevelType w:val="multilevel"/>
    <w:tmpl w:val="B656A76E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13" w15:restartNumberingAfterBreak="0">
    <w:nsid w:val="6B2D7C53"/>
    <w:multiLevelType w:val="multilevel"/>
    <w:tmpl w:val="BF24399C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num w:numId="1" w16cid:durableId="220869235">
    <w:abstractNumId w:val="13"/>
  </w:num>
  <w:num w:numId="2" w16cid:durableId="262542806">
    <w:abstractNumId w:val="4"/>
  </w:num>
  <w:num w:numId="3" w16cid:durableId="2131312683">
    <w:abstractNumId w:val="5"/>
  </w:num>
  <w:num w:numId="4" w16cid:durableId="130683162">
    <w:abstractNumId w:val="12"/>
  </w:num>
  <w:num w:numId="5" w16cid:durableId="941915833">
    <w:abstractNumId w:val="10"/>
  </w:num>
  <w:num w:numId="6" w16cid:durableId="1032146747">
    <w:abstractNumId w:val="8"/>
  </w:num>
  <w:num w:numId="7" w16cid:durableId="2007704573">
    <w:abstractNumId w:val="9"/>
  </w:num>
  <w:num w:numId="8" w16cid:durableId="30961746">
    <w:abstractNumId w:val="1"/>
  </w:num>
  <w:num w:numId="9" w16cid:durableId="106781186">
    <w:abstractNumId w:val="6"/>
  </w:num>
  <w:num w:numId="10" w16cid:durableId="1257640569">
    <w:abstractNumId w:val="11"/>
  </w:num>
  <w:num w:numId="11" w16cid:durableId="1542940723">
    <w:abstractNumId w:val="0"/>
  </w:num>
  <w:num w:numId="12" w16cid:durableId="937562357">
    <w:abstractNumId w:val="7"/>
  </w:num>
  <w:num w:numId="13" w16cid:durableId="755782674">
    <w:abstractNumId w:val="2"/>
  </w:num>
  <w:num w:numId="14" w16cid:durableId="1796286165">
    <w:abstractNumId w:val="3"/>
  </w:num>
  <w:num w:numId="15" w16cid:durableId="2122609640">
    <w:abstractNumId w:val="11"/>
    <w:lvlOverride w:ilvl="0">
      <w:startOverride w:val="1"/>
    </w:lvlOverride>
  </w:num>
  <w:num w:numId="16" w16cid:durableId="852652129">
    <w:abstractNumId w:val="11"/>
  </w:num>
  <w:num w:numId="17" w16cid:durableId="307128146">
    <w:abstractNumId w:val="11"/>
  </w:num>
  <w:num w:numId="18" w16cid:durableId="16587236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CA"/>
    <w:rsid w:val="00157ACA"/>
    <w:rsid w:val="00887496"/>
    <w:rsid w:val="00997382"/>
    <w:rsid w:val="00B419AB"/>
    <w:rsid w:val="00BB47CC"/>
    <w:rsid w:val="00CD4FD7"/>
    <w:rsid w:val="00D72CF5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5BAD"/>
  <w15:docId w15:val="{64CD9544-D70F-4C90-9965-F25C3EC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546"/>
    <w:rPr>
      <w:rFonts w:ascii="Liberation Serif" w:eastAsia="Noto Serif CJK SC" w:hAnsi="Liberation Serif" w:cs="FreeSans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qFormat/>
    <w:rsid w:val="00A26546"/>
    <w:rPr>
      <w:color w:val="0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51859"/>
    <w:rPr>
      <w:rFonts w:ascii="Liberation Serif" w:eastAsia="Noto Serif CJK SC" w:hAnsi="Liberation Serif" w:cs="Mangal"/>
      <w:sz w:val="24"/>
      <w:szCs w:val="21"/>
      <w:lang w:eastAsia="zh-CN" w:bidi="hi-IN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51859"/>
    <w:rPr>
      <w:rFonts w:ascii="Liberation Serif" w:eastAsia="Noto Serif CJK SC" w:hAnsi="Liberation Serif" w:cs="Mangal"/>
      <w:sz w:val="24"/>
      <w:szCs w:val="21"/>
      <w:lang w:eastAsia="zh-CN" w:bidi="hi-IN"/>
      <w14:ligatures w14:val="none"/>
    </w:rPr>
  </w:style>
  <w:style w:type="character" w:customStyle="1" w:styleId="Internetlnk">
    <w:name w:val="Internetlänk"/>
    <w:rPr>
      <w:color w:val="000080"/>
      <w:u w:val="single"/>
    </w:rPr>
  </w:style>
  <w:style w:type="paragraph" w:customStyle="1" w:styleId="Rubrik">
    <w:name w:val="Rubrik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ny"/>
    <w:qFormat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E51859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omylnie">
    <w:name w:val="Domy[lnie"/>
    <w:qFormat/>
    <w:rsid w:val="00A26546"/>
    <w:rPr>
      <w:rFonts w:ascii="Arial" w:eastAsia="Times New Roman" w:hAnsi="Arial" w:cs="Arial"/>
      <w:sz w:val="24"/>
      <w:szCs w:val="24"/>
      <w:lang w:eastAsia="zh-CN"/>
      <w14:ligatures w14:val="none"/>
    </w:rPr>
  </w:style>
  <w:style w:type="paragraph" w:customStyle="1" w:styleId="Tabelapozycja">
    <w:name w:val="Tabela pozycja"/>
    <w:qFormat/>
    <w:rsid w:val="00A26546"/>
    <w:pPr>
      <w:widowControl w:val="0"/>
    </w:pPr>
    <w:rPr>
      <w:rFonts w:ascii="Arial" w:eastAsia="ヒラギノ角ゴ Pro W3" w:hAnsi="Arial" w:cs="Arial"/>
      <w:color w:val="000000"/>
      <w:sz w:val="24"/>
      <w:szCs w:val="20"/>
      <w:lang w:val="en-US" w:eastAsia="zh-CN" w:bidi="hi-IN"/>
      <w14:ligatures w14:val="none"/>
    </w:rPr>
  </w:style>
  <w:style w:type="paragraph" w:styleId="Akapitzlist">
    <w:name w:val="List Paragraph"/>
    <w:basedOn w:val="Normalny"/>
    <w:qFormat/>
    <w:rsid w:val="00A26546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paragraph" w:customStyle="1" w:styleId="Gwkaistopka">
    <w:name w:val="Główka i stopka"/>
    <w:basedOn w:val="Normalny"/>
    <w:qFormat/>
  </w:style>
  <w:style w:type="paragraph" w:customStyle="1" w:styleId="Sidhuvudochsidfot">
    <w:name w:val="Sidhuvud och sidfot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51859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ec.org/cgi-bin/osgresults?conf=rint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951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Bućwiło</dc:creator>
  <dc:description/>
  <cp:lastModifiedBy>Urszula Kalinowska</cp:lastModifiedBy>
  <cp:revision>36</cp:revision>
  <dcterms:created xsi:type="dcterms:W3CDTF">2023-04-24T07:42:00Z</dcterms:created>
  <dcterms:modified xsi:type="dcterms:W3CDTF">2023-10-31T11:02:00Z</dcterms:modified>
  <dc:language>pl-PL</dc:language>
</cp:coreProperties>
</file>