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6C64" w14:textId="77777777" w:rsidR="0061680C" w:rsidRDefault="00000000">
      <w:pPr>
        <w:pStyle w:val="Bezodstpw"/>
        <w:ind w:left="993"/>
        <w:jc w:val="center"/>
        <w:rPr>
          <w:rFonts w:eastAsia="Times New Roman" w:cs="Times New Roman"/>
          <w:b/>
          <w:bCs/>
          <w:color w:val="000000" w:themeColor="text1"/>
          <w:sz w:val="18"/>
          <w:szCs w:val="18"/>
        </w:rPr>
      </w:pPr>
      <w:r>
        <w:rPr>
          <w:rFonts w:eastAsia="Times New Roman" w:cs="Times New Roman"/>
          <w:b/>
          <w:bCs/>
          <w:color w:val="000000" w:themeColor="text1"/>
          <w:sz w:val="18"/>
          <w:szCs w:val="18"/>
        </w:rPr>
        <w:t>WYKAZ ZAANGAŻOWAŃ  Gmina Baborów</w:t>
      </w:r>
    </w:p>
    <w:p w14:paraId="3F152CFE" w14:textId="77777777" w:rsidR="0061680C" w:rsidRDefault="00000000">
      <w:pPr>
        <w:spacing w:after="0" w:line="240" w:lineRule="auto"/>
        <w:ind w:left="3828"/>
        <w:rPr>
          <w:rFonts w:eastAsia="Times New Roman" w:cs="Times New Roman"/>
          <w:b/>
          <w:bCs/>
          <w:color w:val="000000" w:themeColor="text1"/>
          <w:sz w:val="18"/>
          <w:szCs w:val="18"/>
        </w:rPr>
      </w:pPr>
      <w:r>
        <w:rPr>
          <w:rFonts w:eastAsia="Times New Roman" w:cs="Times New Roman"/>
          <w:b/>
          <w:bCs/>
          <w:color w:val="000000" w:themeColor="text1"/>
          <w:sz w:val="18"/>
          <w:szCs w:val="18"/>
        </w:rPr>
        <w:t>TYP zobowiązania:</w:t>
      </w:r>
    </w:p>
    <w:p w14:paraId="2A6BDEFF" w14:textId="77777777" w:rsidR="0061680C" w:rsidRDefault="00000000">
      <w:pPr>
        <w:pStyle w:val="Akapitzlist"/>
        <w:numPr>
          <w:ilvl w:val="0"/>
          <w:numId w:val="1"/>
        </w:numPr>
        <w:spacing w:after="0" w:line="240" w:lineRule="auto"/>
        <w:ind w:left="3828" w:hanging="284"/>
        <w:rPr>
          <w:rFonts w:eastAsia="Times New Roman" w:cs="Times New Roman"/>
          <w:bCs/>
          <w:color w:val="000000" w:themeColor="text1"/>
          <w:sz w:val="18"/>
          <w:szCs w:val="18"/>
        </w:rPr>
      </w:pPr>
      <w:r>
        <w:rPr>
          <w:rFonts w:eastAsia="Times New Roman" w:cs="Times New Roman"/>
          <w:bCs/>
          <w:color w:val="000000" w:themeColor="text1"/>
          <w:sz w:val="18"/>
          <w:szCs w:val="18"/>
        </w:rPr>
        <w:t>kredyty, obligacje, pożyczki</w:t>
      </w:r>
    </w:p>
    <w:p w14:paraId="0756A47F" w14:textId="77777777" w:rsidR="0061680C" w:rsidRDefault="00000000">
      <w:pPr>
        <w:pStyle w:val="Akapitzlist"/>
        <w:numPr>
          <w:ilvl w:val="0"/>
          <w:numId w:val="1"/>
        </w:numPr>
        <w:spacing w:after="0" w:line="240" w:lineRule="auto"/>
        <w:ind w:left="3828" w:hanging="284"/>
        <w:rPr>
          <w:rFonts w:eastAsia="Times New Roman" w:cs="Times New Roman"/>
          <w:bCs/>
          <w:color w:val="000000" w:themeColor="text1"/>
          <w:sz w:val="18"/>
          <w:szCs w:val="18"/>
        </w:rPr>
      </w:pPr>
      <w:r>
        <w:rPr>
          <w:rFonts w:eastAsia="Times New Roman" w:cs="Times New Roman"/>
          <w:bCs/>
          <w:color w:val="000000" w:themeColor="text1"/>
          <w:sz w:val="18"/>
          <w:szCs w:val="18"/>
        </w:rPr>
        <w:t>poręczenia, umowy wsparcia, gwarancje</w:t>
      </w:r>
    </w:p>
    <w:p w14:paraId="21F15708" w14:textId="77777777" w:rsidR="0061680C" w:rsidRDefault="00000000">
      <w:pPr>
        <w:pStyle w:val="Akapitzlist"/>
        <w:numPr>
          <w:ilvl w:val="0"/>
          <w:numId w:val="1"/>
        </w:numPr>
        <w:spacing w:after="0" w:line="240" w:lineRule="auto"/>
        <w:ind w:left="3828" w:hanging="284"/>
        <w:rPr>
          <w:rFonts w:eastAsia="Times New Roman" w:cs="Times New Roman"/>
          <w:bCs/>
          <w:color w:val="000000" w:themeColor="text1"/>
          <w:sz w:val="18"/>
          <w:szCs w:val="18"/>
        </w:rPr>
      </w:pPr>
      <w:r>
        <w:rPr>
          <w:rFonts w:eastAsia="Times New Roman" w:cs="Times New Roman"/>
          <w:bCs/>
          <w:color w:val="000000" w:themeColor="text1"/>
          <w:sz w:val="18"/>
          <w:szCs w:val="18"/>
        </w:rPr>
        <w:t>inne np. leasing, sprzedaż zwrotną, sprzedaż na raty, forfaiting czy inne umowy nienazwane o terminie zapłaty dłuższym niż rok, które są związane finansowaniem usług, dostaw czy robót budowlanych;</w:t>
      </w:r>
    </w:p>
    <w:p w14:paraId="42A49EE7" w14:textId="77777777" w:rsidR="0061680C" w:rsidRDefault="0061680C">
      <w:pPr>
        <w:spacing w:after="0" w:line="240" w:lineRule="auto"/>
        <w:ind w:left="720" w:hanging="360"/>
        <w:rPr>
          <w:rFonts w:eastAsia="Times New Roman" w:cs="Times New Roman"/>
          <w:b/>
          <w:bCs/>
          <w:color w:val="000000" w:themeColor="text1"/>
          <w:sz w:val="18"/>
          <w:szCs w:val="18"/>
        </w:rPr>
      </w:pPr>
    </w:p>
    <w:p w14:paraId="4070EB52" w14:textId="77777777" w:rsidR="0061680C" w:rsidRDefault="00000000">
      <w:pPr>
        <w:spacing w:after="0" w:line="240" w:lineRule="auto"/>
        <w:ind w:left="128"/>
        <w:rPr>
          <w:rFonts w:eastAsia="Times New Roman" w:cs="Times New Roman"/>
          <w:b/>
          <w:bCs/>
          <w:color w:val="000000" w:themeColor="text1"/>
          <w:sz w:val="18"/>
          <w:szCs w:val="18"/>
        </w:rPr>
      </w:pPr>
      <w:r>
        <w:rPr>
          <w:rFonts w:eastAsia="Times New Roman" w:cs="Times New Roman"/>
          <w:b/>
          <w:bCs/>
          <w:color w:val="000000" w:themeColor="text1"/>
          <w:sz w:val="18"/>
          <w:szCs w:val="18"/>
        </w:rPr>
        <w:t xml:space="preserve">Kwoty zaangażowań prezentowane są w PLN według stanu na dzień 30.04.2025 </w:t>
      </w:r>
    </w:p>
    <w:tbl>
      <w:tblPr>
        <w:tblW w:w="15107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2688"/>
        <w:gridCol w:w="1417"/>
        <w:gridCol w:w="1843"/>
        <w:gridCol w:w="1277"/>
        <w:gridCol w:w="1417"/>
        <w:gridCol w:w="2125"/>
        <w:gridCol w:w="2127"/>
        <w:gridCol w:w="1697"/>
      </w:tblGrid>
      <w:tr w:rsidR="0061680C" w14:paraId="761313F0" w14:textId="77777777">
        <w:trPr>
          <w:trHeight w:val="91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075BE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C267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Nazwa podmiotu</w:t>
            </w:r>
          </w:p>
          <w:p w14:paraId="797BD516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(np. bank, NFOŚ, WFOŚ, firma leasingowa, firma factoringowa)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ADF2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Kwota wg umowy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FE79F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Waluta zadłużenia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575E8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TYP zobowiązania </w:t>
            </w:r>
          </w:p>
          <w:p w14:paraId="6E49397E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(1, 2 lub 3)</w:t>
            </w:r>
          </w:p>
          <w:p w14:paraId="0A2F8C7D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58AC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Data zawarcia umowy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FA058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Kwota bieżącego zadłużenia - wypłaconego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0BFC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Kwota zadłużenia </w:t>
            </w:r>
          </w:p>
          <w:p w14:paraId="4683AF58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- jeszcze niewypłaconego oraz kwoty niewymagalnych i wymagalnych poręczeń i gwarancji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92EB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Data całkowitej spłaty</w:t>
            </w:r>
          </w:p>
        </w:tc>
      </w:tr>
      <w:tr w:rsidR="0061680C" w14:paraId="33A3F83A" w14:textId="77777777">
        <w:trPr>
          <w:trHeight w:val="31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0E4D5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A8F4" w14:textId="77777777" w:rsidR="0061680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ING Bank Śląski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6FDB" w14:textId="77777777" w:rsidR="0061680C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4.695.000,00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0EE2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PLN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C445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98E8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30.04.2018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D048" w14:textId="77777777" w:rsidR="0061680C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1 528 500,00</w:t>
            </w:r>
          </w:p>
          <w:p w14:paraId="0EAEFF06" w14:textId="77777777" w:rsidR="0061680C" w:rsidRDefault="0061680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4ABD" w14:textId="77777777" w:rsidR="0061680C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23263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31.12.2032</w:t>
            </w:r>
          </w:p>
        </w:tc>
      </w:tr>
      <w:tr w:rsidR="0061680C" w14:paraId="68B98B1A" w14:textId="77777777">
        <w:trPr>
          <w:trHeight w:val="31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69114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7519" w14:textId="77777777" w:rsidR="0061680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Bank Spółdzielczy Namysłów </w:t>
            </w:r>
          </w:p>
          <w:p w14:paraId="30A108D7" w14:textId="77777777" w:rsidR="0061680C" w:rsidRDefault="00616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E1E5" w14:textId="77777777" w:rsidR="0061680C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3.258.930,00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2D41A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PLN</w:t>
            </w:r>
          </w:p>
          <w:p w14:paraId="231FAEFB" w14:textId="77777777" w:rsidR="0061680C" w:rsidRDefault="00616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89C3E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EADD2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05.07.2017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2D14" w14:textId="77777777" w:rsidR="0061680C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1 107 500,00</w:t>
            </w:r>
          </w:p>
          <w:p w14:paraId="76311F4B" w14:textId="77777777" w:rsidR="0061680C" w:rsidRDefault="0061680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A87F1" w14:textId="77777777" w:rsidR="0061680C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E0098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31.12.2030</w:t>
            </w:r>
          </w:p>
        </w:tc>
      </w:tr>
      <w:tr w:rsidR="0061680C" w14:paraId="6F112214" w14:textId="77777777">
        <w:trPr>
          <w:trHeight w:val="31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A5404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5E2B0" w14:textId="77777777" w:rsidR="0061680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Bank Spółdzielczy w Baborowie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4D7C" w14:textId="77777777" w:rsidR="0061680C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1.912.636,10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55D4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PLN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4804F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0574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16.08.2019 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1A2B" w14:textId="77777777" w:rsidR="0061680C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450.000,00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B42B" w14:textId="77777777" w:rsidR="0061680C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9B994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31.12.2028</w:t>
            </w:r>
          </w:p>
        </w:tc>
      </w:tr>
      <w:tr w:rsidR="0061680C" w14:paraId="239D6BE3" w14:textId="77777777">
        <w:trPr>
          <w:trHeight w:val="31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545C2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2448" w14:textId="77777777" w:rsidR="0061680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Bank Spółdzielczy w Baborowie</w:t>
            </w:r>
          </w:p>
          <w:p w14:paraId="21169AED" w14:textId="77777777" w:rsidR="0061680C" w:rsidRDefault="00616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357C" w14:textId="77777777" w:rsidR="0061680C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2.189.093,81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AC983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PLN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17CFB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9395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20.12.2022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9246" w14:textId="77777777" w:rsidR="0061680C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947 300,00</w:t>
            </w:r>
          </w:p>
          <w:p w14:paraId="1FDE446C" w14:textId="77777777" w:rsidR="0061680C" w:rsidRDefault="0061680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B788" w14:textId="77777777" w:rsidR="0061680C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9D26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31.12.2036</w:t>
            </w:r>
          </w:p>
        </w:tc>
      </w:tr>
      <w:tr w:rsidR="0061680C" w14:paraId="39E7160F" w14:textId="77777777">
        <w:trPr>
          <w:trHeight w:val="31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095F7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0EE7" w14:textId="77777777" w:rsidR="0061680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Bank Spółdzielczy w Łubnianach </w:t>
            </w:r>
          </w:p>
          <w:p w14:paraId="62369C84" w14:textId="77777777" w:rsidR="0061680C" w:rsidRDefault="00616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63AB" w14:textId="77777777" w:rsidR="0061680C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4.222.119,81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90A8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PLN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D4855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D3C6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04.08.2023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262D" w14:textId="77777777" w:rsidR="0061680C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1 094 127,00</w:t>
            </w:r>
          </w:p>
          <w:p w14:paraId="0B165E9F" w14:textId="77777777" w:rsidR="0061680C" w:rsidRDefault="0061680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8BE2B" w14:textId="77777777" w:rsidR="0061680C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719B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31.03.2034</w:t>
            </w:r>
          </w:p>
        </w:tc>
      </w:tr>
      <w:tr w:rsidR="0061680C" w14:paraId="3C84F1A0" w14:textId="77777777">
        <w:trPr>
          <w:trHeight w:val="31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6139D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69E5" w14:textId="77777777" w:rsidR="0061680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Bank Gospodarstwa Krajowego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3369" w14:textId="77777777" w:rsidR="0061680C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1.543.442,00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05FB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PLN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48EB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F5E4C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15.11.2022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7E6C" w14:textId="77777777" w:rsidR="0061680C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1 543 441,99</w:t>
            </w:r>
          </w:p>
          <w:p w14:paraId="2F4BD5F8" w14:textId="77777777" w:rsidR="0061680C" w:rsidRDefault="0061680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C51AE" w14:textId="77777777" w:rsidR="0061680C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37BB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 otrzymaniu refundacji</w:t>
            </w:r>
          </w:p>
        </w:tc>
      </w:tr>
      <w:tr w:rsidR="0061680C" w14:paraId="72E4E5BB" w14:textId="77777777">
        <w:trPr>
          <w:trHeight w:val="31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6828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6A8FC" w14:textId="77777777" w:rsidR="0061680C" w:rsidRDefault="00000000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Bank Gospodarstwa Krajowego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BF4F" w14:textId="77777777" w:rsidR="0061680C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855.569,00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12BE4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PLN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9CC6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34B2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14.11.2023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3F32" w14:textId="77777777" w:rsidR="0061680C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43 000,00</w:t>
            </w:r>
          </w:p>
          <w:p w14:paraId="25B3334A" w14:textId="77777777" w:rsidR="0061680C" w:rsidRDefault="0061680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3545B" w14:textId="77777777" w:rsidR="0061680C" w:rsidRDefault="000000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812.569,00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802EB" w14:textId="77777777" w:rsidR="0061680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 otrzymaniu refundacji</w:t>
            </w:r>
          </w:p>
        </w:tc>
      </w:tr>
      <w:tr w:rsidR="0061680C" w14:paraId="3C716A73" w14:textId="77777777">
        <w:trPr>
          <w:trHeight w:val="285"/>
        </w:trPr>
        <w:tc>
          <w:tcPr>
            <w:tcW w:w="9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3A95" w14:textId="77777777" w:rsidR="0061680C" w:rsidRDefault="00000000">
            <w:pPr>
              <w:widowControl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4584" w14:textId="77777777" w:rsidR="0061680C" w:rsidRDefault="00000000">
            <w:pPr>
              <w:widowControl w:val="0"/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6.713.868,99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99532" w14:textId="77777777" w:rsidR="0061680C" w:rsidRDefault="00000000">
            <w:pPr>
              <w:widowControl w:val="0"/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812.569,00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7A81" w14:textId="77777777" w:rsidR="0061680C" w:rsidRDefault="0061680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60D9178" w14:textId="77777777" w:rsidR="0061680C" w:rsidRDefault="0061680C">
      <w:pPr>
        <w:rPr>
          <w:color w:val="000000" w:themeColor="text1"/>
          <w:sz w:val="18"/>
          <w:szCs w:val="18"/>
        </w:rPr>
      </w:pPr>
    </w:p>
    <w:p w14:paraId="3192A4AD" w14:textId="77777777" w:rsidR="0061680C" w:rsidRDefault="0061680C">
      <w:pPr>
        <w:rPr>
          <w:sz w:val="18"/>
          <w:szCs w:val="18"/>
        </w:rPr>
      </w:pPr>
    </w:p>
    <w:p w14:paraId="61C452E4" w14:textId="77777777" w:rsidR="0061680C" w:rsidRDefault="0061680C">
      <w:pPr>
        <w:rPr>
          <w:sz w:val="18"/>
          <w:szCs w:val="18"/>
        </w:rPr>
      </w:pPr>
    </w:p>
    <w:sectPr w:rsidR="0061680C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87B32"/>
    <w:multiLevelType w:val="multilevel"/>
    <w:tmpl w:val="EEEEC3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4745BC"/>
    <w:multiLevelType w:val="multilevel"/>
    <w:tmpl w:val="1E8C2A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12349106">
    <w:abstractNumId w:val="1"/>
  </w:num>
  <w:num w:numId="2" w16cid:durableId="45765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0C"/>
    <w:rsid w:val="0061680C"/>
    <w:rsid w:val="00776EC9"/>
    <w:rsid w:val="00976BC0"/>
    <w:rsid w:val="00C20D9E"/>
    <w:rsid w:val="00F3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AA02"/>
  <w15:docId w15:val="{7A354498-9863-4C2C-BC8F-A90038A3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E41"/>
    <w:pPr>
      <w:spacing w:after="200" w:line="276" w:lineRule="auto"/>
    </w:pPr>
    <w:rPr>
      <w:rFonts w:ascii="Calibri" w:eastAsiaTheme="minorEastAsia" w:hAnsi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5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5E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E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75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275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275E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275E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75E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275E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275E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275E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275E41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275E4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275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275E4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275E41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275E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E41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275E41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275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E41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275E41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E41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styleId="Bezodstpw">
    <w:name w:val="No Spacing"/>
    <w:uiPriority w:val="1"/>
    <w:qFormat/>
    <w:rsid w:val="00275E41"/>
    <w:rPr>
      <w:rFonts w:ascii="Calibri" w:eastAsiaTheme="minorEastAsia" w:hAnsi="Calibri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Baborów</dc:creator>
  <dc:description/>
  <cp:lastModifiedBy>Gmina Baborów</cp:lastModifiedBy>
  <cp:revision>2</cp:revision>
  <dcterms:created xsi:type="dcterms:W3CDTF">2025-05-19T12:32:00Z</dcterms:created>
  <dcterms:modified xsi:type="dcterms:W3CDTF">2025-05-19T12:32:00Z</dcterms:modified>
  <dc:language>pl-PL</dc:language>
</cp:coreProperties>
</file>