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61ED6" w14:textId="77777777" w:rsidR="00F84239" w:rsidRDefault="00F84239" w:rsidP="008443DE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2B0AC0D0" w14:textId="79BBE39E" w:rsidR="00F84239" w:rsidRPr="00F60179" w:rsidRDefault="00F84239" w:rsidP="00F84239">
      <w:pPr>
        <w:ind w:left="6372" w:firstLine="708"/>
        <w:outlineLvl w:val="0"/>
        <w:rPr>
          <w:b/>
          <w:color w:val="000000"/>
        </w:rPr>
      </w:pPr>
      <w:r w:rsidRPr="00F60179">
        <w:rPr>
          <w:b/>
          <w:color w:val="000000"/>
        </w:rPr>
        <w:t>Załącznik nr 1</w:t>
      </w:r>
      <w:r>
        <w:rPr>
          <w:b/>
          <w:color w:val="000000"/>
        </w:rPr>
        <w:t>8</w:t>
      </w:r>
      <w:bookmarkStart w:id="0" w:name="_GoBack"/>
      <w:bookmarkEnd w:id="0"/>
    </w:p>
    <w:p w14:paraId="5DB3F7C9" w14:textId="77777777" w:rsidR="00F84239" w:rsidRDefault="00F84239" w:rsidP="008443DE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17582186" w14:textId="77777777" w:rsidR="00F84239" w:rsidRDefault="00F84239" w:rsidP="008443DE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47B8D304" w14:textId="5C35CF22" w:rsidR="008443DE" w:rsidRDefault="008443DE" w:rsidP="008443DE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</w:t>
      </w:r>
      <w:r w:rsidR="001F20FF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1F20FF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</w:t>
      </w:r>
      <w:r w:rsidR="00AA2DCA">
        <w:rPr>
          <w:rFonts w:ascii="Calibri" w:hAnsi="Calibri" w:cs="Calibri"/>
          <w:b/>
          <w:bCs/>
          <w:u w:val="single"/>
        </w:rPr>
        <w:t>9</w:t>
      </w:r>
      <w:r w:rsidR="001F20FF">
        <w:rPr>
          <w:rFonts w:ascii="Calibri" w:hAnsi="Calibri" w:cs="Calibri"/>
          <w:b/>
          <w:bCs/>
          <w:u w:val="single"/>
        </w:rPr>
        <w:tab/>
      </w:r>
      <w:r w:rsidR="001F20FF">
        <w:rPr>
          <w:rFonts w:ascii="Calibri" w:hAnsi="Calibri" w:cs="Calibri"/>
          <w:b/>
          <w:bCs/>
          <w:u w:val="single"/>
        </w:rPr>
        <w:tab/>
      </w:r>
      <w:r w:rsidR="001F20FF">
        <w:rPr>
          <w:rFonts w:ascii="Calibri" w:hAnsi="Calibri" w:cs="Calibri"/>
          <w:b/>
          <w:bCs/>
          <w:u w:val="single"/>
        </w:rPr>
        <w:tab/>
      </w:r>
      <w:r w:rsidR="001F20FF">
        <w:rPr>
          <w:rFonts w:ascii="Calibri" w:hAnsi="Calibri" w:cs="Calibri"/>
          <w:b/>
          <w:bCs/>
          <w:u w:val="single"/>
        </w:rPr>
        <w:tab/>
      </w:r>
      <w:r w:rsidR="001F20FF">
        <w:rPr>
          <w:rFonts w:ascii="Calibri" w:hAnsi="Calibri" w:cs="Calibri"/>
          <w:b/>
          <w:bCs/>
          <w:u w:val="single"/>
        </w:rPr>
        <w:tab/>
      </w:r>
      <w:r w:rsidR="001F20FF">
        <w:rPr>
          <w:rFonts w:ascii="Calibri" w:hAnsi="Calibri" w:cs="Calibri"/>
          <w:b/>
          <w:bCs/>
          <w:u w:val="single"/>
        </w:rPr>
        <w:tab/>
        <w:t>1 szt.</w:t>
      </w:r>
    </w:p>
    <w:p w14:paraId="18840DC8" w14:textId="77777777" w:rsidR="00A54BBA" w:rsidRDefault="00A54BBA" w:rsidP="00A54BBA">
      <w:pPr>
        <w:outlineLvl w:val="0"/>
        <w:rPr>
          <w:rFonts w:ascii="Tahoma" w:hAnsi="Tahoma" w:cs="Tahoma"/>
          <w:b/>
          <w:bCs/>
          <w:u w:val="single"/>
        </w:rPr>
      </w:pPr>
    </w:p>
    <w:p w14:paraId="1D117685" w14:textId="77777777" w:rsidR="00A54BBA" w:rsidRPr="0056555B" w:rsidRDefault="002E05FC" w:rsidP="00A54BBA">
      <w:pPr>
        <w:contextualSpacing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</w:rPr>
        <w:t>Zakup 12 miesięcznej subskrypcji</w:t>
      </w:r>
      <w:r w:rsidR="00A54BBA" w:rsidRPr="0056555B">
        <w:rPr>
          <w:rFonts w:ascii="Tahoma" w:hAnsi="Tahoma" w:cs="Tahoma"/>
          <w:b/>
        </w:rPr>
        <w:t xml:space="preserve"> na oprogramowanie </w:t>
      </w:r>
      <w:r w:rsidR="00A54BBA">
        <w:rPr>
          <w:rFonts w:ascii="Tahoma" w:hAnsi="Tahoma" w:cs="Tahoma"/>
          <w:b/>
        </w:rPr>
        <w:t xml:space="preserve">do analizy przepływu </w:t>
      </w:r>
      <w:proofErr w:type="spellStart"/>
      <w:r w:rsidR="00A54BBA">
        <w:rPr>
          <w:rFonts w:ascii="Tahoma" w:hAnsi="Tahoma" w:cs="Tahoma"/>
          <w:b/>
        </w:rPr>
        <w:t>kryptowalut</w:t>
      </w:r>
      <w:proofErr w:type="spellEnd"/>
      <w:r>
        <w:rPr>
          <w:rFonts w:ascii="Tahoma" w:hAnsi="Tahoma" w:cs="Tahoma"/>
          <w:b/>
        </w:rPr>
        <w:t>.</w:t>
      </w:r>
    </w:p>
    <w:p w14:paraId="41FC7D05" w14:textId="77777777" w:rsidR="00A54BBA" w:rsidRPr="00BB5CA0" w:rsidRDefault="00A54BBA" w:rsidP="00A54BBA">
      <w:pPr>
        <w:outlineLvl w:val="0"/>
        <w:rPr>
          <w:rFonts w:ascii="Tahoma" w:hAnsi="Tahoma" w:cs="Tahoma"/>
          <w:b/>
          <w:bCs/>
        </w:rPr>
      </w:pPr>
    </w:p>
    <w:p w14:paraId="0E550535" w14:textId="77777777" w:rsidR="00A54BBA" w:rsidRPr="00BB5CA0" w:rsidRDefault="00A54BBA" w:rsidP="00A54BBA">
      <w:pPr>
        <w:jc w:val="center"/>
        <w:outlineLvl w:val="0"/>
        <w:rPr>
          <w:rFonts w:ascii="Tahoma" w:hAnsi="Tahoma" w:cs="Tahoma"/>
          <w:b/>
          <w:bCs/>
          <w:u w:val="single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2033"/>
        <w:gridCol w:w="31"/>
        <w:gridCol w:w="6809"/>
      </w:tblGrid>
      <w:tr w:rsidR="00A54BBA" w:rsidRPr="00BB5CA0" w14:paraId="08842FDB" w14:textId="77777777" w:rsidTr="004F0974">
        <w:trPr>
          <w:jc w:val="center"/>
        </w:trPr>
        <w:tc>
          <w:tcPr>
            <w:tcW w:w="2547" w:type="dxa"/>
            <w:gridSpan w:val="3"/>
            <w:shd w:val="clear" w:color="auto" w:fill="0D0D0D"/>
          </w:tcPr>
          <w:p w14:paraId="6EB5744E" w14:textId="77777777" w:rsidR="00A54BBA" w:rsidRPr="00BB5CA0" w:rsidRDefault="004F0974" w:rsidP="00C27B91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7.</w:t>
            </w:r>
          </w:p>
        </w:tc>
        <w:tc>
          <w:tcPr>
            <w:tcW w:w="6809" w:type="dxa"/>
            <w:shd w:val="clear" w:color="auto" w:fill="0D0D0D"/>
          </w:tcPr>
          <w:p w14:paraId="423BBB10" w14:textId="77777777" w:rsidR="00A54BBA" w:rsidRPr="00BB5CA0" w:rsidRDefault="004F0974" w:rsidP="00C27B91">
            <w:pPr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Oprogramowanie do analizy przepływu kryptowalut</w:t>
            </w:r>
          </w:p>
        </w:tc>
      </w:tr>
      <w:tr w:rsidR="00A54BBA" w:rsidRPr="00BB5CA0" w14:paraId="6167D3AF" w14:textId="77777777" w:rsidTr="008443DE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8C45" w14:textId="77777777" w:rsidR="00A54BBA" w:rsidRPr="00BB5CA0" w:rsidRDefault="00A54BBA" w:rsidP="00A54BBA">
            <w:pPr>
              <w:numPr>
                <w:ilvl w:val="0"/>
                <w:numId w:val="37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1740" w14:textId="77777777" w:rsidR="00A54BBA" w:rsidRPr="00BB5CA0" w:rsidRDefault="00A54BBA" w:rsidP="00C27B91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Zaawansowane narzędzie do analizy z zakresu informatyki śledczej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A01B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Analiza przepływu </w:t>
            </w:r>
            <w:proofErr w:type="spellStart"/>
            <w:r>
              <w:rPr>
                <w:rFonts w:ascii="Calibri" w:hAnsi="Calibri" w:cs="Tahoma"/>
              </w:rPr>
              <w:t>kryptowalut</w:t>
            </w:r>
            <w:proofErr w:type="spellEnd"/>
            <w:r>
              <w:rPr>
                <w:rFonts w:ascii="Calibri" w:hAnsi="Calibri" w:cs="Tahoma"/>
              </w:rPr>
              <w:t xml:space="preserve"> – dokąd trafiają fundusze </w:t>
            </w:r>
            <w:proofErr w:type="spellStart"/>
            <w:r>
              <w:rPr>
                <w:rFonts w:ascii="Calibri" w:hAnsi="Calibri" w:cs="Tahoma"/>
              </w:rPr>
              <w:t>kryptowalutowe</w:t>
            </w:r>
            <w:proofErr w:type="spellEnd"/>
            <w:r>
              <w:rPr>
                <w:rFonts w:ascii="Calibri" w:hAnsi="Calibri" w:cs="Tahoma"/>
              </w:rPr>
              <w:t>;</w:t>
            </w:r>
          </w:p>
          <w:p w14:paraId="7D710BF0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Łączenie w grupy portfeli należących do tego samego podmiotu i przedstawienie ich w formie graficznej jako jedna grupa;</w:t>
            </w:r>
          </w:p>
          <w:p w14:paraId="74E3F81C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Śledzenie pieniędzy powinno zostać przedstawione na intuicyjnym, wizualnym wykresie i możliwe do udostępniania wyników w wielu formatach;</w:t>
            </w:r>
          </w:p>
          <w:p w14:paraId="68B2492C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dodania haszy transakcji do istniejącego wizualnego wykresu i automatyczna próba powiązania z istniejącymi już danymi;</w:t>
            </w:r>
          </w:p>
          <w:p w14:paraId="1AAE18B2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Możliwość wzbogacenia zebranych danych o informacji kontekstowe zebrane z ogólnodostępnych stron oraz forów typu </w:t>
            </w:r>
            <w:proofErr w:type="spellStart"/>
            <w:r>
              <w:rPr>
                <w:rFonts w:ascii="Calibri" w:hAnsi="Calibri" w:cs="Tahoma"/>
              </w:rPr>
              <w:t>Clearnet</w:t>
            </w:r>
            <w:proofErr w:type="spellEnd"/>
            <w:r>
              <w:rPr>
                <w:rFonts w:ascii="Calibri" w:hAnsi="Calibri" w:cs="Tahoma"/>
              </w:rPr>
              <w:t xml:space="preserve"> i </w:t>
            </w:r>
            <w:proofErr w:type="spellStart"/>
            <w:r>
              <w:rPr>
                <w:rFonts w:ascii="Calibri" w:hAnsi="Calibri" w:cs="Tahoma"/>
              </w:rPr>
              <w:t>Darknet</w:t>
            </w:r>
            <w:proofErr w:type="spellEnd"/>
            <w:r>
              <w:rPr>
                <w:rFonts w:ascii="Calibri" w:hAnsi="Calibri" w:cs="Tahoma"/>
              </w:rPr>
              <w:t>, jak również automatyzacja tego procesu;</w:t>
            </w:r>
          </w:p>
          <w:p w14:paraId="23F613DF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Łączenie transakcji </w:t>
            </w:r>
            <w:proofErr w:type="spellStart"/>
            <w:r>
              <w:rPr>
                <w:rFonts w:ascii="Calibri" w:hAnsi="Calibri" w:cs="Tahoma"/>
              </w:rPr>
              <w:t>kryptowalut</w:t>
            </w:r>
            <w:proofErr w:type="spellEnd"/>
            <w:r>
              <w:rPr>
                <w:rFonts w:ascii="Calibri" w:hAnsi="Calibri" w:cs="Tahoma"/>
              </w:rPr>
              <w:t xml:space="preserve"> z podmiotami w świecie rzeczywistym oraz łączenie przepływu skradzionych środków z legalną działalnością, taką jak pożyczki błyskawiczne i przelewy NFT;</w:t>
            </w:r>
          </w:p>
          <w:p w14:paraId="3265161F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Posiadanie bazy portfeli przynależnych do grup oferujących nielegalne usługi, takie jak </w:t>
            </w:r>
            <w:proofErr w:type="spellStart"/>
            <w:r>
              <w:rPr>
                <w:rFonts w:ascii="Calibri" w:hAnsi="Calibri" w:cs="Tahoma"/>
              </w:rPr>
              <w:t>Darknet</w:t>
            </w:r>
            <w:proofErr w:type="spellEnd"/>
            <w:r>
              <w:rPr>
                <w:rFonts w:ascii="Calibri" w:hAnsi="Calibri" w:cs="Tahoma"/>
              </w:rPr>
              <w:t xml:space="preserve"> </w:t>
            </w:r>
            <w:proofErr w:type="spellStart"/>
            <w:r>
              <w:rPr>
                <w:rFonts w:ascii="Calibri" w:hAnsi="Calibri" w:cs="Tahoma"/>
              </w:rPr>
              <w:t>Markets</w:t>
            </w:r>
            <w:proofErr w:type="spellEnd"/>
            <w:r>
              <w:rPr>
                <w:rFonts w:ascii="Calibri" w:hAnsi="Calibri" w:cs="Tahoma"/>
              </w:rPr>
              <w:t xml:space="preserve">, oszustwa i oprogramowanie </w:t>
            </w:r>
            <w:proofErr w:type="spellStart"/>
            <w:r>
              <w:rPr>
                <w:rFonts w:ascii="Calibri" w:hAnsi="Calibri" w:cs="Tahoma"/>
              </w:rPr>
              <w:t>ransomware</w:t>
            </w:r>
            <w:proofErr w:type="spellEnd"/>
            <w:r>
              <w:rPr>
                <w:rFonts w:ascii="Calibri" w:hAnsi="Calibri" w:cs="Tahoma"/>
              </w:rPr>
              <w:t xml:space="preserve">, oraz legalne usługi, takie jak platformy </w:t>
            </w:r>
            <w:proofErr w:type="spellStart"/>
            <w:r>
              <w:rPr>
                <w:rFonts w:ascii="Calibri" w:hAnsi="Calibri" w:cs="Tahoma"/>
              </w:rPr>
              <w:t>DeFi</w:t>
            </w:r>
            <w:proofErr w:type="spellEnd"/>
            <w:r>
              <w:rPr>
                <w:rFonts w:ascii="Calibri" w:hAnsi="Calibri" w:cs="Tahoma"/>
              </w:rPr>
              <w:t>, kopalnie i usługi handlowe;</w:t>
            </w:r>
          </w:p>
          <w:p w14:paraId="6B0E815F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Możliwość wprowadzenia dowolnego adresu </w:t>
            </w:r>
            <w:proofErr w:type="spellStart"/>
            <w:r>
              <w:rPr>
                <w:rFonts w:ascii="Calibri" w:hAnsi="Calibri" w:cs="Tahoma"/>
              </w:rPr>
              <w:t>kryptowaluty</w:t>
            </w:r>
            <w:proofErr w:type="spellEnd"/>
            <w:r>
              <w:rPr>
                <w:rFonts w:ascii="Calibri" w:hAnsi="Calibri" w:cs="Tahoma"/>
              </w:rPr>
              <w:t>, aby dowiedzieć się, który podmiot kontroluje portfel i odkryć powiązane adresy;</w:t>
            </w:r>
          </w:p>
          <w:p w14:paraId="2685F8BF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automatycznego monitorowania portfeli w czasie rzeczywistym;</w:t>
            </w:r>
          </w:p>
          <w:p w14:paraId="7CA48C21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Posiadanie intuicyjnego interfejsu, umożliwiającego użytkownikom po minimalnym przeszkoleniu tworzenie wizualizacji przepływów </w:t>
            </w:r>
            <w:proofErr w:type="spellStart"/>
            <w:r>
              <w:rPr>
                <w:rFonts w:ascii="Calibri" w:hAnsi="Calibri" w:cs="Tahoma"/>
              </w:rPr>
              <w:t>kryptowalut</w:t>
            </w:r>
            <w:proofErr w:type="spellEnd"/>
            <w:r>
              <w:rPr>
                <w:rFonts w:ascii="Calibri" w:hAnsi="Calibri" w:cs="Tahoma"/>
              </w:rPr>
              <w:t>;</w:t>
            </w:r>
          </w:p>
          <w:p w14:paraId="4FA0B889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Śledzenie przepływu środków przez nieograniczoną liczbę „przeskoków” – adresów pośredniczących;</w:t>
            </w:r>
          </w:p>
          <w:p w14:paraId="63D444FF" w14:textId="77777777" w:rsidR="00A54BBA" w:rsidRPr="00AC4C17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edycji wykresu graficznego poprzez dodawanie własnych notatek;</w:t>
            </w:r>
          </w:p>
        </w:tc>
      </w:tr>
      <w:tr w:rsidR="00A54BBA" w:rsidRPr="00BB5CA0" w14:paraId="2CB97FF5" w14:textId="77777777" w:rsidTr="008443DE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D3BD" w14:textId="77777777" w:rsidR="00A54BBA" w:rsidRPr="00BB5CA0" w:rsidRDefault="00A54BBA" w:rsidP="00A54BBA">
            <w:pPr>
              <w:numPr>
                <w:ilvl w:val="0"/>
                <w:numId w:val="37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DA77" w14:textId="77777777" w:rsidR="00A54BBA" w:rsidRDefault="00A54BBA" w:rsidP="00C27B91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Wsparcie techniczne Oferenta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FB26" w14:textId="77777777" w:rsidR="00A54BBA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Dostęp do aktualizacji oprogramowania przez okres wsparcia;</w:t>
            </w:r>
          </w:p>
          <w:p w14:paraId="63E39434" w14:textId="77777777" w:rsidR="00A54BBA" w:rsidRPr="00C2195F" w:rsidRDefault="00A54BBA" w:rsidP="00A54BB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Telefoniczną oraz mailową pomoc techniczną w diagnozowaniu i usuwaniu usterek oraz nieprawidłowości w działaniu programu oraz wskazywanie rozwiązań zastępczych;</w:t>
            </w:r>
          </w:p>
        </w:tc>
      </w:tr>
    </w:tbl>
    <w:p w14:paraId="636EB783" w14:textId="77777777" w:rsidR="00A54BBA" w:rsidRPr="00BB5CA0" w:rsidRDefault="00A54BBA" w:rsidP="00A54BBA">
      <w:pPr>
        <w:rPr>
          <w:rFonts w:ascii="Calibri" w:hAnsi="Calibri" w:cs="Calibri"/>
        </w:rPr>
      </w:pPr>
    </w:p>
    <w:p w14:paraId="298310CE" w14:textId="77777777" w:rsidR="00A54BBA" w:rsidRPr="00BB5CA0" w:rsidRDefault="00A54BBA" w:rsidP="00A54BBA"/>
    <w:p w14:paraId="24287E1D" w14:textId="77777777" w:rsidR="00A54BBA" w:rsidRPr="00BB5CA0" w:rsidRDefault="00A54BBA" w:rsidP="00A54BBA"/>
    <w:p w14:paraId="407AD8C1" w14:textId="77777777" w:rsidR="00A54BBA" w:rsidRPr="00BB5CA0" w:rsidRDefault="00A54BBA" w:rsidP="00A54BBA"/>
    <w:p w14:paraId="43DA431F" w14:textId="77777777" w:rsidR="00581858" w:rsidRPr="00133F69" w:rsidRDefault="00581858" w:rsidP="00133F69"/>
    <w:sectPr w:rsidR="00581858" w:rsidRPr="00133F69" w:rsidSect="00855B78">
      <w:headerReference w:type="default" r:id="rId8"/>
      <w:footerReference w:type="default" r:id="rId9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8982" w14:textId="77777777" w:rsidR="00B40148" w:rsidRDefault="00B40148">
      <w:r>
        <w:separator/>
      </w:r>
    </w:p>
  </w:endnote>
  <w:endnote w:type="continuationSeparator" w:id="0">
    <w:p w14:paraId="219E7EED" w14:textId="77777777" w:rsidR="00B40148" w:rsidRDefault="00B40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F7B6D" w14:textId="77777777" w:rsidR="004D0CDA" w:rsidRDefault="00A54BBA" w:rsidP="001F20F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214A4F1E" wp14:editId="3ACA00E0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88B72" w14:textId="77777777" w:rsidR="00B40148" w:rsidRDefault="00B40148">
      <w:r>
        <w:separator/>
      </w:r>
    </w:p>
  </w:footnote>
  <w:footnote w:type="continuationSeparator" w:id="0">
    <w:p w14:paraId="6A15430A" w14:textId="77777777" w:rsidR="00B40148" w:rsidRDefault="00B40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7D487" w14:textId="77777777" w:rsidR="004D0CDA" w:rsidRDefault="00A54BBA" w:rsidP="001F20F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76BF8CFC" wp14:editId="2D90A658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3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7" w15:restartNumberingAfterBreak="0">
    <w:nsid w:val="3DA06F06"/>
    <w:multiLevelType w:val="hybridMultilevel"/>
    <w:tmpl w:val="13A64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1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0B1F9A"/>
    <w:multiLevelType w:val="multilevel"/>
    <w:tmpl w:val="4F0B1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4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0"/>
  </w:num>
  <w:num w:numId="3">
    <w:abstractNumId w:val="32"/>
  </w:num>
  <w:num w:numId="4">
    <w:abstractNumId w:val="20"/>
  </w:num>
  <w:num w:numId="5">
    <w:abstractNumId w:val="1"/>
  </w:num>
  <w:num w:numId="6">
    <w:abstractNumId w:val="7"/>
  </w:num>
  <w:num w:numId="7">
    <w:abstractNumId w:val="19"/>
  </w:num>
  <w:num w:numId="8">
    <w:abstractNumId w:val="15"/>
  </w:num>
  <w:num w:numId="9">
    <w:abstractNumId w:val="34"/>
  </w:num>
  <w:num w:numId="10">
    <w:abstractNumId w:val="33"/>
  </w:num>
  <w:num w:numId="11">
    <w:abstractNumId w:val="30"/>
  </w:num>
  <w:num w:numId="12">
    <w:abstractNumId w:val="25"/>
  </w:num>
  <w:num w:numId="13">
    <w:abstractNumId w:val="16"/>
  </w:num>
  <w:num w:numId="14">
    <w:abstractNumId w:val="23"/>
  </w:num>
  <w:num w:numId="15">
    <w:abstractNumId w:val="28"/>
  </w:num>
  <w:num w:numId="16">
    <w:abstractNumId w:val="13"/>
  </w:num>
  <w:num w:numId="17">
    <w:abstractNumId w:val="22"/>
  </w:num>
  <w:num w:numId="18">
    <w:abstractNumId w:val="38"/>
  </w:num>
  <w:num w:numId="19">
    <w:abstractNumId w:val="6"/>
  </w:num>
  <w:num w:numId="20">
    <w:abstractNumId w:val="8"/>
  </w:num>
  <w:num w:numId="21">
    <w:abstractNumId w:val="4"/>
  </w:num>
  <w:num w:numId="22">
    <w:abstractNumId w:val="37"/>
  </w:num>
  <w:num w:numId="23">
    <w:abstractNumId w:val="29"/>
  </w:num>
  <w:num w:numId="24">
    <w:abstractNumId w:val="35"/>
  </w:num>
  <w:num w:numId="25">
    <w:abstractNumId w:val="9"/>
  </w:num>
  <w:num w:numId="26">
    <w:abstractNumId w:val="31"/>
  </w:num>
  <w:num w:numId="27">
    <w:abstractNumId w:val="18"/>
  </w:num>
  <w:num w:numId="28">
    <w:abstractNumId w:val="0"/>
  </w:num>
  <w:num w:numId="29">
    <w:abstractNumId w:val="21"/>
  </w:num>
  <w:num w:numId="30">
    <w:abstractNumId w:val="5"/>
  </w:num>
  <w:num w:numId="31">
    <w:abstractNumId w:val="3"/>
  </w:num>
  <w:num w:numId="32">
    <w:abstractNumId w:val="24"/>
  </w:num>
  <w:num w:numId="33">
    <w:abstractNumId w:val="24"/>
  </w:num>
  <w:num w:numId="34">
    <w:abstractNumId w:val="2"/>
  </w:num>
  <w:num w:numId="35">
    <w:abstractNumId w:val="27"/>
  </w:num>
  <w:num w:numId="36">
    <w:abstractNumId w:val="14"/>
  </w:num>
  <w:num w:numId="37">
    <w:abstractNumId w:val="26"/>
  </w:num>
  <w:num w:numId="38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1F20FF"/>
    <w:rsid w:val="002040D0"/>
    <w:rsid w:val="00204D71"/>
    <w:rsid w:val="00206180"/>
    <w:rsid w:val="002068A2"/>
    <w:rsid w:val="00210F31"/>
    <w:rsid w:val="00211CE5"/>
    <w:rsid w:val="0021705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05FC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6462"/>
    <w:rsid w:val="00347EBF"/>
    <w:rsid w:val="00351277"/>
    <w:rsid w:val="00354383"/>
    <w:rsid w:val="00361F26"/>
    <w:rsid w:val="003624EE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0974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5B1E"/>
    <w:rsid w:val="00676DE5"/>
    <w:rsid w:val="00686489"/>
    <w:rsid w:val="006909CF"/>
    <w:rsid w:val="00695B2B"/>
    <w:rsid w:val="00695C98"/>
    <w:rsid w:val="006A1F2E"/>
    <w:rsid w:val="006A374F"/>
    <w:rsid w:val="006A565F"/>
    <w:rsid w:val="006B1A38"/>
    <w:rsid w:val="006B6B98"/>
    <w:rsid w:val="006C0C6C"/>
    <w:rsid w:val="006C2AD2"/>
    <w:rsid w:val="006C53FA"/>
    <w:rsid w:val="006D11B6"/>
    <w:rsid w:val="006D1575"/>
    <w:rsid w:val="00701BBF"/>
    <w:rsid w:val="00703DEF"/>
    <w:rsid w:val="0070471B"/>
    <w:rsid w:val="007101C3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43DE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1625B"/>
    <w:rsid w:val="00923931"/>
    <w:rsid w:val="00927983"/>
    <w:rsid w:val="00932842"/>
    <w:rsid w:val="00941F9A"/>
    <w:rsid w:val="00947C1D"/>
    <w:rsid w:val="00952842"/>
    <w:rsid w:val="00954A6A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D1366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4BBA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2DCA"/>
    <w:rsid w:val="00AA4B6D"/>
    <w:rsid w:val="00AC546B"/>
    <w:rsid w:val="00AC719C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6C15"/>
    <w:rsid w:val="00B16950"/>
    <w:rsid w:val="00B16AA1"/>
    <w:rsid w:val="00B24BF5"/>
    <w:rsid w:val="00B36241"/>
    <w:rsid w:val="00B369C2"/>
    <w:rsid w:val="00B40148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D057B"/>
    <w:rsid w:val="00BD23E9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3329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5D3A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84239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435320"/>
  <w15:chartTrackingRefBased/>
  <w15:docId w15:val="{8CDA9990-C42C-4E9B-87C1-8D1B35BE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uiPriority w:val="99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1A73D-0463-44B8-B794-726039E9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9</cp:revision>
  <cp:lastPrinted>2021-10-18T10:00:00Z</cp:lastPrinted>
  <dcterms:created xsi:type="dcterms:W3CDTF">2022-03-24T10:40:00Z</dcterms:created>
  <dcterms:modified xsi:type="dcterms:W3CDTF">2022-07-06T09:07:00Z</dcterms:modified>
</cp:coreProperties>
</file>