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B2620" w14:textId="77777777" w:rsidR="005E6ACD" w:rsidRDefault="005E6ACD" w:rsidP="00B9403D">
      <w:pPr>
        <w:pStyle w:val="Standardowytekst"/>
        <w:rPr>
          <w:sz w:val="28"/>
        </w:rPr>
      </w:pPr>
    </w:p>
    <w:p w14:paraId="24F245FC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sz w:val="28"/>
        </w:rPr>
        <w:t>SPECYFIKACJA TECHNICZNA</w:t>
      </w:r>
    </w:p>
    <w:p w14:paraId="7D739C66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298F4B2E" w14:textId="77777777" w:rsidR="00DD2126" w:rsidRPr="00DD2126" w:rsidRDefault="00DD2126" w:rsidP="00DD2126">
      <w:pPr>
        <w:pStyle w:val="Standardowytekst"/>
        <w:jc w:val="center"/>
        <w:rPr>
          <w:b/>
          <w:sz w:val="28"/>
        </w:rPr>
      </w:pPr>
      <w:r w:rsidRPr="00DD2126">
        <w:rPr>
          <w:b/>
          <w:sz w:val="28"/>
        </w:rPr>
        <w:t>Remont drogi wojewódzkiej dawnej DK 61 Ostrołęka - gr. Woj. od km 125+950 do km 127+071 wraz z remontem dróg zbiorczych od km  123+900 do km 126+530</w:t>
      </w:r>
    </w:p>
    <w:p w14:paraId="5743FCAC" w14:textId="7943E38C" w:rsidR="005E2C6B" w:rsidRDefault="00DD2126" w:rsidP="00DD2126">
      <w:pPr>
        <w:pStyle w:val="Standardowytekst"/>
        <w:jc w:val="center"/>
        <w:rPr>
          <w:b/>
          <w:sz w:val="28"/>
        </w:rPr>
      </w:pPr>
      <w:r w:rsidRPr="00DD2126">
        <w:rPr>
          <w:b/>
          <w:sz w:val="28"/>
        </w:rPr>
        <w:t xml:space="preserve">(m. Teodorowo i m. Laskowiec)  </w:t>
      </w:r>
    </w:p>
    <w:p w14:paraId="664149FE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14:paraId="71C08A9C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02926DC0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14:paraId="46890197" w14:textId="77777777" w:rsidR="005E2C6B" w:rsidRP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14:paraId="110EE975" w14:textId="77777777" w:rsidR="005E2C6B" w:rsidRDefault="005E2C6B" w:rsidP="005E2C6B">
      <w:pPr>
        <w:jc w:val="center"/>
        <w:rPr>
          <w:sz w:val="24"/>
        </w:rPr>
      </w:pPr>
    </w:p>
    <w:p w14:paraId="041EF1B1" w14:textId="77777777" w:rsidR="005E2C6B" w:rsidRPr="005E2C6B" w:rsidRDefault="005E2C6B" w:rsidP="005E2C6B">
      <w:pPr>
        <w:pStyle w:val="Standardowytekst"/>
        <w:spacing w:after="120"/>
        <w:jc w:val="center"/>
        <w:rPr>
          <w:b/>
          <w:sz w:val="24"/>
          <w:szCs w:val="24"/>
        </w:rPr>
      </w:pPr>
      <w:r w:rsidRPr="005E2C6B">
        <w:rPr>
          <w:b/>
          <w:sz w:val="24"/>
          <w:szCs w:val="24"/>
        </w:rPr>
        <w:t>SPIS TREŚCI</w:t>
      </w:r>
    </w:p>
    <w:p w14:paraId="322AD204" w14:textId="77777777" w:rsidR="005E2C6B" w:rsidRPr="005E2C6B" w:rsidRDefault="005E2C6B" w:rsidP="005E2C6B">
      <w:pPr>
        <w:pStyle w:val="Standardowytekst"/>
        <w:jc w:val="center"/>
        <w:rPr>
          <w:b/>
          <w:sz w:val="24"/>
          <w:szCs w:val="24"/>
        </w:rPr>
      </w:pPr>
    </w:p>
    <w:p w14:paraId="2FC7BE9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1. WSTĘP</w:t>
      </w:r>
      <w:r>
        <w:rPr>
          <w:sz w:val="24"/>
          <w:szCs w:val="24"/>
        </w:rPr>
        <w:tab/>
        <w:t>2</w:t>
      </w:r>
    </w:p>
    <w:p w14:paraId="1CE695B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2. MATERIAŁY</w:t>
      </w:r>
      <w:r>
        <w:rPr>
          <w:sz w:val="24"/>
          <w:szCs w:val="24"/>
        </w:rPr>
        <w:tab/>
        <w:t>2</w:t>
      </w:r>
    </w:p>
    <w:p w14:paraId="550A93E7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3. SPRZĘT</w:t>
      </w:r>
      <w:r>
        <w:rPr>
          <w:sz w:val="24"/>
          <w:szCs w:val="24"/>
        </w:rPr>
        <w:tab/>
        <w:t>2</w:t>
      </w:r>
    </w:p>
    <w:p w14:paraId="11D8D984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4. TRANSPORT</w:t>
      </w:r>
      <w:r>
        <w:rPr>
          <w:sz w:val="24"/>
          <w:szCs w:val="24"/>
        </w:rPr>
        <w:tab/>
        <w:t>3</w:t>
      </w:r>
    </w:p>
    <w:p w14:paraId="471D5333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5. WYKONANIE ROBÓT</w:t>
      </w:r>
      <w:r>
        <w:rPr>
          <w:sz w:val="24"/>
          <w:szCs w:val="24"/>
        </w:rPr>
        <w:tab/>
        <w:t>3</w:t>
      </w:r>
    </w:p>
    <w:p w14:paraId="4B0DB8D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6. KONTROLA JAKOŚCI ROBÓT</w:t>
      </w:r>
      <w:r>
        <w:rPr>
          <w:sz w:val="24"/>
          <w:szCs w:val="24"/>
        </w:rPr>
        <w:tab/>
        <w:t>3</w:t>
      </w:r>
    </w:p>
    <w:p w14:paraId="68793732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7. OBMIAR ROBÓT</w:t>
      </w:r>
      <w:r>
        <w:rPr>
          <w:sz w:val="24"/>
          <w:szCs w:val="24"/>
        </w:rPr>
        <w:tab/>
        <w:t>4</w:t>
      </w:r>
    </w:p>
    <w:p w14:paraId="0D47554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8. ODBIÓR ROBÓT</w:t>
      </w:r>
      <w:r>
        <w:rPr>
          <w:sz w:val="24"/>
          <w:szCs w:val="24"/>
        </w:rPr>
        <w:tab/>
        <w:t>4</w:t>
      </w:r>
    </w:p>
    <w:p w14:paraId="049E5B29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9. PODSTAWA PŁATNOŚCI</w:t>
      </w:r>
      <w:r>
        <w:rPr>
          <w:sz w:val="24"/>
          <w:szCs w:val="24"/>
        </w:rPr>
        <w:tab/>
        <w:t>4</w:t>
      </w:r>
    </w:p>
    <w:p w14:paraId="4A1BDE61" w14:textId="77777777" w:rsidR="005E2C6B" w:rsidRPr="005E2C6B" w:rsidRDefault="005E2C6B" w:rsidP="005E2C6B">
      <w:pPr>
        <w:tabs>
          <w:tab w:val="left" w:pos="-3828"/>
          <w:tab w:val="right" w:leader="dot" w:pos="-3686"/>
          <w:tab w:val="right" w:leader="dot" w:pos="7371"/>
        </w:tabs>
        <w:jc w:val="center"/>
        <w:rPr>
          <w:sz w:val="24"/>
          <w:szCs w:val="24"/>
        </w:rPr>
      </w:pPr>
      <w:r w:rsidRPr="005E2C6B">
        <w:rPr>
          <w:b/>
          <w:sz w:val="24"/>
          <w:szCs w:val="24"/>
        </w:rPr>
        <w:t>10. PRZEPISY ZWIĄZANE</w:t>
      </w:r>
      <w:r>
        <w:rPr>
          <w:sz w:val="24"/>
          <w:szCs w:val="24"/>
        </w:rPr>
        <w:tab/>
        <w:t>5</w:t>
      </w:r>
    </w:p>
    <w:p w14:paraId="2A2F08B4" w14:textId="77777777" w:rsidR="005E2C6B" w:rsidRP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</w:p>
    <w:p w14:paraId="696DB69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1026020" w14:textId="77777777" w:rsidR="005E2C6B" w:rsidRDefault="005E2C6B" w:rsidP="005E2C6B">
      <w:pPr>
        <w:tabs>
          <w:tab w:val="left" w:pos="0"/>
        </w:tabs>
      </w:pPr>
    </w:p>
    <w:p w14:paraId="432E77FA" w14:textId="77777777" w:rsidR="005E2C6B" w:rsidRDefault="005E2C6B" w:rsidP="005E2C6B"/>
    <w:p w14:paraId="68BD8F2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B2ABDF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1C76A6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A4AB76F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F6BDD0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80AA51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B6B430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CF688A8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E5623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2F5688A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BB8557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9B2ABB0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6715E6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63F3244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17831E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B1FEEB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314F2D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5B4E35F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7836F0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8465BB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0CAC534" w14:textId="77777777" w:rsidR="00314A8D" w:rsidRDefault="00314A8D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5407839" w14:textId="77777777" w:rsidR="00314A8D" w:rsidRDefault="00314A8D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15AF016" w14:textId="77777777" w:rsidR="005E2C6B" w:rsidRDefault="005E2C6B" w:rsidP="005E2C6B">
      <w:pPr>
        <w:tabs>
          <w:tab w:val="right" w:leader="dot" w:pos="-1985"/>
          <w:tab w:val="left" w:pos="0"/>
        </w:tabs>
      </w:pPr>
    </w:p>
    <w:p w14:paraId="78B9615E" w14:textId="77777777" w:rsidR="005E2C6B" w:rsidRDefault="005E2C6B" w:rsidP="005E2C6B">
      <w:pPr>
        <w:pStyle w:val="Nagwek1"/>
      </w:pPr>
      <w:r>
        <w:lastRenderedPageBreak/>
        <w:t>1. WSTĘP</w:t>
      </w:r>
    </w:p>
    <w:p w14:paraId="7AD94A22" w14:textId="77777777" w:rsidR="005E2C6B" w:rsidRDefault="008C4B54" w:rsidP="005E2C6B">
      <w:pPr>
        <w:pStyle w:val="Nagwek2"/>
      </w:pPr>
      <w:r>
        <w:t xml:space="preserve">1.1.Przedmiot </w:t>
      </w:r>
      <w:r w:rsidR="005E2C6B">
        <w:t>ST</w:t>
      </w:r>
    </w:p>
    <w:p w14:paraId="7CFDE545" w14:textId="77777777" w:rsidR="005E2C6B" w:rsidRDefault="005E2C6B" w:rsidP="005E2C6B">
      <w:pPr>
        <w:tabs>
          <w:tab w:val="left" w:pos="0"/>
        </w:tabs>
      </w:pPr>
      <w:r>
        <w:rPr>
          <w:b/>
        </w:rPr>
        <w:tab/>
      </w:r>
      <w:r>
        <w:t>Prz</w:t>
      </w:r>
      <w:r w:rsidR="008C4B54">
        <w:t>edmiotem niniejszej specyfikacji technicznej (</w:t>
      </w:r>
      <w:r>
        <w:t xml:space="preserve">ST) są wymagania dotyczące wykonania i odbioru robót związanych z rozbiórką elementów dróg, ogrodzeń i przepustów. </w:t>
      </w:r>
    </w:p>
    <w:p w14:paraId="33519010" w14:textId="77777777" w:rsidR="008C4B54" w:rsidRDefault="008C4B54" w:rsidP="005E2C6B">
      <w:pPr>
        <w:tabs>
          <w:tab w:val="left" w:pos="0"/>
        </w:tabs>
      </w:pPr>
    </w:p>
    <w:p w14:paraId="5B10835D" w14:textId="77777777" w:rsidR="005E2C6B" w:rsidRDefault="008C4B54" w:rsidP="005E2C6B">
      <w:pPr>
        <w:pStyle w:val="Nagwek2"/>
      </w:pPr>
      <w:r>
        <w:t xml:space="preserve">1.2. Zakres stosowania </w:t>
      </w:r>
      <w:r w:rsidR="005E2C6B">
        <w:t>ST</w:t>
      </w:r>
    </w:p>
    <w:p w14:paraId="238C608D" w14:textId="4EC89331" w:rsidR="005E6ACD" w:rsidRPr="005E6ACD" w:rsidRDefault="008C4B54" w:rsidP="00DD2126">
      <w:pPr>
        <w:pStyle w:val="tekstost"/>
      </w:pPr>
      <w:r>
        <w:tab/>
      </w:r>
      <w:r w:rsidR="00DA4C5F">
        <w:t>Specyfikacja techniczna stanowi dokument przetargowy i kontraktowy przy zlecaniu i realizacji remontu</w:t>
      </w:r>
      <w:r w:rsidR="00DD2126">
        <w:t xml:space="preserve"> drogi wojewódzkiej dawnej DK 61 Ostrołęka - gr. Woj. od km 125+950 do km 127+071 wraz z remontem dróg zbiorczych od km  123+900 do km 126+530</w:t>
      </w:r>
      <w:r w:rsidR="00DD2126">
        <w:t xml:space="preserve"> </w:t>
      </w:r>
      <w:r w:rsidR="00DD2126">
        <w:t>(m. Teodorowo i m. Laskowiec)</w:t>
      </w:r>
      <w:r w:rsidR="005E6ACD" w:rsidRPr="005E6ACD">
        <w:t>.</w:t>
      </w:r>
    </w:p>
    <w:p w14:paraId="5B60CBED" w14:textId="77777777" w:rsidR="005E2C6B" w:rsidRPr="00F63D19" w:rsidRDefault="005E2C6B" w:rsidP="005E2C6B">
      <w:pPr>
        <w:tabs>
          <w:tab w:val="left" w:pos="0"/>
        </w:tabs>
        <w:rPr>
          <w:b/>
        </w:rPr>
      </w:pPr>
    </w:p>
    <w:p w14:paraId="2B7C209C" w14:textId="77777777" w:rsidR="005E2C6B" w:rsidRPr="005E2C6B" w:rsidRDefault="005E2C6B" w:rsidP="005E2C6B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53FBCE8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7E2EB9F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61A0A63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6B15B7C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3B38AD7B" w14:textId="77777777" w:rsidR="005E2C6B" w:rsidRDefault="005E2C6B" w:rsidP="00DA4C5F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08640D2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0159068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4F5C4A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22AF5C1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C6BCE32" w14:textId="77777777" w:rsidR="008C4B54" w:rsidRDefault="008C4B54" w:rsidP="008C4B54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0ED21BB9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1.4. Określenia podstawowe</w:t>
      </w:r>
    </w:p>
    <w:p w14:paraId="2D7E4D98" w14:textId="77777777" w:rsidR="005E2C6B" w:rsidRDefault="005E2C6B" w:rsidP="005E2C6B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</w:t>
      </w:r>
      <w:r w:rsidR="008C4B54">
        <w:t xml:space="preserve"> oraz z definicjami podanymi w </w:t>
      </w:r>
      <w:r>
        <w:t>ST D-M-00.00.00 „Wymagania ogólne” pkt 1.4.</w:t>
      </w:r>
    </w:p>
    <w:p w14:paraId="61737B56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64F782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</w:t>
      </w:r>
      <w:r w:rsidR="008C4B54">
        <w:t xml:space="preserve">gania dotyczące robót podano w </w:t>
      </w:r>
      <w:r>
        <w:t>ST D-M-00.00.00 „Wymagania ogólne” pkt 1.5.</w:t>
      </w:r>
    </w:p>
    <w:p w14:paraId="51C0FE7B" w14:textId="77777777" w:rsidR="005E2C6B" w:rsidRDefault="005E2C6B" w:rsidP="005E2C6B">
      <w:pPr>
        <w:pStyle w:val="Nagwek1"/>
        <w:numPr>
          <w:ilvl w:val="12"/>
          <w:numId w:val="0"/>
        </w:numPr>
      </w:pPr>
      <w:r>
        <w:t>2. MATERIAŁY</w:t>
      </w:r>
    </w:p>
    <w:p w14:paraId="73EF82C2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67830A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</w:t>
      </w:r>
      <w:r w:rsidR="008C4B54">
        <w:t xml:space="preserve">iwania i składowania, podano w </w:t>
      </w:r>
      <w:r>
        <w:t>ST D-M-00.00.00 „Wymagania ogólne” pkt 2.</w:t>
      </w:r>
    </w:p>
    <w:p w14:paraId="0BEF7154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2.2. Rusztowania</w:t>
      </w:r>
    </w:p>
    <w:p w14:paraId="7BDB644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2AA1E90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2076970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008CB25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30A1D84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4BF298C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4DCA54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0FBCC0B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573A5AB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74B5F7D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03F1CE26" w14:textId="77777777" w:rsidR="005E2C6B" w:rsidRDefault="005E2C6B" w:rsidP="005E2C6B">
      <w:pPr>
        <w:pStyle w:val="Nagwek1"/>
        <w:numPr>
          <w:ilvl w:val="12"/>
          <w:numId w:val="0"/>
        </w:numPr>
      </w:pPr>
      <w:r>
        <w:t>3. SPRZĘT</w:t>
      </w:r>
    </w:p>
    <w:p w14:paraId="6E7E2F97" w14:textId="77777777" w:rsidR="005E2C6B" w:rsidRDefault="005E2C6B" w:rsidP="005E2C6B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9F49F0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</w:t>
      </w:r>
      <w:r w:rsidR="008C4B54">
        <w:t xml:space="preserve">nia dotyczące sprzętu podano w </w:t>
      </w:r>
      <w:r>
        <w:t>ST D-M-00.00.00 „Wymagania ogólne” pkt 3.</w:t>
      </w:r>
    </w:p>
    <w:p w14:paraId="3884B99D" w14:textId="77777777" w:rsidR="005E2C6B" w:rsidRDefault="005E2C6B" w:rsidP="005E2C6B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56D1843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EC9229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53FFB8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42A239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64763F7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276E877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564F86A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43EE2EE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238B2E0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2D7102D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63875643" w14:textId="77777777" w:rsidR="005E2C6B" w:rsidRDefault="005E2C6B" w:rsidP="005E2C6B">
      <w:pPr>
        <w:pStyle w:val="Nagwek1"/>
        <w:numPr>
          <w:ilvl w:val="12"/>
          <w:numId w:val="0"/>
        </w:numPr>
      </w:pPr>
      <w:r>
        <w:t>4. TRANSPORT</w:t>
      </w:r>
    </w:p>
    <w:p w14:paraId="5A0525D9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1289EA0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</w:t>
      </w:r>
      <w:r w:rsidR="008C4B54">
        <w:t xml:space="preserve"> dotyczące transportu podano w </w:t>
      </w:r>
      <w:r>
        <w:t>ST D-M-00.00.00 „Wymagania ogólne” pkt 4.</w:t>
      </w:r>
    </w:p>
    <w:p w14:paraId="4FE49DA2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1080307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20CEF156" w14:textId="77777777" w:rsidR="005E2C6B" w:rsidRDefault="005E2C6B" w:rsidP="005E2C6B">
      <w:pPr>
        <w:pStyle w:val="Nagwek1"/>
        <w:numPr>
          <w:ilvl w:val="12"/>
          <w:numId w:val="0"/>
        </w:numPr>
      </w:pPr>
      <w:r>
        <w:t>5. WYKONANIE ROBÓT</w:t>
      </w:r>
    </w:p>
    <w:p w14:paraId="3E0D3002" w14:textId="77777777" w:rsidR="005E2C6B" w:rsidRDefault="005E2C6B" w:rsidP="005E2C6B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1AF7864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</w:t>
      </w:r>
      <w:r w:rsidR="008C4B54">
        <w:t xml:space="preserve">asady wykonania robót podano w </w:t>
      </w:r>
      <w:r>
        <w:t>ST D-M-00.00.00 „Wymagania ogólne” pkt 5.</w:t>
      </w:r>
    </w:p>
    <w:p w14:paraId="24E8466A" w14:textId="77777777" w:rsidR="0058486D" w:rsidRDefault="005E2C6B" w:rsidP="0058486D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7DE20F72" w14:textId="77777777" w:rsidR="0058486D" w:rsidRPr="0058486D" w:rsidRDefault="0058486D" w:rsidP="0058486D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6477786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</w:t>
      </w:r>
      <w:r w:rsidR="008C4B54">
        <w:t xml:space="preserve">nie z dokumentacją projektową, </w:t>
      </w:r>
      <w:r>
        <w:t>ST lub wskazanych przez Inżyniera.</w:t>
      </w:r>
    </w:p>
    <w:p w14:paraId="56540314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7006FE6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</w:t>
      </w:r>
      <w:r w:rsidR="008C4B54">
        <w:t xml:space="preserve">b ręcznie w sposób określony w </w:t>
      </w:r>
      <w:r>
        <w:t>ST lub przez Inżyniera.</w:t>
      </w:r>
    </w:p>
    <w:p w14:paraId="575B14C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</w:t>
      </w:r>
      <w:r w:rsidR="008C4B54">
        <w:t xml:space="preserve">ży spełnić warunki określone w </w:t>
      </w:r>
      <w:r>
        <w:t>ST D-05.03.11 „Recykling”.</w:t>
      </w:r>
    </w:p>
    <w:p w14:paraId="5C390243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1218BAB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59C04B1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410E4D5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5CB99FC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58327BD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23C5C0F2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</w:t>
      </w:r>
      <w:r w:rsidR="008C4B54">
        <w:t xml:space="preserve">e w </w:t>
      </w:r>
      <w:r>
        <w:t>ST lub wskazane przez Inżyniera.</w:t>
      </w:r>
    </w:p>
    <w:p w14:paraId="7487D59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</w:t>
      </w:r>
      <w:r w:rsidR="008C4B54">
        <w:t xml:space="preserve">y i materiały, które nie nadają się do ponownego wykorzystania zgodnie z </w:t>
      </w:r>
      <w:r>
        <w:t>ST stają się własnością Wykonawcy, powinny być usunięte z terenu budowy.</w:t>
      </w:r>
    </w:p>
    <w:p w14:paraId="1A19B4E2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673D106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</w:t>
      </w:r>
      <w:r w:rsidR="008C4B54">
        <w:t xml:space="preserve">ie z wymaganiami określonymi w </w:t>
      </w:r>
      <w:r>
        <w:t>ST D-02.00.00 „Roboty ziemne”.</w:t>
      </w:r>
    </w:p>
    <w:p w14:paraId="2CAB1224" w14:textId="77777777" w:rsidR="005E2C6B" w:rsidRDefault="005E2C6B" w:rsidP="005E2C6B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14:paraId="39E3B6EF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6FEDD014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</w:t>
      </w:r>
      <w:r w:rsidR="008C4B54">
        <w:t xml:space="preserve">podano w </w:t>
      </w:r>
      <w:r>
        <w:t>ST D-M-00.00.00 „Wymagania ogólne” pkt 6.</w:t>
      </w:r>
    </w:p>
    <w:p w14:paraId="115486A1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72BD8F9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6D3ADAD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</w:t>
      </w:r>
      <w:r w:rsidR="008C4B54">
        <w:t xml:space="preserve">owiednie wymagania określone w </w:t>
      </w:r>
      <w:r>
        <w:t>ST D-02.00.00 „Roboty ziemne”.</w:t>
      </w:r>
    </w:p>
    <w:p w14:paraId="05EB3AE9" w14:textId="77777777" w:rsidR="005E2C6B" w:rsidRDefault="005E2C6B" w:rsidP="005E2C6B">
      <w:pPr>
        <w:pStyle w:val="Nagwek1"/>
        <w:numPr>
          <w:ilvl w:val="12"/>
          <w:numId w:val="0"/>
        </w:numPr>
      </w:pPr>
      <w:r>
        <w:t>7. OBMIAR ROBÓT</w:t>
      </w:r>
    </w:p>
    <w:p w14:paraId="2C3FC268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7.1. Ogólne zasady obmiaru robót</w:t>
      </w:r>
    </w:p>
    <w:p w14:paraId="2511C76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obmiaru robót podano w </w:t>
      </w:r>
      <w:r>
        <w:t>ST D-M-00.00.00 „Wymagania ogólne”     pkt 7.</w:t>
      </w:r>
    </w:p>
    <w:p w14:paraId="361AA589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7.2. Jednostka obmiarowa</w:t>
      </w:r>
    </w:p>
    <w:p w14:paraId="374D55A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2CDCD70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2F328AE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410690F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3F4023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3304B69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56DD9FD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0F48CA0E" w14:textId="77777777" w:rsidR="005E2C6B" w:rsidRDefault="005E2C6B" w:rsidP="005E2C6B">
      <w:pPr>
        <w:pStyle w:val="Nagwek1"/>
        <w:numPr>
          <w:ilvl w:val="12"/>
          <w:numId w:val="0"/>
        </w:numPr>
      </w:pPr>
      <w:r>
        <w:t>8. ODBIÓR ROBÓT</w:t>
      </w:r>
    </w:p>
    <w:p w14:paraId="767C263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odbioru robót podano w </w:t>
      </w:r>
      <w:r>
        <w:t>ST D-M-00.00.00 „Wymagania ogólne”            pkt 8.</w:t>
      </w:r>
    </w:p>
    <w:p w14:paraId="13D40A58" w14:textId="77777777" w:rsidR="005E2C6B" w:rsidRDefault="005E2C6B" w:rsidP="005E2C6B">
      <w:pPr>
        <w:pStyle w:val="Nagwek1"/>
        <w:numPr>
          <w:ilvl w:val="12"/>
          <w:numId w:val="0"/>
        </w:numPr>
      </w:pPr>
      <w:r>
        <w:t>9. PODSTAWA PŁATNOŚCI</w:t>
      </w:r>
    </w:p>
    <w:p w14:paraId="489D8226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5D96BDC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</w:t>
      </w:r>
      <w:r w:rsidR="008C4B54">
        <w:t xml:space="preserve">atności podano w </w:t>
      </w:r>
      <w:r>
        <w:t>ST D-M-00.00.00 „Wymagania ogólne” pkt 9.</w:t>
      </w:r>
    </w:p>
    <w:p w14:paraId="7AFB4A30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9.2. Cena jednostki obmiarowej</w:t>
      </w:r>
    </w:p>
    <w:p w14:paraId="155A1DE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D3A1A8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7918B7A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444AA99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7F5895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046141E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2229725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2B13408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1C9F503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26D5FBC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7A29671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65077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3BDB607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6A110DC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2B4A3C8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5A00A11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6531DDD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4517F75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4379937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2A1AE63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64FDB4D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740FDAD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1F4C88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5618FCA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17A27A5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F3B973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3C24393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e) dla rozbiórki ogrodzeń:</w:t>
      </w:r>
    </w:p>
    <w:p w14:paraId="54B4144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1B7BAA9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724C037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692D2D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05299A5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2811DFE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50C78FE3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12E7D1A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6263CE5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29F08A9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0C00D3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16B0C63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16B150C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B7399A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0CD9CB6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A5DB37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17BAD6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5B5EAD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5EFFD43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177CF0D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2F2F233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3E66018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6A550250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5A469D5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20EEA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7138871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20A389C6" w14:textId="77777777" w:rsidR="005E2C6B" w:rsidRDefault="005E2C6B" w:rsidP="005E2C6B">
      <w:pPr>
        <w:pStyle w:val="Nagwek1"/>
      </w:pPr>
      <w:r>
        <w:t>10. PRZEPISY ZWIĄZANE</w:t>
      </w:r>
    </w:p>
    <w:p w14:paraId="3CE933B1" w14:textId="77777777" w:rsidR="005E2C6B" w:rsidRDefault="005E2C6B" w:rsidP="005E2C6B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5E2C6B" w14:paraId="717C7EE0" w14:textId="77777777" w:rsidTr="008C4B54">
        <w:tc>
          <w:tcPr>
            <w:tcW w:w="496" w:type="dxa"/>
          </w:tcPr>
          <w:p w14:paraId="5970E112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A774C3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2DB41AF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5E2C6B" w14:paraId="7A1E5C5E" w14:textId="77777777" w:rsidTr="008C4B54">
        <w:tc>
          <w:tcPr>
            <w:tcW w:w="496" w:type="dxa"/>
          </w:tcPr>
          <w:p w14:paraId="501C5A3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6ABD360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77CFCDF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5E2C6B" w14:paraId="542DC721" w14:textId="77777777" w:rsidTr="008C4B54">
        <w:tc>
          <w:tcPr>
            <w:tcW w:w="496" w:type="dxa"/>
          </w:tcPr>
          <w:p w14:paraId="79CA6CE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65C16D6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488FEAC1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5E2C6B" w14:paraId="54C437A8" w14:textId="77777777" w:rsidTr="008C4B54">
        <w:tc>
          <w:tcPr>
            <w:tcW w:w="496" w:type="dxa"/>
          </w:tcPr>
          <w:p w14:paraId="7B3D0EB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706B22A7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91D514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5E2C6B" w14:paraId="1ACEE249" w14:textId="77777777" w:rsidTr="008C4B54">
        <w:tc>
          <w:tcPr>
            <w:tcW w:w="496" w:type="dxa"/>
          </w:tcPr>
          <w:p w14:paraId="0698159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138097A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4747713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5E2C6B" w14:paraId="1096CC7A" w14:textId="77777777" w:rsidTr="008C4B54">
        <w:tc>
          <w:tcPr>
            <w:tcW w:w="496" w:type="dxa"/>
          </w:tcPr>
          <w:p w14:paraId="0DCBD0C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5F1630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715CCFA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5E2C6B" w14:paraId="4D73503A" w14:textId="77777777" w:rsidTr="008C4B54">
        <w:tc>
          <w:tcPr>
            <w:tcW w:w="496" w:type="dxa"/>
          </w:tcPr>
          <w:p w14:paraId="042F2E9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211A9778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143196C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5E2C6B" w14:paraId="6EC26DC3" w14:textId="77777777" w:rsidTr="008C4B54">
        <w:tc>
          <w:tcPr>
            <w:tcW w:w="496" w:type="dxa"/>
          </w:tcPr>
          <w:p w14:paraId="5BD9906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486406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6D624A1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5E2C6B" w14:paraId="30CBA22D" w14:textId="77777777" w:rsidTr="008C4B54">
        <w:tc>
          <w:tcPr>
            <w:tcW w:w="496" w:type="dxa"/>
          </w:tcPr>
          <w:p w14:paraId="33F9BE4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0F04E3E3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49A7433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0F196D78" w14:textId="77777777" w:rsidR="005E2C6B" w:rsidRDefault="005E2C6B" w:rsidP="005E2C6B">
      <w:pPr>
        <w:pStyle w:val="tekstost"/>
      </w:pPr>
    </w:p>
    <w:p w14:paraId="5D895541" w14:textId="77777777" w:rsidR="008C4B54" w:rsidRDefault="008C4B54"/>
    <w:sectPr w:rsidR="008C4B54" w:rsidSect="005E2C6B">
      <w:headerReference w:type="even" r:id="rId7"/>
      <w:footerReference w:type="default" r:id="rId8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14F19" w14:textId="77777777" w:rsidR="008C4B54" w:rsidRDefault="008C4B54" w:rsidP="005E2C6B">
      <w:r>
        <w:separator/>
      </w:r>
    </w:p>
  </w:endnote>
  <w:endnote w:type="continuationSeparator" w:id="0">
    <w:p w14:paraId="6FD875B5" w14:textId="77777777" w:rsidR="008C4B54" w:rsidRDefault="008C4B54" w:rsidP="005E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6AE0F454" w14:textId="77777777" w:rsidR="008C4B54" w:rsidRDefault="008C4B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E1">
          <w:rPr>
            <w:noProof/>
          </w:rPr>
          <w:t>1</w:t>
        </w:r>
        <w:r>
          <w:fldChar w:fldCharType="end"/>
        </w:r>
      </w:p>
    </w:sdtContent>
  </w:sdt>
  <w:p w14:paraId="530A1C39" w14:textId="77777777" w:rsidR="008C4B54" w:rsidRDefault="008C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89572" w14:textId="77777777" w:rsidR="008C4B54" w:rsidRDefault="008C4B54" w:rsidP="005E2C6B">
      <w:r>
        <w:separator/>
      </w:r>
    </w:p>
  </w:footnote>
  <w:footnote w:type="continuationSeparator" w:id="0">
    <w:p w14:paraId="6D76D7B6" w14:textId="77777777" w:rsidR="008C4B54" w:rsidRDefault="008C4B54" w:rsidP="005E2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FA49C" w14:textId="77777777" w:rsidR="008C4B54" w:rsidRDefault="008C4B54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0E1EF812" w14:textId="77777777">
      <w:tc>
        <w:tcPr>
          <w:tcW w:w="921" w:type="dxa"/>
        </w:tcPr>
        <w:p w14:paraId="6B2AEA9B" w14:textId="77777777" w:rsidR="008C4B54" w:rsidRDefault="008C4B5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687738C3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40C985CE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551F81E9" w14:textId="77777777" w:rsidR="008C4B54" w:rsidRDefault="008C4B54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6B"/>
    <w:rsid w:val="00314A8D"/>
    <w:rsid w:val="00391D7C"/>
    <w:rsid w:val="004027E1"/>
    <w:rsid w:val="00407992"/>
    <w:rsid w:val="0058486D"/>
    <w:rsid w:val="005E2C6B"/>
    <w:rsid w:val="005E6ACD"/>
    <w:rsid w:val="0084491E"/>
    <w:rsid w:val="008469E5"/>
    <w:rsid w:val="008C4B54"/>
    <w:rsid w:val="00B9403D"/>
    <w:rsid w:val="00BE1A3B"/>
    <w:rsid w:val="00DA4C5F"/>
    <w:rsid w:val="00DD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97DFBC"/>
  <w15:docId w15:val="{2E9367EA-C2FF-4BFD-A0C2-E1748558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C6B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E2C6B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C6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C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5E2C6B"/>
  </w:style>
  <w:style w:type="paragraph" w:styleId="Nagwek">
    <w:name w:val="header"/>
    <w:basedOn w:val="Normalny"/>
    <w:link w:val="NagwekZnak"/>
    <w:rsid w:val="005E2C6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5E2C6B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E2C6B"/>
  </w:style>
  <w:style w:type="paragraph" w:customStyle="1" w:styleId="Standardowytekst">
    <w:name w:val="Standardowy.tekst"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C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C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1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1630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Bartłomiej Kaczyński</cp:lastModifiedBy>
  <cp:revision>2</cp:revision>
  <dcterms:created xsi:type="dcterms:W3CDTF">2024-11-08T12:46:00Z</dcterms:created>
  <dcterms:modified xsi:type="dcterms:W3CDTF">2024-11-08T12:46:00Z</dcterms:modified>
</cp:coreProperties>
</file>