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20" w:rsidRPr="00130FE8" w:rsidRDefault="007E0A19" w:rsidP="00EA31D0">
      <w:pPr>
        <w:ind w:left="6372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t>ZAŁĄCZNIK NR 1B</w:t>
      </w:r>
    </w:p>
    <w:p w:rsidR="003D6F20" w:rsidRPr="00130FE8" w:rsidRDefault="003D6F20" w:rsidP="00F93E27">
      <w:pPr>
        <w:pStyle w:val="Nagwek5"/>
        <w:spacing w:after="0"/>
        <w:rPr>
          <w:rFonts w:cs="Calibri"/>
          <w:sz w:val="20"/>
          <w:szCs w:val="20"/>
        </w:rPr>
      </w:pPr>
      <w:r w:rsidRPr="00130FE8">
        <w:rPr>
          <w:rFonts w:cs="Calibri"/>
          <w:bCs/>
          <w:sz w:val="20"/>
          <w:szCs w:val="20"/>
          <w:lang w:eastAsia="ar-SA"/>
        </w:rPr>
        <w:t>ZESTAWIENIE PARAMETRÓW I WARUNKÓW WYMAGANYCH</w:t>
      </w:r>
    </w:p>
    <w:p w:rsidR="003D6F20" w:rsidRPr="00130FE8" w:rsidRDefault="003D6F20" w:rsidP="00F93E27">
      <w:pPr>
        <w:spacing w:after="0"/>
        <w:rPr>
          <w:rFonts w:ascii="Calibri" w:hAnsi="Calibri" w:cs="Calibri"/>
          <w:sz w:val="20"/>
          <w:szCs w:val="20"/>
        </w:rPr>
      </w:pPr>
    </w:p>
    <w:p w:rsidR="00A22E91" w:rsidRPr="00130FE8" w:rsidRDefault="003D6F20" w:rsidP="00A22E91">
      <w:pPr>
        <w:pStyle w:val="Tekstpodstawowy"/>
        <w:spacing w:after="0"/>
        <w:rPr>
          <w:rFonts w:ascii="Calibri" w:hAnsi="Calibri" w:cs="Calibri"/>
          <w:b/>
          <w:sz w:val="20"/>
          <w:szCs w:val="20"/>
          <w:lang w:eastAsia="ar-SA"/>
        </w:rPr>
      </w:pPr>
      <w:r w:rsidRPr="00130FE8">
        <w:rPr>
          <w:rFonts w:ascii="Calibri" w:hAnsi="Calibri" w:cs="Calibri"/>
          <w:sz w:val="20"/>
          <w:szCs w:val="20"/>
        </w:rPr>
        <w:t xml:space="preserve">Przedmiot zamówienia: </w:t>
      </w:r>
      <w:r w:rsidR="00061810" w:rsidRPr="00130FE8">
        <w:rPr>
          <w:rFonts w:ascii="Calibri" w:hAnsi="Calibri" w:cs="Calibri"/>
          <w:b/>
          <w:sz w:val="20"/>
          <w:szCs w:val="20"/>
        </w:rPr>
        <w:t>Zakup narzędzi i akcesoriów chirurgicznych kompatybilnych z posiadanym sprzętem firmy STORZ dla Centralnego Bloku Operacyjnego</w:t>
      </w:r>
      <w:r w:rsidRPr="00130FE8">
        <w:rPr>
          <w:rFonts w:ascii="Calibri" w:hAnsi="Calibri" w:cs="Calibri"/>
          <w:b/>
          <w:bCs/>
          <w:sz w:val="20"/>
          <w:szCs w:val="20"/>
        </w:rPr>
        <w:br/>
      </w:r>
      <w:r w:rsidRPr="00130FE8">
        <w:rPr>
          <w:rFonts w:ascii="Calibri" w:hAnsi="Calibri" w:cs="Calibri"/>
          <w:sz w:val="20"/>
          <w:szCs w:val="20"/>
        </w:rPr>
        <w:t>Nazwa oferenta:</w:t>
      </w:r>
      <w:r w:rsidRPr="00130FE8">
        <w:rPr>
          <w:rFonts w:ascii="Calibri" w:hAnsi="Calibri" w:cs="Calibri"/>
          <w:sz w:val="20"/>
          <w:szCs w:val="20"/>
        </w:rPr>
        <w:br/>
        <w:t>Producent:</w:t>
      </w:r>
      <w:r w:rsidRPr="00130FE8">
        <w:rPr>
          <w:rFonts w:ascii="Calibri" w:hAnsi="Calibri" w:cs="Calibri"/>
          <w:sz w:val="20"/>
          <w:szCs w:val="20"/>
        </w:rPr>
        <w:br/>
      </w:r>
      <w:r w:rsidR="00A22E91" w:rsidRPr="00130FE8">
        <w:rPr>
          <w:rFonts w:ascii="Calibri" w:hAnsi="Calibri" w:cs="Calibri"/>
          <w:sz w:val="20"/>
          <w:szCs w:val="20"/>
          <w:lang w:eastAsia="ar-SA"/>
        </w:rPr>
        <w:t>Nazwa i typ</w:t>
      </w:r>
      <w:r w:rsidR="00A22E91" w:rsidRPr="00130FE8">
        <w:rPr>
          <w:rFonts w:ascii="Calibri" w:hAnsi="Calibri" w:cs="Calibri"/>
          <w:b/>
          <w:sz w:val="20"/>
          <w:szCs w:val="20"/>
          <w:lang w:eastAsia="ar-SA"/>
        </w:rPr>
        <w:t xml:space="preserve">: </w:t>
      </w:r>
    </w:p>
    <w:p w:rsidR="003D6F20" w:rsidRPr="00130FE8" w:rsidRDefault="00A22E91" w:rsidP="00A22E91">
      <w:pPr>
        <w:pStyle w:val="Tekstpodstawowy"/>
        <w:spacing w:after="0"/>
        <w:rPr>
          <w:rFonts w:ascii="Calibri" w:hAnsi="Calibri" w:cs="Calibri"/>
          <w:sz w:val="20"/>
          <w:szCs w:val="20"/>
        </w:rPr>
      </w:pPr>
      <w:r w:rsidRPr="00130FE8">
        <w:rPr>
          <w:rFonts w:ascii="Calibri" w:hAnsi="Calibri" w:cs="Calibri"/>
          <w:sz w:val="20"/>
          <w:szCs w:val="20"/>
          <w:lang w:eastAsia="ar-SA"/>
        </w:rPr>
        <w:t>Aparat fabrycznie nowy (podać rok produkcji):</w:t>
      </w:r>
    </w:p>
    <w:p w:rsidR="003D6F20" w:rsidRPr="00130FE8" w:rsidRDefault="003D6F20" w:rsidP="003D6F20">
      <w:pPr>
        <w:spacing w:after="0" w:line="240" w:lineRule="auto"/>
        <w:ind w:left="-142"/>
        <w:jc w:val="both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11068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689"/>
        <w:gridCol w:w="1417"/>
        <w:gridCol w:w="4395"/>
      </w:tblGrid>
      <w:tr w:rsidR="008B7B06" w:rsidRPr="00130FE8" w:rsidTr="008B7B06">
        <w:trPr>
          <w:trHeight w:val="960"/>
        </w:trPr>
        <w:tc>
          <w:tcPr>
            <w:tcW w:w="56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7B06" w:rsidRPr="00130FE8" w:rsidRDefault="008B7B06" w:rsidP="00A258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689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7B06" w:rsidRPr="00130FE8" w:rsidRDefault="008B7B06" w:rsidP="003D6F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b/>
                <w:sz w:val="20"/>
                <w:szCs w:val="20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7B06" w:rsidRPr="00130FE8" w:rsidRDefault="008B7B06" w:rsidP="003D6F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439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7B06" w:rsidRPr="00130FE8" w:rsidRDefault="008B7B06" w:rsidP="003D6F2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0FE8">
              <w:rPr>
                <w:rFonts w:ascii="Calibri" w:hAnsi="Calibri" w:cs="Calibri"/>
                <w:b/>
                <w:sz w:val="20"/>
                <w:szCs w:val="20"/>
              </w:rPr>
              <w:t>PARAMETR OFEROWANY</w:t>
            </w:r>
          </w:p>
          <w:p w:rsidR="008B7B06" w:rsidRPr="00130FE8" w:rsidRDefault="008B7B06" w:rsidP="003D6F2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B7B06" w:rsidRPr="00130FE8" w:rsidRDefault="008B7B06" w:rsidP="002E68AC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30FE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Wykonawca winien wskazać nr strony</w:t>
            </w:r>
            <w:r w:rsidRPr="00130FE8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Pr="00130FE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na której w załączonych  przedmiotowych środkach dowodowych potwierdzone jest spełnienie parametru.</w:t>
            </w:r>
          </w:p>
          <w:p w:rsidR="008B7B06" w:rsidRPr="00130FE8" w:rsidRDefault="008B7B06" w:rsidP="002E68AC">
            <w:pPr>
              <w:pStyle w:val="Defaul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B7B06" w:rsidRPr="00130FE8" w:rsidRDefault="008B7B06" w:rsidP="002E68AC">
            <w:pPr>
              <w:pStyle w:val="Default"/>
              <w:tabs>
                <w:tab w:val="num" w:pos="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</w:rPr>
              <w:t xml:space="preserve">Jednocześnie Wykonawca w załączonych przedmiotowych środkach dowodowych winien </w:t>
            </w:r>
            <w:r w:rsidRPr="00130FE8">
              <w:rPr>
                <w:rFonts w:ascii="Calibri" w:hAnsi="Calibri" w:cs="Calibri"/>
                <w:b/>
                <w:sz w:val="20"/>
                <w:szCs w:val="20"/>
              </w:rPr>
              <w:t>wyraźnie wskazać </w:t>
            </w:r>
            <w:r w:rsidRPr="00130FE8">
              <w:rPr>
                <w:rFonts w:ascii="Calibri" w:hAnsi="Calibri" w:cs="Calibri"/>
                <w:sz w:val="20"/>
                <w:szCs w:val="20"/>
              </w:rPr>
              <w:t>przy opisywanym parametrze </w:t>
            </w:r>
            <w:r w:rsidRPr="00130FE8">
              <w:rPr>
                <w:rFonts w:ascii="Calibri" w:hAnsi="Calibri" w:cs="Calibri"/>
                <w:b/>
                <w:sz w:val="20"/>
                <w:szCs w:val="20"/>
              </w:rPr>
              <w:t>nr </w:t>
            </w:r>
            <w:r w:rsidRPr="00130FE8">
              <w:rPr>
                <w:rFonts w:ascii="Calibri" w:hAnsi="Calibri" w:cs="Calibri"/>
                <w:b/>
                <w:sz w:val="20"/>
                <w:szCs w:val="20"/>
              </w:rPr>
              <w:br/>
              <w:t>liczby</w:t>
            </w:r>
            <w:r w:rsidRPr="00130FE8">
              <w:rPr>
                <w:rFonts w:ascii="Calibri" w:hAnsi="Calibri" w:cs="Calibri"/>
                <w:sz w:val="20"/>
                <w:szCs w:val="20"/>
              </w:rPr>
              <w:t xml:space="preserve"> porządkowej parametru wymaganego </w:t>
            </w:r>
            <w:r w:rsidRPr="00130FE8">
              <w:rPr>
                <w:rFonts w:ascii="Calibri" w:hAnsi="Calibri" w:cs="Calibri"/>
                <w:sz w:val="20"/>
                <w:szCs w:val="20"/>
              </w:rPr>
              <w:br/>
              <w:t>z niniejszego formularza.</w:t>
            </w:r>
          </w:p>
          <w:p w:rsidR="008B7B06" w:rsidRPr="00130FE8" w:rsidRDefault="008B7B06" w:rsidP="002E68AC">
            <w:pPr>
              <w:pStyle w:val="Default"/>
              <w:tabs>
                <w:tab w:val="num" w:pos="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B7B06" w:rsidRPr="00130FE8" w:rsidRDefault="008B7B06" w:rsidP="002E68A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</w:rPr>
              <w:t>W przypadku zastosowania przez producenta innej nazwy parametru niż wymagany przez Zamawiającego, </w:t>
            </w:r>
            <w:r w:rsidRPr="00130FE8">
              <w:rPr>
                <w:rFonts w:ascii="Calibri" w:hAnsi="Calibri" w:cs="Calibri"/>
                <w:b/>
                <w:sz w:val="20"/>
                <w:szCs w:val="20"/>
              </w:rPr>
              <w:t>Wykonawca winien udokumentować</w:t>
            </w:r>
            <w:r w:rsidRPr="00130FE8">
              <w:rPr>
                <w:rFonts w:ascii="Calibri" w:hAnsi="Calibri" w:cs="Calibri"/>
                <w:sz w:val="20"/>
                <w:szCs w:val="20"/>
              </w:rPr>
              <w:t xml:space="preserve"> i wykazać tożsamość nazwy parametru producenta z nazwą parametru wymaganego przez Zamawiającego.</w:t>
            </w: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Światłowód, osłona wzmocniona, nieprzeźroczysta, dł. 250 cm, śr. 4,8 mm - 2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Optyka laparoskopowa, śr. 10 mm, dł. 31 cm, kąt patrzenia 30 st., wyposażona w system soczewek wałeczkowych,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autoklawowalna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. Optyka opatrzona słowną informacją potwierdzającą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autoklawowalność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 - 2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Kosz druciany na 2 optyki  sztywne o dł. do 32 cm  - 2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Igła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Veressa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, śr. 2,0 - 2,2 mm, dł. 15 cm - 3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Trokar laparoskopowy, śr. kaniuli 11 mm, dł. robocza 10-11 cm, złożony z: gładkiej, ściętej kaniuli z przyłączem LUER-Lock i kranikiem do podłączenia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insuflacji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, zaworu z klapą otwieraną pod naporem instrumentu i ręcznie przy pomocy dedykowanej dźwigni, gwoździa piramidalnego - 4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Zawór z klapą otwieraną pod naporem instrumentu i ręcznie przy pomocy dedykowanej dźwigni do kaniuli trokara o śr. 11 mm – 4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Nasadka redukcyjna, 11 / 5 mm, mocowana do zaworu trokara - 4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ar-SA"/>
              </w:rPr>
              <w:lastRenderedPageBreak/>
              <w:t>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Trokar laparoskopowy, śr. kaniuli 6 mm, dł. robocza 10-11 cm, złożony z: gładkiej, ściętej kaniuli z przyłączem LUER-Lock i kranikiem do podłączenia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insuflacji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, zaworu z klapą otwieraną pod naporem instrumentu i ręcznie przy pomocy dedykowanej dźwigni, gwoździa piramidalnego – 4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Zawór z klapą otwieraną pod naporem instrumentu i ręcznie przy pomocy dedykowanej dźwigni do kaniuli trokara o śr. 6 mm – 4 szt.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Tuleja gwintowana do stabilizacji trokarów, śr. 11 mm –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gwintowana do stabilizacji trokarów, śr. 6 mm – 2 szt.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Trokar laparoskopowy, śr. kaniuli 13,5 mm, dł. robocza 11,5 cm, złożony z: gładkiej, ściętej kaniuli z przyłączem LUER-Lock i kranikiem do podłączenia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insuflacji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, zaworu z klapą otwieraną pod naporem instrumentu i ręcznie przy pomocy dedykowanej dźwigni, gwoździa piramidalnego –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Rurka ssąco-płucząca z bocznymi otworami i zaworem dwudrożnym, śr. 5 mm, dł. 36 cm –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Kleszcze laparoskopowe,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monopolarne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, śr. 5 mm, dł. 36 cm, obrotowe 360°, rozbieralne na 3 części: - uchwyt: plastikowy z przyłączem HF, bez zapinki, z pokrętłem do obracania wkładu roboczego,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wkład roboczy: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bransze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preparacyjno - chwytające typu Kelly, obie ruchome,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- tubus: izolowany z przyłączem do przepłukiwania podczas mycia,</w:t>
            </w:r>
          </w:p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- 2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Kleszcze laparoskopowe,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monopolarne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, śr. 5 mm, dł. 36 cm, obrotowe 360°, rozbieralne na 3 części: 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- uchwyt: plastikowy z przyłączem HF, z zapinką z możliwością stałego odblokowania, z pokrętłem do obracania wkładu roboczego,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- wkład roboczy: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bransze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 chwytające typu Aligator, obie ruchome,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- tubus: izolowany z przyłączem do przepłukiwania podczas mycia,</w:t>
            </w:r>
          </w:p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- 2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Kleszcze laparoskopowe,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monopolarne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, śr. 5 mm, dł. 36 cm, obrotowe 360°, rozbieralne na 3 części: 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- uchwyt: plastikowy z przyłączem HF, z zapinką z możliwością stałego odblokowania, z pokrętłem do obracania wkładu roboczego,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- wkład roboczy: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bransze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 chwytające, ząbkowane, atraumatyczne, okienkowe, jedna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bransza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 ruchoma,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- tubus: izolowany z przyłączem do przepłukiwania podczas mycia,</w:t>
            </w:r>
          </w:p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- 2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Kleszcze chwytające okienkowe, dwie 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bransze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 ruchome, atraumatyczne; 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monopolarne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, obrotowe, rozbieralne, komplet: uchwyt plastikowy z zapinką , tubus izolowany z przyłączem do przepłukiwania, wkład roboczy; śr. 5 mm, dł. 36 cm – 2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Nożyczki laparoskopowe,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monopolarne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, śr. 5 mm, dł. 36 cm, obrotowe 360°, rozbieralne na 3 części: 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- uchwyt: plastikowy z przyłączem HF, z pokrętłem do obracania wkładu roboczego,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- wkład roboczy: ostrza zakrzywione, ząbkowane, oba ruchome,</w:t>
            </w:r>
          </w:p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- tubus: izolowany z przyłączem do przepłukiwania podczas mycia,</w:t>
            </w:r>
          </w:p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- 2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Elektroda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koagulacyjno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preparacyjna, haczykowa, kształt L,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monopolarna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, śr. 5 mm, dł. 36 cm – 4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Przewód HF do instrumentów </w:t>
            </w:r>
            <w:proofErr w:type="spellStart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monopolarnych</w:t>
            </w:r>
            <w:proofErr w:type="spellEnd"/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 xml:space="preserve"> dł.300 cm - 4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Pojemnik plastikowy do sterylizacji i przechowywania instrumentów wym. zew. 532x254x165 –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30FE8">
              <w:rPr>
                <w:rFonts w:ascii="Calibri" w:hAnsi="Calibri" w:cs="Calibri"/>
                <w:bCs/>
                <w:sz w:val="20"/>
                <w:szCs w:val="20"/>
              </w:rPr>
              <w:t>Redukcja 11/5 kaniula wprowadzana do trokara – 3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ar-SA"/>
              </w:rPr>
            </w:pPr>
            <w:r w:rsidRPr="00130FE8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Gumowa zatyczka do przyłącza LUER-Lock, czarna,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opk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. 10 szt. – 1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Wkład kleszczy typu KELLY;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bransze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preparacyjne, długie, 2 ruchome; kompatybilne z rączkami STORZ posiadanymi przez zamawiającego  śr. 5 mm, dł. rob. 36 cm – 2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Wkład nożyczek , śr. 5 mm, dł. 36 cm, kompatybilne z oferowanymi rączkami </w:t>
            </w:r>
            <w:proofErr w:type="spellStart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Storz</w:t>
            </w:r>
            <w:proofErr w:type="spellEnd"/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posiadanymi przez zamawiającego –  3 szt.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Zapasowe uszczelki do trokarów o śr. 11 mm – 10 szt.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ar-SA"/>
              </w:rPr>
            </w:pPr>
            <w:r w:rsidRPr="00130FE8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B06" w:rsidRPr="00130FE8" w:rsidRDefault="008B7B06" w:rsidP="00130FE8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Zapasowe uszczelki do trokarów o śr. 5 mm – 10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B06" w:rsidRPr="00130FE8" w:rsidRDefault="008B7B06" w:rsidP="0013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068" w:type="dxa"/>
            <w:gridSpan w:val="4"/>
            <w:shd w:val="clear" w:color="auto" w:fill="FFFFFF"/>
            <w:vAlign w:val="center"/>
          </w:tcPr>
          <w:p w:rsidR="008B7B06" w:rsidRPr="00130FE8" w:rsidRDefault="008B7B06" w:rsidP="00130FE8">
            <w:pPr>
              <w:spacing w:before="6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Warunki dodatkowe</w:t>
            </w: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Okres gwarancji na wszystkie elementy dostawy od momentu uruchomienia i protokolarnego odbioru całości zrealizowanego zamówienia min. 24 miesiące.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 min. 24 miesiące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eastAsia="SimSun" w:cs="Calibri"/>
                <w:kern w:val="1"/>
                <w:sz w:val="20"/>
                <w:szCs w:val="20"/>
                <w:lang w:bidi="hi-IN"/>
              </w:rPr>
            </w:pPr>
            <w:r w:rsidRPr="00130FE8">
              <w:rPr>
                <w:rFonts w:eastAsia="SimSun" w:cs="Calibri"/>
                <w:b/>
                <w:kern w:val="1"/>
                <w:sz w:val="20"/>
                <w:szCs w:val="20"/>
                <w:lang w:bidi="hi-IN"/>
              </w:rPr>
              <w:t>Wymagane dokumenty:</w:t>
            </w: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br/>
              <w:t xml:space="preserve">• deklaracja zgodności , </w:t>
            </w:r>
          </w:p>
          <w:p w:rsidR="008B7B06" w:rsidRPr="00130FE8" w:rsidRDefault="008B7B06" w:rsidP="00130FE8">
            <w:pPr>
              <w:pStyle w:val="Bezodstpw"/>
              <w:rPr>
                <w:rFonts w:eastAsia="SimSun" w:cs="Calibri"/>
                <w:kern w:val="1"/>
                <w:sz w:val="20"/>
                <w:szCs w:val="20"/>
                <w:lang w:bidi="hi-IN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• wpis lub zgłoszenie do Rejestru Wyrobów Medycznych</w:t>
            </w:r>
          </w:p>
          <w:p w:rsidR="008B7B06" w:rsidRPr="00130FE8" w:rsidRDefault="008B7B06" w:rsidP="00130FE8">
            <w:pPr>
              <w:pStyle w:val="Bezodstpw"/>
              <w:rPr>
                <w:rFonts w:eastAsia="SimSun" w:cs="Calibri"/>
                <w:kern w:val="1"/>
                <w:sz w:val="20"/>
                <w:szCs w:val="20"/>
                <w:lang w:bidi="hi-IN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• certyfikat ISO 9001:2008 lub równoważny  potwierdzający zdolność do ciągłego dostarczania wyrobów zgodnie z wymaganiami</w:t>
            </w:r>
          </w:p>
          <w:p w:rsidR="008B7B06" w:rsidRPr="00130FE8" w:rsidRDefault="008B7B06" w:rsidP="00130FE8">
            <w:pPr>
              <w:pStyle w:val="Bezodstpw"/>
              <w:rPr>
                <w:rFonts w:eastAsia="SimSun" w:cs="Calibri"/>
                <w:kern w:val="1"/>
                <w:sz w:val="20"/>
                <w:szCs w:val="20"/>
                <w:lang w:bidi="hi-IN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• certyfikat ISO 13485:2012   potwierdzający, że producent wdrożył i utrzymuje system zarządzania jakością dla wyrobów medycznych.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B7B06" w:rsidRPr="00130FE8" w:rsidTr="008B7B0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0F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689" w:type="dxa"/>
            <w:shd w:val="clear" w:color="auto" w:fill="auto"/>
          </w:tcPr>
          <w:p w:rsidR="008B7B06" w:rsidRPr="00130FE8" w:rsidRDefault="008B7B06" w:rsidP="00130FE8">
            <w:pPr>
              <w:pStyle w:val="Bezodstpw"/>
              <w:rPr>
                <w:rFonts w:cs="Calibri"/>
                <w:sz w:val="20"/>
                <w:szCs w:val="20"/>
              </w:rPr>
            </w:pPr>
            <w:r w:rsidRPr="00130FE8">
              <w:rPr>
                <w:rFonts w:eastAsia="SimSun" w:cs="Calibri"/>
                <w:kern w:val="1"/>
                <w:sz w:val="20"/>
                <w:szCs w:val="20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8B7B06" w:rsidRPr="00130FE8" w:rsidRDefault="008B7B06" w:rsidP="00130F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FE8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4395" w:type="dxa"/>
            <w:shd w:val="clear" w:color="auto" w:fill="FFFFFF"/>
          </w:tcPr>
          <w:p w:rsidR="008B7B06" w:rsidRPr="00130FE8" w:rsidRDefault="008B7B06" w:rsidP="00130FE8">
            <w:pPr>
              <w:widowControl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991776" w:rsidRPr="00130FE8" w:rsidRDefault="00991776" w:rsidP="00991776">
      <w:pPr>
        <w:rPr>
          <w:rFonts w:ascii="Calibri" w:hAnsi="Calibri" w:cs="Calibri"/>
          <w:b/>
          <w:sz w:val="20"/>
          <w:szCs w:val="20"/>
        </w:rPr>
      </w:pPr>
    </w:p>
    <w:p w:rsidR="00991776" w:rsidRPr="00130FE8" w:rsidRDefault="00991776" w:rsidP="00991776">
      <w:pPr>
        <w:rPr>
          <w:rFonts w:ascii="Calibri" w:hAnsi="Calibri" w:cs="Calibri"/>
          <w:sz w:val="20"/>
          <w:szCs w:val="20"/>
        </w:rPr>
      </w:pPr>
      <w:r w:rsidRPr="00130FE8">
        <w:rPr>
          <w:rFonts w:ascii="Calibri" w:hAnsi="Calibri" w:cs="Calibri"/>
          <w:b/>
          <w:sz w:val="20"/>
          <w:szCs w:val="20"/>
        </w:rPr>
        <w:t>UWAGA :</w:t>
      </w:r>
      <w:r w:rsidRPr="00130FE8">
        <w:rPr>
          <w:rFonts w:ascii="Calibri" w:hAnsi="Calibri" w:cs="Calibri"/>
          <w:b/>
          <w:sz w:val="20"/>
          <w:szCs w:val="20"/>
        </w:rPr>
        <w:tab/>
      </w:r>
    </w:p>
    <w:p w:rsidR="00991776" w:rsidRPr="00130FE8" w:rsidRDefault="00991776" w:rsidP="00991776">
      <w:pPr>
        <w:spacing w:after="0"/>
        <w:ind w:left="-142"/>
        <w:jc w:val="both"/>
        <w:rPr>
          <w:rFonts w:ascii="Calibri" w:hAnsi="Calibri" w:cs="Calibri"/>
          <w:sz w:val="20"/>
          <w:szCs w:val="20"/>
          <w:lang w:eastAsia="ar-SA"/>
        </w:rPr>
      </w:pPr>
      <w:r w:rsidRPr="00130FE8">
        <w:rPr>
          <w:rFonts w:ascii="Calibri" w:hAnsi="Calibri" w:cs="Calibri"/>
          <w:b/>
          <w:sz w:val="20"/>
          <w:szCs w:val="20"/>
          <w:lang w:eastAsia="ar-SA"/>
        </w:rPr>
        <w:t>Nie spełnienie wymaganych parametrów i warunków spowoduje odrzucenie oferty.</w:t>
      </w:r>
    </w:p>
    <w:p w:rsidR="00991776" w:rsidRPr="00130FE8" w:rsidRDefault="00991776" w:rsidP="00991776">
      <w:pPr>
        <w:spacing w:after="0"/>
        <w:ind w:left="-142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863A97" w:rsidRPr="00130FE8" w:rsidRDefault="00863A97">
      <w:pPr>
        <w:rPr>
          <w:rFonts w:ascii="Calibri" w:hAnsi="Calibri" w:cs="Calibri"/>
          <w:sz w:val="20"/>
          <w:szCs w:val="20"/>
        </w:rPr>
      </w:pPr>
    </w:p>
    <w:p w:rsidR="00863A97" w:rsidRPr="00130FE8" w:rsidRDefault="00863A97">
      <w:pPr>
        <w:rPr>
          <w:rFonts w:ascii="Calibri" w:hAnsi="Calibri" w:cs="Calibri"/>
          <w:sz w:val="20"/>
          <w:szCs w:val="20"/>
        </w:rPr>
      </w:pPr>
    </w:p>
    <w:p w:rsidR="00863A97" w:rsidRPr="00130FE8" w:rsidRDefault="00863A97">
      <w:pPr>
        <w:rPr>
          <w:rFonts w:ascii="Calibri" w:hAnsi="Calibri" w:cs="Calibri"/>
          <w:sz w:val="20"/>
          <w:szCs w:val="20"/>
        </w:rPr>
      </w:pPr>
    </w:p>
    <w:sectPr w:rsidR="00863A97" w:rsidRPr="00130FE8" w:rsidSect="00EA31D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20"/>
    <w:rsid w:val="00061810"/>
    <w:rsid w:val="00130FE8"/>
    <w:rsid w:val="001D7A9F"/>
    <w:rsid w:val="00203FD8"/>
    <w:rsid w:val="002E68AC"/>
    <w:rsid w:val="003B00CF"/>
    <w:rsid w:val="003D6F20"/>
    <w:rsid w:val="004377D0"/>
    <w:rsid w:val="00445157"/>
    <w:rsid w:val="00501A09"/>
    <w:rsid w:val="005200F3"/>
    <w:rsid w:val="00591C4F"/>
    <w:rsid w:val="005B4ED3"/>
    <w:rsid w:val="00644417"/>
    <w:rsid w:val="00662B6B"/>
    <w:rsid w:val="007E0A19"/>
    <w:rsid w:val="00863A97"/>
    <w:rsid w:val="008A775C"/>
    <w:rsid w:val="008B7B06"/>
    <w:rsid w:val="009501EF"/>
    <w:rsid w:val="009858CB"/>
    <w:rsid w:val="00991776"/>
    <w:rsid w:val="00A22E91"/>
    <w:rsid w:val="00A2585B"/>
    <w:rsid w:val="00A95C9E"/>
    <w:rsid w:val="00A97BF2"/>
    <w:rsid w:val="00B64B95"/>
    <w:rsid w:val="00C605C0"/>
    <w:rsid w:val="00C80D70"/>
    <w:rsid w:val="00C81FA1"/>
    <w:rsid w:val="00E15E43"/>
    <w:rsid w:val="00EA31D0"/>
    <w:rsid w:val="00EE7432"/>
    <w:rsid w:val="00EF069D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E067-50FB-485C-9B03-AD6E59B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F20"/>
    <w:pPr>
      <w:keepNext/>
      <w:numPr>
        <w:ilvl w:val="4"/>
        <w:numId w:val="1"/>
      </w:numPr>
      <w:suppressAutoHyphens/>
      <w:spacing w:after="200" w:line="276" w:lineRule="auto"/>
      <w:jc w:val="center"/>
      <w:outlineLvl w:val="4"/>
    </w:pPr>
    <w:rPr>
      <w:rFonts w:ascii="Calibri" w:eastAsia="Calibri" w:hAnsi="Calibri" w:cs="Times New Roman"/>
      <w:b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xnormalny1">
    <w:name w:val="docx_normalny1"/>
    <w:basedOn w:val="Normalny"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6F20"/>
    <w:rPr>
      <w:rFonts w:ascii="Calibri" w:eastAsia="Calibri" w:hAnsi="Calibri" w:cs="Times New Roman"/>
      <w:b/>
      <w:sz w:val="28"/>
      <w:lang w:eastAsia="zh-CN"/>
    </w:rPr>
  </w:style>
  <w:style w:type="paragraph" w:styleId="Tekstpodstawowy">
    <w:name w:val="Body Text"/>
    <w:basedOn w:val="Normalny"/>
    <w:link w:val="TekstpodstawowyZnak"/>
    <w:rsid w:val="003D6F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3D6F20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Bezodstpw">
    <w:name w:val="No Spacing"/>
    <w:qFormat/>
    <w:rsid w:val="0099177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2">
    <w:name w:val="Normalny2"/>
    <w:rsid w:val="00203F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Żerdzińska</cp:lastModifiedBy>
  <cp:revision>4</cp:revision>
  <cp:lastPrinted>2024-07-30T07:59:00Z</cp:lastPrinted>
  <dcterms:created xsi:type="dcterms:W3CDTF">2024-07-31T10:36:00Z</dcterms:created>
  <dcterms:modified xsi:type="dcterms:W3CDTF">2024-08-01T06:06:00Z</dcterms:modified>
</cp:coreProperties>
</file>