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116C" w:rsidRPr="0007116C" w:rsidRDefault="0007116C" w:rsidP="0007116C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  <w:r w:rsidRPr="0007116C">
        <w:rPr>
          <w:rFonts w:ascii="Calibri" w:eastAsia="Calibri" w:hAnsi="Calibri" w:cs="Calibri"/>
          <w:b/>
          <w:bCs/>
          <w:iCs/>
          <w:sz w:val="20"/>
          <w:u w:val="single"/>
        </w:rPr>
        <w:t>Zadanie realizowane w ramach: 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07116C" w:rsidRPr="0007116C" w:rsidRDefault="0007116C" w:rsidP="0007116C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  <w:bookmarkStart w:id="0" w:name="_Hlk119065276"/>
      <w:r w:rsidRPr="0007116C">
        <w:rPr>
          <w:rFonts w:ascii="Calibri" w:eastAsia="Calibri" w:hAnsi="Calibri" w:cs="Calibri"/>
          <w:b/>
          <w:bCs/>
          <w:iCs/>
          <w:sz w:val="20"/>
          <w:u w:val="single"/>
        </w:rPr>
        <w:t xml:space="preserve"> 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07116C" w:rsidRPr="0007116C" w:rsidRDefault="0007116C" w:rsidP="0007116C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</w:p>
    <w:p w:rsidR="0007116C" w:rsidRPr="0007116C" w:rsidRDefault="0007116C" w:rsidP="0007116C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  <w:r w:rsidRPr="0007116C">
        <w:rPr>
          <w:rFonts w:ascii="Calibri" w:eastAsia="Calibri" w:hAnsi="Calibri" w:cs="Calibri"/>
          <w:b/>
          <w:bCs/>
          <w:iCs/>
          <w:sz w:val="20"/>
          <w:u w:val="single"/>
        </w:rPr>
        <w:t>ZP/164/2024</w:t>
      </w:r>
    </w:p>
    <w:p w:rsidR="00973BC4" w:rsidRPr="0007116C" w:rsidRDefault="00180997" w:rsidP="0007116C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  <w:r w:rsidRPr="0007116C">
        <w:rPr>
          <w:rFonts w:ascii="Calibri" w:eastAsia="Calibri" w:hAnsi="Calibri" w:cs="Calibri"/>
          <w:b/>
          <w:bCs/>
          <w:iCs/>
          <w:sz w:val="20"/>
          <w:u w:val="single"/>
        </w:rPr>
        <w:t xml:space="preserve">Załącznik nr </w:t>
      </w:r>
      <w:r w:rsidR="00330A70" w:rsidRPr="0007116C">
        <w:rPr>
          <w:rFonts w:ascii="Calibri" w:eastAsia="Calibri" w:hAnsi="Calibri" w:cs="Calibri"/>
          <w:b/>
          <w:bCs/>
          <w:iCs/>
          <w:sz w:val="20"/>
          <w:u w:val="single"/>
        </w:rPr>
        <w:t>2 – Pakiet Nr 14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Waga </w:t>
      </w:r>
      <w:r w:rsidR="0067097F">
        <w:rPr>
          <w:rFonts w:ascii="Calibri" w:eastAsia="Calibri" w:hAnsi="Calibri" w:cs="Calibri"/>
          <w:sz w:val="20"/>
        </w:rPr>
        <w:t xml:space="preserve">osobowa kolumnowa </w:t>
      </w:r>
      <w:r>
        <w:rPr>
          <w:rFonts w:ascii="Calibri" w:eastAsia="Calibri" w:hAnsi="Calibri" w:cs="Calibri"/>
          <w:sz w:val="20"/>
        </w:rPr>
        <w:t>ze wzrostomierzem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9923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988"/>
      </w:tblGrid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  <w:r w:rsidR="00330A70">
              <w:rPr>
                <w:rFonts w:ascii="Calibri" w:eastAsia="Calibri" w:hAnsi="Calibri" w:cs="Calibri"/>
                <w:b/>
                <w:sz w:val="20"/>
              </w:rPr>
              <w:t xml:space="preserve"> określa Wykonawca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B804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2024</w:t>
            </w:r>
            <w:r w:rsidR="00B80416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legalizacji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Obciążenie maksymalne: 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Obciążenie minimalne: 40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67F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Dokładność odczytu: [d] </w:t>
            </w:r>
            <w:r w:rsidR="00180997">
              <w:rPr>
                <w:rFonts w:ascii="Calibri" w:eastAsia="Calibri" w:hAnsi="Calibri" w:cs="Calibri"/>
                <w:sz w:val="20"/>
              </w:rPr>
              <w:t>100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Zakres tary – 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konstrukcji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szalki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Mocowanie głowicy na maszcie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Zakres pomiarowy wzrostomierza: 60 </w:t>
            </w:r>
            <w:r w:rsidR="0067097F">
              <w:rPr>
                <w:rFonts w:ascii="Calibri" w:eastAsia="Calibri" w:hAnsi="Calibri" w:cs="Calibri"/>
                <w:sz w:val="20"/>
              </w:rPr>
              <w:t>-</w:t>
            </w:r>
            <w:r>
              <w:rPr>
                <w:rFonts w:ascii="Calibri" w:eastAsia="Calibri" w:hAnsi="Calibri" w:cs="Calibri"/>
                <w:sz w:val="20"/>
              </w:rPr>
              <w:t xml:space="preserve"> 210 cm</w:t>
            </w:r>
            <w:r w:rsidR="007C67F2">
              <w:rPr>
                <w:rFonts w:ascii="Calibri" w:eastAsia="Calibri" w:hAnsi="Calibri" w:cs="Calibri"/>
                <w:sz w:val="20"/>
              </w:rPr>
              <w:t>, (wzrostomierz</w:t>
            </w:r>
            <w:r w:rsidR="007C67F2">
              <w:rPr>
                <w:rFonts w:ascii="Calibri" w:eastAsia="Calibri" w:hAnsi="Calibri" w:cs="Calibri"/>
                <w:sz w:val="20"/>
              </w:rPr>
              <w:br/>
              <w:t>w zestawie)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Podziałka wzrostomierza 0,5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Wyświetlacz LCD (z podświetleniem)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Klawiatura 5 przycisków</w:t>
            </w:r>
            <w:r w:rsidR="0067097F">
              <w:rPr>
                <w:rFonts w:ascii="Calibri" w:eastAsia="Calibri" w:hAnsi="Calibri" w:cs="Calibri"/>
                <w:sz w:val="20"/>
              </w:rPr>
              <w:t xml:space="preserve"> </w:t>
            </w:r>
            <w:r w:rsidR="0067097F" w:rsidRPr="0067097F">
              <w:rPr>
                <w:sz w:val="20"/>
                <w:szCs w:val="20"/>
              </w:rPr>
              <w:t>(łatwa do dezynfekcji)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Złącze RS 232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Miernik PUE C315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Wilgotność względna powietrza: 10 ÷ 85%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Temperatura pracy: -10 ÷ +40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pracy akumulatora do 8 godzin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Zasilanie: 00 ÷ 240 V AC 50 ÷ 60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/ 12 V DC + akumulator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Pobór mocy: 5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 : do 9,5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platformy: 70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310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360 mm +/- 10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kolumny: 1025 mm +/- 1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urządzenia: 1100 ×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480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× 360 mm +/- 10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Stopień ochrony konstrukcja: IP 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Stopień ochrony miernik: IP 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Port USB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Funkcja BSA i BMI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B851E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 w:rsidSect="00330A70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E7969" w:rsidRDefault="003E7969" w:rsidP="00330A70">
      <w:pPr>
        <w:spacing w:after="0" w:line="240" w:lineRule="auto"/>
      </w:pPr>
      <w:r>
        <w:separator/>
      </w:r>
    </w:p>
  </w:endnote>
  <w:endnote w:type="continuationSeparator" w:id="0">
    <w:p w:rsidR="003E7969" w:rsidRDefault="003E7969" w:rsidP="00330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E7969" w:rsidRDefault="003E7969" w:rsidP="00330A70">
      <w:pPr>
        <w:spacing w:after="0" w:line="240" w:lineRule="auto"/>
      </w:pPr>
      <w:r>
        <w:separator/>
      </w:r>
    </w:p>
  </w:footnote>
  <w:footnote w:type="continuationSeparator" w:id="0">
    <w:p w:rsidR="003E7969" w:rsidRDefault="003E7969" w:rsidP="00330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30A70" w:rsidRDefault="00330A70">
    <w:pPr>
      <w:pStyle w:val="Nagwek"/>
    </w:pPr>
    <w:r w:rsidRPr="00DD32C7">
      <w:rPr>
        <w:rFonts w:ascii="Times New Roman" w:hAnsi="Times New Roman" w:cs="Times New Roman"/>
        <w:noProof/>
      </w:rPr>
      <w:drawing>
        <wp:inline distT="0" distB="0" distL="0" distR="0" wp14:anchorId="5E9BBBB1" wp14:editId="177C61F3">
          <wp:extent cx="5760720" cy="810260"/>
          <wp:effectExtent l="0" t="0" r="0" b="0"/>
          <wp:docPr id="1710846262" name="Obraz 1710846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BC4"/>
    <w:rsid w:val="0007116C"/>
    <w:rsid w:val="000E73A2"/>
    <w:rsid w:val="00180997"/>
    <w:rsid w:val="00220A4A"/>
    <w:rsid w:val="00246ADB"/>
    <w:rsid w:val="00330A70"/>
    <w:rsid w:val="003E7969"/>
    <w:rsid w:val="0067097F"/>
    <w:rsid w:val="007C67F2"/>
    <w:rsid w:val="007D1D8A"/>
    <w:rsid w:val="008722C2"/>
    <w:rsid w:val="00973BC4"/>
    <w:rsid w:val="009E4A15"/>
    <w:rsid w:val="00B80416"/>
    <w:rsid w:val="00B851E9"/>
    <w:rsid w:val="00D16AA5"/>
    <w:rsid w:val="00D41945"/>
    <w:rsid w:val="00E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EA84B"/>
  <w15:docId w15:val="{73EF802C-A430-48B5-A46D-87D3DAF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A70"/>
  </w:style>
  <w:style w:type="paragraph" w:styleId="Stopka">
    <w:name w:val="footer"/>
    <w:basedOn w:val="Normalny"/>
    <w:link w:val="StopkaZnak"/>
    <w:uiPriority w:val="99"/>
    <w:unhideWhenUsed/>
    <w:rsid w:val="00330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Kinga</cp:lastModifiedBy>
  <cp:revision>12</cp:revision>
  <dcterms:created xsi:type="dcterms:W3CDTF">2024-06-24T06:26:00Z</dcterms:created>
  <dcterms:modified xsi:type="dcterms:W3CDTF">2024-10-25T21:11:00Z</dcterms:modified>
</cp:coreProperties>
</file>