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26E" w:rsidRPr="008E718D" w:rsidRDefault="0084364F" w:rsidP="008E718D">
      <w:pPr>
        <w:tabs>
          <w:tab w:val="left" w:pos="709"/>
        </w:tabs>
        <w:jc w:val="right"/>
        <w:rPr>
          <w:rStyle w:val="Uwydatnienie"/>
          <w:rFonts w:ascii="Times New Roman" w:hAnsi="Times New Roman"/>
          <w:b/>
          <w:i w:val="0"/>
          <w:sz w:val="22"/>
          <w:szCs w:val="22"/>
        </w:rPr>
      </w:pPr>
      <w:r w:rsidRPr="008E718D">
        <w:rPr>
          <w:rStyle w:val="Uwydatnienie"/>
          <w:rFonts w:ascii="Times New Roman" w:hAnsi="Times New Roman"/>
          <w:b/>
          <w:i w:val="0"/>
          <w:sz w:val="22"/>
          <w:szCs w:val="22"/>
        </w:rPr>
        <w:t xml:space="preserve">Załącznik nr 1 </w:t>
      </w:r>
      <w:r w:rsidR="00C31471" w:rsidRPr="008E718D">
        <w:rPr>
          <w:rStyle w:val="Uwydatnienie"/>
          <w:rFonts w:ascii="Times New Roman" w:hAnsi="Times New Roman"/>
          <w:b/>
          <w:i w:val="0"/>
          <w:sz w:val="22"/>
          <w:szCs w:val="22"/>
        </w:rPr>
        <w:t xml:space="preserve">do </w:t>
      </w:r>
      <w:r w:rsidR="008E718D" w:rsidRPr="008E718D">
        <w:rPr>
          <w:rStyle w:val="Uwydatnienie"/>
          <w:rFonts w:ascii="Times New Roman" w:hAnsi="Times New Roman"/>
          <w:b/>
          <w:i w:val="0"/>
          <w:sz w:val="22"/>
          <w:szCs w:val="22"/>
        </w:rPr>
        <w:t>SWZ</w:t>
      </w:r>
    </w:p>
    <w:p w:rsidR="0084364F" w:rsidRPr="008E718D" w:rsidRDefault="0084364F" w:rsidP="008E718D">
      <w:pPr>
        <w:jc w:val="center"/>
        <w:rPr>
          <w:rStyle w:val="Uwydatnienie"/>
          <w:rFonts w:ascii="Times New Roman" w:hAnsi="Times New Roman"/>
          <w:b/>
          <w:i w:val="0"/>
          <w:szCs w:val="24"/>
        </w:rPr>
      </w:pPr>
    </w:p>
    <w:p w:rsidR="0006626E" w:rsidRPr="008E718D" w:rsidRDefault="0084364F" w:rsidP="008E718D">
      <w:pPr>
        <w:jc w:val="center"/>
        <w:rPr>
          <w:rStyle w:val="Uwydatnienie"/>
          <w:rFonts w:ascii="Times New Roman" w:hAnsi="Times New Roman"/>
          <w:i w:val="0"/>
          <w:szCs w:val="24"/>
        </w:rPr>
      </w:pPr>
      <w:r w:rsidRPr="008E718D">
        <w:rPr>
          <w:rStyle w:val="Uwydatnienie"/>
          <w:rFonts w:ascii="Times New Roman" w:hAnsi="Times New Roman"/>
          <w:b/>
          <w:i w:val="0"/>
          <w:szCs w:val="24"/>
        </w:rPr>
        <w:t>OPIS PRZEDMIOTU ZAMÓWIENIA</w:t>
      </w:r>
    </w:p>
    <w:p w:rsidR="0084364F" w:rsidRPr="008E718D" w:rsidRDefault="0084364F" w:rsidP="008E718D">
      <w:pPr>
        <w:rPr>
          <w:rFonts w:ascii="Times New Roman" w:hAnsi="Times New Roman"/>
        </w:rPr>
      </w:pPr>
    </w:p>
    <w:p w:rsidR="00BC643B" w:rsidRPr="008E718D" w:rsidRDefault="00BC643B" w:rsidP="008E718D">
      <w:pPr>
        <w:pStyle w:val="Tekstpodstawowy"/>
        <w:numPr>
          <w:ilvl w:val="0"/>
          <w:numId w:val="13"/>
        </w:numPr>
        <w:ind w:left="142"/>
        <w:jc w:val="both"/>
        <w:rPr>
          <w:color w:val="FF0000"/>
          <w:sz w:val="20"/>
        </w:rPr>
      </w:pPr>
      <w:r w:rsidRPr="008E718D">
        <w:rPr>
          <w:szCs w:val="24"/>
        </w:rPr>
        <w:t xml:space="preserve">Przedmiotem umowy jest sukcesywna </w:t>
      </w:r>
      <w:r w:rsidR="008E718D">
        <w:rPr>
          <w:lang w:val="pl-PL"/>
        </w:rPr>
        <w:t>d</w:t>
      </w:r>
      <w:r w:rsidRPr="008E718D">
        <w:t>ostawa</w:t>
      </w:r>
      <w:r w:rsidRPr="008E718D">
        <w:rPr>
          <w:lang w:val="pl-PL"/>
        </w:rPr>
        <w:t xml:space="preserve"> odczynników, podłoży mikrobiologicznych</w:t>
      </w:r>
      <w:r w:rsidRPr="008E718D">
        <w:t xml:space="preserve"> dla WOMP Wrocław.</w:t>
      </w:r>
      <w:r w:rsidRPr="008E718D">
        <w:rPr>
          <w:lang w:val="pl-PL"/>
        </w:rPr>
        <w:t xml:space="preserve"> </w:t>
      </w:r>
      <w:r w:rsidRPr="008E718D">
        <w:rPr>
          <w:szCs w:val="24"/>
        </w:rPr>
        <w:t>Szczegółowe zestawienie asortymentowe wraz z opisem</w:t>
      </w:r>
      <w:r w:rsidRPr="008E718D">
        <w:rPr>
          <w:szCs w:val="24"/>
          <w:lang w:val="pl-PL"/>
        </w:rPr>
        <w:t>,</w:t>
      </w:r>
      <w:r w:rsidRPr="008E718D">
        <w:rPr>
          <w:szCs w:val="24"/>
        </w:rPr>
        <w:t xml:space="preserve"> zawarte zostało w formularzach zadań nr 1-</w:t>
      </w:r>
      <w:r w:rsidRPr="008E718D">
        <w:rPr>
          <w:szCs w:val="24"/>
          <w:lang w:val="pl-PL"/>
        </w:rPr>
        <w:t>1</w:t>
      </w:r>
      <w:r w:rsidR="00CC5E73" w:rsidRPr="008E718D">
        <w:rPr>
          <w:szCs w:val="24"/>
          <w:lang w:val="pl-PL"/>
        </w:rPr>
        <w:t>4</w:t>
      </w:r>
      <w:r w:rsidRPr="008E718D">
        <w:rPr>
          <w:szCs w:val="24"/>
          <w:lang w:val="pl-PL"/>
        </w:rPr>
        <w:t>.</w:t>
      </w:r>
    </w:p>
    <w:p w:rsidR="00BC643B" w:rsidRPr="008E718D" w:rsidRDefault="00BC643B" w:rsidP="008E718D">
      <w:pPr>
        <w:pStyle w:val="Tekstpodstawowy"/>
        <w:numPr>
          <w:ilvl w:val="0"/>
          <w:numId w:val="13"/>
        </w:numPr>
        <w:ind w:left="142"/>
        <w:jc w:val="both"/>
        <w:rPr>
          <w:szCs w:val="24"/>
        </w:rPr>
      </w:pPr>
      <w:r w:rsidRPr="008E718D">
        <w:rPr>
          <w:szCs w:val="24"/>
          <w:lang w:val="pl-PL"/>
        </w:rPr>
        <w:t>P</w:t>
      </w:r>
      <w:r w:rsidR="00DB1763" w:rsidRPr="008E718D">
        <w:rPr>
          <w:szCs w:val="24"/>
        </w:rPr>
        <w:t>rodukt</w:t>
      </w:r>
      <w:r w:rsidRPr="008E718D">
        <w:rPr>
          <w:szCs w:val="24"/>
        </w:rPr>
        <w:t xml:space="preserve"> musi zachowywać jakość przez cały okres gwarancji oznaczony przez producenta, wszelkie wady powstające w czasie przechowywania w okresie gwarancyjnym skutkują zwrotem towaru na koszt dostawcy i wymiany na nowy zgodnie ze specyfikacją. Wady produktu ujawniające się podczas wykonywania procedur badawczych wpływające na przebieg badań oraz ich ostateczny wynik będą zgłaszane przez </w:t>
      </w:r>
      <w:r w:rsidR="008E718D">
        <w:rPr>
          <w:szCs w:val="24"/>
          <w:lang w:val="pl-PL"/>
        </w:rPr>
        <w:t>Z</w:t>
      </w:r>
      <w:r w:rsidRPr="008E718D">
        <w:rPr>
          <w:szCs w:val="24"/>
        </w:rPr>
        <w:t>amawiającego</w:t>
      </w:r>
      <w:r w:rsidR="008E718D">
        <w:rPr>
          <w:szCs w:val="24"/>
          <w:lang w:val="pl-PL"/>
        </w:rPr>
        <w:t>.</w:t>
      </w:r>
      <w:r w:rsidRPr="008E718D">
        <w:rPr>
          <w:szCs w:val="24"/>
        </w:rPr>
        <w:t xml:space="preserve"> </w:t>
      </w:r>
      <w:r w:rsidR="008E718D">
        <w:rPr>
          <w:szCs w:val="24"/>
          <w:lang w:val="pl-PL"/>
        </w:rPr>
        <w:t>W</w:t>
      </w:r>
      <w:r w:rsidRPr="008E718D">
        <w:rPr>
          <w:szCs w:val="24"/>
        </w:rPr>
        <w:t xml:space="preserve"> takim przypadku produkt podlegać będzie wymianie na zgodny z wymogami zawartymi </w:t>
      </w:r>
      <w:r w:rsidR="008E718D">
        <w:rPr>
          <w:szCs w:val="24"/>
        </w:rPr>
        <w:br/>
      </w:r>
      <w:r w:rsidRPr="008E718D">
        <w:rPr>
          <w:szCs w:val="24"/>
        </w:rPr>
        <w:t xml:space="preserve">w specyfikacji. </w:t>
      </w:r>
    </w:p>
    <w:p w:rsidR="00BC643B" w:rsidRPr="008E718D" w:rsidRDefault="00BC643B" w:rsidP="008E718D">
      <w:pPr>
        <w:pStyle w:val="Tekstpodstawowy"/>
        <w:numPr>
          <w:ilvl w:val="0"/>
          <w:numId w:val="13"/>
        </w:numPr>
        <w:ind w:left="142"/>
        <w:jc w:val="both"/>
        <w:rPr>
          <w:szCs w:val="24"/>
        </w:rPr>
      </w:pPr>
      <w:r w:rsidRPr="008E718D">
        <w:rPr>
          <w:szCs w:val="24"/>
        </w:rPr>
        <w:t>Towary dostarczone przez Dostawcę winny być:</w:t>
      </w:r>
    </w:p>
    <w:p w:rsidR="00BC643B" w:rsidRPr="008E718D" w:rsidRDefault="00BC643B" w:rsidP="008E718D">
      <w:pPr>
        <w:pStyle w:val="Tekstpodstawowy2"/>
        <w:spacing w:after="0" w:line="240" w:lineRule="auto"/>
        <w:ind w:left="142" w:hanging="142"/>
        <w:jc w:val="both"/>
        <w:rPr>
          <w:sz w:val="24"/>
          <w:szCs w:val="24"/>
          <w:lang w:eastAsia="x-none"/>
        </w:rPr>
      </w:pPr>
      <w:r w:rsidRPr="008E718D">
        <w:rPr>
          <w:sz w:val="24"/>
          <w:szCs w:val="24"/>
          <w:lang w:eastAsia="x-none"/>
        </w:rPr>
        <w:t xml:space="preserve">  </w:t>
      </w:r>
      <w:r w:rsidRPr="008E718D">
        <w:rPr>
          <w:sz w:val="24"/>
          <w:szCs w:val="24"/>
          <w:lang w:val="x-none" w:eastAsia="x-none"/>
        </w:rPr>
        <w:t xml:space="preserve"> 1) fabrycznie nowe, w opakowaniach fabrycznych, bezzwrotnych</w:t>
      </w:r>
      <w:r w:rsidR="00DB1763" w:rsidRPr="008E718D">
        <w:rPr>
          <w:sz w:val="24"/>
          <w:szCs w:val="24"/>
          <w:lang w:eastAsia="x-none"/>
        </w:rPr>
        <w:t>;</w:t>
      </w:r>
    </w:p>
    <w:p w:rsidR="00BC643B" w:rsidRPr="008E718D" w:rsidRDefault="00BC643B" w:rsidP="008E718D">
      <w:pPr>
        <w:pStyle w:val="Tekstpodstawowy2"/>
        <w:spacing w:after="0" w:line="240" w:lineRule="auto"/>
        <w:ind w:left="142" w:hanging="425"/>
        <w:jc w:val="both"/>
        <w:rPr>
          <w:sz w:val="24"/>
          <w:szCs w:val="24"/>
          <w:lang w:eastAsia="x-none"/>
        </w:rPr>
      </w:pPr>
      <w:r w:rsidRPr="008E718D">
        <w:rPr>
          <w:sz w:val="24"/>
          <w:szCs w:val="24"/>
          <w:lang w:val="x-none" w:eastAsia="x-none"/>
        </w:rPr>
        <w:t xml:space="preserve">     </w:t>
      </w:r>
      <w:r w:rsidR="008E718D">
        <w:rPr>
          <w:sz w:val="24"/>
          <w:szCs w:val="24"/>
          <w:lang w:eastAsia="x-none"/>
        </w:rPr>
        <w:t xml:space="preserve"> </w:t>
      </w:r>
      <w:r w:rsidRPr="008E718D">
        <w:rPr>
          <w:sz w:val="24"/>
          <w:szCs w:val="24"/>
          <w:lang w:val="x-none" w:eastAsia="x-none"/>
        </w:rPr>
        <w:t xml:space="preserve">  2) z</w:t>
      </w:r>
      <w:r w:rsidR="00CC5E73" w:rsidRPr="008E718D">
        <w:rPr>
          <w:sz w:val="24"/>
          <w:szCs w:val="24"/>
          <w:lang w:val="x-none" w:eastAsia="x-none"/>
        </w:rPr>
        <w:t>godne z opisem przedmiotu umowy</w:t>
      </w:r>
      <w:r w:rsidR="00CC5E73" w:rsidRPr="008E718D">
        <w:rPr>
          <w:sz w:val="24"/>
          <w:szCs w:val="24"/>
          <w:lang w:eastAsia="x-none"/>
        </w:rPr>
        <w:t>;</w:t>
      </w:r>
    </w:p>
    <w:p w:rsidR="00BC643B" w:rsidRPr="008E718D" w:rsidRDefault="008E718D" w:rsidP="008E718D">
      <w:pPr>
        <w:pStyle w:val="Tekstpodstawowy2"/>
        <w:spacing w:after="0" w:line="240" w:lineRule="auto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  </w:t>
      </w:r>
      <w:r w:rsidR="00BC643B" w:rsidRPr="008E718D">
        <w:rPr>
          <w:sz w:val="24"/>
          <w:szCs w:val="24"/>
          <w:lang w:val="x-none" w:eastAsia="x-none"/>
        </w:rPr>
        <w:t xml:space="preserve"> 3) wolne od wad prawnych.</w:t>
      </w:r>
    </w:p>
    <w:p w:rsidR="00BC643B" w:rsidRPr="008E718D" w:rsidRDefault="00BC643B" w:rsidP="008E718D">
      <w:pPr>
        <w:pStyle w:val="Akapitzlist"/>
        <w:numPr>
          <w:ilvl w:val="0"/>
          <w:numId w:val="26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E718D">
        <w:rPr>
          <w:rFonts w:ascii="Times New Roman" w:hAnsi="Times New Roman"/>
          <w:sz w:val="24"/>
          <w:szCs w:val="24"/>
        </w:rPr>
        <w:t xml:space="preserve">Dla prawidłowej realizacji oraz w celu potwierdzenia odpowiedniej jakości produktu Dostawca dostarczy (lub udostępni w formie elektronicznej - w takim przypadku odpowiednio powiadomi o tym odbiorcę na liście przewozowym lub fakturze bądź innym dokumencie) jednorazowo przy pierwszej dostawie karty charakterystyki produktu (za każdym razem w przypadku istotnych zmian charakterystyki produktu) oraz dla każdej dostawy certyfikaty kontroli jakości zawierające: </w:t>
      </w:r>
    </w:p>
    <w:p w:rsidR="00BC643B" w:rsidRPr="008E718D" w:rsidRDefault="00BC643B" w:rsidP="008E718D">
      <w:pPr>
        <w:numPr>
          <w:ilvl w:val="0"/>
          <w:numId w:val="18"/>
        </w:numPr>
        <w:tabs>
          <w:tab w:val="left" w:pos="567"/>
        </w:tabs>
        <w:ind w:hanging="1287"/>
        <w:jc w:val="both"/>
        <w:rPr>
          <w:rFonts w:ascii="Times New Roman" w:hAnsi="Times New Roman"/>
          <w:szCs w:val="24"/>
        </w:rPr>
      </w:pPr>
      <w:r w:rsidRPr="008E718D">
        <w:rPr>
          <w:rFonts w:ascii="Times New Roman" w:hAnsi="Times New Roman"/>
          <w:szCs w:val="24"/>
        </w:rPr>
        <w:t xml:space="preserve">nazwę producenta, </w:t>
      </w:r>
    </w:p>
    <w:p w:rsidR="00BC643B" w:rsidRPr="008E718D" w:rsidRDefault="00BC643B" w:rsidP="0090399C">
      <w:pPr>
        <w:numPr>
          <w:ilvl w:val="0"/>
          <w:numId w:val="18"/>
        </w:numPr>
        <w:ind w:left="567" w:hanging="425"/>
        <w:jc w:val="both"/>
        <w:rPr>
          <w:rFonts w:ascii="Times New Roman" w:hAnsi="Times New Roman"/>
          <w:szCs w:val="24"/>
        </w:rPr>
      </w:pPr>
      <w:r w:rsidRPr="008E718D">
        <w:rPr>
          <w:rFonts w:ascii="Times New Roman" w:hAnsi="Times New Roman"/>
          <w:szCs w:val="24"/>
        </w:rPr>
        <w:t xml:space="preserve">nazwę produktu, </w:t>
      </w:r>
    </w:p>
    <w:p w:rsidR="00BC643B" w:rsidRPr="008E718D" w:rsidRDefault="00BC643B" w:rsidP="008E718D">
      <w:pPr>
        <w:numPr>
          <w:ilvl w:val="0"/>
          <w:numId w:val="18"/>
        </w:numPr>
        <w:tabs>
          <w:tab w:val="left" w:pos="567"/>
        </w:tabs>
        <w:ind w:hanging="1287"/>
        <w:jc w:val="both"/>
        <w:rPr>
          <w:rFonts w:ascii="Times New Roman" w:hAnsi="Times New Roman"/>
          <w:szCs w:val="24"/>
        </w:rPr>
      </w:pPr>
      <w:r w:rsidRPr="008E718D">
        <w:rPr>
          <w:rFonts w:ascii="Times New Roman" w:hAnsi="Times New Roman"/>
          <w:szCs w:val="24"/>
        </w:rPr>
        <w:t xml:space="preserve">numer serii, </w:t>
      </w:r>
    </w:p>
    <w:p w:rsidR="00BC643B" w:rsidRPr="008E718D" w:rsidRDefault="00BC643B" w:rsidP="008E718D">
      <w:pPr>
        <w:numPr>
          <w:ilvl w:val="0"/>
          <w:numId w:val="18"/>
        </w:numPr>
        <w:tabs>
          <w:tab w:val="left" w:pos="567"/>
        </w:tabs>
        <w:ind w:hanging="1287"/>
        <w:jc w:val="both"/>
        <w:rPr>
          <w:rFonts w:ascii="Times New Roman" w:hAnsi="Times New Roman"/>
          <w:szCs w:val="24"/>
        </w:rPr>
      </w:pPr>
      <w:r w:rsidRPr="008E718D">
        <w:rPr>
          <w:rFonts w:ascii="Times New Roman" w:hAnsi="Times New Roman"/>
          <w:szCs w:val="24"/>
        </w:rPr>
        <w:t xml:space="preserve">symbol produktu, </w:t>
      </w:r>
    </w:p>
    <w:p w:rsidR="00BC643B" w:rsidRPr="008E718D" w:rsidRDefault="00BC643B" w:rsidP="008E718D">
      <w:pPr>
        <w:numPr>
          <w:ilvl w:val="0"/>
          <w:numId w:val="18"/>
        </w:numPr>
        <w:tabs>
          <w:tab w:val="left" w:pos="567"/>
        </w:tabs>
        <w:ind w:hanging="1287"/>
        <w:jc w:val="both"/>
        <w:rPr>
          <w:rFonts w:ascii="Times New Roman" w:hAnsi="Times New Roman"/>
          <w:szCs w:val="24"/>
        </w:rPr>
      </w:pPr>
      <w:r w:rsidRPr="008E718D">
        <w:rPr>
          <w:rFonts w:ascii="Times New Roman" w:hAnsi="Times New Roman"/>
          <w:szCs w:val="24"/>
        </w:rPr>
        <w:t>datę ważności.</w:t>
      </w:r>
    </w:p>
    <w:p w:rsidR="00BC643B" w:rsidRPr="008E718D" w:rsidRDefault="00BC643B" w:rsidP="008E718D">
      <w:pPr>
        <w:pStyle w:val="Akapitzlist"/>
        <w:numPr>
          <w:ilvl w:val="0"/>
          <w:numId w:val="27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8E718D">
        <w:rPr>
          <w:rFonts w:ascii="Times New Roman" w:hAnsi="Times New Roman"/>
          <w:sz w:val="24"/>
          <w:szCs w:val="24"/>
        </w:rPr>
        <w:t>Ponadto dostawca ze szczególnym uwzględnieniem:</w:t>
      </w:r>
    </w:p>
    <w:p w:rsidR="00BC643B" w:rsidRPr="008E718D" w:rsidRDefault="00BC643B" w:rsidP="008E718D">
      <w:pPr>
        <w:numPr>
          <w:ilvl w:val="0"/>
          <w:numId w:val="19"/>
        </w:numPr>
        <w:tabs>
          <w:tab w:val="left" w:pos="567"/>
        </w:tabs>
        <w:ind w:left="993" w:hanging="851"/>
        <w:jc w:val="both"/>
        <w:rPr>
          <w:rFonts w:ascii="Times New Roman" w:hAnsi="Times New Roman"/>
          <w:szCs w:val="24"/>
        </w:rPr>
      </w:pPr>
      <w:r w:rsidRPr="008E718D">
        <w:rPr>
          <w:rFonts w:ascii="Times New Roman" w:hAnsi="Times New Roman"/>
          <w:szCs w:val="24"/>
        </w:rPr>
        <w:t>przy dostawie pożywek mikrobiologicznych dostarczy wykaz szczepów użytych</w:t>
      </w:r>
    </w:p>
    <w:p w:rsidR="00BC643B" w:rsidRPr="008E718D" w:rsidRDefault="00BC643B" w:rsidP="008E718D">
      <w:pPr>
        <w:tabs>
          <w:tab w:val="left" w:pos="567"/>
        </w:tabs>
        <w:ind w:left="567"/>
        <w:jc w:val="both"/>
        <w:rPr>
          <w:rFonts w:ascii="Times New Roman" w:hAnsi="Times New Roman"/>
          <w:szCs w:val="24"/>
        </w:rPr>
      </w:pPr>
      <w:r w:rsidRPr="008E718D">
        <w:rPr>
          <w:rFonts w:ascii="Times New Roman" w:hAnsi="Times New Roman"/>
          <w:szCs w:val="24"/>
        </w:rPr>
        <w:t>do kontroli lub informacje te będą dostępne całodobowo w formie elektronicznej na stronie internetowej producenta;</w:t>
      </w:r>
    </w:p>
    <w:p w:rsidR="00BC643B" w:rsidRPr="008E718D" w:rsidRDefault="00BC643B" w:rsidP="0090399C">
      <w:pPr>
        <w:numPr>
          <w:ilvl w:val="0"/>
          <w:numId w:val="19"/>
        </w:numPr>
        <w:ind w:left="567" w:hanging="425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  <w:szCs w:val="24"/>
        </w:rPr>
        <w:t>przy dostawie szczepów - instrukcję</w:t>
      </w:r>
      <w:r w:rsidRPr="008E718D">
        <w:rPr>
          <w:rFonts w:ascii="Times New Roman" w:hAnsi="Times New Roman"/>
        </w:rPr>
        <w:t xml:space="preserve"> obsługi, kartę charakterystyki / certyfikaty</w:t>
      </w:r>
    </w:p>
    <w:p w:rsidR="00BC643B" w:rsidRPr="008E718D" w:rsidRDefault="00BC643B" w:rsidP="008E718D">
      <w:pPr>
        <w:tabs>
          <w:tab w:val="left" w:pos="567"/>
        </w:tabs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ab/>
        <w:t xml:space="preserve">potwierdzające tożsamość dla szczepów wzorcowych.  </w:t>
      </w:r>
    </w:p>
    <w:p w:rsidR="00BC643B" w:rsidRPr="008E718D" w:rsidRDefault="00BC643B" w:rsidP="008E718D">
      <w:pPr>
        <w:tabs>
          <w:tab w:val="left" w:pos="567"/>
        </w:tabs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ab/>
        <w:t>Zamawiający dopuszcza dostawę szczepu wzorcowego z 3 pasażu.</w:t>
      </w:r>
    </w:p>
    <w:p w:rsidR="008E718D" w:rsidRDefault="00BC643B" w:rsidP="008E718D">
      <w:pPr>
        <w:numPr>
          <w:ilvl w:val="0"/>
          <w:numId w:val="28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 xml:space="preserve">Zamawiający nie przyjmuje produktu nieposiadającego aktualnej karty charakterystyki </w:t>
      </w:r>
      <w:r w:rsidR="008E718D">
        <w:rPr>
          <w:rFonts w:ascii="Times New Roman" w:hAnsi="Times New Roman"/>
        </w:rPr>
        <w:br/>
      </w:r>
      <w:r w:rsidRPr="008E718D">
        <w:rPr>
          <w:rFonts w:ascii="Times New Roman" w:hAnsi="Times New Roman"/>
        </w:rPr>
        <w:t xml:space="preserve">w języku polskim lub angielskim. </w:t>
      </w:r>
    </w:p>
    <w:p w:rsidR="008E718D" w:rsidRPr="008E718D" w:rsidRDefault="00BC643B" w:rsidP="008E718D">
      <w:pPr>
        <w:numPr>
          <w:ilvl w:val="0"/>
          <w:numId w:val="28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>Data ważności każdego dostarczanego produktu winna być umieszczona na każdym opakowaniu w widocznym miejscu. Termin ważności dostarczonych produktów powinien wynosić: nie mniej niż 2/3 terminu od daty produkcji lub co najmniej ¾ daty przydatności (w przypadku produktów nie mających wskazanej daty produkcji).</w:t>
      </w:r>
    </w:p>
    <w:p w:rsidR="008E718D" w:rsidRPr="008E718D" w:rsidRDefault="00BC643B" w:rsidP="008E718D">
      <w:pPr>
        <w:numPr>
          <w:ilvl w:val="0"/>
          <w:numId w:val="28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>Wszystkie produkty muszą posiadać oryginalne opakowania producenta.</w:t>
      </w:r>
    </w:p>
    <w:p w:rsidR="00BC643B" w:rsidRPr="008E718D" w:rsidRDefault="00BC643B" w:rsidP="008E718D">
      <w:pPr>
        <w:numPr>
          <w:ilvl w:val="0"/>
          <w:numId w:val="28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>Dodatkowe wymagania dla podłoży mikrobiologicznych:</w:t>
      </w:r>
    </w:p>
    <w:p w:rsidR="00BC643B" w:rsidRPr="008E718D" w:rsidRDefault="00BC643B" w:rsidP="008E718D">
      <w:pPr>
        <w:numPr>
          <w:ilvl w:val="0"/>
          <w:numId w:val="20"/>
        </w:numPr>
        <w:ind w:left="993" w:hanging="426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>termin ważności dla podłoży sypkich min. 3 lata,</w:t>
      </w:r>
    </w:p>
    <w:p w:rsidR="00BC643B" w:rsidRPr="008E718D" w:rsidRDefault="00BC643B" w:rsidP="008E718D">
      <w:pPr>
        <w:numPr>
          <w:ilvl w:val="0"/>
          <w:numId w:val="20"/>
        </w:numPr>
        <w:ind w:left="993" w:hanging="426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>pojemnik w którym znajduje się pożywka oraz fiolka suplementu zabezpieczona musi być odpowiednim  zamknięciem (nakrętka z plombą) gwarantującym sterylność,</w:t>
      </w:r>
    </w:p>
    <w:p w:rsidR="00BC643B" w:rsidRPr="008E718D" w:rsidRDefault="00BC643B" w:rsidP="008E718D">
      <w:pPr>
        <w:numPr>
          <w:ilvl w:val="0"/>
          <w:numId w:val="20"/>
        </w:numPr>
        <w:ind w:left="993" w:hanging="426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>nie dopuszcza się suplementów przeznaczonych na większą ilość pożywki niż zamawiana,</w:t>
      </w:r>
    </w:p>
    <w:p w:rsidR="00BC643B" w:rsidRPr="008E718D" w:rsidRDefault="00BC643B" w:rsidP="008E718D">
      <w:pPr>
        <w:numPr>
          <w:ilvl w:val="0"/>
          <w:numId w:val="20"/>
        </w:numPr>
        <w:ind w:left="993" w:hanging="426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lastRenderedPageBreak/>
        <w:t>pożywka bazowa oraz suplement muszą pochodzić od jednego producenta,</w:t>
      </w:r>
    </w:p>
    <w:p w:rsidR="00BC643B" w:rsidRPr="008E718D" w:rsidRDefault="00BC643B" w:rsidP="008E718D">
      <w:pPr>
        <w:numPr>
          <w:ilvl w:val="0"/>
          <w:numId w:val="20"/>
        </w:numPr>
        <w:ind w:left="993" w:hanging="426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>Zamawiający nie wyraża zgody na pożywki konfekcjonowane przez Dostawcę.</w:t>
      </w:r>
    </w:p>
    <w:p w:rsidR="00BC643B" w:rsidRPr="008E718D" w:rsidRDefault="00BC643B" w:rsidP="008E718D">
      <w:pPr>
        <w:numPr>
          <w:ilvl w:val="0"/>
          <w:numId w:val="20"/>
        </w:numPr>
        <w:ind w:left="993" w:hanging="426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>Podłoża powinny być z jednej partii produkcyjnej LOT</w:t>
      </w:r>
    </w:p>
    <w:p w:rsidR="00BC643B" w:rsidRPr="008E718D" w:rsidRDefault="00BC643B" w:rsidP="008E718D">
      <w:pPr>
        <w:numPr>
          <w:ilvl w:val="0"/>
          <w:numId w:val="28"/>
        </w:numPr>
        <w:ind w:left="567" w:hanging="567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 xml:space="preserve">Producent gotowych podłóż mikrobiologicznych powinien spełniać wymagania zawarte w normach PN EN ISO 13485 oraz ISO/TS 11133. </w:t>
      </w:r>
    </w:p>
    <w:p w:rsidR="00BC643B" w:rsidRPr="008E718D" w:rsidRDefault="00BC643B" w:rsidP="008E718D">
      <w:pPr>
        <w:numPr>
          <w:ilvl w:val="0"/>
          <w:numId w:val="28"/>
        </w:numPr>
        <w:ind w:left="567" w:hanging="567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>Płytki z gotową pożywką muszą posiadać:</w:t>
      </w:r>
    </w:p>
    <w:p w:rsidR="00BC643B" w:rsidRPr="008E718D" w:rsidRDefault="00BC643B" w:rsidP="0090399C">
      <w:pPr>
        <w:numPr>
          <w:ilvl w:val="1"/>
          <w:numId w:val="18"/>
        </w:numPr>
        <w:ind w:left="567" w:hanging="283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 xml:space="preserve"> nadruk z nazwą pożywki, </w:t>
      </w:r>
    </w:p>
    <w:p w:rsidR="00BC643B" w:rsidRPr="008E718D" w:rsidRDefault="00BC643B" w:rsidP="0090399C">
      <w:pPr>
        <w:numPr>
          <w:ilvl w:val="1"/>
          <w:numId w:val="18"/>
        </w:numPr>
        <w:ind w:left="567" w:hanging="283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 xml:space="preserve">numer serii i datę ważności, </w:t>
      </w:r>
    </w:p>
    <w:p w:rsidR="00BC643B" w:rsidRPr="008E718D" w:rsidRDefault="00BC643B" w:rsidP="0090399C">
      <w:pPr>
        <w:numPr>
          <w:ilvl w:val="1"/>
          <w:numId w:val="18"/>
        </w:numPr>
        <w:ind w:left="567" w:hanging="283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 xml:space="preserve">certyfikat zawierający kontrolę jakości ujemną i dodatnią, </w:t>
      </w:r>
    </w:p>
    <w:p w:rsidR="00BC643B" w:rsidRPr="008E718D" w:rsidRDefault="00BC643B" w:rsidP="0090399C">
      <w:pPr>
        <w:numPr>
          <w:ilvl w:val="1"/>
          <w:numId w:val="18"/>
        </w:numPr>
        <w:ind w:left="567" w:hanging="283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 xml:space="preserve">wykaz szczepów kontrolnych z uznanych kolekcji, </w:t>
      </w:r>
    </w:p>
    <w:p w:rsidR="00BC643B" w:rsidRPr="008E718D" w:rsidRDefault="00BC643B" w:rsidP="0090399C">
      <w:pPr>
        <w:numPr>
          <w:ilvl w:val="1"/>
          <w:numId w:val="18"/>
        </w:numPr>
        <w:ind w:left="567" w:hanging="283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>oznaczenie żyzności i selektywności wraz z opisem morfologii kolonii.</w:t>
      </w:r>
    </w:p>
    <w:p w:rsidR="00BC643B" w:rsidRPr="008E718D" w:rsidRDefault="00BC643B" w:rsidP="008E718D">
      <w:pPr>
        <w:numPr>
          <w:ilvl w:val="0"/>
          <w:numId w:val="28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 xml:space="preserve">Przy dostawie wzorców (materiałów odniesienia) Dostawca powinien dostarczyć: certyfikat / świadectwo jakości z określoną zawartością, terminem ważności </w:t>
      </w:r>
      <w:r w:rsidRPr="008E718D">
        <w:rPr>
          <w:rFonts w:ascii="Times New Roman" w:hAnsi="Times New Roman"/>
        </w:rPr>
        <w:br/>
        <w:t xml:space="preserve">i numerem serii zamawianego produktu. </w:t>
      </w:r>
    </w:p>
    <w:p w:rsidR="00BC643B" w:rsidRPr="008E718D" w:rsidRDefault="00BC643B" w:rsidP="008E718D">
      <w:pPr>
        <w:numPr>
          <w:ilvl w:val="0"/>
          <w:numId w:val="28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 xml:space="preserve">Wzorce powinny zawierać odniesienie do NIST, informację o wartościach niepewności </w:t>
      </w:r>
      <w:r w:rsidR="0090399C">
        <w:rPr>
          <w:rFonts w:ascii="Times New Roman" w:hAnsi="Times New Roman"/>
        </w:rPr>
        <w:br/>
      </w:r>
      <w:bookmarkStart w:id="0" w:name="_GoBack"/>
      <w:bookmarkEnd w:id="0"/>
      <w:r w:rsidRPr="008E718D">
        <w:rPr>
          <w:rFonts w:ascii="Times New Roman" w:hAnsi="Times New Roman"/>
        </w:rPr>
        <w:t>i współczynniku rozszerzenia k.,  i/lub potwierdzenie, że producent:</w:t>
      </w:r>
    </w:p>
    <w:p w:rsidR="00BC643B" w:rsidRPr="008E718D" w:rsidRDefault="00BC643B" w:rsidP="008E718D">
      <w:pPr>
        <w:numPr>
          <w:ilvl w:val="0"/>
          <w:numId w:val="23"/>
        </w:numPr>
        <w:autoSpaceDE w:val="0"/>
        <w:autoSpaceDN w:val="0"/>
        <w:adjustRightInd w:val="0"/>
        <w:ind w:left="567" w:hanging="425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 xml:space="preserve">spełnia standardy zgodne z ISO 9001, </w:t>
      </w:r>
    </w:p>
    <w:p w:rsidR="00BC643B" w:rsidRPr="008E718D" w:rsidRDefault="00BC643B" w:rsidP="008E718D">
      <w:pPr>
        <w:numPr>
          <w:ilvl w:val="0"/>
          <w:numId w:val="23"/>
        </w:numPr>
        <w:autoSpaceDE w:val="0"/>
        <w:autoSpaceDN w:val="0"/>
        <w:adjustRightInd w:val="0"/>
        <w:ind w:left="567" w:hanging="425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>posiada kompetencje techniczne zgodne z PN EN ISO 17025 i PN EN ISO 17034.</w:t>
      </w:r>
    </w:p>
    <w:p w:rsidR="00BC643B" w:rsidRPr="008E718D" w:rsidRDefault="00BC643B" w:rsidP="008E718D">
      <w:pPr>
        <w:numPr>
          <w:ilvl w:val="0"/>
          <w:numId w:val="23"/>
        </w:numPr>
        <w:autoSpaceDE w:val="0"/>
        <w:autoSpaceDN w:val="0"/>
        <w:adjustRightInd w:val="0"/>
        <w:ind w:left="567" w:hanging="425"/>
        <w:jc w:val="both"/>
        <w:rPr>
          <w:rFonts w:ascii="Times New Roman" w:hAnsi="Times New Roman"/>
        </w:rPr>
      </w:pPr>
      <w:r w:rsidRPr="008E718D">
        <w:rPr>
          <w:rFonts w:ascii="Times New Roman" w:hAnsi="Times New Roman"/>
        </w:rPr>
        <w:t xml:space="preserve">posiada kompetencje producenta materiałów odniesienia ISO Guide 34, </w:t>
      </w:r>
    </w:p>
    <w:p w:rsidR="00BC643B" w:rsidRPr="008E718D" w:rsidRDefault="00BC643B" w:rsidP="008E718D">
      <w:pPr>
        <w:pStyle w:val="Lista"/>
        <w:numPr>
          <w:ilvl w:val="0"/>
          <w:numId w:val="28"/>
        </w:numPr>
        <w:tabs>
          <w:tab w:val="left" w:pos="284"/>
        </w:tabs>
        <w:ind w:left="567" w:hanging="567"/>
        <w:jc w:val="both"/>
        <w:rPr>
          <w:sz w:val="24"/>
        </w:rPr>
      </w:pPr>
      <w:r w:rsidRPr="008E718D">
        <w:rPr>
          <w:sz w:val="24"/>
        </w:rPr>
        <w:t>Przy dostawie testów immunologicznych - Dostawca powinien dostarczyć potwierdzenie na opakowaniu, że spełniają wymagania certyfikatu CE IVD (pod względem bezpieczeństwa i przeznaczenia do diagnostyki in vitro), oraz instrukcje obsługi w języku polskim i producenta.</w:t>
      </w:r>
    </w:p>
    <w:p w:rsidR="00BC643B" w:rsidRPr="008E718D" w:rsidRDefault="00BC643B" w:rsidP="008E718D">
      <w:pPr>
        <w:pStyle w:val="Lista"/>
        <w:numPr>
          <w:ilvl w:val="0"/>
          <w:numId w:val="28"/>
        </w:numPr>
        <w:tabs>
          <w:tab w:val="left" w:pos="426"/>
        </w:tabs>
        <w:ind w:left="567" w:hanging="567"/>
        <w:jc w:val="both"/>
        <w:rPr>
          <w:sz w:val="24"/>
        </w:rPr>
      </w:pPr>
      <w:r w:rsidRPr="008E718D">
        <w:rPr>
          <w:sz w:val="24"/>
        </w:rPr>
        <w:t xml:space="preserve">  Odczynniki oraz materiały, które wymagają ściśle określonej temperatury transportu </w:t>
      </w:r>
      <w:r w:rsidR="008E718D">
        <w:rPr>
          <w:sz w:val="24"/>
        </w:rPr>
        <w:br/>
      </w:r>
      <w:r w:rsidRPr="008E718D">
        <w:rPr>
          <w:sz w:val="24"/>
        </w:rPr>
        <w:t xml:space="preserve">i przechowywania (np.: 2 - </w:t>
      </w:r>
      <w:smartTag w:uri="urn:schemas-microsoft-com:office:smarttags" w:element="metricconverter">
        <w:smartTagPr>
          <w:attr w:name="ProductID" w:val="8ﾰC"/>
        </w:smartTagPr>
        <w:r w:rsidRPr="008E718D">
          <w:rPr>
            <w:sz w:val="24"/>
          </w:rPr>
          <w:t>8°C</w:t>
        </w:r>
      </w:smartTag>
      <w:r w:rsidRPr="008E718D">
        <w:rPr>
          <w:sz w:val="24"/>
        </w:rPr>
        <w:t xml:space="preserve">), powinny być odpowiednio zabezpieczone i dostarczone do odbiorcy w wymaganej temperaturze, chyba że wykonawca posiada protokół walidacji dotyczący zachowania jakości podłoży mikrobiologicznych transportowanych w wyższej temperaturze. W przypadku stwierdzenia przez odbiorcę niewłaściwych warunków transportu (temperatura inna niż deklarowana przez producenta w zakresie transportu </w:t>
      </w:r>
      <w:r w:rsidR="008E718D">
        <w:rPr>
          <w:sz w:val="24"/>
        </w:rPr>
        <w:br/>
      </w:r>
      <w:r w:rsidRPr="008E718D">
        <w:rPr>
          <w:sz w:val="24"/>
        </w:rPr>
        <w:t>i przechowywania) towar podlegać będzie zwrotowi na koszt dostawcy i wymiany na nowy zgodnie ze specyfikacją.</w:t>
      </w:r>
    </w:p>
    <w:p w:rsidR="00BC643B" w:rsidRPr="008E718D" w:rsidRDefault="00BC643B" w:rsidP="008E718D">
      <w:pPr>
        <w:pStyle w:val="Tekstpodstawowy2"/>
        <w:numPr>
          <w:ilvl w:val="0"/>
          <w:numId w:val="28"/>
        </w:numPr>
        <w:tabs>
          <w:tab w:val="left" w:pos="851"/>
        </w:tabs>
        <w:spacing w:after="0" w:line="240" w:lineRule="auto"/>
        <w:ind w:left="567" w:hanging="567"/>
        <w:jc w:val="both"/>
        <w:rPr>
          <w:sz w:val="24"/>
        </w:rPr>
      </w:pPr>
      <w:r w:rsidRPr="008E718D">
        <w:rPr>
          <w:sz w:val="24"/>
        </w:rPr>
        <w:t>Miejsce, odbiorca i warunki dostarczenia towaru:</w:t>
      </w:r>
    </w:p>
    <w:p w:rsidR="00BC643B" w:rsidRPr="008E718D" w:rsidRDefault="00BC643B" w:rsidP="008E718D">
      <w:pPr>
        <w:pStyle w:val="Tekstpodstawowy"/>
        <w:ind w:left="567"/>
        <w:jc w:val="both"/>
        <w:rPr>
          <w:lang w:val="pl-PL" w:eastAsia="pl-PL"/>
        </w:rPr>
      </w:pPr>
      <w:r w:rsidRPr="008E718D">
        <w:rPr>
          <w:lang w:val="pl-PL" w:eastAsia="pl-PL"/>
        </w:rPr>
        <w:t xml:space="preserve">Wojskowy Ośrodek Medycyny Prewencyjnej – Wrocław, ul. Ślężna 158, </w:t>
      </w:r>
    </w:p>
    <w:p w:rsidR="00BC643B" w:rsidRPr="008E718D" w:rsidRDefault="00BC643B" w:rsidP="008E718D">
      <w:pPr>
        <w:pStyle w:val="Tekstpodstawowy"/>
        <w:ind w:left="567"/>
        <w:jc w:val="both"/>
        <w:rPr>
          <w:lang w:val="pl-PL" w:eastAsia="pl-PL"/>
        </w:rPr>
      </w:pPr>
      <w:r w:rsidRPr="008E718D">
        <w:rPr>
          <w:lang w:val="pl-PL" w:eastAsia="pl-PL"/>
        </w:rPr>
        <w:t xml:space="preserve">50-984 Wrocław. Dostawa winna być realizowana w godzinach od 8:00 </w:t>
      </w:r>
      <w:r w:rsidRPr="008E718D">
        <w:rPr>
          <w:lang w:val="pl-PL" w:eastAsia="pl-PL"/>
        </w:rPr>
        <w:br/>
        <w:t>do 14:00 w dniach pracy Zamawiającego ( pon. - pt. ).</w:t>
      </w:r>
    </w:p>
    <w:p w:rsidR="00C67009" w:rsidRPr="008E718D" w:rsidRDefault="00C67009" w:rsidP="008E718D">
      <w:pPr>
        <w:pStyle w:val="Tekstpodstawowy"/>
        <w:numPr>
          <w:ilvl w:val="0"/>
          <w:numId w:val="28"/>
        </w:numPr>
        <w:ind w:left="567" w:hanging="567"/>
        <w:jc w:val="both"/>
        <w:rPr>
          <w:lang w:val="pl-PL" w:eastAsia="pl-PL"/>
        </w:rPr>
      </w:pPr>
      <w:r w:rsidRPr="008E718D">
        <w:rPr>
          <w:lang w:val="pl-PL" w:eastAsia="pl-PL"/>
        </w:rPr>
        <w:t>Dostawca zobowiązany jest dostarczyć towar do miejsca wskazanego przez Zamawiającego transportem własnym. Koszty dostawy obciążają Dostawcę.</w:t>
      </w:r>
    </w:p>
    <w:p w:rsidR="00186329" w:rsidRPr="008E718D" w:rsidRDefault="00C67009" w:rsidP="008E718D">
      <w:pPr>
        <w:pStyle w:val="Zwykytekst"/>
        <w:numPr>
          <w:ilvl w:val="0"/>
          <w:numId w:val="28"/>
        </w:numPr>
        <w:ind w:left="567" w:hanging="567"/>
        <w:rPr>
          <w:rFonts w:ascii="Times New Roman" w:hAnsi="Times New Roman"/>
          <w:sz w:val="24"/>
        </w:rPr>
      </w:pPr>
      <w:r w:rsidRPr="008E718D">
        <w:rPr>
          <w:rFonts w:ascii="Times New Roman" w:hAnsi="Times New Roman"/>
          <w:sz w:val="24"/>
        </w:rPr>
        <w:t>Dostawa powinna być zrealizowana w terminie</w:t>
      </w:r>
      <w:r w:rsidR="00186329" w:rsidRPr="008E718D">
        <w:rPr>
          <w:rFonts w:ascii="Times New Roman" w:hAnsi="Times New Roman"/>
          <w:sz w:val="24"/>
        </w:rPr>
        <w:t>:</w:t>
      </w:r>
    </w:p>
    <w:p w:rsidR="00186329" w:rsidRPr="008E718D" w:rsidRDefault="00186329" w:rsidP="008E718D">
      <w:pPr>
        <w:pStyle w:val="Zwykytekst"/>
        <w:ind w:left="567"/>
        <w:rPr>
          <w:rFonts w:ascii="Times New Roman" w:hAnsi="Times New Roman"/>
          <w:sz w:val="24"/>
        </w:rPr>
      </w:pPr>
      <w:r w:rsidRPr="008E718D">
        <w:rPr>
          <w:rFonts w:ascii="Times New Roman" w:hAnsi="Times New Roman"/>
          <w:sz w:val="24"/>
        </w:rPr>
        <w:t>-</w:t>
      </w:r>
      <w:r w:rsidR="00C67009" w:rsidRPr="008E718D">
        <w:rPr>
          <w:rFonts w:ascii="Times New Roman" w:hAnsi="Times New Roman"/>
          <w:sz w:val="24"/>
        </w:rPr>
        <w:t xml:space="preserve">  do </w:t>
      </w:r>
      <w:r w:rsidRPr="008E718D">
        <w:rPr>
          <w:rFonts w:ascii="Times New Roman" w:hAnsi="Times New Roman"/>
          <w:sz w:val="24"/>
        </w:rPr>
        <w:t>30</w:t>
      </w:r>
      <w:r w:rsidR="00C67009" w:rsidRPr="008E718D">
        <w:rPr>
          <w:rFonts w:ascii="Times New Roman" w:hAnsi="Times New Roman"/>
          <w:sz w:val="24"/>
        </w:rPr>
        <w:t xml:space="preserve"> dni liczonych od dnia złożenia zamówienia</w:t>
      </w:r>
      <w:r w:rsidRPr="008E718D">
        <w:rPr>
          <w:rFonts w:ascii="Times New Roman" w:hAnsi="Times New Roman"/>
          <w:sz w:val="24"/>
        </w:rPr>
        <w:t xml:space="preserve"> dla asortymentu z zadań </w:t>
      </w:r>
      <w:r w:rsidR="00B44533" w:rsidRPr="008E718D">
        <w:rPr>
          <w:rFonts w:ascii="Times New Roman" w:hAnsi="Times New Roman"/>
          <w:sz w:val="24"/>
        </w:rPr>
        <w:t>1,3,4,6,</w:t>
      </w:r>
      <w:r w:rsidR="00064CEC" w:rsidRPr="008E718D">
        <w:rPr>
          <w:rFonts w:ascii="Times New Roman" w:hAnsi="Times New Roman"/>
          <w:sz w:val="24"/>
        </w:rPr>
        <w:t xml:space="preserve">7, </w:t>
      </w:r>
      <w:r w:rsidR="00B44533" w:rsidRPr="008E718D">
        <w:rPr>
          <w:rFonts w:ascii="Times New Roman" w:hAnsi="Times New Roman"/>
          <w:sz w:val="24"/>
        </w:rPr>
        <w:t>8,10,11</w:t>
      </w:r>
      <w:r w:rsidR="00784511" w:rsidRPr="008E718D">
        <w:rPr>
          <w:rFonts w:ascii="Times New Roman" w:hAnsi="Times New Roman"/>
          <w:sz w:val="24"/>
        </w:rPr>
        <w:t>,12,</w:t>
      </w:r>
      <w:r w:rsidR="00064CEC" w:rsidRPr="008E718D">
        <w:rPr>
          <w:rFonts w:ascii="Times New Roman" w:hAnsi="Times New Roman"/>
          <w:sz w:val="24"/>
        </w:rPr>
        <w:t xml:space="preserve">13, </w:t>
      </w:r>
      <w:r w:rsidR="00784511" w:rsidRPr="008E718D">
        <w:rPr>
          <w:rFonts w:ascii="Times New Roman" w:hAnsi="Times New Roman"/>
          <w:sz w:val="24"/>
        </w:rPr>
        <w:t>14</w:t>
      </w:r>
      <w:r w:rsidR="00064CEC" w:rsidRPr="008E718D">
        <w:rPr>
          <w:rFonts w:ascii="Times New Roman" w:hAnsi="Times New Roman"/>
          <w:sz w:val="24"/>
        </w:rPr>
        <w:t>.</w:t>
      </w:r>
    </w:p>
    <w:p w:rsidR="0084364F" w:rsidRPr="008E718D" w:rsidRDefault="00186329" w:rsidP="008E718D">
      <w:pPr>
        <w:pStyle w:val="Zwykytekst"/>
        <w:ind w:left="567"/>
        <w:rPr>
          <w:rStyle w:val="Uwydatnienie"/>
          <w:rFonts w:ascii="Times New Roman" w:hAnsi="Times New Roman"/>
          <w:i w:val="0"/>
          <w:szCs w:val="24"/>
        </w:rPr>
      </w:pPr>
      <w:r w:rsidRPr="008E718D">
        <w:rPr>
          <w:rFonts w:ascii="Times New Roman" w:hAnsi="Times New Roman"/>
          <w:sz w:val="24"/>
        </w:rPr>
        <w:t xml:space="preserve">- do 21 dni liczonych od dnia złożenia zamówienia dla asortymentu z zadań </w:t>
      </w:r>
      <w:r w:rsidR="00B44533" w:rsidRPr="008E718D">
        <w:rPr>
          <w:rFonts w:ascii="Times New Roman" w:hAnsi="Times New Roman"/>
          <w:sz w:val="24"/>
        </w:rPr>
        <w:t>2,</w:t>
      </w:r>
      <w:r w:rsidR="00064CEC" w:rsidRPr="008E718D">
        <w:rPr>
          <w:rFonts w:ascii="Times New Roman" w:hAnsi="Times New Roman"/>
          <w:sz w:val="24"/>
        </w:rPr>
        <w:t>5</w:t>
      </w:r>
      <w:r w:rsidR="00784511" w:rsidRPr="008E718D">
        <w:rPr>
          <w:rFonts w:ascii="Times New Roman" w:hAnsi="Times New Roman"/>
          <w:sz w:val="24"/>
        </w:rPr>
        <w:t>,</w:t>
      </w:r>
      <w:r w:rsidR="00064CEC" w:rsidRPr="008E718D">
        <w:rPr>
          <w:rFonts w:ascii="Times New Roman" w:hAnsi="Times New Roman"/>
          <w:sz w:val="24"/>
        </w:rPr>
        <w:t>9</w:t>
      </w:r>
      <w:r w:rsidRPr="008E718D">
        <w:rPr>
          <w:rFonts w:ascii="Times New Roman" w:hAnsi="Times New Roman"/>
          <w:sz w:val="24"/>
        </w:rPr>
        <w:t>.</w:t>
      </w:r>
    </w:p>
    <w:p w:rsidR="008E718D" w:rsidRDefault="00186329" w:rsidP="008E718D">
      <w:pPr>
        <w:ind w:left="4678" w:hanging="720"/>
        <w:jc w:val="both"/>
        <w:rPr>
          <w:rStyle w:val="Uwydatnienie"/>
          <w:rFonts w:ascii="Times New Roman" w:hAnsi="Times New Roman"/>
          <w:b/>
          <w:i w:val="0"/>
          <w:szCs w:val="24"/>
        </w:rPr>
      </w:pPr>
      <w:r w:rsidRPr="008E718D">
        <w:rPr>
          <w:rStyle w:val="Uwydatnienie"/>
          <w:rFonts w:ascii="Times New Roman" w:hAnsi="Times New Roman"/>
          <w:b/>
          <w:i w:val="0"/>
          <w:szCs w:val="24"/>
        </w:rPr>
        <w:t xml:space="preserve">    </w:t>
      </w:r>
    </w:p>
    <w:p w:rsidR="008E718D" w:rsidRDefault="008E718D" w:rsidP="008E718D">
      <w:pPr>
        <w:ind w:left="4678" w:hanging="720"/>
        <w:jc w:val="both"/>
        <w:rPr>
          <w:rStyle w:val="Uwydatnienie"/>
          <w:rFonts w:ascii="Times New Roman" w:hAnsi="Times New Roman"/>
          <w:b/>
          <w:i w:val="0"/>
          <w:szCs w:val="24"/>
        </w:rPr>
      </w:pPr>
    </w:p>
    <w:sectPr w:rsidR="008E718D" w:rsidSect="008E718D">
      <w:head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E1B" w:rsidRDefault="00C51E1B" w:rsidP="0006626E">
      <w:r>
        <w:separator/>
      </w:r>
    </w:p>
  </w:endnote>
  <w:endnote w:type="continuationSeparator" w:id="0">
    <w:p w:rsidR="00C51E1B" w:rsidRDefault="00C51E1B" w:rsidP="0006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E1B" w:rsidRDefault="00C51E1B" w:rsidP="0006626E">
      <w:r>
        <w:separator/>
      </w:r>
    </w:p>
  </w:footnote>
  <w:footnote w:type="continuationSeparator" w:id="0">
    <w:p w:rsidR="00C51E1B" w:rsidRDefault="00C51E1B" w:rsidP="0006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18D" w:rsidRPr="008E718D" w:rsidRDefault="008E718D" w:rsidP="008E718D">
    <w:pPr>
      <w:pStyle w:val="Nagwek"/>
      <w:jc w:val="right"/>
      <w:rPr>
        <w:rFonts w:ascii="Times New Roman" w:hAnsi="Times New Roman"/>
        <w:b/>
        <w:sz w:val="22"/>
        <w:szCs w:val="22"/>
      </w:rPr>
    </w:pPr>
    <w:r w:rsidRPr="008E718D">
      <w:rPr>
        <w:rFonts w:ascii="Times New Roman" w:hAnsi="Times New Roman"/>
        <w:b/>
        <w:sz w:val="22"/>
        <w:szCs w:val="22"/>
      </w:rPr>
      <w:t>MED/134/2025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6FE"/>
    <w:multiLevelType w:val="multilevel"/>
    <w:tmpl w:val="052232B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/>
        <w:sz w:val="24"/>
      </w:rPr>
    </w:lvl>
    <w:lvl w:ilvl="2">
      <w:start w:val="1"/>
      <w:numFmt w:val="upperLetter"/>
      <w:isLgl/>
      <w:lvlText w:val="%1.%2.%3."/>
      <w:lvlJc w:val="left"/>
      <w:pPr>
        <w:ind w:left="1287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  <w:b/>
        <w:sz w:val="24"/>
      </w:rPr>
    </w:lvl>
  </w:abstractNum>
  <w:abstractNum w:abstractNumId="1" w15:restartNumberingAfterBreak="0">
    <w:nsid w:val="06DB334B"/>
    <w:multiLevelType w:val="hybridMultilevel"/>
    <w:tmpl w:val="4F142D9E"/>
    <w:lvl w:ilvl="0" w:tplc="DAAA25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822A0"/>
    <w:multiLevelType w:val="multilevel"/>
    <w:tmpl w:val="3E9680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0CBB141C"/>
    <w:multiLevelType w:val="hybridMultilevel"/>
    <w:tmpl w:val="5A3076DE"/>
    <w:lvl w:ilvl="0" w:tplc="0CF43878">
      <w:start w:val="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2D36C4"/>
    <w:multiLevelType w:val="hybridMultilevel"/>
    <w:tmpl w:val="22624AFA"/>
    <w:lvl w:ilvl="0" w:tplc="D35E636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300DF"/>
    <w:multiLevelType w:val="hybridMultilevel"/>
    <w:tmpl w:val="47E0D1D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25277A7"/>
    <w:multiLevelType w:val="hybridMultilevel"/>
    <w:tmpl w:val="28162908"/>
    <w:lvl w:ilvl="0" w:tplc="F3CEC3CC">
      <w:start w:val="6"/>
      <w:numFmt w:val="decimal"/>
      <w:lvlText w:val="%1."/>
      <w:lvlJc w:val="left"/>
      <w:pPr>
        <w:ind w:left="2149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50D2"/>
    <w:multiLevelType w:val="hybridMultilevel"/>
    <w:tmpl w:val="AD32E6F8"/>
    <w:lvl w:ilvl="0" w:tplc="DAAA25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307BC"/>
    <w:multiLevelType w:val="hybridMultilevel"/>
    <w:tmpl w:val="AC98BC30"/>
    <w:lvl w:ilvl="0" w:tplc="61DA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E35612"/>
    <w:multiLevelType w:val="multilevel"/>
    <w:tmpl w:val="CD70EF9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FF247F3"/>
    <w:multiLevelType w:val="hybridMultilevel"/>
    <w:tmpl w:val="2CE0D3E6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2B3E3567"/>
    <w:multiLevelType w:val="hybridMultilevel"/>
    <w:tmpl w:val="3CCEF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2C65"/>
    <w:multiLevelType w:val="hybridMultilevel"/>
    <w:tmpl w:val="C5D62416"/>
    <w:lvl w:ilvl="0" w:tplc="CF1E52F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145484"/>
    <w:multiLevelType w:val="hybridMultilevel"/>
    <w:tmpl w:val="EB2ED5DE"/>
    <w:lvl w:ilvl="0" w:tplc="59D6C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75DA8"/>
    <w:multiLevelType w:val="hybridMultilevel"/>
    <w:tmpl w:val="6BE6CDA2"/>
    <w:lvl w:ilvl="0" w:tplc="7AA803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94EBC"/>
    <w:multiLevelType w:val="hybridMultilevel"/>
    <w:tmpl w:val="1424F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F2C83"/>
    <w:multiLevelType w:val="hybridMultilevel"/>
    <w:tmpl w:val="A06CB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15755"/>
    <w:multiLevelType w:val="hybridMultilevel"/>
    <w:tmpl w:val="C35E62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020E6D"/>
    <w:multiLevelType w:val="hybridMultilevel"/>
    <w:tmpl w:val="A3F0D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E35C1"/>
    <w:multiLevelType w:val="hybridMultilevel"/>
    <w:tmpl w:val="B1D6F7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956908"/>
    <w:multiLevelType w:val="hybridMultilevel"/>
    <w:tmpl w:val="2CE0D3E6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4C256E08"/>
    <w:multiLevelType w:val="hybridMultilevel"/>
    <w:tmpl w:val="CD804F92"/>
    <w:lvl w:ilvl="0" w:tplc="B276E460">
      <w:start w:val="4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22" w15:restartNumberingAfterBreak="0">
    <w:nsid w:val="4C69101A"/>
    <w:multiLevelType w:val="hybridMultilevel"/>
    <w:tmpl w:val="06F2B138"/>
    <w:lvl w:ilvl="0" w:tplc="0415001B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9430A"/>
    <w:multiLevelType w:val="hybridMultilevel"/>
    <w:tmpl w:val="FC2852B0"/>
    <w:lvl w:ilvl="0" w:tplc="9D461C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C11F5"/>
    <w:multiLevelType w:val="hybridMultilevel"/>
    <w:tmpl w:val="B508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B0190"/>
    <w:multiLevelType w:val="hybridMultilevel"/>
    <w:tmpl w:val="A2BC84B2"/>
    <w:lvl w:ilvl="0" w:tplc="0CF43878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C16696B"/>
    <w:multiLevelType w:val="hybridMultilevel"/>
    <w:tmpl w:val="D04475E0"/>
    <w:lvl w:ilvl="0" w:tplc="5784F3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C1D5C"/>
    <w:multiLevelType w:val="hybridMultilevel"/>
    <w:tmpl w:val="A420F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27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16"/>
  </w:num>
  <w:num w:numId="10">
    <w:abstractNumId w:val="24"/>
  </w:num>
  <w:num w:numId="11">
    <w:abstractNumId w:val="19"/>
  </w:num>
  <w:num w:numId="12">
    <w:abstractNumId w:val="11"/>
  </w:num>
  <w:num w:numId="13">
    <w:abstractNumId w:val="13"/>
  </w:num>
  <w:num w:numId="14">
    <w:abstractNumId w:val="25"/>
  </w:num>
  <w:num w:numId="15">
    <w:abstractNumId w:val="3"/>
  </w:num>
  <w:num w:numId="16">
    <w:abstractNumId w:val="23"/>
  </w:num>
  <w:num w:numId="17">
    <w:abstractNumId w:val="12"/>
  </w:num>
  <w:num w:numId="18">
    <w:abstractNumId w:val="17"/>
  </w:num>
  <w:num w:numId="19">
    <w:abstractNumId w:val="20"/>
  </w:num>
  <w:num w:numId="20">
    <w:abstractNumId w:val="10"/>
  </w:num>
  <w:num w:numId="21">
    <w:abstractNumId w:val="5"/>
  </w:num>
  <w:num w:numId="22">
    <w:abstractNumId w:val="8"/>
  </w:num>
  <w:num w:numId="23">
    <w:abstractNumId w:val="18"/>
  </w:num>
  <w:num w:numId="24">
    <w:abstractNumId w:val="15"/>
  </w:num>
  <w:num w:numId="25">
    <w:abstractNumId w:val="4"/>
  </w:num>
  <w:num w:numId="26">
    <w:abstractNumId w:val="21"/>
  </w:num>
  <w:num w:numId="27">
    <w:abstractNumId w:val="2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6E"/>
    <w:rsid w:val="00006F93"/>
    <w:rsid w:val="00027BE5"/>
    <w:rsid w:val="00045789"/>
    <w:rsid w:val="00064CEC"/>
    <w:rsid w:val="00064E8E"/>
    <w:rsid w:val="0006527F"/>
    <w:rsid w:val="0006626E"/>
    <w:rsid w:val="000D1B2D"/>
    <w:rsid w:val="00151DD9"/>
    <w:rsid w:val="00186329"/>
    <w:rsid w:val="002433D9"/>
    <w:rsid w:val="00254328"/>
    <w:rsid w:val="00282589"/>
    <w:rsid w:val="002832E0"/>
    <w:rsid w:val="002B75A5"/>
    <w:rsid w:val="002C67F7"/>
    <w:rsid w:val="003160ED"/>
    <w:rsid w:val="003A2529"/>
    <w:rsid w:val="00401A60"/>
    <w:rsid w:val="0049064C"/>
    <w:rsid w:val="004F1418"/>
    <w:rsid w:val="00510040"/>
    <w:rsid w:val="0053637A"/>
    <w:rsid w:val="00545844"/>
    <w:rsid w:val="0058231F"/>
    <w:rsid w:val="006077C9"/>
    <w:rsid w:val="00632689"/>
    <w:rsid w:val="00652B25"/>
    <w:rsid w:val="00683376"/>
    <w:rsid w:val="006A35E6"/>
    <w:rsid w:val="006C37D9"/>
    <w:rsid w:val="006F38B1"/>
    <w:rsid w:val="0077751C"/>
    <w:rsid w:val="00784511"/>
    <w:rsid w:val="0084364F"/>
    <w:rsid w:val="008653AD"/>
    <w:rsid w:val="008E718D"/>
    <w:rsid w:val="0090399C"/>
    <w:rsid w:val="00912A60"/>
    <w:rsid w:val="00925FAB"/>
    <w:rsid w:val="00935391"/>
    <w:rsid w:val="009B1E4E"/>
    <w:rsid w:val="00A87C7A"/>
    <w:rsid w:val="00AF0FB2"/>
    <w:rsid w:val="00B0769A"/>
    <w:rsid w:val="00B219A7"/>
    <w:rsid w:val="00B44533"/>
    <w:rsid w:val="00B655DB"/>
    <w:rsid w:val="00BC643B"/>
    <w:rsid w:val="00C31471"/>
    <w:rsid w:val="00C51E1B"/>
    <w:rsid w:val="00C67009"/>
    <w:rsid w:val="00C841D2"/>
    <w:rsid w:val="00CC5E73"/>
    <w:rsid w:val="00D9409A"/>
    <w:rsid w:val="00DB1763"/>
    <w:rsid w:val="00DD5D96"/>
    <w:rsid w:val="00E16F36"/>
    <w:rsid w:val="00E24EB3"/>
    <w:rsid w:val="00E5064D"/>
    <w:rsid w:val="00F07789"/>
    <w:rsid w:val="00FE3B2C"/>
    <w:rsid w:val="00FF721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3D98389"/>
  <w15:chartTrackingRefBased/>
  <w15:docId w15:val="{8AB111CC-3CC6-4100-BE85-F0D2E760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62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6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26E"/>
  </w:style>
  <w:style w:type="paragraph" w:styleId="Stopka">
    <w:name w:val="footer"/>
    <w:basedOn w:val="Normalny"/>
    <w:link w:val="StopkaZnak"/>
    <w:uiPriority w:val="99"/>
    <w:unhideWhenUsed/>
    <w:rsid w:val="00066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26E"/>
  </w:style>
  <w:style w:type="paragraph" w:styleId="Akapitzlist">
    <w:name w:val="List Paragraph"/>
    <w:basedOn w:val="Normalny"/>
    <w:link w:val="AkapitzlistZnak"/>
    <w:uiPriority w:val="34"/>
    <w:qFormat/>
    <w:rsid w:val="0006626E"/>
    <w:pPr>
      <w:ind w:left="708"/>
    </w:pPr>
    <w:rPr>
      <w:sz w:val="20"/>
    </w:rPr>
  </w:style>
  <w:style w:type="character" w:styleId="Uwydatnienie">
    <w:name w:val="Emphasis"/>
    <w:uiPriority w:val="20"/>
    <w:qFormat/>
    <w:rsid w:val="0006626E"/>
    <w:rPr>
      <w:i/>
      <w:iCs/>
    </w:rPr>
  </w:style>
  <w:style w:type="character" w:customStyle="1" w:styleId="AkapitzlistZnak">
    <w:name w:val="Akapit z listą Znak"/>
    <w:link w:val="Akapitzlist"/>
    <w:uiPriority w:val="34"/>
    <w:rsid w:val="0006626E"/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qFormat/>
    <w:rsid w:val="0084364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rsid w:val="0084364F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84364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67009"/>
    <w:rPr>
      <w:rFonts w:ascii="Times New Roman" w:hAnsi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670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67009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670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6A35E6"/>
    <w:pPr>
      <w:ind w:left="283" w:hanging="283"/>
    </w:pPr>
    <w:rPr>
      <w:rFonts w:ascii="Times New Roman" w:hAnsi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3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D9CE155-8EF9-4CD3-A980-E644B1314D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Szczurek Marta</dc:creator>
  <cp:keywords/>
  <dc:description/>
  <cp:lastModifiedBy>Bartkowska Sylwia</cp:lastModifiedBy>
  <cp:revision>32</cp:revision>
  <cp:lastPrinted>2025-03-05T07:47:00Z</cp:lastPrinted>
  <dcterms:created xsi:type="dcterms:W3CDTF">2022-12-30T08:53:00Z</dcterms:created>
  <dcterms:modified xsi:type="dcterms:W3CDTF">2025-03-05T07:47:00Z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aae9dde6-8b7e-4ee5-9f50-e07db1d3f863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Szczurek Marta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MVSaC0zfS3TEDhmo7h/Nde+qxnV904cm</vt:lpwstr>
  </property>
  <property fmtid="{D5CDD505-2E9C-101B-9397-08002B2CF9AE}" pid="10" name="s5636:Creator type=IP">
    <vt:lpwstr>10.70.93.7</vt:lpwstr>
  </property>
  <property fmtid="{D5CDD505-2E9C-101B-9397-08002B2CF9AE}" pid="11" name="bjPortionMark">
    <vt:lpwstr>[]</vt:lpwstr>
  </property>
</Properties>
</file>