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B772" w14:textId="77777777" w:rsidR="00221F43" w:rsidRPr="002F70AA" w:rsidRDefault="00221F43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Zał. nr 2 do SWZ</w:t>
      </w:r>
    </w:p>
    <w:p w14:paraId="3FDECC7F" w14:textId="06180D6F" w:rsidR="000D1366" w:rsidRPr="002F70AA" w:rsidRDefault="00EC44A4" w:rsidP="000D1366">
      <w:pPr>
        <w:spacing w:before="120" w:after="120" w:line="280" w:lineRule="exact"/>
        <w:jc w:val="right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  <w:t>SPZP.271.19.2024</w:t>
      </w:r>
    </w:p>
    <w:p w14:paraId="73A55D37" w14:textId="77777777" w:rsidR="00221F43" w:rsidRPr="002F70AA" w:rsidRDefault="00221F43" w:rsidP="00221F43">
      <w:pPr>
        <w:spacing w:after="280" w:line="280" w:lineRule="exact"/>
        <w:jc w:val="center"/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Verdana" w:hAnsi="Verdana" w:cs="Times New Roman"/>
          <w:b/>
          <w:bCs/>
          <w:color w:val="000000"/>
          <w:spacing w:val="4"/>
          <w:kern w:val="0"/>
          <w:sz w:val="20"/>
          <w14:ligatures w14:val="none"/>
        </w:rPr>
        <w:t>OPIS PRZEDMIOTU ZAMÓWIENIA</w:t>
      </w:r>
    </w:p>
    <w:p w14:paraId="5375F8B0" w14:textId="77777777" w:rsidR="00333C60" w:rsidRPr="002F70AA" w:rsidRDefault="00333C60" w:rsidP="00333C6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I.</w:t>
      </w:r>
      <w:r w:rsidRPr="002F70AA">
        <w:rPr>
          <w:rFonts w:ascii="Verdana" w:hAnsi="Verdana" w:cs="Arial"/>
          <w:sz w:val="20"/>
        </w:rPr>
        <w:tab/>
        <w:t>Przedmiot zamówienia</w:t>
      </w:r>
    </w:p>
    <w:p w14:paraId="5EA52C9A" w14:textId="77777777" w:rsidR="00A47ADF" w:rsidRPr="00A47ADF" w:rsidRDefault="00A47ADF" w:rsidP="00A47ADF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bookmarkStart w:id="0" w:name="_Hlk160801793"/>
      <w:r w:rsidRPr="00A47ADF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Dostawa skanerów do digitalizacji szkiełek histopatologicznych wraz z systemem zarządzania preparatami cyfrowymi</w:t>
      </w:r>
      <w:r w:rsidRPr="00A47ADF" w:rsidDel="00A47ADF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 </w:t>
      </w:r>
    </w:p>
    <w:bookmarkEnd w:id="0"/>
    <w:p w14:paraId="73936FE4" w14:textId="30453A74" w:rsidR="00221F43" w:rsidRPr="002F70AA" w:rsidRDefault="00221F43" w:rsidP="006C2ED4">
      <w:pPr>
        <w:spacing w:line="288" w:lineRule="auto"/>
        <w:ind w:right="-290"/>
        <w:jc w:val="both"/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</w:pPr>
      <w:r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Kluczowe parametry </w:t>
      </w:r>
      <w:r w:rsidR="00BB6123"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 xml:space="preserve">urządzeń </w:t>
      </w:r>
      <w:r w:rsidRPr="002F70AA">
        <w:rPr>
          <w:rFonts w:ascii="Verdana" w:eastAsia="Calibri" w:hAnsi="Verdana" w:cs="Calibri"/>
          <w:color w:val="000000"/>
          <w:spacing w:val="4"/>
          <w:kern w:val="0"/>
          <w:sz w:val="20"/>
          <w14:ligatures w14:val="none"/>
        </w:rPr>
        <w:t>są opisane poniżej.</w:t>
      </w:r>
    </w:p>
    <w:p w14:paraId="4C7871F3" w14:textId="77777777" w:rsidR="00333C60" w:rsidRPr="002F70AA" w:rsidRDefault="00333C60" w:rsidP="00333C60">
      <w:pPr>
        <w:pStyle w:val="Podtytu"/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II. Minimalne parametry techniczne:</w:t>
      </w:r>
    </w:p>
    <w:p w14:paraId="3844FD11" w14:textId="1F90A2A5" w:rsidR="00BB6123" w:rsidRPr="002F70AA" w:rsidRDefault="00BB6123" w:rsidP="00BB6123">
      <w:pPr>
        <w:pStyle w:val="Podtytu"/>
        <w:numPr>
          <w:ilvl w:val="0"/>
          <w:numId w:val="27"/>
        </w:numPr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t>Skaner preparatów mikroskopowych nr 1 (</w:t>
      </w:r>
      <w:proofErr w:type="spellStart"/>
      <w:r w:rsidRPr="002F70AA">
        <w:rPr>
          <w:rFonts w:ascii="Verdana" w:hAnsi="Verdana" w:cs="Arial"/>
          <w:sz w:val="20"/>
        </w:rPr>
        <w:t>Research</w:t>
      </w:r>
      <w:proofErr w:type="spellEnd"/>
      <w:r w:rsidRPr="002F70AA">
        <w:rPr>
          <w:rFonts w:ascii="Verdana" w:hAnsi="Verdana" w:cs="Arial"/>
          <w:sz w:val="20"/>
        </w:rPr>
        <w:t xml:space="preserve"> </w:t>
      </w:r>
      <w:proofErr w:type="spellStart"/>
      <w:r w:rsidRPr="002F70AA">
        <w:rPr>
          <w:rFonts w:ascii="Verdana" w:hAnsi="Verdana" w:cs="Arial"/>
          <w:sz w:val="20"/>
        </w:rPr>
        <w:t>Use</w:t>
      </w:r>
      <w:proofErr w:type="spellEnd"/>
      <w:r w:rsidRPr="002F70AA">
        <w:rPr>
          <w:rFonts w:ascii="Verdana" w:hAnsi="Verdana" w:cs="Arial"/>
          <w:sz w:val="20"/>
        </w:rPr>
        <w:t xml:space="preserve"> </w:t>
      </w:r>
      <w:proofErr w:type="spellStart"/>
      <w:r w:rsidRPr="002F70AA">
        <w:rPr>
          <w:rFonts w:ascii="Verdana" w:hAnsi="Verdana" w:cs="Arial"/>
          <w:sz w:val="20"/>
        </w:rPr>
        <w:t>Only</w:t>
      </w:r>
      <w:proofErr w:type="spellEnd"/>
      <w:r w:rsidRPr="002F70AA">
        <w:rPr>
          <w:rFonts w:ascii="Verdana" w:hAnsi="Verdana" w:cs="Arial"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"/>
        <w:gridCol w:w="5544"/>
        <w:gridCol w:w="2106"/>
      </w:tblGrid>
      <w:tr w:rsidR="00BB6123" w:rsidRPr="002F70AA" w14:paraId="7D26E016" w14:textId="77777777" w:rsidTr="00134401">
        <w:tc>
          <w:tcPr>
            <w:tcW w:w="503" w:type="dxa"/>
          </w:tcPr>
          <w:p w14:paraId="35C973B6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8EEC1" w14:textId="77777777" w:rsidR="00BB6123" w:rsidRPr="002F70AA" w:rsidRDefault="00BB6123" w:rsidP="001E2B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09C093A" w14:textId="77777777" w:rsidR="00BB6123" w:rsidRPr="002F70AA" w:rsidRDefault="00BB6123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6D1AC8DD" w14:textId="77777777" w:rsidR="00BB6123" w:rsidRPr="002F70AA" w:rsidRDefault="00BB6123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3798BB79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795CEE17" w14:textId="77777777" w:rsidR="00BB6123" w:rsidRPr="002F70AA" w:rsidRDefault="00BB6123" w:rsidP="001E2B00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BB6123" w:rsidRPr="002F70AA" w14:paraId="63C95E7A" w14:textId="77777777" w:rsidTr="00134401">
        <w:tc>
          <w:tcPr>
            <w:tcW w:w="503" w:type="dxa"/>
          </w:tcPr>
          <w:p w14:paraId="576FB662" w14:textId="77777777" w:rsidR="00BB6123" w:rsidRPr="002F70AA" w:rsidRDefault="00BB6123" w:rsidP="001E2B00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BA52" w14:textId="77777777" w:rsidR="00BB6123" w:rsidRPr="002F70AA" w:rsidRDefault="00BB6123" w:rsidP="001E2B00">
            <w:pPr>
              <w:jc w:val="both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SKANER PREPARATÓW MIKROSKOPOWYCH </w:t>
            </w:r>
          </w:p>
          <w:p w14:paraId="775CCB21" w14:textId="77777777" w:rsidR="00BB6123" w:rsidRPr="002F70AA" w:rsidRDefault="00BB6123" w:rsidP="001E2B00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Oferuję urządzenie (</w:t>
            </w:r>
            <w:r w:rsidRPr="002F70AA">
              <w:rPr>
                <w:rFonts w:ascii="Verdana" w:eastAsia="Calibri" w:hAnsi="Verdana" w:cs="Calibri"/>
                <w:i/>
                <w:iCs/>
                <w:color w:val="000000"/>
                <w:spacing w:val="4"/>
                <w:sz w:val="18"/>
                <w:szCs w:val="18"/>
              </w:rPr>
              <w:t>wypełnia Wykonawca</w:t>
            </w: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)</w:t>
            </w:r>
          </w:p>
          <w:p w14:paraId="3DE9AE32" w14:textId="77777777" w:rsidR="00BB6123" w:rsidRPr="002F70AA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</w:p>
          <w:p w14:paraId="48CC7BB8" w14:textId="001541E7" w:rsidR="00BB6123" w:rsidRPr="00134401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</w:t>
            </w:r>
          </w:p>
          <w:p w14:paraId="67B32D97" w14:textId="4A8DED58" w:rsidR="00BB6123" w:rsidRPr="00134401" w:rsidRDefault="00BB6123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………………………………………………………………………</w:t>
            </w:r>
          </w:p>
          <w:p w14:paraId="79825345" w14:textId="55967732" w:rsidR="00BB6123" w:rsidRDefault="00BB6123" w:rsidP="001E2B00">
            <w:pPr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 /typ: ………………………………………………………………</w:t>
            </w:r>
          </w:p>
          <w:p w14:paraId="5FE8DB56" w14:textId="12C95DEF" w:rsidR="00E2329E" w:rsidRPr="002F70AA" w:rsidRDefault="00E2329E" w:rsidP="001E2B00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3335826" w14:textId="77777777" w:rsidR="00BB6123" w:rsidRPr="002F70AA" w:rsidRDefault="00BB6123" w:rsidP="00BB612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0B2073" w:rsidRPr="002F70AA" w14:paraId="51BFE0D1" w14:textId="77777777" w:rsidTr="00134401">
        <w:tc>
          <w:tcPr>
            <w:tcW w:w="503" w:type="dxa"/>
          </w:tcPr>
          <w:p w14:paraId="3F3A62C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BA7A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Urządzenie fabrycznie nowe, nieużywane, 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</w:rPr>
              <w:t>nierekondycjonowane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</w:rPr>
              <w:t>. Urządzenie seryjne bez dodatkowych modyfikacji.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48BC98D" w14:textId="6DC6B7C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C1BFAE4" w14:textId="77777777" w:rsidTr="00134401">
        <w:tc>
          <w:tcPr>
            <w:tcW w:w="503" w:type="dxa"/>
          </w:tcPr>
          <w:p w14:paraId="49208D6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DED0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  <w:lang w:val="en-GB"/>
              </w:rPr>
              <w:t>Zasilanie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  <w:lang w:val="en-GB"/>
              </w:rPr>
              <w:t xml:space="preserve"> 230V/50Hz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CDB175C" w14:textId="7B85E2D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GB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6B1EBD1" w14:textId="77777777" w:rsidTr="00134401">
        <w:tc>
          <w:tcPr>
            <w:tcW w:w="503" w:type="dxa"/>
          </w:tcPr>
          <w:p w14:paraId="3874D34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AD59C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preparatów mikroskopowych z podajnikiem wewnętrznym na jeden preparat. Skanowanie preparatów mikroskopowych o wymiarach 26mm x 76mm i zakresie grubości 0,9 – 1,2mm+-0,1mm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A41BB0F" w14:textId="5A5BB11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08328E6" w14:textId="77777777" w:rsidTr="00134401">
        <w:tc>
          <w:tcPr>
            <w:tcW w:w="503" w:type="dxa"/>
          </w:tcPr>
          <w:p w14:paraId="42B081B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C828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wyposażony w czytnik kodów 2D do odczytu etykiet z preparatów mikroskopowych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5D827FF" w14:textId="0AA488C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8D54FCB" w14:textId="77777777" w:rsidTr="00134401">
        <w:tc>
          <w:tcPr>
            <w:tcW w:w="503" w:type="dxa"/>
          </w:tcPr>
          <w:p w14:paraId="12C4A91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6BCC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Skanowanie preparatów w technice jasnego pola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AD502B3" w14:textId="651F3B1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5460F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42D7E4A" w14:textId="77777777" w:rsidTr="00134401">
        <w:tc>
          <w:tcPr>
            <w:tcW w:w="503" w:type="dxa"/>
          </w:tcPr>
          <w:p w14:paraId="4A62CC2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3ED0DB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Tryb skanowania odpowiadający powiększeniu optycznemu obiektywów 20x i 40x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3DF2F7C" w14:textId="373FC05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0754C4F" w14:textId="77777777" w:rsidTr="00134401">
        <w:tc>
          <w:tcPr>
            <w:tcW w:w="503" w:type="dxa"/>
          </w:tcPr>
          <w:p w14:paraId="4052B95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7.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D445A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oglądania zeskanowanych preparatów w powiększeniu do 80x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6C54134C" w14:textId="23C231D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E5A0612" w14:textId="77777777" w:rsidTr="00134401">
        <w:tc>
          <w:tcPr>
            <w:tcW w:w="503" w:type="dxa"/>
          </w:tcPr>
          <w:p w14:paraId="5EFD5CB9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AFFF2" w14:textId="77777777" w:rsidR="000B2073" w:rsidRPr="00134401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Skanowanie w trybie: </w:t>
            </w:r>
          </w:p>
          <w:p w14:paraId="4499BF7B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- manualnym (w którym operator skanera przed rozpoczęciem procesu skanowania ustawia ręcznie wszystkie parametry skanowania), </w:t>
            </w:r>
          </w:p>
          <w:p w14:paraId="59539FFC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- półautomatycznym (w którym skaner wczytuje podglądy wszystkich załadowanych preparatów pozwalając operatorowi skanera na modyfikację wybranych parametrów skanowania przed rozpoczęciem procesu skanowania) oraz </w:t>
            </w:r>
          </w:p>
          <w:p w14:paraId="782D5944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- automatycznym (w którym operator skanera wkłada preparaty do skanera po wybraniu automatycznego trybu skanowania, skaner rozpocznie skanowanie wszystkich preparatów w oparciu o zdefiniowane wcześniej ustawienia/profil skanowania)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EC673EB" w14:textId="6BFF6224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B407AA1" w14:textId="77777777" w:rsidTr="00134401">
        <w:tc>
          <w:tcPr>
            <w:tcW w:w="503" w:type="dxa"/>
          </w:tcPr>
          <w:p w14:paraId="7EA79237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1323A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definiowania różnych profili skanowania, np. osobno dla preparatów histologicznych i cytologicznych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2C10CACA" w14:textId="3F64F92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851B4C3" w14:textId="77777777" w:rsidTr="00134401">
        <w:tc>
          <w:tcPr>
            <w:tcW w:w="503" w:type="dxa"/>
          </w:tcPr>
          <w:p w14:paraId="13AD44C3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3B13F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definiowania osobnych miejsc zapisu skanowanych preparatów dla profilu skanowania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F23B7DF" w14:textId="1FB6898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286230F" w14:textId="77777777" w:rsidTr="00134401">
        <w:tc>
          <w:tcPr>
            <w:tcW w:w="503" w:type="dxa"/>
          </w:tcPr>
          <w:p w14:paraId="61907301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98E937" w14:textId="2970450A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Metoda ustawiania ostrości 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</w:rPr>
              <w:t>prefocus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 map. Mapa płaszczyzny ostrości preparatu tworzona przed skanowaniem na podstawie wskazanych automatycznie lub ręcznie punktów ostrości.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6E37ECD9" w14:textId="38C6193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7FC3C8B" w14:textId="77777777" w:rsidTr="00134401">
        <w:trPr>
          <w:trHeight w:val="925"/>
        </w:trPr>
        <w:tc>
          <w:tcPr>
            <w:tcW w:w="503" w:type="dxa"/>
          </w:tcPr>
          <w:p w14:paraId="1EFBFBC0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5AD9F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automatycznego podziału mapy płaszczyzny ostrości preparatu na mniejsze lub płaszczyzny w zależności od zdefiniowanej wielkości  skanowanego preparatu.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4312816E" w14:textId="22C3314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0B2073" w14:paraId="2377A108" w14:textId="77777777" w:rsidTr="00134401">
        <w:tc>
          <w:tcPr>
            <w:tcW w:w="503" w:type="dxa"/>
          </w:tcPr>
          <w:p w14:paraId="62AB6355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E8E9D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Sensor 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>skanujący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>: CMOS (Complementary Metal Oxide Semiconductor)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D821BF7" w14:textId="3546046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9F56111" w14:textId="77777777" w:rsidTr="00134401">
        <w:tc>
          <w:tcPr>
            <w:tcW w:w="503" w:type="dxa"/>
          </w:tcPr>
          <w:p w14:paraId="3F6982A1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C52258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Oświetlenie skanowanego preparatu w trakcie skanowania LED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EC36B3A" w14:textId="5A2493B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AC93F61" w14:textId="77777777" w:rsidTr="00134401">
        <w:tc>
          <w:tcPr>
            <w:tcW w:w="503" w:type="dxa"/>
          </w:tcPr>
          <w:p w14:paraId="6599B093" w14:textId="77777777" w:rsidR="000B2073" w:rsidRPr="00E2329E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EAB7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oznaczania więcej niż jednego niezależnego obszaru skanowania w ramach jednego preparatu i ustawiania niezależnych punktów ostrości dla tych płaszczyzn.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4945D3A" w14:textId="48432C8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0EE0BD1" w14:textId="77777777" w:rsidTr="00134401">
        <w:tc>
          <w:tcPr>
            <w:tcW w:w="503" w:type="dxa"/>
          </w:tcPr>
          <w:p w14:paraId="559146C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41DC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Czas skanowania preparatu przy powierzchni skanowanej 15mm x15 mm, przy maksymalnej rozdzielczości oferowanej kamery i powiększeniu 20x – nie więcej niż 160 sek.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3070F98" w14:textId="540FB2C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F65AB8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5082D5B" w14:textId="77777777" w:rsidTr="00134401">
        <w:tc>
          <w:tcPr>
            <w:tcW w:w="503" w:type="dxa"/>
          </w:tcPr>
          <w:p w14:paraId="5748235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17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0DFAF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Czas skanowania preparatu przy powierzchni skanowanej 15x15 mm, przy maksymalnej rozdzielczości oferowanej kamery i powiększeniu 40x – nie więcej niż 290 sek.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C11E197" w14:textId="30050DC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7012BF9" w14:textId="77777777" w:rsidTr="00134401">
        <w:tc>
          <w:tcPr>
            <w:tcW w:w="503" w:type="dxa"/>
          </w:tcPr>
          <w:p w14:paraId="75C0CB2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3F9CB9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Rozdzielczość skanowania - przy trybie skanowania 20x wartość liczbowa: 0,46 µm/piksel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236C262C" w14:textId="4CEF790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1A4851C" w14:textId="77777777" w:rsidTr="00134401">
        <w:tc>
          <w:tcPr>
            <w:tcW w:w="503" w:type="dxa"/>
          </w:tcPr>
          <w:p w14:paraId="5300A3F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BAAF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Rozdzielczość skanowania - przy trybie skanowania 40x – wartość liczbowa: 0,23 µm/piksel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CC9B7FF" w14:textId="1A027ED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4A0C0F0" w14:textId="77777777" w:rsidTr="00134401">
        <w:tc>
          <w:tcPr>
            <w:tcW w:w="503" w:type="dxa"/>
          </w:tcPr>
          <w:p w14:paraId="3F9343F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F8F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wyposażony i działający w oparciu o jeden obiektyw suchy (nie immersyjny) 20x o aperturze numerycznej, wartość liczbowa: 0,75 PLAN APO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2092A3C0" w14:textId="6CC90FF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8C71F6A" w14:textId="77777777" w:rsidTr="00134401">
        <w:tc>
          <w:tcPr>
            <w:tcW w:w="503" w:type="dxa"/>
          </w:tcPr>
          <w:p w14:paraId="161675E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B5FA0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Obiektyw zamontowany na stałe bez zmieniacza obiektywów.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3E45D9F3" w14:textId="78774FD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5818D30" w14:textId="77777777" w:rsidTr="00134401">
        <w:tc>
          <w:tcPr>
            <w:tcW w:w="503" w:type="dxa"/>
          </w:tcPr>
          <w:p w14:paraId="2A0CDAB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F2A3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Czujnik wykrywający obecność preparatu.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E747A39" w14:textId="143F2A4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C5F272E" w14:textId="77777777" w:rsidTr="00134401">
        <w:tc>
          <w:tcPr>
            <w:tcW w:w="503" w:type="dxa"/>
          </w:tcPr>
          <w:p w14:paraId="761231E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E92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Zwarta konstrukcja urządzenia z obudową zakrywającą wszystkie elementy urządzenia w celu zapewnienia stałych i powtarzalnych warunków oświetlenia.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12A3C7B" w14:textId="56449AD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16774FA" w14:textId="77777777" w:rsidTr="00134401">
        <w:tc>
          <w:tcPr>
            <w:tcW w:w="503" w:type="dxa"/>
          </w:tcPr>
          <w:p w14:paraId="496EEA2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996DC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Zamykana pokrywa gniazda załadunku skanowanego preparatu z funkcją automatycznej blokady na czas skanowania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53BD54B5" w14:textId="20F3F4E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E19405B" w14:textId="77777777" w:rsidTr="00134401">
        <w:tc>
          <w:tcPr>
            <w:tcW w:w="503" w:type="dxa"/>
          </w:tcPr>
          <w:p w14:paraId="18FF70C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25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5CFCB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Bezpośredni mechanizm załadunku preparatu nie wymagający stosowania dodatkowych ramek czy uchwytów montażowych do skanowanego preparatu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0516841" w14:textId="4A08205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7053147" w14:textId="77777777" w:rsidTr="00134401">
        <w:tc>
          <w:tcPr>
            <w:tcW w:w="503" w:type="dxa"/>
          </w:tcPr>
          <w:p w14:paraId="39C6CC7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F88B7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Funkcja Z-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</w:rPr>
              <w:t>stack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 na całym obszarze skanowania.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54C9BE2" w14:textId="34CE315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0D543F0" w14:textId="77777777" w:rsidTr="00134401">
        <w:tc>
          <w:tcPr>
            <w:tcW w:w="503" w:type="dxa"/>
          </w:tcPr>
          <w:p w14:paraId="3D40342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1DA152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wybierania liczby warstw z gotowych zestawów lub indywidualnego definiowania dowolnej liczby warstw (co najmniej 40).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2C2A8E0" w14:textId="654831E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356496F" w14:textId="77777777" w:rsidTr="00134401">
        <w:tc>
          <w:tcPr>
            <w:tcW w:w="503" w:type="dxa"/>
          </w:tcPr>
          <w:p w14:paraId="29E32291" w14:textId="490461F5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  <w:r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D857" w14:textId="77777777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Integralne oprogramowanie do obsługi skanera zapewniające kontrolę pracy urządzenia w trybie manualnym, automatycznym i półautomatycznym. Podstawowe funkcje oprogramowania:</w:t>
            </w:r>
          </w:p>
          <w:p w14:paraId="06C535E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możliwość automatycznego i manualnego ustawiania ostrości preparatu</w:t>
            </w:r>
          </w:p>
          <w:p w14:paraId="56B1D6E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możliwość wyświetlania zeskanowanych preparatów z możliwością płynnej zmiany powiększenia i obrotu skanu, lustrzanego odbicia, horyzontalnego widoku (z lotu ptaka)</w:t>
            </w:r>
          </w:p>
          <w:p w14:paraId="7F8D482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wyświetlanie co najmniej 6 preparatów jednocześnie z możliwością synchronizacji ich widoku w trybie porównawczym</w:t>
            </w:r>
          </w:p>
          <w:p w14:paraId="6A161F3D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funkcja nanoszenia na zeskanowane preparaty komentarzy, oznaczeń, pomiarów</w:t>
            </w:r>
          </w:p>
          <w:p w14:paraId="6DB958F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funkcja zapamiętywania adnotacji jako szablonów np. ze zdefiniowanym obszarem 1mm2</w:t>
            </w:r>
          </w:p>
          <w:p w14:paraId="7A97454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funkcja śledzenia przeglądanego obszaru preparatu z użyciem widocznej na ekranie mapy preparatu</w:t>
            </w:r>
          </w:p>
          <w:p w14:paraId="1849F30A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- mapa preparatu różnicująca graficznie obejrzany fragment preparatu od nieobejrzanego.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67FD814D" w14:textId="1DAFF79D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89705E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0A13A7F3" w14:textId="77777777" w:rsidTr="00134401">
        <w:tc>
          <w:tcPr>
            <w:tcW w:w="503" w:type="dxa"/>
          </w:tcPr>
          <w:p w14:paraId="204BCE5D" w14:textId="7B5FC079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29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8919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eksportowania fragmentów skanów do plików JPG, TIFF (kompresja bezstratna).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03706FA" w14:textId="4475F674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E9CE264" w14:textId="77777777" w:rsidTr="00134401">
        <w:tc>
          <w:tcPr>
            <w:tcW w:w="503" w:type="dxa"/>
          </w:tcPr>
          <w:p w14:paraId="2F1EC3F6" w14:textId="41FAFCEF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  <w:r>
              <w:rPr>
                <w:rFonts w:ascii="Verdana" w:hAnsi="Verdana" w:cstheme="minorHAnsi"/>
                <w:sz w:val="18"/>
                <w:szCs w:val="18"/>
              </w:rPr>
              <w:t>0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506E1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skanowania preparatów do bazy przypadków LIMS (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</w:rPr>
              <w:t>Laboratory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 Information Management System) lub do osobnego archiwum konferencyjnego/szkoleniowego w zależności od wybranego profilu skanowania.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0A9B3069" w14:textId="7C7C90D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B456334" w14:textId="77777777" w:rsidTr="00134401">
        <w:tc>
          <w:tcPr>
            <w:tcW w:w="503" w:type="dxa"/>
          </w:tcPr>
          <w:p w14:paraId="63A603A6" w14:textId="5BFF682F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6D1BE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Możliwość rozbudowy o pakiet do zaawansowanej analizy obrazów histopatologicznych z uwzględnieniem specjalistycznych algorytmów do analiz markerów membranowych, cytoplazmatycznych i jądrowych, w tym również posiadających certyfikat IVD (In Vitro </w:t>
            </w:r>
            <w:proofErr w:type="spellStart"/>
            <w:r w:rsidRPr="00E2329E">
              <w:rPr>
                <w:rFonts w:ascii="Verdana" w:hAnsi="Verdana" w:cstheme="minorHAnsi"/>
                <w:sz w:val="18"/>
                <w:szCs w:val="18"/>
              </w:rPr>
              <w:t>Diagnostic</w:t>
            </w:r>
            <w:proofErr w:type="spellEnd"/>
            <w:r w:rsidRPr="00E2329E">
              <w:rPr>
                <w:rFonts w:ascii="Verdana" w:hAnsi="Verdana" w:cstheme="minorHAnsi"/>
                <w:sz w:val="18"/>
                <w:szCs w:val="18"/>
              </w:rPr>
              <w:t>).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1C094915" w14:textId="51CD53A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E414098" w14:textId="77777777" w:rsidTr="00134401">
        <w:tc>
          <w:tcPr>
            <w:tcW w:w="503" w:type="dxa"/>
          </w:tcPr>
          <w:p w14:paraId="1FFB7AB0" w14:textId="77C4D1AC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  <w:r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9E7FA4" w14:textId="77777777" w:rsidR="000B2073" w:rsidRPr="00134401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Stacja robocza z monitorem stanowiąca integralną część skanera wraz z oprogramowaniem umożliwiającym pełną kontrolę skanera. W konfiguracji zalecanej przez producenta skanera. </w:t>
            </w:r>
          </w:p>
          <w:p w14:paraId="149377EB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- dysk twardy min. 2TB  </w:t>
            </w:r>
          </w:p>
          <w:p w14:paraId="786C34D4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- RAM 32GB</w:t>
            </w:r>
          </w:p>
          <w:p w14:paraId="6A33ADA3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>- Monitor LED 24”, FULLHD</w:t>
            </w:r>
          </w:p>
          <w:p w14:paraId="5B993389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- Monitor z 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>matrycą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IPS</w:t>
            </w:r>
          </w:p>
          <w:p w14:paraId="1F5AE923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- Klawiatura, mysz</w:t>
            </w:r>
          </w:p>
        </w:tc>
        <w:tc>
          <w:tcPr>
            <w:tcW w:w="2106" w:type="dxa"/>
            <w:tcBorders>
              <w:left w:val="single" w:sz="1" w:space="0" w:color="000000"/>
              <w:bottom w:val="single" w:sz="1" w:space="0" w:color="000000"/>
            </w:tcBorders>
          </w:tcPr>
          <w:p w14:paraId="7DAE996F" w14:textId="4D0E4B49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19E0089" w14:textId="77777777" w:rsidTr="00134401">
        <w:tc>
          <w:tcPr>
            <w:tcW w:w="503" w:type="dxa"/>
          </w:tcPr>
          <w:p w14:paraId="1857D812" w14:textId="13DDFB35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  <w:r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8DDA3" w14:textId="77777777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Wymiary skanera nie więcej niż: szer. 40,00 cm;  gł. 45 cm;  wys. 40cm </w:t>
            </w:r>
          </w:p>
          <w:p w14:paraId="582BB1C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Waga nie więcej niż: 20kg</w:t>
            </w:r>
          </w:p>
        </w:tc>
        <w:tc>
          <w:tcPr>
            <w:tcW w:w="2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4FC0A3" w14:textId="386B1CC4" w:rsidR="000B2073" w:rsidRPr="002F70AA" w:rsidRDefault="000B2073" w:rsidP="000B2073">
            <w:pPr>
              <w:snapToGrid w:val="0"/>
              <w:rPr>
                <w:rFonts w:ascii="Verdana" w:hAnsi="Verdana" w:cstheme="minorHAnsi"/>
                <w:sz w:val="18"/>
                <w:szCs w:val="18"/>
              </w:rPr>
            </w:pPr>
            <w:r w:rsidRPr="00C6580D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078CFFD9" w14:textId="77777777" w:rsidR="009665BE" w:rsidRPr="002F70AA" w:rsidRDefault="009665BE" w:rsidP="00BB6123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4CD5B089" w14:textId="3A94A668" w:rsidR="00BB6123" w:rsidRPr="002F70AA" w:rsidRDefault="00BB6123" w:rsidP="00BB6123">
      <w:pPr>
        <w:pStyle w:val="Podtytu"/>
        <w:numPr>
          <w:ilvl w:val="0"/>
          <w:numId w:val="27"/>
        </w:numPr>
        <w:spacing w:after="120"/>
        <w:jc w:val="left"/>
        <w:rPr>
          <w:rFonts w:ascii="Verdana" w:hAnsi="Verdana" w:cs="Arial"/>
          <w:sz w:val="20"/>
          <w:lang w:val="en-GB"/>
        </w:rPr>
      </w:pPr>
      <w:proofErr w:type="spellStart"/>
      <w:r w:rsidRPr="002F70AA">
        <w:rPr>
          <w:rFonts w:ascii="Verdana" w:hAnsi="Verdana" w:cs="Arial"/>
          <w:sz w:val="20"/>
          <w:lang w:val="en-GB"/>
        </w:rPr>
        <w:t>Skaner</w:t>
      </w:r>
      <w:proofErr w:type="spellEnd"/>
      <w:r w:rsidRPr="002F70AA">
        <w:rPr>
          <w:rFonts w:ascii="Verdana" w:hAnsi="Verdana" w:cs="Arial"/>
          <w:sz w:val="20"/>
          <w:lang w:val="en-GB"/>
        </w:rPr>
        <w:t xml:space="preserve"> </w:t>
      </w:r>
      <w:proofErr w:type="spellStart"/>
      <w:r w:rsidRPr="002F70AA">
        <w:rPr>
          <w:rFonts w:ascii="Verdana" w:hAnsi="Verdana" w:cs="Arial"/>
          <w:sz w:val="20"/>
          <w:lang w:val="en-GB"/>
        </w:rPr>
        <w:t>preparatów</w:t>
      </w:r>
      <w:proofErr w:type="spellEnd"/>
      <w:r w:rsidRPr="002F70AA">
        <w:rPr>
          <w:rFonts w:ascii="Verdana" w:hAnsi="Verdana" w:cs="Arial"/>
          <w:sz w:val="20"/>
          <w:lang w:val="en-GB"/>
        </w:rPr>
        <w:t xml:space="preserve"> nr 2 RUO (Research Use Only)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8"/>
        <w:gridCol w:w="5704"/>
        <w:gridCol w:w="1941"/>
      </w:tblGrid>
      <w:tr w:rsidR="009665BE" w:rsidRPr="002F70AA" w14:paraId="6562ACA1" w14:textId="77777777" w:rsidTr="000B2073">
        <w:tc>
          <w:tcPr>
            <w:tcW w:w="508" w:type="dxa"/>
          </w:tcPr>
          <w:p w14:paraId="4019066B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704" w:type="dxa"/>
          </w:tcPr>
          <w:p w14:paraId="1B18149C" w14:textId="77777777" w:rsidR="009665BE" w:rsidRPr="002F70AA" w:rsidRDefault="009665BE" w:rsidP="001E2B00">
            <w:pPr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>Przedmiot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>zamówienia</w:t>
            </w:r>
            <w:proofErr w:type="spellEnd"/>
          </w:p>
        </w:tc>
        <w:tc>
          <w:tcPr>
            <w:tcW w:w="1941" w:type="dxa"/>
          </w:tcPr>
          <w:p w14:paraId="05DB6111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4C278C16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243609B3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481EEC79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9665BE" w:rsidRPr="002F70AA" w14:paraId="4AD48398" w14:textId="77777777" w:rsidTr="000B2073">
        <w:tc>
          <w:tcPr>
            <w:tcW w:w="508" w:type="dxa"/>
          </w:tcPr>
          <w:p w14:paraId="1585920E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04" w:type="dxa"/>
          </w:tcPr>
          <w:p w14:paraId="4040D656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  <w:lang w:val="en-GB"/>
              </w:rPr>
            </w:pPr>
          </w:p>
          <w:p w14:paraId="126B8460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  <w:lang w:val="en-GB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  <w:lang w:val="en-GB"/>
              </w:rPr>
              <w:t>SKANER PREPARATÓW nr 2RUO (Research Use Only)</w:t>
            </w:r>
          </w:p>
          <w:p w14:paraId="41C21644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Oferuję urządzenie (</w:t>
            </w:r>
            <w:r w:rsidRPr="002F70AA">
              <w:rPr>
                <w:rFonts w:ascii="Verdana" w:eastAsia="Calibri" w:hAnsi="Verdana" w:cs="Calibri"/>
                <w:i/>
                <w:iCs/>
                <w:color w:val="000000"/>
                <w:spacing w:val="4"/>
                <w:sz w:val="18"/>
                <w:szCs w:val="18"/>
              </w:rPr>
              <w:t>wypełnia Wykonawca</w:t>
            </w: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)</w:t>
            </w:r>
          </w:p>
          <w:p w14:paraId="4DDCFBCE" w14:textId="77777777" w:rsidR="009665BE" w:rsidRPr="002F70AA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</w:p>
          <w:p w14:paraId="31B4E428" w14:textId="77777777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…………………………………………………………………………………</w:t>
            </w:r>
          </w:p>
          <w:p w14:paraId="03A18F9A" w14:textId="639FBEDA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………………………………………………………………………</w:t>
            </w:r>
          </w:p>
          <w:p w14:paraId="680EBBD8" w14:textId="4613840B" w:rsidR="00E2329E" w:rsidRPr="00134401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 /typ: ………………………………………………………………</w:t>
            </w:r>
          </w:p>
        </w:tc>
        <w:tc>
          <w:tcPr>
            <w:tcW w:w="1941" w:type="dxa"/>
          </w:tcPr>
          <w:p w14:paraId="18493074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  <w:lang w:val="en-US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0B2073" w:rsidRPr="002F70AA" w14:paraId="59613FBA" w14:textId="77777777" w:rsidTr="000B2073">
        <w:tc>
          <w:tcPr>
            <w:tcW w:w="508" w:type="dxa"/>
          </w:tcPr>
          <w:p w14:paraId="55C9339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22CBF0E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Urządzenie przeznaczone do skanowania preparatów mikroskopowych: histopatologicznych i cytologicznych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4E4D237" w14:textId="2119EC9C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291F741" w14:textId="77777777" w:rsidTr="000B2073">
        <w:tc>
          <w:tcPr>
            <w:tcW w:w="508" w:type="dxa"/>
          </w:tcPr>
          <w:p w14:paraId="02D6A1C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704" w:type="dxa"/>
          </w:tcPr>
          <w:p w14:paraId="7F0A308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Tryb skanowania - skanowanie manualne, automatyczne lub półautomatyczne w technice jasnego pola oraz możliwością rozbudowy o fluorescencję.</w:t>
            </w:r>
          </w:p>
        </w:tc>
        <w:tc>
          <w:tcPr>
            <w:tcW w:w="1941" w:type="dxa"/>
          </w:tcPr>
          <w:p w14:paraId="44F3A872" w14:textId="7A96DF81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49A51C3" w14:textId="77777777" w:rsidTr="000B2073">
        <w:tc>
          <w:tcPr>
            <w:tcW w:w="508" w:type="dxa"/>
          </w:tcPr>
          <w:p w14:paraId="44C74A4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704" w:type="dxa"/>
          </w:tcPr>
          <w:p w14:paraId="2C79ABE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skanowania w jednym załadunku przynajmniej 60 standardowej wielkości preparatów lub 30 preparatów podwójnej wielkości.</w:t>
            </w:r>
          </w:p>
        </w:tc>
        <w:tc>
          <w:tcPr>
            <w:tcW w:w="1941" w:type="dxa"/>
          </w:tcPr>
          <w:p w14:paraId="52C4D7DE" w14:textId="090958F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90F1C4D" w14:textId="77777777" w:rsidTr="000B2073">
        <w:tc>
          <w:tcPr>
            <w:tcW w:w="508" w:type="dxa"/>
          </w:tcPr>
          <w:p w14:paraId="0F3F982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704" w:type="dxa"/>
          </w:tcPr>
          <w:p w14:paraId="15BDFD9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skanowania z powiększeniem odpowiadającym obiektywowi 20X i 40X</w:t>
            </w:r>
          </w:p>
        </w:tc>
        <w:tc>
          <w:tcPr>
            <w:tcW w:w="1941" w:type="dxa"/>
          </w:tcPr>
          <w:p w14:paraId="34B684BD" w14:textId="46A6D45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8923A89" w14:textId="77777777" w:rsidTr="000B2073">
        <w:tc>
          <w:tcPr>
            <w:tcW w:w="508" w:type="dxa"/>
          </w:tcPr>
          <w:p w14:paraId="33BDA76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0DCC678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Obiektyw skanujący klasy Plan Apochromat o parametrach nie gorszych niż 20x (NA 0.75)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5AB52BE" w14:textId="092E15C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F744073" w14:textId="77777777" w:rsidTr="000B2073">
        <w:tc>
          <w:tcPr>
            <w:tcW w:w="508" w:type="dxa"/>
          </w:tcPr>
          <w:p w14:paraId="2CDC68D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1EAE0BF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Osobne kasety na preparaty standardowe i o podwójnym rozmiarze.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160DEE1B" w14:textId="4806684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0E18847" w14:textId="77777777" w:rsidTr="000B2073">
        <w:tc>
          <w:tcPr>
            <w:tcW w:w="508" w:type="dxa"/>
          </w:tcPr>
          <w:p w14:paraId="19D94FED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7</w:t>
            </w:r>
          </w:p>
        </w:tc>
        <w:tc>
          <w:tcPr>
            <w:tcW w:w="5704" w:type="dxa"/>
            <w:tcBorders>
              <w:top w:val="single" w:sz="4" w:space="0" w:color="auto"/>
            </w:tcBorders>
          </w:tcPr>
          <w:p w14:paraId="40DBE9E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oglądania zeskanowanych preparatów w powiększeniu do 80x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4FA8FC3D" w14:textId="38DA743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E889F36" w14:textId="77777777" w:rsidTr="000B2073">
        <w:tc>
          <w:tcPr>
            <w:tcW w:w="508" w:type="dxa"/>
          </w:tcPr>
          <w:p w14:paraId="0735D6A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8</w:t>
            </w:r>
          </w:p>
        </w:tc>
        <w:tc>
          <w:tcPr>
            <w:tcW w:w="5704" w:type="dxa"/>
          </w:tcPr>
          <w:p w14:paraId="37786364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Tryby ustawiania ostrości: automatyczny i manualny</w:t>
            </w:r>
          </w:p>
        </w:tc>
        <w:tc>
          <w:tcPr>
            <w:tcW w:w="1941" w:type="dxa"/>
          </w:tcPr>
          <w:p w14:paraId="2089B8F0" w14:textId="2FA8F2FE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903C35E" w14:textId="77777777" w:rsidTr="000B2073">
        <w:tc>
          <w:tcPr>
            <w:tcW w:w="508" w:type="dxa"/>
          </w:tcPr>
          <w:p w14:paraId="3A50B42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9</w:t>
            </w:r>
          </w:p>
        </w:tc>
        <w:tc>
          <w:tcPr>
            <w:tcW w:w="5704" w:type="dxa"/>
          </w:tcPr>
          <w:p w14:paraId="451C3EB1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Obsługiwany wymiar i grubość preparatów:</w:t>
            </w:r>
          </w:p>
          <w:p w14:paraId="679DF62C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Preparaty standard:</w:t>
            </w:r>
          </w:p>
          <w:p w14:paraId="31F9E913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a/wymiar: 76 mm x 26 mm</w:t>
            </w:r>
          </w:p>
          <w:p w14:paraId="5B6F57BD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b/grubość: 0.9 – 1.2. mm</w:t>
            </w:r>
          </w:p>
          <w:p w14:paraId="5985E5B2" w14:textId="77777777" w:rsidR="000B2073" w:rsidRPr="00134401" w:rsidRDefault="000B2073" w:rsidP="000B2073">
            <w:r w:rsidRPr="00134401">
              <w:t>Preparaty podwójne:</w:t>
            </w:r>
          </w:p>
          <w:p w14:paraId="00C9B70F" w14:textId="77777777" w:rsidR="000B2073" w:rsidRPr="00134401" w:rsidRDefault="000B2073" w:rsidP="000B2073">
            <w:r w:rsidRPr="00134401">
              <w:t>a/wymiar: 76 mm x 52 mm</w:t>
            </w:r>
          </w:p>
          <w:p w14:paraId="5580624F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t>b/grubość: 0.9 – 1.2. mm</w:t>
            </w:r>
          </w:p>
        </w:tc>
        <w:tc>
          <w:tcPr>
            <w:tcW w:w="1941" w:type="dxa"/>
          </w:tcPr>
          <w:p w14:paraId="394862D1" w14:textId="7F7EB6A9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75FB3E8" w14:textId="77777777" w:rsidTr="000B2073">
        <w:tc>
          <w:tcPr>
            <w:tcW w:w="508" w:type="dxa"/>
          </w:tcPr>
          <w:p w14:paraId="106AC60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10</w:t>
            </w:r>
          </w:p>
        </w:tc>
        <w:tc>
          <w:tcPr>
            <w:tcW w:w="5704" w:type="dxa"/>
          </w:tcPr>
          <w:p w14:paraId="6B3B4B43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Automatyczne rozpoznawanie typu załadowanych magazynków (z pojedynczymi lub podwójnymi preparatami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1941" w:type="dxa"/>
          </w:tcPr>
          <w:p w14:paraId="5CC331F0" w14:textId="3B328108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9CECB28" w14:textId="77777777" w:rsidTr="000B2073">
        <w:tc>
          <w:tcPr>
            <w:tcW w:w="508" w:type="dxa"/>
          </w:tcPr>
          <w:p w14:paraId="3D859E7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704" w:type="dxa"/>
          </w:tcPr>
          <w:p w14:paraId="4A1C937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Możliwość skanowania w trybie mieszanym (tzw. pojedynczej i podwójnej wielkości preparatów w jednym cyklu) </w:t>
            </w:r>
          </w:p>
        </w:tc>
        <w:tc>
          <w:tcPr>
            <w:tcW w:w="1941" w:type="dxa"/>
          </w:tcPr>
          <w:p w14:paraId="455144F2" w14:textId="1B8CF1B1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1EB0BAB" w14:textId="77777777" w:rsidTr="000B2073">
        <w:tc>
          <w:tcPr>
            <w:tcW w:w="508" w:type="dxa"/>
          </w:tcPr>
          <w:p w14:paraId="6D54B62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5DD540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wybierania liczby warstw z gotowych zestawów (min. 30 warstw)  oraz  indywidualnego definiowania dowolnej liczby warstw (więcej niż 30 warstw)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6ED8A99" w14:textId="0920C85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DA7D71E" w14:textId="77777777" w:rsidTr="000B2073">
        <w:tc>
          <w:tcPr>
            <w:tcW w:w="508" w:type="dxa"/>
          </w:tcPr>
          <w:p w14:paraId="012B4AC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4E196B3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Dioda sygnalizująca załadunek  dla każdego z magazynków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D5F5761" w14:textId="49B2EF4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37F5126" w14:textId="77777777" w:rsidTr="000B2073">
        <w:tc>
          <w:tcPr>
            <w:tcW w:w="508" w:type="dxa"/>
          </w:tcPr>
          <w:p w14:paraId="4AF45A3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B34B76F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odczytu kodów 1D  i 2D na skanowanych preparatach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506DE88D" w14:textId="709139D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753A822" w14:textId="77777777" w:rsidTr="000B2073">
        <w:tc>
          <w:tcPr>
            <w:tcW w:w="508" w:type="dxa"/>
          </w:tcPr>
          <w:p w14:paraId="6658F62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DE8C7E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wykonywania skanów warstwowych (z-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</w:rPr>
              <w:t>stack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</w:rPr>
              <w:t>) z całego obszaru skanowanej próbki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648F108" w14:textId="0E6429C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6751359" w14:textId="77777777" w:rsidTr="000B2073">
        <w:tc>
          <w:tcPr>
            <w:tcW w:w="508" w:type="dxa"/>
          </w:tcPr>
          <w:p w14:paraId="7F65ED3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44AB1DA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importowania listy z nazwami skanowanych preparatów z pliku.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40959B56" w14:textId="33A252F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5D139A3" w14:textId="77777777" w:rsidTr="000B2073">
        <w:tc>
          <w:tcPr>
            <w:tcW w:w="508" w:type="dxa"/>
          </w:tcPr>
          <w:p w14:paraId="147426C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6FFA9C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Skaner wyposażony w kamerę do techniki skanowania w polu jasnym i przystosowany do instalacji opcjonalnej drugiej kamery do techniki fluorescencji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592043AD" w14:textId="75567C2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482484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76F0C76" w14:textId="77777777" w:rsidTr="000B2073">
        <w:tc>
          <w:tcPr>
            <w:tcW w:w="508" w:type="dxa"/>
          </w:tcPr>
          <w:p w14:paraId="069CEA6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18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CD8154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rozbudowy o kamerę do fluorescencji o min. parametrach kamery:</w:t>
            </w:r>
          </w:p>
          <w:p w14:paraId="18B52BAC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  <w:lang w:val="en-US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>przetwornik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>sCMOS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  <w:lang w:val="en-US"/>
              </w:rPr>
              <w:t>(Complementary Metal Oxide Semiconductor))</w:t>
            </w:r>
          </w:p>
          <w:p w14:paraId="79592804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-  szczytowa wydajność kwantowa nie mniej niż 82%</w:t>
            </w:r>
          </w:p>
          <w:p w14:paraId="6C612D0B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- efektywna wielkość przetwornika min. 13x13mm </w:t>
            </w:r>
          </w:p>
          <w:p w14:paraId="6709E81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- wielkość piksela nie mniejsza niż 6.5x6.5 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</w:rPr>
              <w:t>um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21AC11C" w14:textId="06D6FAC1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E92A4D7" w14:textId="77777777" w:rsidTr="000B2073">
        <w:tc>
          <w:tcPr>
            <w:tcW w:w="508" w:type="dxa"/>
          </w:tcPr>
          <w:p w14:paraId="5A3DFB0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6D475E4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Rozdzielczość skanowania nie gorsza niż:</w:t>
            </w:r>
          </w:p>
          <w:p w14:paraId="6FBB7BB3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0,46 µm/pikseli w trybie ob. 20x</w:t>
            </w:r>
          </w:p>
          <w:p w14:paraId="068573FF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0,23 µm/pikseli w trybie ob. 40x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48BFBBC1" w14:textId="005E7F75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6246A3C" w14:textId="77777777" w:rsidTr="000B2073">
        <w:tc>
          <w:tcPr>
            <w:tcW w:w="508" w:type="dxa"/>
          </w:tcPr>
          <w:p w14:paraId="5ACAC21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F85D609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czas skanowania nie dłuższy niż:</w:t>
            </w:r>
          </w:p>
          <w:p w14:paraId="3C70E8A4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60 sek. ±5%  (15 mm x 15 mm w trybie 20x) </w:t>
            </w:r>
          </w:p>
          <w:p w14:paraId="5299BF7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150 sek. ±5%  (15 mm x 15 mm w trybie 40x)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F52CA36" w14:textId="444C531B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4FC9499" w14:textId="77777777" w:rsidTr="000B2073">
        <w:tc>
          <w:tcPr>
            <w:tcW w:w="508" w:type="dxa"/>
          </w:tcPr>
          <w:p w14:paraId="4E0C59E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AE3135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Źródło światła do trybu BF (jasne pole) - LED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46AEC6C" w14:textId="3F1CF95B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95B8879" w14:textId="77777777" w:rsidTr="000B2073">
        <w:trPr>
          <w:trHeight w:val="560"/>
        </w:trPr>
        <w:tc>
          <w:tcPr>
            <w:tcW w:w="508" w:type="dxa"/>
          </w:tcPr>
          <w:p w14:paraId="38DD6F4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201B08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Możliwość rozbudowy o zewnętrzne źródło światła do fluorescencji.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5DE39C8" w14:textId="5596EDA0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51CF62E" w14:textId="77777777" w:rsidTr="000B2073">
        <w:tc>
          <w:tcPr>
            <w:tcW w:w="508" w:type="dxa"/>
          </w:tcPr>
          <w:p w14:paraId="378F432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E0F132C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Miejsce w obudowie skanera przystosowane do wprowadzenia światłowodu do transmisja światła z opcjonalnej lampy fluorescencyjnej do skanera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35F2BB7" w14:textId="1A26FD9A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3CCCEBD" w14:textId="77777777" w:rsidTr="000B2073">
        <w:tc>
          <w:tcPr>
            <w:tcW w:w="508" w:type="dxa"/>
          </w:tcPr>
          <w:p w14:paraId="631D0F5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CE335A7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instalacji opcjonalnego koła filtrów do fluorescencji z możliwością instalacji min. 5 filtrów o średnicy Ø25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38E43D3" w14:textId="64DBB4B1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E7CFCE0" w14:textId="77777777" w:rsidTr="000B2073">
        <w:tc>
          <w:tcPr>
            <w:tcW w:w="508" w:type="dxa"/>
          </w:tcPr>
          <w:p w14:paraId="432427BD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25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D1559E5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Możliwość zmiany apertury numerycznej kondensora dla oświetlenia jasnego 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</w:rPr>
              <w:t>polaF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. </w:t>
            </w:r>
            <w:r w:rsidRPr="00134401">
              <w:rPr>
                <w:rFonts w:ascii="Verdana" w:hAnsi="Verdana" w:cstheme="minorHAnsi"/>
                <w:sz w:val="18"/>
                <w:szCs w:val="18"/>
              </w:rPr>
              <w:br/>
              <w:t>Minimum 3 wsuwki umożliwiające uzyskanie różnej apertury kondensora.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17269709" w14:textId="5BAFC989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21898AF" w14:textId="77777777" w:rsidTr="000B2073">
        <w:tc>
          <w:tcPr>
            <w:tcW w:w="508" w:type="dxa"/>
          </w:tcPr>
          <w:p w14:paraId="5BFDF79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9102A02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Metoda ustawiania ostrości 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</w:rPr>
              <w:t>prefocus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 map. Mapa płaszczyzny ostrości preparatu tworzona przed skanowaniem na podstawie wskazanych automatycznie lub ręcznie punktów ostrości.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C285383" w14:textId="01D36171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6DDCEAF" w14:textId="77777777" w:rsidTr="000B2073">
        <w:tc>
          <w:tcPr>
            <w:tcW w:w="508" w:type="dxa"/>
          </w:tcPr>
          <w:p w14:paraId="34A6787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1678574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Możliwość automatycznego podziału mapy płaszczyzny ostrości preparatu na mniejsze </w:t>
            </w:r>
            <w:proofErr w:type="spellStart"/>
            <w:r w:rsidRPr="002F70AA">
              <w:rPr>
                <w:rFonts w:ascii="Verdana" w:hAnsi="Verdana" w:cstheme="minorHAnsi"/>
                <w:sz w:val="18"/>
                <w:szCs w:val="18"/>
              </w:rPr>
              <w:t>sub</w:t>
            </w:r>
            <w:proofErr w:type="spellEnd"/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 płaszczyzny w zależności od zdefiniowanej wielkości  skanowanego preparatu.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B779D64" w14:textId="254DE945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0E8B89F" w14:textId="77777777" w:rsidTr="000B2073">
        <w:tc>
          <w:tcPr>
            <w:tcW w:w="508" w:type="dxa"/>
          </w:tcPr>
          <w:p w14:paraId="264EE2BF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28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B5D84B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 oznaczania więcej niż jednego niezależnego obszaru skanowania w ramach jednego preparatu i ustawiania niezależnych punktów ostrości dla tych płaszczyzn.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0DB842D6" w14:textId="38FABEE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425B5BC" w14:textId="77777777" w:rsidTr="000B2073">
        <w:tc>
          <w:tcPr>
            <w:tcW w:w="508" w:type="dxa"/>
          </w:tcPr>
          <w:p w14:paraId="2AFFA46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29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C52A19E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 xml:space="preserve">Funkcja automatycznego powtórzenia przez urządzenie skanu (tzw. auto </w:t>
            </w:r>
            <w:proofErr w:type="spellStart"/>
            <w:r w:rsidRPr="00134401">
              <w:rPr>
                <w:rFonts w:ascii="Verdana" w:hAnsi="Verdana" w:cstheme="minorHAnsi"/>
                <w:sz w:val="18"/>
                <w:szCs w:val="18"/>
              </w:rPr>
              <w:t>rescan</w:t>
            </w:r>
            <w:proofErr w:type="spellEnd"/>
            <w:r w:rsidRPr="00134401">
              <w:rPr>
                <w:rFonts w:ascii="Verdana" w:hAnsi="Verdana" w:cstheme="minorHAnsi"/>
                <w:sz w:val="18"/>
                <w:szCs w:val="18"/>
              </w:rPr>
              <w:t>) w sytuacji gdy poziom ostrości zeskanowanego obrazu jest poniżej zadanego uprzednio przez użytkownika progu.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 Funkcja auto </w:t>
            </w:r>
            <w:proofErr w:type="spellStart"/>
            <w:r w:rsidRPr="00E2329E">
              <w:rPr>
                <w:rFonts w:ascii="Verdana" w:hAnsi="Verdana" w:cstheme="minorHAnsi"/>
                <w:sz w:val="18"/>
                <w:szCs w:val="18"/>
              </w:rPr>
              <w:t>rescan</w:t>
            </w:r>
            <w:proofErr w:type="spellEnd"/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 musi odbywać się automatycznie przez urządzenie bez ingerencji użytkownika</w:t>
            </w:r>
          </w:p>
          <w:p w14:paraId="790EE597" w14:textId="77777777" w:rsidR="000B2073" w:rsidRPr="00E2329E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lastRenderedPageBreak/>
              <w:t xml:space="preserve">Możliwość ustawienia więcej niż 1 próby ponownego skanowania dla funkcji </w:t>
            </w:r>
            <w:proofErr w:type="spellStart"/>
            <w:r w:rsidRPr="00E2329E">
              <w:rPr>
                <w:rFonts w:ascii="Verdana" w:hAnsi="Verdana" w:cstheme="minorHAnsi"/>
                <w:sz w:val="18"/>
                <w:szCs w:val="18"/>
              </w:rPr>
              <w:t>rescan</w:t>
            </w:r>
            <w:proofErr w:type="spellEnd"/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.  </w:t>
            </w:r>
          </w:p>
          <w:p w14:paraId="4B8ABEBA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4C3BC90" w14:textId="067A95AA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D12FA6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2A5556C5" w14:textId="77777777" w:rsidTr="000B2073">
        <w:tc>
          <w:tcPr>
            <w:tcW w:w="508" w:type="dxa"/>
          </w:tcPr>
          <w:p w14:paraId="35B9A37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30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DC118F2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Sposób transportu szkiełek mikroskopowych odbywający się na zasadzie przenoszenia preparatu bez jego chwytania czy ściskania. Minimalizacja ryzyka zacięć lub uszkodzeń preparatu przy jego przenoszeniu z podajnika pod obiektyw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3E6DA66" w14:textId="7DEEA37C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1FBC8E2" w14:textId="77777777" w:rsidTr="000B2073">
        <w:tc>
          <w:tcPr>
            <w:tcW w:w="508" w:type="dxa"/>
          </w:tcPr>
          <w:p w14:paraId="26EE83A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31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73C9CF1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definiowania czułości działania filtra automatycznego wykrywania tkanki na szkiełku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5B5DA124" w14:textId="4702B65F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D05D164" w14:textId="77777777" w:rsidTr="000B2073">
        <w:tc>
          <w:tcPr>
            <w:tcW w:w="508" w:type="dxa"/>
          </w:tcPr>
          <w:p w14:paraId="235641A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F222678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definiowania minimalnego wykrywanego obszaru tkanki do skanowania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1C2AB245" w14:textId="4E1B2AC2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464863F" w14:textId="77777777" w:rsidTr="000B2073">
        <w:tc>
          <w:tcPr>
            <w:tcW w:w="508" w:type="dxa"/>
          </w:tcPr>
          <w:p w14:paraId="533EB86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8342CEB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Funkcje automatycznej kalibracji skanera w oparciu o dostarczony preparat kalibracyjny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74ABF861" w14:textId="034442E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BFF3002" w14:textId="77777777" w:rsidTr="000B2073">
        <w:tc>
          <w:tcPr>
            <w:tcW w:w="508" w:type="dxa"/>
          </w:tcPr>
          <w:p w14:paraId="1F7ECCA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34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E7E954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Automatyczna blokada drzwi skanera w czasie skanowania zabezpieczająca przed przypadkowym przerwaniem procesu skanowania.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931F134" w14:textId="6CC8278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D1ACBE1" w14:textId="77777777" w:rsidTr="000B2073">
        <w:tc>
          <w:tcPr>
            <w:tcW w:w="508" w:type="dxa"/>
          </w:tcPr>
          <w:p w14:paraId="17E1879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35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21B2437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E2329E">
              <w:rPr>
                <w:rFonts w:ascii="Verdana" w:hAnsi="Verdana" w:cstheme="minorHAnsi"/>
                <w:sz w:val="18"/>
                <w:szCs w:val="18"/>
              </w:rPr>
              <w:t>Możliwość instalacji opcjonalnego obiektywu 40X zamiast standardowego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6491797" w14:textId="55A17768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A292DAE" w14:textId="77777777" w:rsidTr="000B2073">
        <w:tc>
          <w:tcPr>
            <w:tcW w:w="508" w:type="dxa"/>
          </w:tcPr>
          <w:p w14:paraId="680C504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36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B708FF5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Dedykowana do skanera stacja robocza wraz z monitorem rekomendowana przez producenta skanera i gwarantująca pełne wykorzystanie możliwości skanera oraz pełną kompatybilność systemu i płynną pracę, o parametrach i konfiguracji gwarantujących prawidłową pracę i wydajność urządzenia i systemu</w:t>
            </w:r>
            <w:r w:rsidRPr="00E2329E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84F6D83" w14:textId="2E6EAA0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191C1EF" w14:textId="77777777" w:rsidTr="000B2073">
        <w:tc>
          <w:tcPr>
            <w:tcW w:w="508" w:type="dxa"/>
          </w:tcPr>
          <w:p w14:paraId="28CA460D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37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2EE3264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Załączone oprogramowanie producenta skanera do synchronizacji zeskanowanych preparatów z zewnętrznym zasobem sieciowym.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7102615" w14:textId="667D68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1FE930E" w14:textId="77777777" w:rsidTr="000B2073">
        <w:tc>
          <w:tcPr>
            <w:tcW w:w="508" w:type="dxa"/>
          </w:tcPr>
          <w:p w14:paraId="4FC99A2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38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42CC4F0" w14:textId="77777777" w:rsidR="000B2073" w:rsidRPr="00E2329E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Otwarty format zapisu cyfrowego (możliwość przetwarzania skanów z wykorzystaniem oprogramowania różnych producentów bez konieczności użycia oprogramowania pośredniczącego, serwera producenta skanera bez potrzeby konwersji plików)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448BCB2F" w14:textId="741D9796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6344757" w14:textId="77777777" w:rsidTr="000B2073">
        <w:tc>
          <w:tcPr>
            <w:tcW w:w="508" w:type="dxa"/>
          </w:tcPr>
          <w:p w14:paraId="5E5C56C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39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1779F034" w14:textId="77777777" w:rsidR="000B2073" w:rsidRPr="00134401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Oprogramowanie skanera umożliwiające:</w:t>
            </w:r>
          </w:p>
          <w:p w14:paraId="3C00C18C" w14:textId="77777777" w:rsidR="000B2073" w:rsidRPr="00134401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a/ opcja filtracji kolejki skanowanych preparatów w celu szybkiego wyświetlania preparatów: zeskanowanych, niezeskanowane, wymagające sprawdzenia</w:t>
            </w:r>
          </w:p>
          <w:p w14:paraId="040DFCB8" w14:textId="77777777" w:rsidR="000B2073" w:rsidRPr="00134401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sz w:val="18"/>
                <w:szCs w:val="18"/>
              </w:rPr>
              <w:t>b/ graficzna mapa obszarów ostrych i wymagających sprawdzenia możliwa do wyświetlenia w trakcie skanowania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7A4BEB1" w14:textId="2E4D4716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1F1D9F9" w14:textId="77777777" w:rsidTr="000B2073">
        <w:tc>
          <w:tcPr>
            <w:tcW w:w="508" w:type="dxa"/>
          </w:tcPr>
          <w:p w14:paraId="4EA1D9E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40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3231522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Oprogramowanie umożliwiające:</w:t>
            </w:r>
          </w:p>
          <w:p w14:paraId="292976D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a/ pełną obsługę skanera i trybów jego pracy</w:t>
            </w:r>
          </w:p>
          <w:p w14:paraId="36C0D353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b/ możliwość edycji i tworzenia nowych profilów skanowania</w:t>
            </w:r>
          </w:p>
          <w:p w14:paraId="1E77D9FE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c/ możliwość definiowania osobnych profili skanowania dla miejsca zapisu</w:t>
            </w:r>
          </w:p>
          <w:p w14:paraId="76F299A5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d/ wyświetlania zeskanowanych preparatów z możliwością płynnej zmiany powiększenia i obrotu skanu</w:t>
            </w:r>
          </w:p>
          <w:p w14:paraId="53FD4DDE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e/ wyświetlania min. 4 preparatów jednocześnie z możliwością synchronizacji ich widoku w trybie porównawczym</w:t>
            </w:r>
          </w:p>
          <w:p w14:paraId="37A13276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f/ funkcja nanoszenia na zeskanowane preparaty komentarzy, oznaczeń, pomiarów</w:t>
            </w:r>
          </w:p>
          <w:p w14:paraId="3E19B986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g/ możliwość eksportowania fragmentów skanów do plików JPG , TIFF</w:t>
            </w:r>
          </w:p>
          <w:p w14:paraId="7BEF2FA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h/ wyświetlanie mapy całego zeskanowanego preparatu z opcją śledzenia miejsc oglądanych.</w:t>
            </w:r>
          </w:p>
          <w:p w14:paraId="2204220A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i/mapa preparatu różnicująca graficzne obejrzany fragment preparatu od nieobejrzanego</w:t>
            </w:r>
          </w:p>
          <w:p w14:paraId="139AA397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j/ możliwość powrotu do ostatniego przerwanego procesu skanowania w celu jego kontynuacji</w:t>
            </w:r>
          </w:p>
          <w:p w14:paraId="2E82960C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k/ Możliwość generowania z poziomu przeglądarki zeskanowanych preparatów automatycznego raportu w formacie pdf zawierającego opis preparatu oraz zdjęcia i adnotacje naniesione na preparat.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2C31B0E" w14:textId="65ACD88D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9D0B8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  <w:tr w:rsidR="000B2073" w:rsidRPr="002F70AA" w14:paraId="2C32BE96" w14:textId="77777777" w:rsidTr="000B2073">
        <w:tc>
          <w:tcPr>
            <w:tcW w:w="508" w:type="dxa"/>
          </w:tcPr>
          <w:p w14:paraId="6644294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41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FEF8FEF" w14:textId="77777777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Możliwość:</w:t>
            </w:r>
            <w:r w:rsidRPr="002F70AA">
              <w:rPr>
                <w:rFonts w:ascii="Verdana" w:hAnsi="Verdana" w:cstheme="minorHAnsi"/>
                <w:sz w:val="18"/>
                <w:szCs w:val="18"/>
              </w:rPr>
              <w:br/>
              <w:t xml:space="preserve">a) wysyłania przez urządzenie komunikatów/ powiadomień dotyczących statusu pracy skanera – zakończenie procesu skanowania, błąd skanowania. </w:t>
            </w:r>
          </w:p>
          <w:p w14:paraId="04719E31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b) wysyłania komunikatów poprzez email min. na 3 różne adresy e-mailowe oraz do zewnętrznej lampy sygnalizacyjnej.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15CE7387" w14:textId="2985A285" w:rsidR="000B2073" w:rsidRPr="002F70AA" w:rsidRDefault="000B2073" w:rsidP="000B2073">
            <w:pPr>
              <w:pStyle w:val="Bezodstpw1"/>
              <w:rPr>
                <w:rFonts w:ascii="Verdana" w:hAnsi="Verdana" w:cstheme="minorHAnsi"/>
                <w:sz w:val="18"/>
                <w:szCs w:val="18"/>
              </w:rPr>
            </w:pPr>
            <w:r w:rsidRPr="00AD50F9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9E8CEEE" w14:textId="77777777" w:rsidTr="000B2073">
        <w:tc>
          <w:tcPr>
            <w:tcW w:w="508" w:type="dxa"/>
          </w:tcPr>
          <w:p w14:paraId="31C6515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42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02B501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 xml:space="preserve">Wymiary skanera nie większe niż [Wysokość x szerokość x głębokość]: 720mm x 700mm x 700mm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38AB97BC" w14:textId="06B89E43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D50F9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3D3CC29B" w14:textId="77777777" w:rsidTr="000B2073">
        <w:tc>
          <w:tcPr>
            <w:tcW w:w="508" w:type="dxa"/>
          </w:tcPr>
          <w:p w14:paraId="63574CD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43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72AA4ED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Waga skanera nie większa niż: 80kg.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2A05D803" w14:textId="739C30ED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AD50F9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7727EC16" w14:textId="77777777" w:rsidR="009665BE" w:rsidRDefault="009665BE" w:rsidP="009665BE">
      <w:pPr>
        <w:pStyle w:val="Podtytu"/>
        <w:spacing w:after="120"/>
        <w:ind w:left="720"/>
        <w:jc w:val="left"/>
        <w:rPr>
          <w:rFonts w:ascii="Verdana" w:hAnsi="Verdana" w:cs="Arial"/>
          <w:sz w:val="20"/>
        </w:rPr>
      </w:pPr>
    </w:p>
    <w:p w14:paraId="6922EFBB" w14:textId="77777777" w:rsidR="00134401" w:rsidRDefault="00134401" w:rsidP="009665BE">
      <w:pPr>
        <w:pStyle w:val="Podtytu"/>
        <w:spacing w:after="120"/>
        <w:ind w:left="720"/>
        <w:jc w:val="left"/>
        <w:rPr>
          <w:rFonts w:ascii="Verdana" w:hAnsi="Verdana" w:cs="Arial"/>
          <w:sz w:val="20"/>
        </w:rPr>
      </w:pPr>
    </w:p>
    <w:p w14:paraId="4B6E5C17" w14:textId="77777777" w:rsidR="00134401" w:rsidRDefault="00134401" w:rsidP="009665BE">
      <w:pPr>
        <w:pStyle w:val="Podtytu"/>
        <w:spacing w:after="120"/>
        <w:ind w:left="720"/>
        <w:jc w:val="left"/>
        <w:rPr>
          <w:rFonts w:ascii="Verdana" w:hAnsi="Verdana" w:cs="Arial"/>
          <w:sz w:val="20"/>
        </w:rPr>
      </w:pPr>
    </w:p>
    <w:p w14:paraId="263EDB20" w14:textId="77777777" w:rsidR="00134401" w:rsidRDefault="00134401" w:rsidP="009665BE">
      <w:pPr>
        <w:pStyle w:val="Podtytu"/>
        <w:spacing w:after="120"/>
        <w:ind w:left="720"/>
        <w:jc w:val="left"/>
        <w:rPr>
          <w:rFonts w:ascii="Verdana" w:hAnsi="Verdana" w:cs="Arial"/>
          <w:sz w:val="20"/>
        </w:rPr>
      </w:pPr>
    </w:p>
    <w:p w14:paraId="51AEA4A9" w14:textId="77777777" w:rsidR="00134401" w:rsidRDefault="00134401" w:rsidP="009665BE">
      <w:pPr>
        <w:pStyle w:val="Podtytu"/>
        <w:spacing w:after="120"/>
        <w:ind w:left="720"/>
        <w:jc w:val="left"/>
        <w:rPr>
          <w:rFonts w:ascii="Verdana" w:hAnsi="Verdana" w:cs="Arial"/>
          <w:sz w:val="20"/>
        </w:rPr>
      </w:pPr>
    </w:p>
    <w:p w14:paraId="3512C84D" w14:textId="77777777" w:rsidR="00134401" w:rsidRDefault="00134401" w:rsidP="009665BE">
      <w:pPr>
        <w:pStyle w:val="Podtytu"/>
        <w:spacing w:after="120"/>
        <w:ind w:left="720"/>
        <w:jc w:val="left"/>
        <w:rPr>
          <w:rFonts w:ascii="Verdana" w:hAnsi="Verdana" w:cs="Arial"/>
          <w:sz w:val="20"/>
        </w:rPr>
      </w:pPr>
    </w:p>
    <w:p w14:paraId="2BEF001B" w14:textId="77777777" w:rsidR="00134401" w:rsidRDefault="00134401" w:rsidP="009665BE">
      <w:pPr>
        <w:pStyle w:val="Podtytu"/>
        <w:spacing w:after="120"/>
        <w:ind w:left="720"/>
        <w:jc w:val="left"/>
        <w:rPr>
          <w:rFonts w:ascii="Verdana" w:hAnsi="Verdana" w:cs="Arial"/>
          <w:sz w:val="20"/>
        </w:rPr>
      </w:pPr>
    </w:p>
    <w:p w14:paraId="514F99B5" w14:textId="77777777" w:rsidR="000755A2" w:rsidRDefault="000755A2" w:rsidP="009665BE">
      <w:pPr>
        <w:pStyle w:val="Podtytu"/>
        <w:spacing w:after="120"/>
        <w:ind w:left="720"/>
        <w:jc w:val="left"/>
        <w:rPr>
          <w:rFonts w:ascii="Verdana" w:hAnsi="Verdana" w:cs="Arial"/>
          <w:sz w:val="20"/>
        </w:rPr>
      </w:pPr>
    </w:p>
    <w:p w14:paraId="1F1E1D45" w14:textId="77777777" w:rsidR="000755A2" w:rsidRDefault="000755A2" w:rsidP="009665BE">
      <w:pPr>
        <w:pStyle w:val="Podtytu"/>
        <w:spacing w:after="120"/>
        <w:ind w:left="720"/>
        <w:jc w:val="left"/>
        <w:rPr>
          <w:rFonts w:ascii="Verdana" w:hAnsi="Verdana" w:cs="Arial"/>
          <w:sz w:val="20"/>
        </w:rPr>
      </w:pPr>
    </w:p>
    <w:p w14:paraId="7E81A018" w14:textId="77777777" w:rsidR="00134401" w:rsidRPr="002F70AA" w:rsidRDefault="00134401" w:rsidP="009665BE">
      <w:pPr>
        <w:pStyle w:val="Podtytu"/>
        <w:spacing w:after="120"/>
        <w:ind w:left="720"/>
        <w:jc w:val="left"/>
        <w:rPr>
          <w:rFonts w:ascii="Verdana" w:hAnsi="Verdana" w:cs="Arial"/>
          <w:sz w:val="20"/>
        </w:rPr>
      </w:pPr>
    </w:p>
    <w:p w14:paraId="6F8D89C0" w14:textId="01716B24" w:rsidR="00BB6123" w:rsidRPr="002F70AA" w:rsidRDefault="009665BE" w:rsidP="009665BE">
      <w:pPr>
        <w:pStyle w:val="Podtytu"/>
        <w:numPr>
          <w:ilvl w:val="0"/>
          <w:numId w:val="27"/>
        </w:numPr>
        <w:spacing w:after="120"/>
        <w:jc w:val="left"/>
        <w:rPr>
          <w:rFonts w:ascii="Verdana" w:hAnsi="Verdana" w:cs="Arial"/>
          <w:sz w:val="20"/>
        </w:rPr>
      </w:pPr>
      <w:r w:rsidRPr="002F70AA">
        <w:rPr>
          <w:rFonts w:ascii="Verdana" w:hAnsi="Verdana" w:cs="Arial"/>
          <w:sz w:val="20"/>
        </w:rPr>
        <w:lastRenderedPageBreak/>
        <w:t xml:space="preserve">Platforma do </w:t>
      </w:r>
      <w:proofErr w:type="spellStart"/>
      <w:r w:rsidRPr="002F70AA">
        <w:rPr>
          <w:rFonts w:ascii="Verdana" w:hAnsi="Verdana" w:cs="Arial"/>
          <w:sz w:val="20"/>
        </w:rPr>
        <w:t>telepatologii</w:t>
      </w:r>
      <w:proofErr w:type="spellEnd"/>
      <w:r w:rsidRPr="002F70AA">
        <w:rPr>
          <w:rFonts w:ascii="Verdana" w:hAnsi="Verdana" w:cs="Arial"/>
          <w:sz w:val="20"/>
        </w:rPr>
        <w:t xml:space="preserve"> RUO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5567"/>
        <w:gridCol w:w="2070"/>
      </w:tblGrid>
      <w:tr w:rsidR="009665BE" w:rsidRPr="002F70AA" w14:paraId="51DD8F1E" w14:textId="77777777" w:rsidTr="000B2073">
        <w:tc>
          <w:tcPr>
            <w:tcW w:w="516" w:type="dxa"/>
          </w:tcPr>
          <w:p w14:paraId="44A94D8C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67" w:type="dxa"/>
          </w:tcPr>
          <w:p w14:paraId="2E10CA2E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Przedmiot zamówienia</w:t>
            </w:r>
          </w:p>
        </w:tc>
        <w:tc>
          <w:tcPr>
            <w:tcW w:w="2070" w:type="dxa"/>
          </w:tcPr>
          <w:p w14:paraId="552903C7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2182C48F" w14:textId="77777777" w:rsidR="009665BE" w:rsidRPr="002F70AA" w:rsidRDefault="009665BE" w:rsidP="001E2B00">
            <w:pPr>
              <w:spacing w:before="40" w:after="4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30BB5E91" w14:textId="77777777" w:rsidR="009665BE" w:rsidRPr="002F70AA" w:rsidRDefault="009665BE" w:rsidP="001E2B00">
            <w:pPr>
              <w:jc w:val="center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1F27B87E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9665BE" w:rsidRPr="002F70AA" w14:paraId="4D7E34E6" w14:textId="77777777" w:rsidTr="000B2073">
        <w:tc>
          <w:tcPr>
            <w:tcW w:w="516" w:type="dxa"/>
          </w:tcPr>
          <w:p w14:paraId="3BC84778" w14:textId="77777777" w:rsidR="009665BE" w:rsidRPr="00134401" w:rsidRDefault="009665BE" w:rsidP="001E2B00">
            <w:pPr>
              <w:jc w:val="center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567" w:type="dxa"/>
          </w:tcPr>
          <w:p w14:paraId="0D6A8AB5" w14:textId="77777777" w:rsidR="009665BE" w:rsidRPr="00134401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PLATFORMA DO TELEPATOLOGII RUO (</w:t>
            </w:r>
            <w:proofErr w:type="spellStart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Research</w:t>
            </w:r>
            <w:proofErr w:type="spellEnd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Use</w:t>
            </w:r>
            <w:proofErr w:type="spellEnd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Only</w:t>
            </w:r>
            <w:proofErr w:type="spellEnd"/>
            <w:r w:rsidRPr="00134401">
              <w:rPr>
                <w:rFonts w:ascii="Verdana" w:hAnsi="Verdana" w:cstheme="minorHAnsi"/>
                <w:b/>
                <w:bCs/>
                <w:sz w:val="18"/>
                <w:szCs w:val="18"/>
              </w:rPr>
              <w:t>)</w:t>
            </w:r>
          </w:p>
          <w:p w14:paraId="4B57F980" w14:textId="5D2BF774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Nazwa: ……………………………………………………………………………</w:t>
            </w:r>
          </w:p>
          <w:p w14:paraId="090B82BD" w14:textId="1825893F" w:rsidR="009665BE" w:rsidRPr="00134401" w:rsidRDefault="009665BE" w:rsidP="001E2B00">
            <w:pPr>
              <w:jc w:val="both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Producent: ………………………………………………………………………</w:t>
            </w:r>
          </w:p>
          <w:p w14:paraId="31DCB5F7" w14:textId="77777777" w:rsidR="009665BE" w:rsidRPr="00134401" w:rsidRDefault="009665BE" w:rsidP="001E2B00">
            <w:pPr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134401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Model /typ: ………………………………………………………………………</w:t>
            </w:r>
          </w:p>
          <w:p w14:paraId="19A33AF8" w14:textId="3DCC1973" w:rsidR="00E2329E" w:rsidRPr="00134401" w:rsidRDefault="00E2329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619F950" w14:textId="77777777" w:rsidR="009665BE" w:rsidRPr="002F70AA" w:rsidRDefault="009665BE" w:rsidP="001E2B00">
            <w:pPr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  <w:t>X</w:t>
            </w:r>
          </w:p>
        </w:tc>
      </w:tr>
      <w:tr w:rsidR="000B2073" w:rsidRPr="002F70AA" w14:paraId="5A7DB0BF" w14:textId="77777777" w:rsidTr="000B2073">
        <w:tc>
          <w:tcPr>
            <w:tcW w:w="516" w:type="dxa"/>
          </w:tcPr>
          <w:p w14:paraId="7DC0364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5567" w:type="dxa"/>
          </w:tcPr>
          <w:p w14:paraId="51EFB3D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Platforma do 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tele</w:t>
            </w:r>
            <w:proofErr w:type="spellEnd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-patologii kompatybilna z zaproponowanym skanerem oraz pochodząca od producenta zaproponowanego skanera.</w:t>
            </w:r>
          </w:p>
        </w:tc>
        <w:tc>
          <w:tcPr>
            <w:tcW w:w="2070" w:type="dxa"/>
          </w:tcPr>
          <w:p w14:paraId="73D20102" w14:textId="306B03A7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6CFFAFC" w14:textId="77777777" w:rsidTr="000B2073">
        <w:tc>
          <w:tcPr>
            <w:tcW w:w="516" w:type="dxa"/>
          </w:tcPr>
          <w:p w14:paraId="22F2758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5567" w:type="dxa"/>
          </w:tcPr>
          <w:p w14:paraId="4A93128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Zakup dożywotniej licencji – nie dopuszcza się systemu subskrypcyjnego. Licencja bez ograniczeń czasowych.</w:t>
            </w:r>
          </w:p>
        </w:tc>
        <w:tc>
          <w:tcPr>
            <w:tcW w:w="2070" w:type="dxa"/>
          </w:tcPr>
          <w:p w14:paraId="073AD37C" w14:textId="1477F496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19CE671" w14:textId="77777777" w:rsidTr="000B2073">
        <w:tc>
          <w:tcPr>
            <w:tcW w:w="516" w:type="dxa"/>
          </w:tcPr>
          <w:p w14:paraId="23DC8591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5567" w:type="dxa"/>
          </w:tcPr>
          <w:p w14:paraId="5DFCD46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Webowy 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interface</w:t>
            </w:r>
            <w:proofErr w:type="spellEnd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oprogramowania pozwalający na zdalne przeglądanie zeskanowanych preparatów poprzez przeglądarkę web oraz przez oprogramowanie producenta skanera do przeglądania preparatów</w:t>
            </w:r>
          </w:p>
        </w:tc>
        <w:tc>
          <w:tcPr>
            <w:tcW w:w="2070" w:type="dxa"/>
          </w:tcPr>
          <w:p w14:paraId="476E681C" w14:textId="58EEECF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3198EEC" w14:textId="77777777" w:rsidTr="000B2073">
        <w:tc>
          <w:tcPr>
            <w:tcW w:w="516" w:type="dxa"/>
          </w:tcPr>
          <w:p w14:paraId="2B4168F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5567" w:type="dxa"/>
          </w:tcPr>
          <w:p w14:paraId="0763FB56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Dostęp do platformy poprzez przeglądarkę internetową bez konieczności instalacji dodatkowych programów lub plug-in</w:t>
            </w:r>
          </w:p>
        </w:tc>
        <w:tc>
          <w:tcPr>
            <w:tcW w:w="2070" w:type="dxa"/>
          </w:tcPr>
          <w:p w14:paraId="21ADC98B" w14:textId="6104BA35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FDE74BA" w14:textId="77777777" w:rsidTr="000B2073">
        <w:tc>
          <w:tcPr>
            <w:tcW w:w="516" w:type="dxa"/>
          </w:tcPr>
          <w:p w14:paraId="268CBAC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5</w:t>
            </w:r>
          </w:p>
        </w:tc>
        <w:tc>
          <w:tcPr>
            <w:tcW w:w="5567" w:type="dxa"/>
          </w:tcPr>
          <w:p w14:paraId="7FE5D28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Platforma umożliwiająca zarządzanie użytkownikami i grupami użytkowników oraz udostępnianie zeskanowanych preparatów, zdjęć makroskopowych do zdalnej oceny</w:t>
            </w:r>
          </w:p>
        </w:tc>
        <w:tc>
          <w:tcPr>
            <w:tcW w:w="2070" w:type="dxa"/>
          </w:tcPr>
          <w:p w14:paraId="2ECAA9BD" w14:textId="0D68693C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0508A81" w14:textId="77777777" w:rsidTr="000B2073">
        <w:tc>
          <w:tcPr>
            <w:tcW w:w="516" w:type="dxa"/>
          </w:tcPr>
          <w:p w14:paraId="0430DED6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6</w:t>
            </w:r>
          </w:p>
        </w:tc>
        <w:tc>
          <w:tcPr>
            <w:tcW w:w="5567" w:type="dxa"/>
          </w:tcPr>
          <w:p w14:paraId="61E1745C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Platforma umożliwiająca zarządzanie użytkownikami i grupami użytkowników oraz udostępnianie zeskanowanych preparatów, zdjęć makroskopowych do zdalnej oceny</w:t>
            </w:r>
          </w:p>
        </w:tc>
        <w:tc>
          <w:tcPr>
            <w:tcW w:w="2070" w:type="dxa"/>
          </w:tcPr>
          <w:p w14:paraId="2139C53D" w14:textId="7999DE70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DF2736D" w14:textId="77777777" w:rsidTr="000B2073">
        <w:tc>
          <w:tcPr>
            <w:tcW w:w="516" w:type="dxa"/>
          </w:tcPr>
          <w:p w14:paraId="6CDE4C6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7.</w:t>
            </w:r>
          </w:p>
        </w:tc>
        <w:tc>
          <w:tcPr>
            <w:tcW w:w="5567" w:type="dxa"/>
          </w:tcPr>
          <w:p w14:paraId="2727027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Otwarta platforma umożliwiająca integrację z systemami szpitalnymi i laboratoryjnymi ( klasy LIS).Wymagane dostarczenie na życzenie Zamawiającego API integracyjnego dla platformy. </w:t>
            </w:r>
          </w:p>
        </w:tc>
        <w:tc>
          <w:tcPr>
            <w:tcW w:w="2070" w:type="dxa"/>
          </w:tcPr>
          <w:p w14:paraId="1E953A83" w14:textId="1EF75F02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2FD1A77" w14:textId="77777777" w:rsidTr="000B2073">
        <w:tc>
          <w:tcPr>
            <w:tcW w:w="516" w:type="dxa"/>
          </w:tcPr>
          <w:p w14:paraId="3943138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8.</w:t>
            </w:r>
          </w:p>
        </w:tc>
        <w:tc>
          <w:tcPr>
            <w:tcW w:w="5567" w:type="dxa"/>
          </w:tcPr>
          <w:p w14:paraId="5D50462E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Zintegrowana webowa przeglądarka slajdów histopatologicznych</w:t>
            </w:r>
          </w:p>
        </w:tc>
        <w:tc>
          <w:tcPr>
            <w:tcW w:w="2070" w:type="dxa"/>
          </w:tcPr>
          <w:p w14:paraId="6BA13863" w14:textId="13048DFF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23D0AC2" w14:textId="77777777" w:rsidTr="000B2073">
        <w:tc>
          <w:tcPr>
            <w:tcW w:w="516" w:type="dxa"/>
          </w:tcPr>
          <w:p w14:paraId="62ECFB4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9.</w:t>
            </w:r>
          </w:p>
        </w:tc>
        <w:tc>
          <w:tcPr>
            <w:tcW w:w="5567" w:type="dxa"/>
          </w:tcPr>
          <w:p w14:paraId="3871C264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dostępu do systemu dla zdefiniowanej przez administratora liczby jednostek współpracujących</w:t>
            </w:r>
          </w:p>
        </w:tc>
        <w:tc>
          <w:tcPr>
            <w:tcW w:w="2070" w:type="dxa"/>
          </w:tcPr>
          <w:p w14:paraId="7F3B551C" w14:textId="30C820F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4A0E0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8BC00A3" w14:textId="77777777" w:rsidTr="000B2073">
        <w:tc>
          <w:tcPr>
            <w:tcW w:w="516" w:type="dxa"/>
          </w:tcPr>
          <w:p w14:paraId="1AD28A6C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5567" w:type="dxa"/>
          </w:tcPr>
          <w:p w14:paraId="1A1511D3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 xml:space="preserve">Możliwość szybkiego wyszukiwania slajdów w oparciu o dołączone do skanów informacje ( np. rodzaj barwienia, data, nazwa, własne 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</w:rPr>
              <w:t>tagi</w:t>
            </w:r>
            <w:proofErr w:type="spellEnd"/>
            <w:r w:rsidRPr="002F70AA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14:paraId="35599528" w14:textId="3CEE8450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97778CA" w14:textId="77777777" w:rsidTr="000B2073">
        <w:tc>
          <w:tcPr>
            <w:tcW w:w="516" w:type="dxa"/>
          </w:tcPr>
          <w:p w14:paraId="6F7156A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11</w:t>
            </w:r>
          </w:p>
        </w:tc>
        <w:tc>
          <w:tcPr>
            <w:tcW w:w="5567" w:type="dxa"/>
            <w:tcBorders>
              <w:bottom w:val="single" w:sz="4" w:space="0" w:color="auto"/>
            </w:tcBorders>
          </w:tcPr>
          <w:p w14:paraId="6A159ADB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Dostęp do platformy w oparciu o nazwy użytkowników i hasła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E2B646" w14:textId="2556D8B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5B15973" w14:textId="77777777" w:rsidTr="000B2073">
        <w:tc>
          <w:tcPr>
            <w:tcW w:w="516" w:type="dxa"/>
          </w:tcPr>
          <w:p w14:paraId="2761C3A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12</w:t>
            </w:r>
          </w:p>
        </w:tc>
        <w:tc>
          <w:tcPr>
            <w:tcW w:w="5567" w:type="dxa"/>
            <w:tcBorders>
              <w:top w:val="single" w:sz="4" w:space="0" w:color="auto"/>
            </w:tcBorders>
          </w:tcPr>
          <w:p w14:paraId="6C9C01E9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Możliwość nanoszenia oznaczeń i pomiarów na zeskanowanych preparatach z możliwością blokowania ich edycji dla określonych użytkowników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802277B" w14:textId="0FC3B9CC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CC9C4B0" w14:textId="77777777" w:rsidTr="000B2073">
        <w:tc>
          <w:tcPr>
            <w:tcW w:w="516" w:type="dxa"/>
          </w:tcPr>
          <w:p w14:paraId="3FC15A5B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13</w:t>
            </w:r>
          </w:p>
        </w:tc>
        <w:tc>
          <w:tcPr>
            <w:tcW w:w="5567" w:type="dxa"/>
          </w:tcPr>
          <w:p w14:paraId="77B43D22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Całkowicie sieciowa i niezależna platforma oprogramowania umożliwiająca dostęp do zeskanowanych preparatów przez przeglądarkę internetową bez konieczności instalowania dodatkowych aplikacji lub plug-in</w:t>
            </w:r>
          </w:p>
        </w:tc>
        <w:tc>
          <w:tcPr>
            <w:tcW w:w="2070" w:type="dxa"/>
          </w:tcPr>
          <w:p w14:paraId="589A26A7" w14:textId="62BB8320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16B1A0E" w14:textId="77777777" w:rsidTr="000B2073">
        <w:tc>
          <w:tcPr>
            <w:tcW w:w="516" w:type="dxa"/>
          </w:tcPr>
          <w:p w14:paraId="538B5C9E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14</w:t>
            </w:r>
          </w:p>
        </w:tc>
        <w:tc>
          <w:tcPr>
            <w:tcW w:w="5567" w:type="dxa"/>
          </w:tcPr>
          <w:p w14:paraId="246CFA9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Kompatybilność platformy z przeglądarkami: chrome, Edge, 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Firefox</w:t>
            </w:r>
            <w:proofErr w:type="spellEnd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, safari, bez konieczności instalowania dodatkowych aplikacji lub plug-in</w:t>
            </w:r>
          </w:p>
        </w:tc>
        <w:tc>
          <w:tcPr>
            <w:tcW w:w="2070" w:type="dxa"/>
          </w:tcPr>
          <w:p w14:paraId="03D5F029" w14:textId="4EA24F6C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8BAE857" w14:textId="77777777" w:rsidTr="000B2073">
        <w:tc>
          <w:tcPr>
            <w:tcW w:w="516" w:type="dxa"/>
          </w:tcPr>
          <w:p w14:paraId="44D357AA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15</w:t>
            </w:r>
          </w:p>
        </w:tc>
        <w:tc>
          <w:tcPr>
            <w:tcW w:w="5567" w:type="dxa"/>
          </w:tcPr>
          <w:p w14:paraId="7AD6E0A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kern w:val="144"/>
                <w:sz w:val="18"/>
                <w:szCs w:val="18"/>
              </w:rPr>
              <w:t>Zabezpieczenie przed wgraniem niedozwolonych typów plików do platformy realizowane poprzez definiowanie dozwolonych typów plików</w:t>
            </w:r>
          </w:p>
        </w:tc>
        <w:tc>
          <w:tcPr>
            <w:tcW w:w="2070" w:type="dxa"/>
          </w:tcPr>
          <w:p w14:paraId="20758D50" w14:textId="43CDB22F" w:rsidR="000B2073" w:rsidRPr="002F70AA" w:rsidRDefault="000B2073" w:rsidP="000B2073">
            <w:pPr>
              <w:rPr>
                <w:rFonts w:ascii="Verdana" w:hAnsi="Verdana" w:cs="Arial"/>
                <w:kern w:val="144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1160875" w14:textId="77777777" w:rsidTr="000B2073">
        <w:tc>
          <w:tcPr>
            <w:tcW w:w="516" w:type="dxa"/>
          </w:tcPr>
          <w:p w14:paraId="157026E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5567" w:type="dxa"/>
          </w:tcPr>
          <w:p w14:paraId="0A902DFA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Możliwość uruchomienia przeglądarki obrazów w trybie pełnoekranowym</w:t>
            </w:r>
          </w:p>
        </w:tc>
        <w:tc>
          <w:tcPr>
            <w:tcW w:w="2070" w:type="dxa"/>
          </w:tcPr>
          <w:p w14:paraId="5840980D" w14:textId="453987A5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1CFB773" w14:textId="77777777" w:rsidTr="000B2073">
        <w:tc>
          <w:tcPr>
            <w:tcW w:w="516" w:type="dxa"/>
          </w:tcPr>
          <w:p w14:paraId="054F5343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17</w:t>
            </w:r>
          </w:p>
        </w:tc>
        <w:tc>
          <w:tcPr>
            <w:tcW w:w="5567" w:type="dxa"/>
          </w:tcPr>
          <w:p w14:paraId="4F39F44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</w:rPr>
              <w:t>Możliwość przełączenia się między standardowymi zdefiniowanymi wartościami powiększeń (np. 2,5x; 5x 10x; 20x; 40x)</w:t>
            </w:r>
          </w:p>
        </w:tc>
        <w:tc>
          <w:tcPr>
            <w:tcW w:w="2070" w:type="dxa"/>
          </w:tcPr>
          <w:p w14:paraId="7D5C1CF4" w14:textId="4B15A539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6CF820AD" w14:textId="77777777" w:rsidTr="000B2073">
        <w:tc>
          <w:tcPr>
            <w:tcW w:w="516" w:type="dxa"/>
          </w:tcPr>
          <w:p w14:paraId="28BD8587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18</w:t>
            </w:r>
          </w:p>
        </w:tc>
        <w:tc>
          <w:tcPr>
            <w:tcW w:w="5567" w:type="dxa"/>
          </w:tcPr>
          <w:p w14:paraId="09B8623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Obsługa obrazów wielowarstwowych typu z-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stack</w:t>
            </w:r>
            <w:proofErr w:type="spellEnd"/>
          </w:p>
        </w:tc>
        <w:tc>
          <w:tcPr>
            <w:tcW w:w="2070" w:type="dxa"/>
          </w:tcPr>
          <w:p w14:paraId="019C871D" w14:textId="18706535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DAFF0CD" w14:textId="77777777" w:rsidTr="000B2073">
        <w:tc>
          <w:tcPr>
            <w:tcW w:w="516" w:type="dxa"/>
          </w:tcPr>
          <w:p w14:paraId="060A6F15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19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59543CBD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definiowania dostępu dla użytkowników do poszczególnych slajdów lub folderów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AAFCC6" w14:textId="2AE77281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2E6E92B" w14:textId="77777777" w:rsidTr="000B2073">
        <w:tc>
          <w:tcPr>
            <w:tcW w:w="516" w:type="dxa"/>
          </w:tcPr>
          <w:p w14:paraId="51B5BD2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20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4425F1A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definiowania prawa do wyświetlania etykiety slajdu dla określonych grup użytkowników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B4A33A" w14:textId="0C2086F3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5328EC5E" w14:textId="77777777" w:rsidTr="000B2073">
        <w:tc>
          <w:tcPr>
            <w:tcW w:w="516" w:type="dxa"/>
          </w:tcPr>
          <w:p w14:paraId="1F8C15A0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21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5C267078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katalogowania slajdów w foldery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9B58129" w14:textId="56E5C1B6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2A131B1A" w14:textId="77777777" w:rsidTr="000B2073">
        <w:tc>
          <w:tcPr>
            <w:tcW w:w="516" w:type="dxa"/>
          </w:tcPr>
          <w:p w14:paraId="6400B04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22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0976B337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blokowania slajdów tylko do przeglądania dla określonych grup użytkowników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9C5F34A" w14:textId="47454E1D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D0EDCC6" w14:textId="77777777" w:rsidTr="000B2073">
        <w:tc>
          <w:tcPr>
            <w:tcW w:w="516" w:type="dxa"/>
          </w:tcPr>
          <w:p w14:paraId="3A03774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23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3203DFE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automatycznej publikacji slajdów zapisanych w określonym folderze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9B12CC1" w14:textId="48D2970F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06D70101" w14:textId="77777777" w:rsidTr="000B2073">
        <w:tc>
          <w:tcPr>
            <w:tcW w:w="516" w:type="dxa"/>
          </w:tcPr>
          <w:p w14:paraId="3E389104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24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1B200E50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Możliwość prowadzenia konsultacji jednego przypadku przez kilku </w:t>
            </w:r>
            <w:proofErr w:type="spellStart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Użytkownikow</w:t>
            </w:r>
            <w:proofErr w:type="spellEnd"/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 xml:space="preserve"> równocześnie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D1CDF5" w14:textId="51FA0333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13B60601" w14:textId="77777777" w:rsidTr="000B2073">
        <w:tc>
          <w:tcPr>
            <w:tcW w:w="516" w:type="dxa"/>
          </w:tcPr>
          <w:p w14:paraId="014E4468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25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32A2F05F" w14:textId="77777777" w:rsidR="000B2073" w:rsidRPr="002F70AA" w:rsidRDefault="000B2073" w:rsidP="000B2073">
            <w:pPr>
              <w:pStyle w:val="Bezodstpw1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definiowania konta „gość” z ograniczonymi prawami dostępu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EC34E5" w14:textId="7F5992D1" w:rsidR="000B2073" w:rsidRPr="002F70AA" w:rsidRDefault="000B2073" w:rsidP="000B2073">
            <w:pPr>
              <w:pStyle w:val="Bezodstpw1"/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7E4EDC32" w14:textId="77777777" w:rsidTr="000B2073">
        <w:tc>
          <w:tcPr>
            <w:tcW w:w="516" w:type="dxa"/>
          </w:tcPr>
          <w:p w14:paraId="49111729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26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2FB26A5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Dostęp do logu zdarzeń na platformie z możliwością filtracji po czasie i typie zdarzenia.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AA6065C" w14:textId="2A624D38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0B2073" w:rsidRPr="002F70AA" w14:paraId="4E79EF45" w14:textId="77777777" w:rsidTr="000B2073">
        <w:tc>
          <w:tcPr>
            <w:tcW w:w="516" w:type="dxa"/>
          </w:tcPr>
          <w:p w14:paraId="32627622" w14:textId="77777777" w:rsidR="000B2073" w:rsidRPr="002F70AA" w:rsidRDefault="000B2073" w:rsidP="000B2073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27</w:t>
            </w:r>
          </w:p>
        </w:tc>
        <w:tc>
          <w:tcPr>
            <w:tcW w:w="5567" w:type="dxa"/>
            <w:tcBorders>
              <w:top w:val="single" w:sz="4" w:space="0" w:color="auto"/>
              <w:bottom w:val="single" w:sz="4" w:space="0" w:color="auto"/>
            </w:tcBorders>
          </w:tcPr>
          <w:p w14:paraId="065AB585" w14:textId="77777777" w:rsidR="000B2073" w:rsidRPr="002F70AA" w:rsidRDefault="000B2073" w:rsidP="000B2073">
            <w:pPr>
              <w:rPr>
                <w:rFonts w:ascii="Verdana" w:hAnsi="Verdana" w:cstheme="minorHAnsi"/>
                <w:sz w:val="18"/>
                <w:szCs w:val="18"/>
              </w:rPr>
            </w:pPr>
            <w:r w:rsidRPr="002F70AA">
              <w:rPr>
                <w:rFonts w:ascii="Verdana" w:hAnsi="Verdana" w:cs="Arial"/>
                <w:sz w:val="18"/>
                <w:szCs w:val="18"/>
                <w:lang w:eastAsia="ar-SA"/>
              </w:rPr>
              <w:t>Możliwość eksportu logu zdarzeń z platformy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F26783" w14:textId="18392966" w:rsidR="000B2073" w:rsidRPr="002F70AA" w:rsidRDefault="000B2073" w:rsidP="000B2073">
            <w:pPr>
              <w:rPr>
                <w:rFonts w:ascii="Verdana" w:hAnsi="Verdana" w:cs="Arial"/>
                <w:sz w:val="18"/>
                <w:szCs w:val="18"/>
                <w:lang w:eastAsia="ar-SA"/>
              </w:rPr>
            </w:pPr>
            <w:r w:rsidRPr="00C778A3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</w:tbl>
    <w:p w14:paraId="47DB571A" w14:textId="77777777" w:rsidR="009665BE" w:rsidRDefault="009665BE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7947CBC" w14:textId="77777777" w:rsidR="000755A2" w:rsidRPr="002F70AA" w:rsidRDefault="000755A2" w:rsidP="009665BE">
      <w:pPr>
        <w:pStyle w:val="Podtytu"/>
        <w:spacing w:after="120"/>
        <w:jc w:val="left"/>
        <w:rPr>
          <w:rFonts w:ascii="Verdana" w:hAnsi="Verdana" w:cs="Arial"/>
          <w:sz w:val="20"/>
        </w:rPr>
      </w:pPr>
    </w:p>
    <w:p w14:paraId="079019A4" w14:textId="4CE9BF75" w:rsidR="00221F43" w:rsidRPr="002F70AA" w:rsidRDefault="00521E41" w:rsidP="00521E41">
      <w:pPr>
        <w:pStyle w:val="Podtytu"/>
        <w:spacing w:after="120"/>
        <w:jc w:val="left"/>
        <w:rPr>
          <w:rFonts w:ascii="Verdana" w:eastAsia="Verdana" w:hAnsi="Verdana"/>
          <w:color w:val="000000"/>
          <w:spacing w:val="4"/>
          <w:sz w:val="20"/>
        </w:rPr>
      </w:pPr>
      <w:r w:rsidRPr="002F70AA">
        <w:rPr>
          <w:rFonts w:ascii="Verdana" w:hAnsi="Verdana" w:cs="Arial"/>
          <w:sz w:val="20"/>
        </w:rPr>
        <w:lastRenderedPageBreak/>
        <w:t>III. Minimalne parametry gwarancji i serwisu:</w:t>
      </w:r>
    </w:p>
    <w:tbl>
      <w:tblPr>
        <w:tblStyle w:val="Tabelasiatki1jasna1"/>
        <w:tblW w:w="8217" w:type="dxa"/>
        <w:tblLayout w:type="fixed"/>
        <w:tblLook w:val="06A0" w:firstRow="1" w:lastRow="0" w:firstColumn="1" w:lastColumn="0" w:noHBand="1" w:noVBand="1"/>
      </w:tblPr>
      <w:tblGrid>
        <w:gridCol w:w="5807"/>
        <w:gridCol w:w="2410"/>
      </w:tblGrid>
      <w:tr w:rsidR="00521E41" w:rsidRPr="002F70AA" w14:paraId="0A14C829" w14:textId="77777777" w:rsidTr="000B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vAlign w:val="center"/>
          </w:tcPr>
          <w:p w14:paraId="484A8E54" w14:textId="3786C681" w:rsidR="00521E41" w:rsidRPr="002F70AA" w:rsidRDefault="00521E41" w:rsidP="00293791">
            <w:pPr>
              <w:spacing w:after="280" w:line="280" w:lineRule="exact"/>
              <w:jc w:val="center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hAnsi="Verdana"/>
                <w:sz w:val="18"/>
                <w:szCs w:val="18"/>
              </w:rPr>
              <w:t>Parametry</w:t>
            </w:r>
          </w:p>
        </w:tc>
        <w:tc>
          <w:tcPr>
            <w:tcW w:w="2410" w:type="dxa"/>
          </w:tcPr>
          <w:p w14:paraId="6F4312A4" w14:textId="77777777" w:rsidR="00521E41" w:rsidRPr="002F70AA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Oferta Wykonawcy</w:t>
            </w:r>
          </w:p>
          <w:p w14:paraId="7B2F0D85" w14:textId="77777777" w:rsidR="00521E41" w:rsidRPr="002F70AA" w:rsidRDefault="00521E41" w:rsidP="00293791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 w:val="0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sz w:val="18"/>
                <w:szCs w:val="18"/>
              </w:rPr>
              <w:t>Potwierdzenie spełnienia wymagania</w:t>
            </w:r>
          </w:p>
          <w:p w14:paraId="57268F8A" w14:textId="77777777" w:rsidR="00521E41" w:rsidRPr="002F70AA" w:rsidRDefault="00521E41" w:rsidP="002937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i/>
                <w:iCs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 w:val="0"/>
                <w:bCs w:val="0"/>
                <w:i/>
                <w:iCs/>
                <w:sz w:val="18"/>
                <w:szCs w:val="18"/>
              </w:rPr>
              <w:t xml:space="preserve">(Tak albo Nie - niepotrzebne skreślić) </w:t>
            </w:r>
          </w:p>
          <w:p w14:paraId="7D5D9472" w14:textId="77777777" w:rsidR="00521E41" w:rsidRPr="002F70AA" w:rsidRDefault="00521E41" w:rsidP="00293791">
            <w:pPr>
              <w:spacing w:after="2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 w:val="0"/>
                <w:bCs w:val="0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hAnsi="Verdana" w:cstheme="minorHAnsi"/>
                <w:b w:val="0"/>
                <w:bCs w:val="0"/>
                <w:i/>
                <w:iCs/>
                <w:sz w:val="18"/>
                <w:szCs w:val="18"/>
              </w:rPr>
              <w:t>Kolumnę wypełnia Wykonawca</w:t>
            </w:r>
          </w:p>
        </w:tc>
      </w:tr>
      <w:tr w:rsidR="00521E41" w:rsidRPr="002F70AA" w14:paraId="104523BF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1AAC4A81" w14:textId="5A2BEB22" w:rsidR="00521E41" w:rsidRPr="002F70AA" w:rsidRDefault="00716314" w:rsidP="00764C0B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Sprzęt pochodzący z bieżącej produkcji, to jest będzie wyprodukowany nie wcześniej niż 12 (słownie: dwanaście) miesięcy przed terminem Dostawy</w:t>
            </w:r>
          </w:p>
        </w:tc>
        <w:tc>
          <w:tcPr>
            <w:tcW w:w="2410" w:type="dxa"/>
            <w:vAlign w:val="center"/>
          </w:tcPr>
          <w:p w14:paraId="5EB2E697" w14:textId="14448958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bCs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5A2C09C1" w14:textId="77777777" w:rsidTr="000B2073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835CBDC" w14:textId="26263D91" w:rsidR="00521E41" w:rsidRPr="002F70AA" w:rsidRDefault="00521E41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Pełna instrukcja obsługi w języku polskim lub angielskim</w:t>
            </w:r>
            <w:r w:rsidR="0071631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w formie </w:t>
            </w:r>
            <w:r w:rsidR="00C93E8E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elektronicznej</w:t>
            </w:r>
            <w:r w:rsidR="0071631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/papierowej</w:t>
            </w:r>
          </w:p>
        </w:tc>
        <w:tc>
          <w:tcPr>
            <w:tcW w:w="2410" w:type="dxa"/>
            <w:vAlign w:val="center"/>
          </w:tcPr>
          <w:p w14:paraId="42DAAD02" w14:textId="7BE99729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0A32C849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4877AB4" w14:textId="60FD9A19" w:rsidR="00EA63C5" w:rsidRPr="002F70AA" w:rsidRDefault="00521E41" w:rsidP="00EA63C5">
            <w:pPr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Gwarancja min. 24 miesięcy na cały oferowany</w:t>
            </w:r>
            <w:r w:rsidR="00ED0D3E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sprzęt wraz z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system</w:t>
            </w:r>
            <w:r w:rsidR="00EA63C5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.</w:t>
            </w:r>
          </w:p>
          <w:p w14:paraId="27135368" w14:textId="0D75E0EC" w:rsidR="00521E41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bookmarkStart w:id="1" w:name="_Hlk163126944"/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W okresie gwarancyjnym Wykonawca przeprowadzi dwa pełne przeglądy techniczne dostarczonego sprzętu ( w odstępnie maks. 12 m-</w:t>
            </w:r>
            <w:proofErr w:type="spellStart"/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cy</w:t>
            </w:r>
            <w:proofErr w:type="spellEnd"/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, przy czym ostatni z nich w ostatnim miesiącu trwania gwarancji) obejmujące dostawę i wymianę materiałów eksploatacyjnych </w:t>
            </w:r>
            <w:bookmarkEnd w:id="1"/>
          </w:p>
        </w:tc>
        <w:tc>
          <w:tcPr>
            <w:tcW w:w="2410" w:type="dxa"/>
            <w:vAlign w:val="center"/>
          </w:tcPr>
          <w:p w14:paraId="2B7387F0" w14:textId="4B590079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4ED3968D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74337AC" w14:textId="77777777" w:rsidR="00EA63C5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Serwis pierwszego kontaktu w języku polskim</w:t>
            </w:r>
          </w:p>
          <w:p w14:paraId="68BBB1A6" w14:textId="6184E682" w:rsidR="00EA63C5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Czas reakcji autoryzowanego serwisu od momentu zgłoszenia w dowolnej formie (e-mail lub zgłoszenie serwisowe) w przypadku awarii do 48 h</w:t>
            </w:r>
            <w:r w:rsidR="00F077EE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, z zastrzeżeniem że serwis gwarancyjny będzie świadczony zgodnie z załącznikiem nr 4 do Umowy.</w:t>
            </w:r>
          </w:p>
          <w:p w14:paraId="2816551B" w14:textId="489FD15B" w:rsidR="00FD0C44" w:rsidRPr="002F70AA" w:rsidRDefault="00EA63C5" w:rsidP="00EA63C5">
            <w:pPr>
              <w:spacing w:before="120" w:after="120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Maksymalny czas usunięcia awarii: 14 dni </w:t>
            </w:r>
            <w:r w:rsidR="004B07E9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roboczych 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od momentu </w:t>
            </w:r>
            <w:r w:rsidR="004B07E9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diagnozy problemu/usterki</w:t>
            </w:r>
            <w:r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w dowolnej formie (e-mail lub zgłoszenie serwisowe) </w:t>
            </w:r>
            <w:r w:rsidR="00FD0C44" w:rsidRPr="002F70AA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>Maksymalna liczba napraw powodująca wymianę podzespołu na nowy: 2</w:t>
            </w:r>
            <w:r w:rsidR="00902CB9">
              <w:rPr>
                <w:rFonts w:ascii="Verdana" w:hAnsi="Verdana" w:cs="Arial"/>
                <w:b w:val="0"/>
                <w:bCs w:val="0"/>
                <w:sz w:val="18"/>
                <w:szCs w:val="18"/>
              </w:rPr>
              <w:t xml:space="preserve"> (zgodnie z zapisami zał. nr 4 do umowy)</w:t>
            </w:r>
          </w:p>
        </w:tc>
        <w:tc>
          <w:tcPr>
            <w:tcW w:w="2410" w:type="dxa"/>
            <w:vAlign w:val="center"/>
          </w:tcPr>
          <w:p w14:paraId="7BCBA706" w14:textId="5038E54F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t>TAK/NIE</w:t>
            </w:r>
          </w:p>
        </w:tc>
      </w:tr>
      <w:tr w:rsidR="00521E41" w:rsidRPr="002F70AA" w14:paraId="2CEDBA03" w14:textId="77777777" w:rsidTr="000B2073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D4ADFD5" w14:textId="447BDB4D" w:rsidR="00521E41" w:rsidRPr="002F70AA" w:rsidRDefault="00521E41" w:rsidP="00521E41">
            <w:pPr>
              <w:spacing w:after="120" w:line="276" w:lineRule="auto"/>
              <w:jc w:val="both"/>
              <w:rPr>
                <w:rFonts w:ascii="Verdana" w:hAnsi="Verdana" w:cs="Arial"/>
                <w:b w:val="0"/>
                <w:bCs w:val="0"/>
                <w:sz w:val="18"/>
                <w:szCs w:val="18"/>
              </w:rPr>
            </w:pP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Szkolenie obsługowe wykonywane przez inżyniera serwisowego oraz aplikacyjne</w:t>
            </w:r>
            <w:r w:rsidR="00AD20AA"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dla </w:t>
            </w:r>
            <w:r w:rsidR="00A755F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minimum 5 osób, </w:t>
            </w: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wykon</w:t>
            </w:r>
            <w:r w:rsidR="007938D2"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ane</w:t>
            </w: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przez specjalistę aplikacyjnego producenta (</w:t>
            </w:r>
            <w:r w:rsidR="00D41F41"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 xml:space="preserve"> Wykonawca </w:t>
            </w:r>
            <w:r w:rsidR="00D41F41"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lastRenderedPageBreak/>
              <w:t>uzgodni planowany termin realizacji przeprowadzenia szkolenia z obsługi ww. Sprzętu z Zamawiającym</w:t>
            </w:r>
            <w:r w:rsidRPr="008E1C0E"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10" w:type="dxa"/>
            <w:vAlign w:val="center"/>
          </w:tcPr>
          <w:p w14:paraId="3C79EFB5" w14:textId="112CBAF8" w:rsidR="00521E41" w:rsidRPr="002F70AA" w:rsidRDefault="00521E41" w:rsidP="00293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</w:pPr>
            <w:r w:rsidRPr="002F70AA">
              <w:rPr>
                <w:rFonts w:ascii="Verdana" w:eastAsia="Calibri" w:hAnsi="Verdana" w:cs="Calibri"/>
                <w:color w:val="000000"/>
                <w:spacing w:val="4"/>
                <w:sz w:val="18"/>
                <w:szCs w:val="18"/>
              </w:rPr>
              <w:lastRenderedPageBreak/>
              <w:t>TAK/NIE</w:t>
            </w:r>
          </w:p>
        </w:tc>
      </w:tr>
    </w:tbl>
    <w:p w14:paraId="4AD755FE" w14:textId="77777777" w:rsidR="00521E41" w:rsidRPr="002F70AA" w:rsidRDefault="00521E41" w:rsidP="00221F43">
      <w:pPr>
        <w:spacing w:after="120" w:line="280" w:lineRule="exact"/>
        <w:ind w:left="720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A9BB118" w14:textId="5A0170A4" w:rsidR="00D41F41" w:rsidRPr="002F70AA" w:rsidRDefault="00D41F41" w:rsidP="00D41F41">
      <w:pPr>
        <w:spacing w:after="120" w:line="276" w:lineRule="auto"/>
        <w:jc w:val="both"/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</w:pP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Przedmiot zamówienia obejmuje Transport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, 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rozładunek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i instalację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w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siedzib</w:t>
      </w:r>
      <w:r w:rsidR="004B07E9"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ie</w:t>
      </w:r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Zamawiającego (Sieć Badawcza Łukasiewicz – PORT Polski Ośrodek Rozwoju Technologii, 54-066 Wrocław, ul. </w:t>
      </w:r>
      <w:proofErr w:type="spellStart"/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Stabłowicka</w:t>
      </w:r>
      <w:proofErr w:type="spellEnd"/>
      <w:r w:rsidRPr="002F70AA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147</w:t>
      </w:r>
      <w:r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, budynek C pokój</w:t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:</w:t>
      </w:r>
      <w:r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1.</w:t>
      </w:r>
      <w:r w:rsidR="004B07E9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>08</w:t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oraz</w:t>
      </w:r>
      <w:r w:rsidR="000755A2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br/>
      </w:r>
      <w:r w:rsidR="008E1C0E" w:rsidRPr="008E1C0E">
        <w:rPr>
          <w:rFonts w:ascii="Verdana" w:eastAsia="Times New Roman" w:hAnsi="Verdana" w:cs="Arial"/>
          <w:kern w:val="0"/>
          <w:sz w:val="20"/>
          <w:szCs w:val="20"/>
          <w:lang w:eastAsia="pl-PL"/>
          <w14:ligatures w14:val="none"/>
        </w:rPr>
        <w:t xml:space="preserve"> -1.46</w:t>
      </w:r>
    </w:p>
    <w:p w14:paraId="4F0746D1" w14:textId="77777777" w:rsidR="00D41F41" w:rsidRPr="002F70AA" w:rsidRDefault="00D41F41" w:rsidP="00221F43">
      <w:pPr>
        <w:spacing w:after="120" w:line="280" w:lineRule="exact"/>
        <w:ind w:left="720"/>
        <w:contextualSpacing/>
        <w:jc w:val="both"/>
        <w:rPr>
          <w:rFonts w:ascii="Verdana" w:eastAsia="Verdana" w:hAnsi="Verdana" w:cs="Times New Roman"/>
          <w:color w:val="000000"/>
          <w:spacing w:val="4"/>
          <w:kern w:val="0"/>
          <w:sz w:val="20"/>
          <w14:ligatures w14:val="none"/>
        </w:rPr>
      </w:pPr>
    </w:p>
    <w:p w14:paraId="1461BF31" w14:textId="51F82246" w:rsidR="00923C41" w:rsidRPr="002F70AA" w:rsidRDefault="00221F43" w:rsidP="00CC1694">
      <w:pPr>
        <w:suppressAutoHyphens/>
        <w:spacing w:after="0" w:line="276" w:lineRule="auto"/>
        <w:ind w:left="-284" w:right="-369" w:firstLine="1"/>
        <w:jc w:val="both"/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</w:pPr>
      <w:r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>Formularz oferty musi być opatrzony</w:t>
      </w:r>
      <w:r w:rsidR="004B07E9"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podpisem</w:t>
      </w:r>
      <w:r w:rsidRPr="002F70AA">
        <w:rPr>
          <w:rFonts w:ascii="Verdana" w:eastAsia="MS Mincho" w:hAnsi="Verdana" w:cs="Calibri"/>
          <w:b/>
          <w:iCs/>
          <w:kern w:val="0"/>
          <w:sz w:val="20"/>
          <w:szCs w:val="20"/>
          <w:lang w:eastAsia="zh-CN"/>
          <w14:ligatures w14:val="none"/>
        </w:rPr>
        <w:t xml:space="preserve"> przez osobę lub osoby uprawnione do reprezentowania Wykonawcy kwalifikowanym podpisem elektronicznym </w:t>
      </w:r>
    </w:p>
    <w:p w14:paraId="7594AB05" w14:textId="77777777" w:rsidR="007A18EF" w:rsidRPr="002F70AA" w:rsidRDefault="007A18EF" w:rsidP="00FD1A32">
      <w:pPr>
        <w:suppressAutoHyphens/>
        <w:spacing w:after="0" w:line="276" w:lineRule="auto"/>
        <w:ind w:right="-369"/>
        <w:jc w:val="both"/>
        <w:rPr>
          <w:rFonts w:ascii="Verdana" w:hAnsi="Verdana"/>
        </w:rPr>
      </w:pPr>
    </w:p>
    <w:sectPr w:rsidR="007A18EF" w:rsidRPr="002F70AA" w:rsidSect="00993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0E15" w14:textId="77777777" w:rsidR="00A02B4A" w:rsidRDefault="00A02B4A" w:rsidP="00116F1F">
      <w:pPr>
        <w:spacing w:after="0" w:line="240" w:lineRule="auto"/>
      </w:pPr>
      <w:r>
        <w:separator/>
      </w:r>
    </w:p>
  </w:endnote>
  <w:endnote w:type="continuationSeparator" w:id="0">
    <w:p w14:paraId="4C4BFA2A" w14:textId="77777777" w:rsidR="00A02B4A" w:rsidRDefault="00A02B4A" w:rsidP="0011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5009" w14:textId="77777777" w:rsidR="00E2329E" w:rsidRDefault="00E232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D00993" w14:textId="77777777" w:rsidR="00E2329E" w:rsidRDefault="00E2329E" w:rsidP="00E2329E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E2329E" w:rsidRPr="00692205" w14:paraId="66B0AFC1" w14:textId="77777777" w:rsidTr="00E66D36">
              <w:trPr>
                <w:trHeight w:val="802"/>
              </w:trPr>
              <w:tc>
                <w:tcPr>
                  <w:tcW w:w="4111" w:type="dxa"/>
                  <w:tcBorders>
                    <w:right w:val="single" w:sz="12" w:space="0" w:color="44546A" w:themeColor="text2"/>
                  </w:tcBorders>
                  <w:vAlign w:val="center"/>
                </w:tcPr>
                <w:p w14:paraId="5F0C0951" w14:textId="77777777" w:rsidR="00E2329E" w:rsidRPr="004C35DC" w:rsidRDefault="00E2329E" w:rsidP="00E2329E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 w:rsidRPr="004C35DC">
                    <w:rPr>
                      <w:noProof/>
                      <w:color w:val="595959" w:themeColor="text1" w:themeTint="A6"/>
                    </w:rPr>
                    <w:drawing>
                      <wp:inline distT="0" distB="0" distL="0" distR="0" wp14:anchorId="4ED4E65C" wp14:editId="58964198">
                        <wp:extent cx="1562261" cy="854961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215" cy="894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44546A" w:themeColor="text2"/>
                  </w:tcBorders>
                  <w:vAlign w:val="center"/>
                </w:tcPr>
                <w:p w14:paraId="6BCE5C1D" w14:textId="77777777" w:rsidR="00E2329E" w:rsidRPr="004C35DC" w:rsidRDefault="00E2329E" w:rsidP="00E2329E">
                  <w:pPr>
                    <w:pStyle w:val="Stopka"/>
                    <w:rPr>
                      <w:b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”Utworzenie i rozwój zintegrowanego systemu do analizy i zarządzania ustrukturyzowanymi danymi klinicznymi i </w:t>
                  </w:r>
                  <w:proofErr w:type="spellStart"/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multiomicznymi</w:t>
                  </w:r>
                  <w:proofErr w:type="spellEnd"/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 w oparciu o sztuczną inteligencję w chorobach cywilizacyjnych", finansowany 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 xml:space="preserve">z budżetu państwa przez Agencję Badań Medycznych, 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w ramach programu "Tworzenie i rozwój Regionalnych Centrów Medycyny Cyfrowej" na podstawie umowy nr 2023/ABM/02/00005 - 00.</w:t>
                  </w:r>
                </w:p>
              </w:tc>
            </w:tr>
          </w:tbl>
          <w:p w14:paraId="23537C9F" w14:textId="77777777" w:rsidR="00E2329E" w:rsidRDefault="00E2329E" w:rsidP="00E2329E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E2329E" w:rsidRPr="004C35DC" w14:paraId="074DB8E3" w14:textId="77777777" w:rsidTr="00E66D36">
              <w:trPr>
                <w:trHeight w:val="647"/>
              </w:trPr>
              <w:tc>
                <w:tcPr>
                  <w:tcW w:w="4111" w:type="dxa"/>
                  <w:tcBorders>
                    <w:right w:val="single" w:sz="12" w:space="0" w:color="44546A" w:themeColor="text2"/>
                  </w:tcBorders>
                  <w:vAlign w:val="center"/>
                </w:tcPr>
                <w:p w14:paraId="54E09CC1" w14:textId="77777777" w:rsidR="00E2329E" w:rsidRDefault="00E2329E" w:rsidP="00E2329E">
                  <w:pPr>
                    <w:pStyle w:val="Stopka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75F4CD2" wp14:editId="3E12DDA5">
                        <wp:extent cx="2384755" cy="201578"/>
                        <wp:effectExtent l="0" t="0" r="0" b="8255"/>
                        <wp:docPr id="947753211" name="Obraz 1" descr="Obraz zawierający tekst, Czcionka, Grafika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7753211" name="Obraz 1" descr="Obraz zawierający tekst, Czcionka, Grafika, projekt graficzny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9076" cy="22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44546A" w:themeColor="text2"/>
                  </w:tcBorders>
                  <w:vAlign w:val="center"/>
                </w:tcPr>
                <w:p w14:paraId="47EA6C68" w14:textId="77777777" w:rsidR="00E2329E" w:rsidRPr="004C35DC" w:rsidRDefault="00E2329E" w:rsidP="00E2329E">
                  <w:pPr>
                    <w:pStyle w:val="Stopka"/>
                    <w:rPr>
                      <w:b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Projekt został sfinansowany ze środków Narodowego Centrum Nauki przyznanych na podstawie decyzji nr DEC-2022/47/B/NZ4/01719</w:t>
                  </w:r>
                  <w:r>
                    <w:rPr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3EF57FC4" w14:textId="77777777" w:rsidR="00521E41" w:rsidRDefault="00521E41">
            <w:pPr>
              <w:pStyle w:val="Stopka"/>
            </w:pPr>
          </w:p>
          <w:p w14:paraId="49827F5D" w14:textId="77777777" w:rsidR="00175E21" w:rsidRDefault="002A388E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CF7A4" w14:textId="77777777" w:rsidR="00175E21" w:rsidRDefault="002A388E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F1A8955" wp14:editId="581348AF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76D8545D" wp14:editId="6429581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BB9A09" w14:textId="77777777" w:rsidR="00175E21" w:rsidRDefault="002A388E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D114029" w14:textId="77777777" w:rsidR="00175E21" w:rsidRDefault="002A388E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9D72628" w14:textId="77777777" w:rsidR="00175E21" w:rsidRPr="00C137EA" w:rsidRDefault="002A388E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7DDFAE62" w14:textId="77777777" w:rsidR="00175E21" w:rsidRDefault="002A388E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931EE59" w14:textId="77777777" w:rsidR="00175E21" w:rsidRPr="00ED7972" w:rsidRDefault="002A388E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8545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59BB9A09" w14:textId="77777777" w:rsidR="00175E21" w:rsidRDefault="002A388E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D114029" w14:textId="77777777" w:rsidR="00175E21" w:rsidRDefault="002A388E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9D72628" w14:textId="77777777" w:rsidR="00175E21" w:rsidRPr="00C137EA" w:rsidRDefault="002A388E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7DDFAE62" w14:textId="77777777" w:rsidR="00175E21" w:rsidRDefault="002A388E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931EE59" w14:textId="77777777" w:rsidR="00175E21" w:rsidRPr="00ED7972" w:rsidRDefault="002A388E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446D" w14:textId="77777777" w:rsidR="00175E21" w:rsidRPr="00D06D36" w:rsidRDefault="002A388E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BE01" w14:textId="77777777" w:rsidR="00A02B4A" w:rsidRDefault="00A02B4A" w:rsidP="00116F1F">
      <w:pPr>
        <w:spacing w:after="0" w:line="240" w:lineRule="auto"/>
      </w:pPr>
      <w:r>
        <w:separator/>
      </w:r>
    </w:p>
  </w:footnote>
  <w:footnote w:type="continuationSeparator" w:id="0">
    <w:p w14:paraId="30C9BE26" w14:textId="77777777" w:rsidR="00A02B4A" w:rsidRDefault="00A02B4A" w:rsidP="0011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8A9B" w14:textId="77777777" w:rsidR="00E2329E" w:rsidRDefault="00E232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92D7" w14:textId="479030EE" w:rsidR="00175E21" w:rsidRDefault="002A388E">
    <w:pPr>
      <w:pStyle w:val="Nagwek1"/>
    </w:pPr>
    <w:r w:rsidRPr="005D102F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4F327A93" wp14:editId="01B1FBB9">
          <wp:simplePos x="0" y="0"/>
          <wp:positionH relativeFrom="column">
            <wp:posOffset>-1080135</wp:posOffset>
          </wp:positionH>
          <wp:positionV relativeFrom="page">
            <wp:posOffset>1723390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3158" w14:textId="77777777" w:rsidR="00E2329E" w:rsidRDefault="00E232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63E96"/>
    <w:multiLevelType w:val="hybridMultilevel"/>
    <w:tmpl w:val="7590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099"/>
    <w:multiLevelType w:val="hybridMultilevel"/>
    <w:tmpl w:val="D102CBE6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3" w15:restartNumberingAfterBreak="0">
    <w:nsid w:val="146D45C0"/>
    <w:multiLevelType w:val="hybridMultilevel"/>
    <w:tmpl w:val="1C007464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A01CCD56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814"/>
    <w:multiLevelType w:val="hybridMultilevel"/>
    <w:tmpl w:val="F6187AA8"/>
    <w:lvl w:ilvl="0" w:tplc="0F5448A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81F72"/>
    <w:multiLevelType w:val="hybridMultilevel"/>
    <w:tmpl w:val="0950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832"/>
    <w:multiLevelType w:val="hybridMultilevel"/>
    <w:tmpl w:val="D1BCB0E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 w15:restartNumberingAfterBreak="0">
    <w:nsid w:val="32517BDF"/>
    <w:multiLevelType w:val="hybridMultilevel"/>
    <w:tmpl w:val="557E4D5C"/>
    <w:lvl w:ilvl="0" w:tplc="91804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6282A"/>
    <w:multiLevelType w:val="hybridMultilevel"/>
    <w:tmpl w:val="F790183C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6A09"/>
    <w:multiLevelType w:val="hybridMultilevel"/>
    <w:tmpl w:val="F01023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33E0F"/>
    <w:multiLevelType w:val="hybridMultilevel"/>
    <w:tmpl w:val="2FCC096A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61CBC"/>
    <w:multiLevelType w:val="hybridMultilevel"/>
    <w:tmpl w:val="318E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E6B2C"/>
    <w:multiLevelType w:val="hybridMultilevel"/>
    <w:tmpl w:val="913E95E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6734E"/>
    <w:multiLevelType w:val="hybridMultilevel"/>
    <w:tmpl w:val="AD2E3AD4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239F6"/>
    <w:multiLevelType w:val="hybridMultilevel"/>
    <w:tmpl w:val="8E168592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2256B"/>
    <w:multiLevelType w:val="hybridMultilevel"/>
    <w:tmpl w:val="8C5874D0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D98A2398">
      <w:start w:val="1"/>
      <w:numFmt w:val="lowerLetter"/>
      <w:lvlText w:val="%2)"/>
      <w:lvlJc w:val="left"/>
      <w:pPr>
        <w:ind w:left="1440" w:hanging="360"/>
      </w:pPr>
      <w:rPr>
        <w:rFonts w:ascii="Verdana" w:eastAsiaTheme="minorHAnsi" w:hAnsi="Verdana" w:cs="Aria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E516E"/>
    <w:multiLevelType w:val="hybridMultilevel"/>
    <w:tmpl w:val="7334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A011E"/>
    <w:multiLevelType w:val="hybridMultilevel"/>
    <w:tmpl w:val="C5722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C566A"/>
    <w:multiLevelType w:val="hybridMultilevel"/>
    <w:tmpl w:val="B3FE9A5E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B0DE9"/>
    <w:multiLevelType w:val="hybridMultilevel"/>
    <w:tmpl w:val="CD92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83F39"/>
    <w:multiLevelType w:val="hybridMultilevel"/>
    <w:tmpl w:val="67162074"/>
    <w:lvl w:ilvl="0" w:tplc="0415000D">
      <w:start w:val="1"/>
      <w:numFmt w:val="bullet"/>
      <w:lvlText w:val=""/>
      <w:lvlJc w:val="left"/>
      <w:pPr>
        <w:ind w:left="13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75F24"/>
    <w:multiLevelType w:val="hybridMultilevel"/>
    <w:tmpl w:val="837222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644D0"/>
    <w:multiLevelType w:val="hybridMultilevel"/>
    <w:tmpl w:val="414C7F16"/>
    <w:lvl w:ilvl="0" w:tplc="EE802C52">
      <w:numFmt w:val="bullet"/>
      <w:lvlText w:val="•"/>
      <w:lvlJc w:val="left"/>
      <w:pPr>
        <w:ind w:left="952" w:hanging="360"/>
      </w:pPr>
      <w:rPr>
        <w:rFonts w:ascii="Verdana" w:eastAsia="Calibri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F087B"/>
    <w:multiLevelType w:val="hybridMultilevel"/>
    <w:tmpl w:val="AF12C8FE"/>
    <w:lvl w:ilvl="0" w:tplc="EE802C52">
      <w:numFmt w:val="bullet"/>
      <w:lvlText w:val="•"/>
      <w:lvlJc w:val="left"/>
      <w:pPr>
        <w:ind w:left="1312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B3492"/>
    <w:multiLevelType w:val="hybridMultilevel"/>
    <w:tmpl w:val="F0102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139D1"/>
    <w:multiLevelType w:val="hybridMultilevel"/>
    <w:tmpl w:val="68BEBA7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F343FE0"/>
    <w:multiLevelType w:val="hybridMultilevel"/>
    <w:tmpl w:val="49C20A9C"/>
    <w:lvl w:ilvl="0" w:tplc="EE802C52">
      <w:numFmt w:val="bullet"/>
      <w:lvlText w:val="•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264988">
    <w:abstractNumId w:val="4"/>
  </w:num>
  <w:num w:numId="2" w16cid:durableId="1671637639">
    <w:abstractNumId w:val="19"/>
  </w:num>
  <w:num w:numId="3" w16cid:durableId="107585637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560941870">
    <w:abstractNumId w:val="16"/>
  </w:num>
  <w:num w:numId="5" w16cid:durableId="1081371303">
    <w:abstractNumId w:val="1"/>
  </w:num>
  <w:num w:numId="6" w16cid:durableId="264265557">
    <w:abstractNumId w:val="2"/>
  </w:num>
  <w:num w:numId="7" w16cid:durableId="1933782089">
    <w:abstractNumId w:val="6"/>
  </w:num>
  <w:num w:numId="8" w16cid:durableId="878591885">
    <w:abstractNumId w:val="18"/>
  </w:num>
  <w:num w:numId="9" w16cid:durableId="1244215902">
    <w:abstractNumId w:val="8"/>
  </w:num>
  <w:num w:numId="10" w16cid:durableId="302733986">
    <w:abstractNumId w:val="14"/>
  </w:num>
  <w:num w:numId="11" w16cid:durableId="1912882303">
    <w:abstractNumId w:val="3"/>
  </w:num>
  <w:num w:numId="12" w16cid:durableId="382801644">
    <w:abstractNumId w:val="15"/>
  </w:num>
  <w:num w:numId="13" w16cid:durableId="1530799474">
    <w:abstractNumId w:val="22"/>
  </w:num>
  <w:num w:numId="14" w16cid:durableId="1400324597">
    <w:abstractNumId w:val="21"/>
  </w:num>
  <w:num w:numId="15" w16cid:durableId="167142998">
    <w:abstractNumId w:val="26"/>
  </w:num>
  <w:num w:numId="16" w16cid:durableId="615717465">
    <w:abstractNumId w:val="20"/>
  </w:num>
  <w:num w:numId="17" w16cid:durableId="51580237">
    <w:abstractNumId w:val="23"/>
  </w:num>
  <w:num w:numId="18" w16cid:durableId="1417435155">
    <w:abstractNumId w:val="11"/>
  </w:num>
  <w:num w:numId="19" w16cid:durableId="1889993001">
    <w:abstractNumId w:val="12"/>
  </w:num>
  <w:num w:numId="20" w16cid:durableId="776490324">
    <w:abstractNumId w:val="10"/>
  </w:num>
  <w:num w:numId="21" w16cid:durableId="441220719">
    <w:abstractNumId w:val="13"/>
  </w:num>
  <w:num w:numId="22" w16cid:durableId="16280384">
    <w:abstractNumId w:val="24"/>
  </w:num>
  <w:num w:numId="23" w16cid:durableId="1395086051">
    <w:abstractNumId w:val="9"/>
  </w:num>
  <w:num w:numId="24" w16cid:durableId="450901230">
    <w:abstractNumId w:val="25"/>
  </w:num>
  <w:num w:numId="25" w16cid:durableId="383410707">
    <w:abstractNumId w:val="17"/>
  </w:num>
  <w:num w:numId="26" w16cid:durableId="1378747712">
    <w:abstractNumId w:val="7"/>
  </w:num>
  <w:num w:numId="27" w16cid:durableId="112408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43"/>
    <w:rsid w:val="000755A2"/>
    <w:rsid w:val="00096B82"/>
    <w:rsid w:val="000B2073"/>
    <w:rsid w:val="000C36F5"/>
    <w:rsid w:val="000D1366"/>
    <w:rsid w:val="000F68D3"/>
    <w:rsid w:val="00116F1F"/>
    <w:rsid w:val="00134401"/>
    <w:rsid w:val="0014716F"/>
    <w:rsid w:val="00173F62"/>
    <w:rsid w:val="00175E21"/>
    <w:rsid w:val="00221F43"/>
    <w:rsid w:val="00230D30"/>
    <w:rsid w:val="002A388E"/>
    <w:rsid w:val="002F70AA"/>
    <w:rsid w:val="003029E8"/>
    <w:rsid w:val="00320A32"/>
    <w:rsid w:val="00331965"/>
    <w:rsid w:val="00333C60"/>
    <w:rsid w:val="00405DED"/>
    <w:rsid w:val="00427554"/>
    <w:rsid w:val="00453E80"/>
    <w:rsid w:val="00463296"/>
    <w:rsid w:val="0048096F"/>
    <w:rsid w:val="004B07E9"/>
    <w:rsid w:val="004C70CA"/>
    <w:rsid w:val="005132A7"/>
    <w:rsid w:val="00521E41"/>
    <w:rsid w:val="00535046"/>
    <w:rsid w:val="00554847"/>
    <w:rsid w:val="005E7A55"/>
    <w:rsid w:val="005F0B3E"/>
    <w:rsid w:val="005F426F"/>
    <w:rsid w:val="006807E9"/>
    <w:rsid w:val="006C2ED4"/>
    <w:rsid w:val="00716314"/>
    <w:rsid w:val="00733087"/>
    <w:rsid w:val="007378F0"/>
    <w:rsid w:val="00761257"/>
    <w:rsid w:val="00764C0B"/>
    <w:rsid w:val="007938D2"/>
    <w:rsid w:val="007A18EF"/>
    <w:rsid w:val="00804B2D"/>
    <w:rsid w:val="0085229C"/>
    <w:rsid w:val="00885E82"/>
    <w:rsid w:val="00891209"/>
    <w:rsid w:val="008E1C0E"/>
    <w:rsid w:val="008E4DB3"/>
    <w:rsid w:val="00902CB9"/>
    <w:rsid w:val="00923C41"/>
    <w:rsid w:val="009307D7"/>
    <w:rsid w:val="009665BE"/>
    <w:rsid w:val="00972A17"/>
    <w:rsid w:val="009A600E"/>
    <w:rsid w:val="009A748F"/>
    <w:rsid w:val="009E54C1"/>
    <w:rsid w:val="00A02B4A"/>
    <w:rsid w:val="00A13385"/>
    <w:rsid w:val="00A47ADF"/>
    <w:rsid w:val="00A671FC"/>
    <w:rsid w:val="00A730F2"/>
    <w:rsid w:val="00A755FE"/>
    <w:rsid w:val="00AD20AA"/>
    <w:rsid w:val="00AF5F2B"/>
    <w:rsid w:val="00BB6123"/>
    <w:rsid w:val="00BD34C2"/>
    <w:rsid w:val="00BD71EE"/>
    <w:rsid w:val="00BF588C"/>
    <w:rsid w:val="00C34CE9"/>
    <w:rsid w:val="00C63457"/>
    <w:rsid w:val="00C93E8E"/>
    <w:rsid w:val="00CC1694"/>
    <w:rsid w:val="00CC2449"/>
    <w:rsid w:val="00D41F41"/>
    <w:rsid w:val="00DA226F"/>
    <w:rsid w:val="00DC7C55"/>
    <w:rsid w:val="00E0446B"/>
    <w:rsid w:val="00E1317E"/>
    <w:rsid w:val="00E2329E"/>
    <w:rsid w:val="00E75C8C"/>
    <w:rsid w:val="00E926EB"/>
    <w:rsid w:val="00EA63C5"/>
    <w:rsid w:val="00EC44A4"/>
    <w:rsid w:val="00ED0D3E"/>
    <w:rsid w:val="00F077EE"/>
    <w:rsid w:val="00F108AA"/>
    <w:rsid w:val="00F45CB7"/>
    <w:rsid w:val="00F673BE"/>
    <w:rsid w:val="00FD0C44"/>
    <w:rsid w:val="00FD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FC665A"/>
  <w15:chartTrackingRefBased/>
  <w15:docId w15:val="{E93D313B-0923-4305-91AC-C60F084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F43"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  <w:jc w:val="both"/>
    </w:pPr>
    <w:rPr>
      <w:color w:val="000000"/>
      <w:spacing w:val="4"/>
      <w:sz w:val="20"/>
    </w:rPr>
  </w:style>
  <w:style w:type="character" w:customStyle="1" w:styleId="NagwekZnak">
    <w:name w:val="Nagłówek Znak"/>
    <w:basedOn w:val="Domylnaczcionkaakapitu"/>
    <w:link w:val="Nagwek1"/>
    <w:uiPriority w:val="99"/>
    <w:rsid w:val="00221F43"/>
    <w:rPr>
      <w:color w:val="000000"/>
      <w:spacing w:val="4"/>
      <w:sz w:val="20"/>
    </w:rPr>
  </w:style>
  <w:style w:type="paragraph" w:customStyle="1" w:styleId="LukStopka-adres">
    <w:name w:val="Luk_Stopka-adres"/>
    <w:basedOn w:val="Normalny"/>
    <w:qFormat/>
    <w:rsid w:val="00221F43"/>
    <w:pPr>
      <w:spacing w:after="0" w:line="170" w:lineRule="exact"/>
    </w:pPr>
    <w:rPr>
      <w:noProof/>
      <w:color w:val="808080"/>
      <w:spacing w:val="4"/>
      <w:kern w:val="0"/>
      <w:sz w:val="14"/>
      <w:szCs w:val="14"/>
      <w14:ligatures w14:val="none"/>
    </w:rPr>
  </w:style>
  <w:style w:type="table" w:customStyle="1" w:styleId="Tabelasiatki1jasna1">
    <w:name w:val="Tabela siatki 1 — jasna1"/>
    <w:basedOn w:val="Standardowy"/>
    <w:uiPriority w:val="46"/>
    <w:rsid w:val="00221F43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21F43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221F43"/>
    <w:pPr>
      <w:spacing w:after="280" w:line="240" w:lineRule="auto"/>
      <w:jc w:val="both"/>
    </w:pPr>
    <w:rPr>
      <w:color w:val="000000"/>
      <w:spacing w:val="4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221F43"/>
    <w:rPr>
      <w:color w:val="000000"/>
      <w:spacing w:val="4"/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221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21F43"/>
  </w:style>
  <w:style w:type="paragraph" w:styleId="Tekstkomentarza">
    <w:name w:val="annotation text"/>
    <w:basedOn w:val="Normalny"/>
    <w:link w:val="TekstkomentarzaZnak1"/>
    <w:uiPriority w:val="99"/>
    <w:unhideWhenUsed/>
    <w:rsid w:val="00221F43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221F43"/>
    <w:rPr>
      <w:sz w:val="20"/>
      <w:szCs w:val="20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8096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33C6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333C60"/>
    <w:rPr>
      <w:rFonts w:ascii="Bookman Old Style" w:eastAsia="Times New Roman" w:hAnsi="Bookman Old Style" w:cs="Times New Roman"/>
      <w:b/>
      <w:kern w:val="0"/>
      <w:sz w:val="24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9E5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54C1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DE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05DE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D34C2"/>
    <w:pPr>
      <w:spacing w:after="0" w:line="240" w:lineRule="auto"/>
    </w:pPr>
  </w:style>
  <w:style w:type="character" w:customStyle="1" w:styleId="AkapitzlistZnak">
    <w:name w:val="Akapit z listą Znak"/>
    <w:aliases w:val="CW_Lista Znak"/>
    <w:link w:val="Akapitzlist"/>
    <w:uiPriority w:val="34"/>
    <w:rsid w:val="00E75C8C"/>
  </w:style>
  <w:style w:type="character" w:styleId="Uwydatnienie">
    <w:name w:val="Emphasis"/>
    <w:basedOn w:val="Domylnaczcionkaakapitu"/>
    <w:uiPriority w:val="20"/>
    <w:qFormat/>
    <w:rsid w:val="00E75C8C"/>
    <w:rPr>
      <w:i/>
      <w:iCs/>
    </w:rPr>
  </w:style>
  <w:style w:type="table" w:styleId="Tabela-Siatka">
    <w:name w:val="Table Grid"/>
    <w:basedOn w:val="Standardowy"/>
    <w:uiPriority w:val="39"/>
    <w:rsid w:val="00521E4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9665BE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398AD-9BAD-4C76-A3FC-0F717C91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2734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Chodaczek | Łukasiewicz - PORT</dc:creator>
  <cp:keywords/>
  <dc:description/>
  <cp:lastModifiedBy>Joanna Oczkowicz | Łukasiewicz – PORT</cp:lastModifiedBy>
  <cp:revision>5</cp:revision>
  <dcterms:created xsi:type="dcterms:W3CDTF">2024-04-08T11:52:00Z</dcterms:created>
  <dcterms:modified xsi:type="dcterms:W3CDTF">2024-04-12T09:23:00Z</dcterms:modified>
</cp:coreProperties>
</file>