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2C24E608" w:rsidR="00454182" w:rsidRDefault="005F0CED" w:rsidP="00021799">
            <w:pPr>
              <w:spacing w:after="0"/>
              <w:outlineLvl w:val="5"/>
              <w:rPr>
                <w:rFonts w:ascii="Verdana" w:eastAsia="Times New Roman" w:hAnsi="Verdana" w:cs="Tahoma"/>
                <w:bCs/>
                <w:color w:val="auto"/>
                <w:szCs w:val="20"/>
              </w:rPr>
            </w:pPr>
            <w:r w:rsidRPr="005B6E48">
              <w:rPr>
                <w:rFonts w:ascii="Verdana" w:eastAsia="Times New Roman" w:hAnsi="Verdana" w:cs="Tahoma"/>
                <w:bCs/>
                <w:color w:val="auto"/>
                <w:szCs w:val="20"/>
              </w:rPr>
              <w:t>SPZP</w:t>
            </w:r>
            <w:r w:rsidR="00A17094" w:rsidRPr="005B6E48">
              <w:rPr>
                <w:rFonts w:ascii="Verdana" w:eastAsia="Times New Roman" w:hAnsi="Verdana" w:cs="Tahoma"/>
                <w:bCs/>
                <w:color w:val="auto"/>
                <w:szCs w:val="20"/>
              </w:rPr>
              <w:t>.271.</w:t>
            </w:r>
            <w:r w:rsidR="00231173">
              <w:rPr>
                <w:rFonts w:ascii="Verdana" w:eastAsia="Times New Roman" w:hAnsi="Verdana" w:cs="Tahoma"/>
                <w:bCs/>
                <w:color w:val="auto"/>
                <w:szCs w:val="20"/>
              </w:rPr>
              <w:t>28</w:t>
            </w:r>
            <w:r w:rsidR="00A17094" w:rsidRPr="005B6E48">
              <w:rPr>
                <w:rFonts w:ascii="Verdana" w:eastAsia="Times New Roman" w:hAnsi="Verdana" w:cs="Tahoma"/>
                <w:bCs/>
                <w:color w:val="auto"/>
                <w:szCs w:val="20"/>
              </w:rPr>
              <w:t>.202</w:t>
            </w:r>
            <w:r w:rsidR="00706814" w:rsidRPr="005B6E48">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A1BEF7"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5B6E4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0109DA28" w14:textId="5AE2496E" w:rsidR="00231173" w:rsidRPr="00E42423" w:rsidRDefault="00454182" w:rsidP="00231173">
      <w:pPr>
        <w:tabs>
          <w:tab w:val="left" w:pos="567"/>
          <w:tab w:val="left" w:pos="1134"/>
        </w:tabs>
        <w:spacing w:line="240" w:lineRule="auto"/>
        <w:jc w:val="center"/>
        <w:rPr>
          <w:rFonts w:ascii="Verdana" w:eastAsia="Verdana" w:hAnsi="Verdana" w:cs="Times New Roman"/>
          <w:b/>
          <w:color w:val="00000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231173" w:rsidRPr="003512A0">
        <w:rPr>
          <w:rFonts w:ascii="Verdana" w:eastAsia="Verdana" w:hAnsi="Verdana" w:cs="Times New Roman"/>
          <w:b/>
          <w:color w:val="000000"/>
        </w:rPr>
        <w:t>przeciwciał w podziale na 12 części – na podstawie umów ramowych</w:t>
      </w:r>
    </w:p>
    <w:p w14:paraId="7D29FFFE" w14:textId="7202DA6A" w:rsidR="00454182" w:rsidRPr="00883E61" w:rsidRDefault="00454182" w:rsidP="00231173">
      <w:pPr>
        <w:spacing w:after="0"/>
        <w:jc w:val="center"/>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58E3360"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0A0656">
        <w:rPr>
          <w:rFonts w:ascii="Verdana" w:hAnsi="Verdana" w:cs="Tahoma"/>
          <w:color w:val="auto"/>
        </w:rPr>
        <w:t>materiałów zużywalnych</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t>
      </w:r>
      <w:r w:rsidR="00231173" w:rsidRPr="39548CC5">
        <w:rPr>
          <w:rFonts w:ascii="Verdana" w:hAnsi="Verdana" w:cs="Tahoma"/>
          <w:color w:val="auto"/>
        </w:rPr>
        <w:t xml:space="preserve">w okresie 12 miesięcy od dnia zawarcia Umowy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553DF4E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0A0656">
        <w:rPr>
          <w:rFonts w:ascii="Verdana" w:hAnsi="Verdana" w:cs="Tahoma"/>
          <w:color w:val="auto"/>
          <w:szCs w:val="20"/>
        </w:rPr>
        <w:t xml:space="preserve">materiałów zużywalnych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3108C3B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w:t>
      </w:r>
      <w:bookmarkStart w:id="1" w:name="_Hlk529476578"/>
      <w:r w:rsidR="00231173" w:rsidRPr="39548CC5">
        <w:rPr>
          <w:rFonts w:ascii="Verdana" w:hAnsi="Verdana" w:cs="Tahoma"/>
          <w:color w:val="auto"/>
        </w:rPr>
        <w:t xml:space="preserve">12 miesięcy od dnia zawarcia Umowy </w:t>
      </w:r>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2 Procedura udzielenia zamówienia</w:t>
      </w:r>
    </w:p>
    <w:p w14:paraId="24330E2F" w14:textId="4EB5E866"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008C26F9">
        <w:rPr>
          <w:rFonts w:ascii="Verdana" w:hAnsi="Verdana" w:cs="Tahoma"/>
          <w:iCs/>
          <w:color w:val="auto"/>
          <w:sz w:val="20"/>
          <w:szCs w:val="20"/>
        </w:rPr>
        <w:t>,</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lastRenderedPageBreak/>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F87B23"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 xml:space="preserve">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w:t>
      </w:r>
      <w:r w:rsidRPr="00F87B23">
        <w:rPr>
          <w:rFonts w:ascii="Verdana" w:hAnsi="Verdana"/>
          <w:color w:val="auto"/>
          <w:szCs w:val="20"/>
        </w:rPr>
        <w:t>transportu oraz za rozładunek na swój koszt w miejscu dostawy.</w:t>
      </w:r>
    </w:p>
    <w:p w14:paraId="6B40F62E" w14:textId="2949470D" w:rsidR="003B309B" w:rsidRPr="00F87B23" w:rsidRDefault="003B309B" w:rsidP="00322D0E">
      <w:pPr>
        <w:numPr>
          <w:ilvl w:val="0"/>
          <w:numId w:val="3"/>
        </w:numPr>
        <w:tabs>
          <w:tab w:val="left" w:pos="426"/>
        </w:tabs>
        <w:spacing w:after="0" w:line="276" w:lineRule="auto"/>
        <w:ind w:left="426" w:hanging="426"/>
        <w:rPr>
          <w:rFonts w:cs="Tahoma"/>
          <w:color w:val="auto"/>
          <w:szCs w:val="20"/>
        </w:rPr>
      </w:pPr>
      <w:r w:rsidRPr="00F87B23">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F87B23">
        <w:rPr>
          <w:rStyle w:val="xxcontentpasted1"/>
          <w:rFonts w:eastAsia="Times New Roman" w:cs="Segoe UI"/>
          <w:color w:val="auto"/>
          <w:szCs w:val="20"/>
          <w:shd w:val="clear" w:color="auto" w:fill="FFFFFF"/>
        </w:rPr>
        <w:t>zd</w:t>
      </w:r>
      <w:proofErr w:type="spellEnd"/>
      <w:r w:rsidRPr="00F87B23">
        <w:rPr>
          <w:rStyle w:val="xxcontentpasted1"/>
          <w:rFonts w:eastAsia="Times New Roman" w:cs="Segoe UI"/>
          <w:color w:val="auto"/>
          <w:szCs w:val="20"/>
          <w:shd w:val="clear" w:color="auto" w:fill="FFFFFF"/>
        </w:rPr>
        <w:t>. poprzedzającym,</w:t>
      </w:r>
      <w:r w:rsidRPr="00F87B23">
        <w:rPr>
          <w:rStyle w:val="contentpasted1"/>
          <w:rFonts w:eastAsia="Times New Roman" w:cs="Segoe UI"/>
          <w:color w:val="auto"/>
          <w:szCs w:val="20"/>
          <w:shd w:val="clear" w:color="auto" w:fill="FFFFFF"/>
        </w:rPr>
        <w:t> </w:t>
      </w:r>
      <w:r w:rsidRPr="00F87B23">
        <w:rPr>
          <w:rStyle w:val="xxcontentpasted1"/>
          <w:rFonts w:eastAsia="Times New Roman" w:cs="Segoe UI"/>
          <w:color w:val="auto"/>
          <w:szCs w:val="20"/>
          <w:shd w:val="clear" w:color="auto" w:fill="FFFFFF"/>
        </w:rPr>
        <w:t>w wersji elektronicznej w formie PDF na adres e-mail Zamawiającego, o którym mowa w </w:t>
      </w:r>
      <w:r w:rsidRPr="00F87B23">
        <w:rPr>
          <w:rStyle w:val="xxcontentpasted2"/>
          <w:rFonts w:eastAsia="Times New Roman" w:cs="Segoe UI"/>
          <w:color w:val="auto"/>
          <w:szCs w:val="20"/>
          <w:shd w:val="clear" w:color="auto" w:fill="FFFFFF"/>
        </w:rPr>
        <w:t xml:space="preserve">§ 8 ust. 2 lit. b pkt </w:t>
      </w:r>
      <w:proofErr w:type="spellStart"/>
      <w:r w:rsidRPr="00F87B23">
        <w:rPr>
          <w:rStyle w:val="xxcontentpasted2"/>
          <w:rFonts w:eastAsia="Times New Roman" w:cs="Segoe UI"/>
          <w:color w:val="auto"/>
          <w:szCs w:val="20"/>
          <w:shd w:val="clear" w:color="auto" w:fill="FFFFFF"/>
        </w:rPr>
        <w:t>bb</w:t>
      </w:r>
      <w:proofErr w:type="spellEnd"/>
      <w:r w:rsidRPr="00F87B23">
        <w:rPr>
          <w:rStyle w:val="xxcontentpasted2"/>
          <w:rFonts w:eastAsia="Times New Roman" w:cs="Segoe UI"/>
          <w:color w:val="auto"/>
          <w:szCs w:val="20"/>
          <w:shd w:val="clear" w:color="auto" w:fill="FFFFFF"/>
        </w:rPr>
        <w:t>)</w:t>
      </w:r>
      <w:r w:rsidRPr="00F87B23">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F87B23">
        <w:rPr>
          <w:rStyle w:val="contentpasted1"/>
          <w:rFonts w:eastAsia="Times New Roman" w:cs="Segoe UI"/>
          <w:color w:val="auto"/>
          <w:szCs w:val="20"/>
          <w:shd w:val="clear" w:color="auto" w:fill="FFFFFF"/>
        </w:rPr>
        <w:t xml:space="preserve">tej </w:t>
      </w:r>
      <w:r w:rsidRPr="00F87B23">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 xml:space="preserve">odmówi podpisania Protokołu Odbioru i zgłosi zastrzeżenia do całości lub części (jeśli dokonanie odbioru w części naruszałoby interes </w:t>
      </w:r>
      <w:r w:rsidRPr="391B1306">
        <w:rPr>
          <w:rFonts w:ascii="Verdana" w:hAnsi="Verdana" w:cs="Tahoma"/>
          <w:color w:val="auto"/>
        </w:rPr>
        <w:lastRenderedPageBreak/>
        <w:t>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w:t>
      </w:r>
      <w:r w:rsidRPr="00883E61">
        <w:rPr>
          <w:rFonts w:ascii="Verdana" w:hAnsi="Verdana" w:cs="Tahoma"/>
          <w:color w:val="auto"/>
          <w:sz w:val="20"/>
          <w:szCs w:val="20"/>
        </w:rPr>
        <w:lastRenderedPageBreak/>
        <w:t>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 xml:space="preserve">pod warunkiem, że rachunek bankowy będzie zarejestrowany w wykazie podmiotów zarejestrowanych jako podatnicy VAT, niezarejestrowanych oraz wykreślonych </w:t>
      </w:r>
      <w:r w:rsidRPr="00883E61">
        <w:rPr>
          <w:rFonts w:ascii="Verdana" w:eastAsia="Cambria" w:hAnsi="Verdana" w:cs="Tahoma"/>
          <w:color w:val="auto"/>
          <w:szCs w:val="20"/>
          <w:lang w:eastAsia="ar-SA"/>
        </w:rPr>
        <w:lastRenderedPageBreak/>
        <w:t>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w:t>
      </w:r>
      <w:r w:rsidRPr="00883E61">
        <w:rPr>
          <w:rFonts w:ascii="Verdana" w:hAnsi="Verdana" w:cs="Roboto Lt"/>
          <w:color w:val="auto"/>
          <w:szCs w:val="20"/>
        </w:rPr>
        <w:lastRenderedPageBreak/>
        <w:t>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lastRenderedPageBreak/>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lastRenderedPageBreak/>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lastRenderedPageBreak/>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w:t>
      </w:r>
      <w:r w:rsidRPr="00883E61">
        <w:rPr>
          <w:rFonts w:ascii="Verdana" w:hAnsi="Verdana" w:cs="Tahoma"/>
          <w:color w:val="auto"/>
          <w:szCs w:val="20"/>
        </w:rPr>
        <w:lastRenderedPageBreak/>
        <w:t>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lastRenderedPageBreak/>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720AE441" w14:textId="60BEDE16" w:rsidR="00231173" w:rsidRPr="00231173" w:rsidRDefault="00231173" w:rsidP="00231173">
      <w:pPr>
        <w:suppressAutoHyphens/>
        <w:spacing w:after="0" w:line="276" w:lineRule="auto"/>
        <w:ind w:left="426"/>
        <w:rPr>
          <w:rFonts w:ascii="Verdana" w:hAnsi="Verdana" w:cs="Tahoma"/>
          <w:color w:val="auto"/>
          <w:szCs w:val="20"/>
        </w:rPr>
      </w:pPr>
      <w:r>
        <w:rPr>
          <w:rFonts w:ascii="Verdana" w:hAnsi="Verdana" w:cs="Tahoma"/>
          <w:color w:val="auto"/>
          <w:szCs w:val="20"/>
        </w:rPr>
        <w:t xml:space="preserve">4. </w:t>
      </w:r>
      <w:r w:rsidRPr="00231173">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54B9F16" w14:textId="77777777" w:rsidR="00231173" w:rsidRPr="0063758D" w:rsidRDefault="00231173" w:rsidP="00231173">
      <w:pPr>
        <w:pStyle w:val="Akapitzlist"/>
        <w:spacing w:after="0"/>
        <w:ind w:left="851"/>
        <w:jc w:val="both"/>
        <w:rPr>
          <w:rFonts w:ascii="Verdana" w:hAnsi="Verdana" w:cs="Tahoma"/>
          <w:color w:val="auto"/>
          <w:sz w:val="20"/>
          <w:szCs w:val="20"/>
        </w:rPr>
      </w:pP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lastRenderedPageBreak/>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01BB2F87" w:rsidR="00454182" w:rsidRPr="00883E61" w:rsidRDefault="00454182" w:rsidP="00CD2F26">
      <w:pPr>
        <w:tabs>
          <w:tab w:val="left" w:pos="426"/>
        </w:tabs>
        <w:suppressAutoHyphens/>
        <w:spacing w:after="0" w:line="276" w:lineRule="auto"/>
        <w:ind w:left="426"/>
        <w:rPr>
          <w:rFonts w:ascii="Verdana" w:hAnsi="Verdana" w:cs="Tahoma"/>
          <w:color w:val="auto"/>
          <w:szCs w:val="20"/>
        </w:rPr>
      </w:pP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lastRenderedPageBreak/>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Ind w:w="-106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0CD2F26">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699"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CD2F26">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76A2BE20" w14:textId="609A7101" w:rsidR="00CE1DFF" w:rsidRPr="000C55BA" w:rsidRDefault="00CE1DFF" w:rsidP="00CE1DFF">
      <w:pPr>
        <w:spacing w:before="120" w:after="120" w:line="240" w:lineRule="auto"/>
        <w:rPr>
          <w:color w:val="auto"/>
        </w:rPr>
      </w:pPr>
      <w:r w:rsidRPr="003C2307">
        <w:rPr>
          <w:color w:val="auto"/>
        </w:rPr>
        <w:t xml:space="preserve">Projektu pn. „Regulacja neuronów stymulujących głód </w:t>
      </w:r>
      <w:proofErr w:type="spellStart"/>
      <w:r w:rsidRPr="003C2307">
        <w:rPr>
          <w:color w:val="auto"/>
        </w:rPr>
        <w:t>AgRP</w:t>
      </w:r>
      <w:proofErr w:type="spellEnd"/>
      <w:r w:rsidRPr="003C2307">
        <w:rPr>
          <w:color w:val="auto"/>
        </w:rPr>
        <w:t xml:space="preserve"> przez </w:t>
      </w:r>
      <w:proofErr w:type="spellStart"/>
      <w:r w:rsidRPr="000C55BA">
        <w:rPr>
          <w:color w:val="auto"/>
        </w:rPr>
        <w:t>mikroRNA</w:t>
      </w:r>
      <w:proofErr w:type="spellEnd"/>
      <w:r w:rsidRPr="000C55BA">
        <w:rPr>
          <w:color w:val="auto"/>
        </w:rPr>
        <w:t>”, finansowanego ze środków Narodowego Centrum Nauki przyznanych na podstawie decyzji nr DEC-2019/35/B/NZ4/02831;</w:t>
      </w:r>
    </w:p>
    <w:p w14:paraId="5C64D9D8" w14:textId="1FEE1898" w:rsidR="00CE1DFF" w:rsidRPr="000C55BA" w:rsidRDefault="00CE1DFF" w:rsidP="00CE1DFF">
      <w:pPr>
        <w:spacing w:before="120" w:after="120" w:line="240" w:lineRule="auto"/>
        <w:rPr>
          <w:color w:val="auto"/>
        </w:rPr>
      </w:pPr>
      <w:r w:rsidRPr="000C55BA">
        <w:rPr>
          <w:color w:val="auto"/>
        </w:rPr>
        <w:t xml:space="preserve">Projektu pn. „Czy </w:t>
      </w:r>
      <w:proofErr w:type="spellStart"/>
      <w:r w:rsidRPr="000C55BA">
        <w:rPr>
          <w:color w:val="auto"/>
        </w:rPr>
        <w:t>astrocyty</w:t>
      </w:r>
      <w:proofErr w:type="spellEnd"/>
      <w:r w:rsidRPr="000C55BA">
        <w:rPr>
          <w:color w:val="auto"/>
        </w:rPr>
        <w:t xml:space="preserve"> kontrolują połączenia synaptyczne w sieciach nerwowych istotnych dla chorób psychiatrycznych?”, finansowanego ze środków Narodowego Centrum Nauki przyznanych na podstawie decyzji Nr DEC-2021/41/B/NZ3/04099;</w:t>
      </w:r>
    </w:p>
    <w:p w14:paraId="54F1C7C5" w14:textId="374FBC70" w:rsidR="005F0CED" w:rsidRPr="00CE1DFF" w:rsidRDefault="00CE1DFF" w:rsidP="00CE1DFF">
      <w:pPr>
        <w:spacing w:before="120" w:after="120" w:line="240" w:lineRule="auto"/>
        <w:rPr>
          <w:color w:val="auto"/>
        </w:rPr>
      </w:pPr>
      <w:r w:rsidRPr="000C55BA">
        <w:rPr>
          <w:color w:val="auto"/>
        </w:rPr>
        <w:t xml:space="preserve">Projektu pn. „Genetyka cech zachowania zależnych od aktywności receptora </w:t>
      </w:r>
      <w:proofErr w:type="spellStart"/>
      <w:r w:rsidRPr="000C55BA">
        <w:rPr>
          <w:color w:val="auto"/>
        </w:rPr>
        <w:t>glukokortykoidowego</w:t>
      </w:r>
      <w:proofErr w:type="spellEnd"/>
      <w:r w:rsidRPr="000C55BA">
        <w:rPr>
          <w:color w:val="auto"/>
        </w:rPr>
        <w:t xml:space="preserve">?”, </w:t>
      </w:r>
      <w:r w:rsidR="000C55BA" w:rsidRPr="000C55BA">
        <w:rPr>
          <w:color w:val="auto"/>
        </w:rPr>
        <w:t>f</w:t>
      </w:r>
      <w:r w:rsidRPr="000C55BA">
        <w:rPr>
          <w:color w:val="auto"/>
        </w:rPr>
        <w:t>inansowanego ze środków Narodowego Centrum Nauki przyznanych na podstawie decyzji Nr DEC- 2022/45/B/NZ5/03188;</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4CF97093" w:rsidR="006C5337" w:rsidRPr="006C5337" w:rsidRDefault="006C5337" w:rsidP="000A0656">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eastAsia="Verdana" w:hAnsi="Verdana" w:cs="Times New Roman"/>
            <w:bCs/>
            <w:color w:val="00000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A0656" w:rsidRPr="000A0656">
            <w:rPr>
              <w:rFonts w:ascii="Verdana" w:eastAsia="Verdana" w:hAnsi="Verdana" w:cs="Times New Roman"/>
              <w:bCs/>
              <w:color w:val="000000"/>
            </w:rPr>
            <w:t>Dostaw</w:t>
          </w:r>
          <w:r w:rsidR="000A0656">
            <w:rPr>
              <w:rFonts w:ascii="Verdana" w:eastAsia="Verdana" w:hAnsi="Verdana" w:cs="Times New Roman"/>
              <w:bCs/>
              <w:color w:val="000000"/>
            </w:rPr>
            <w:t>ę</w:t>
          </w:r>
          <w:r w:rsidR="000A0656" w:rsidRPr="000A0656">
            <w:rPr>
              <w:rFonts w:ascii="Verdana" w:eastAsia="Verdana" w:hAnsi="Verdana" w:cs="Times New Roman"/>
              <w:bCs/>
              <w:color w:val="000000"/>
            </w:rPr>
            <w:t xml:space="preserve"> </w:t>
          </w:r>
          <w:r w:rsidR="005F0CED">
            <w:rPr>
              <w:rFonts w:ascii="Verdana" w:eastAsia="Verdana" w:hAnsi="Verdana" w:cs="Times New Roman"/>
              <w:bCs/>
              <w:color w:val="000000"/>
            </w:rPr>
            <w:t xml:space="preserve">podstawowych </w:t>
          </w:r>
          <w:r w:rsidR="000A0656" w:rsidRPr="000A0656">
            <w:rPr>
              <w:rFonts w:ascii="Verdana" w:eastAsia="Verdana" w:hAnsi="Verdana" w:cs="Times New Roman"/>
              <w:bCs/>
              <w:color w:val="000000"/>
            </w:rPr>
            <w:t xml:space="preserve">materiałów zużywalnych do </w:t>
          </w:r>
          <w:r w:rsidR="006D214A">
            <w:rPr>
              <w:rFonts w:ascii="Verdana" w:eastAsia="Verdana" w:hAnsi="Verdana" w:cs="Times New Roman"/>
              <w:bCs/>
              <w:color w:val="000000"/>
            </w:rPr>
            <w:t>laboratorium</w:t>
          </w:r>
          <w:r w:rsidR="000A0656" w:rsidRPr="000A0656">
            <w:rPr>
              <w:rFonts w:ascii="Verdana" w:eastAsia="Verdana" w:hAnsi="Verdana" w:cs="Times New Roman"/>
              <w:bCs/>
              <w:color w:val="000000"/>
            </w:rPr>
            <w:t xml:space="preserve">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1178A4DD" w:rsidR="008B4B19" w:rsidRPr="008B4B19" w:rsidRDefault="00CE1DFF" w:rsidP="008B4B19">
      <w:pPr>
        <w:spacing w:after="120" w:line="276" w:lineRule="auto"/>
        <w:ind w:left="567"/>
        <w:contextualSpacing/>
        <w:jc w:val="center"/>
        <w:rPr>
          <w:rFonts w:asciiTheme="majorHAnsi" w:eastAsia="Verdana" w:hAnsiTheme="majorHAnsi" w:cs="Times New Roman"/>
          <w:b/>
          <w:color w:val="000000"/>
          <w:sz w:val="16"/>
          <w:szCs w:val="16"/>
        </w:rPr>
      </w:pPr>
      <w:r w:rsidRPr="00CE1DFF">
        <w:rPr>
          <w:rFonts w:asciiTheme="majorHAnsi" w:eastAsia="Verdana" w:hAnsiTheme="majorHAnsi" w:cs="Times New Roman"/>
          <w:b/>
          <w:color w:val="000000"/>
          <w:sz w:val="16"/>
          <w:szCs w:val="16"/>
        </w:rPr>
        <w:t>dostawa przeciwciał w podziale na 12 części – na podstawie umów ramowych</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w:t>
      </w:r>
      <w:r w:rsidR="008B4B19" w:rsidRPr="005B6E48">
        <w:rPr>
          <w:rFonts w:asciiTheme="majorHAnsi" w:eastAsia="Verdana" w:hAnsiTheme="majorHAnsi" w:cs="Times New Roman"/>
          <w:bCs/>
          <w:color w:val="000000"/>
          <w:sz w:val="16"/>
          <w:szCs w:val="16"/>
        </w:rPr>
        <w:t xml:space="preserve">sprawy </w:t>
      </w:r>
      <w:r w:rsidR="005F0CED" w:rsidRPr="005B6E48">
        <w:rPr>
          <w:rFonts w:asciiTheme="majorHAnsi" w:eastAsia="Verdana" w:hAnsiTheme="majorHAnsi" w:cs="Times New Roman"/>
          <w:bCs/>
          <w:color w:val="000000"/>
          <w:sz w:val="16"/>
          <w:szCs w:val="16"/>
        </w:rPr>
        <w:t>SPZP</w:t>
      </w:r>
      <w:r w:rsidR="008B4B19" w:rsidRPr="005B6E48">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28</w:t>
      </w:r>
      <w:r w:rsidR="008B4B19" w:rsidRPr="005B6E48">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w:t>
            </w:r>
            <w:r w:rsidRPr="008B4B19">
              <w:rPr>
                <w:rFonts w:asciiTheme="majorHAnsi" w:hAnsiTheme="majorHAnsi"/>
                <w:color w:val="000000"/>
                <w:sz w:val="16"/>
                <w:szCs w:val="16"/>
              </w:rPr>
              <w:lastRenderedPageBreak/>
              <w:t xml:space="preserve">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57FE5D6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t>
            </w:r>
            <w:r w:rsidRPr="008B4B19">
              <w:rPr>
                <w:rFonts w:asciiTheme="majorHAnsi" w:eastAsia="Verdana" w:hAnsiTheme="majorHAnsi" w:cs="Times New Roman"/>
                <w:color w:val="000000"/>
                <w:sz w:val="16"/>
                <w:szCs w:val="16"/>
              </w:rPr>
              <w:lastRenderedPageBreak/>
              <w:t>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Art. 6 ust. 1 lit. f) RODO – Administrator ma uzasadniony interes, żeby wiedzieć z kim w relacji umownej się kontaktuje, kto wchodzi na jego teren, w jakiej roli działa ta druga osoba, </w:t>
            </w:r>
            <w:r w:rsidRPr="008B4B19">
              <w:rPr>
                <w:rFonts w:asciiTheme="majorHAnsi" w:eastAsia="Verdana" w:hAnsiTheme="majorHAnsi" w:cs="Times New Roman"/>
                <w:color w:val="000000"/>
                <w:sz w:val="16"/>
                <w:szCs w:val="16"/>
              </w:rPr>
              <w:lastRenderedPageBreak/>
              <w:t>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nazwisko, adresy kontaktowe, stanowisko, numer telefonu, adres email; jeśli wykonujecie Państwo prace na terenie Administratora: wizerunek (w ramach </w:t>
            </w:r>
            <w:r w:rsidRPr="008B4B19">
              <w:rPr>
                <w:rFonts w:asciiTheme="majorHAnsi" w:eastAsia="Verdana" w:hAnsiTheme="majorHAnsi" w:cs="Times New Roman"/>
                <w:color w:val="000000"/>
                <w:sz w:val="16"/>
                <w:szCs w:val="16"/>
              </w:rPr>
              <w:lastRenderedPageBreak/>
              <w:t>monitoringu,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nie będą przekazywane do krajów trzecich lub organizacji międzynarodowych, z zastrzeżeniem poniższego. Nie dotyczy to jednak przekazywania dla </w:t>
      </w:r>
      <w:r w:rsidRPr="008B4B19">
        <w:rPr>
          <w:rFonts w:asciiTheme="majorHAnsi" w:eastAsia="Verdana" w:hAnsiTheme="majorHAnsi" w:cs="Times New Roman"/>
          <w:color w:val="000000"/>
          <w:sz w:val="16"/>
          <w:szCs w:val="16"/>
        </w:rPr>
        <w:lastRenderedPageBreak/>
        <w:t>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w:t>
      </w:r>
      <w:r w:rsidRPr="008B4B19">
        <w:rPr>
          <w:rFonts w:asciiTheme="majorHAnsi" w:eastAsia="Verdana" w:hAnsiTheme="majorHAnsi" w:cs="Times New Roman"/>
          <w:color w:val="000000"/>
          <w:sz w:val="16"/>
          <w:szCs w:val="16"/>
        </w:rPr>
        <w:lastRenderedPageBreak/>
        <w:t>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2D6E" w14:textId="77777777" w:rsidR="0058508C" w:rsidRDefault="0058508C" w:rsidP="006747BD">
      <w:pPr>
        <w:spacing w:after="0" w:line="240" w:lineRule="auto"/>
      </w:pPr>
      <w:r>
        <w:separator/>
      </w:r>
    </w:p>
  </w:endnote>
  <w:endnote w:type="continuationSeparator" w:id="0">
    <w:p w14:paraId="0B91AEBF" w14:textId="77777777" w:rsidR="0058508C" w:rsidRDefault="0058508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21FDF885" w:rsidR="00BC1FCE" w:rsidRDefault="00CE1DFF">
    <w:pPr>
      <w:pStyle w:val="Stopka"/>
    </w:pPr>
    <w:r w:rsidRPr="00132F45">
      <w:rPr>
        <w:noProof/>
      </w:rPr>
      <w:drawing>
        <wp:inline distT="0" distB="0" distL="0" distR="0" wp14:anchorId="2733B945" wp14:editId="06575354">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72490701"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CE1DFF" w:rsidRPr="00132F45">
      <w:rPr>
        <w:noProof/>
      </w:rPr>
      <w:drawing>
        <wp:inline distT="0" distB="0" distL="0" distR="0" wp14:anchorId="23AAEA2E" wp14:editId="6EE6A5A6">
          <wp:extent cx="4572000" cy="381000"/>
          <wp:effectExtent l="0" t="0" r="0" b="0"/>
          <wp:docPr id="1732542208" name="Obraz 173254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71B78" w14:textId="42C571D7" w:rsidR="0096049F" w:rsidRDefault="0096049F" w:rsidP="0096049F">
            <w:pPr>
              <w:pStyle w:val="Stopka"/>
            </w:pPr>
          </w:p>
          <w:p w14:paraId="3C79A585" w14:textId="1E06F56C" w:rsidR="00DC3524" w:rsidRDefault="00CE1DFF">
            <w:pPr>
              <w:pStyle w:val="Stopka"/>
              <w:rPr>
                <w:noProof/>
              </w:rPr>
            </w:pPr>
            <w:r w:rsidRPr="00132F45">
              <w:rPr>
                <w:noProof/>
              </w:rPr>
              <w:drawing>
                <wp:inline distT="0" distB="0" distL="0" distR="0" wp14:anchorId="0C01E058" wp14:editId="3F08349C">
                  <wp:extent cx="4572000" cy="381000"/>
                  <wp:effectExtent l="0" t="0" r="0" b="0"/>
                  <wp:docPr id="2105469092" name="Obraz 210546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61268316" w14:textId="77777777" w:rsidR="00CE1DFF" w:rsidRDefault="00CE1DFF">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508054553" name="Obraz 150805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622742071" name="Obraz 62274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0F99FDFF" w:rsidR="006C5337" w:rsidRDefault="00CE1DFF">
            <w:pPr>
              <w:pStyle w:val="Stopka"/>
              <w:rPr>
                <w:b w:val="0"/>
                <w:bCs/>
              </w:rPr>
            </w:pPr>
            <w:r w:rsidRPr="00132F45">
              <w:rPr>
                <w:noProof/>
              </w:rPr>
              <w:drawing>
                <wp:inline distT="0" distB="0" distL="0" distR="0" wp14:anchorId="21B1D909" wp14:editId="3EDFE6FE">
                  <wp:extent cx="4572000" cy="381000"/>
                  <wp:effectExtent l="0" t="0" r="0" b="0"/>
                  <wp:docPr id="1701219930" name="Obraz 170121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EFB6BB1" w14:textId="77777777" w:rsidR="005F0CED" w:rsidRDefault="005F0CED">
            <w:pPr>
              <w:pStyle w:val="Stopka"/>
              <w:rPr>
                <w:b w:val="0"/>
                <w:bCs/>
              </w:rPr>
            </w:pP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122D54B9" w:rsidR="006C5337" w:rsidRDefault="006C5337" w:rsidP="00D40690">
    <w:pPr>
      <w:pStyle w:val="Stopka"/>
      <w:rPr>
        <w:noProof/>
      </w:rPr>
    </w:pPr>
  </w:p>
  <w:p w14:paraId="62DACB56" w14:textId="38A41AD9" w:rsidR="00CE1DFF" w:rsidRDefault="00CE1DFF" w:rsidP="00D40690">
    <w:pPr>
      <w:pStyle w:val="Stopka"/>
    </w:pPr>
    <w:r w:rsidRPr="00132F45">
      <w:rPr>
        <w:noProof/>
      </w:rPr>
      <w:drawing>
        <wp:inline distT="0" distB="0" distL="0" distR="0" wp14:anchorId="0AA6C0B7" wp14:editId="3A3BE3B4">
          <wp:extent cx="4572000" cy="381000"/>
          <wp:effectExtent l="0" t="0" r="0" b="0"/>
          <wp:docPr id="745604721" name="Obraz 74560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F08CBAD" w14:textId="77777777" w:rsidR="00CE1DFF" w:rsidRDefault="00CE1DFF" w:rsidP="00D40690">
    <w:pPr>
      <w:pStyle w:val="Stopka"/>
    </w:pP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9488" w14:textId="77777777" w:rsidR="0058508C" w:rsidRDefault="0058508C" w:rsidP="006747BD">
      <w:pPr>
        <w:spacing w:after="0" w:line="240" w:lineRule="auto"/>
      </w:pPr>
      <w:r>
        <w:separator/>
      </w:r>
    </w:p>
  </w:footnote>
  <w:footnote w:type="continuationSeparator" w:id="0">
    <w:p w14:paraId="433392AD" w14:textId="77777777" w:rsidR="0058508C" w:rsidRDefault="0058508C"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0C55BA">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642958152" name="Obraz 164295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A0656"/>
    <w:rsid w:val="000C55BA"/>
    <w:rsid w:val="000D57ED"/>
    <w:rsid w:val="000E595C"/>
    <w:rsid w:val="0010183B"/>
    <w:rsid w:val="00134929"/>
    <w:rsid w:val="00161ECE"/>
    <w:rsid w:val="00170C56"/>
    <w:rsid w:val="001A0BD2"/>
    <w:rsid w:val="001B02E2"/>
    <w:rsid w:val="0021691E"/>
    <w:rsid w:val="00231173"/>
    <w:rsid w:val="00231524"/>
    <w:rsid w:val="002630B3"/>
    <w:rsid w:val="00274A7A"/>
    <w:rsid w:val="002A2DD2"/>
    <w:rsid w:val="002A48E3"/>
    <w:rsid w:val="002B3206"/>
    <w:rsid w:val="002D48BE"/>
    <w:rsid w:val="002E6EDE"/>
    <w:rsid w:val="002F4540"/>
    <w:rsid w:val="0030079E"/>
    <w:rsid w:val="00316E01"/>
    <w:rsid w:val="00322D0E"/>
    <w:rsid w:val="00323B4E"/>
    <w:rsid w:val="003333A6"/>
    <w:rsid w:val="00335F9F"/>
    <w:rsid w:val="00346C00"/>
    <w:rsid w:val="00354204"/>
    <w:rsid w:val="0035457E"/>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8508C"/>
    <w:rsid w:val="005B6E48"/>
    <w:rsid w:val="005D102F"/>
    <w:rsid w:val="005D1495"/>
    <w:rsid w:val="005F0CED"/>
    <w:rsid w:val="005F25C1"/>
    <w:rsid w:val="006747BD"/>
    <w:rsid w:val="006919BD"/>
    <w:rsid w:val="006B3129"/>
    <w:rsid w:val="006B6591"/>
    <w:rsid w:val="006B70F7"/>
    <w:rsid w:val="006C5337"/>
    <w:rsid w:val="006D214A"/>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26F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AB3996"/>
    <w:rsid w:val="00B61F8A"/>
    <w:rsid w:val="00B734A1"/>
    <w:rsid w:val="00B8641D"/>
    <w:rsid w:val="00B86E8F"/>
    <w:rsid w:val="00BB0176"/>
    <w:rsid w:val="00BC1FCE"/>
    <w:rsid w:val="00BD4FC1"/>
    <w:rsid w:val="00BE2024"/>
    <w:rsid w:val="00C16E39"/>
    <w:rsid w:val="00C22015"/>
    <w:rsid w:val="00C536C0"/>
    <w:rsid w:val="00C5495E"/>
    <w:rsid w:val="00C736D5"/>
    <w:rsid w:val="00C74519"/>
    <w:rsid w:val="00C906A1"/>
    <w:rsid w:val="00C97E75"/>
    <w:rsid w:val="00CD2F26"/>
    <w:rsid w:val="00CD4424"/>
    <w:rsid w:val="00CE1DFF"/>
    <w:rsid w:val="00D005B3"/>
    <w:rsid w:val="00D046E4"/>
    <w:rsid w:val="00D06D36"/>
    <w:rsid w:val="00D25E3D"/>
    <w:rsid w:val="00D40690"/>
    <w:rsid w:val="00D927C7"/>
    <w:rsid w:val="00DA52A1"/>
    <w:rsid w:val="00DA6873"/>
    <w:rsid w:val="00DC3524"/>
    <w:rsid w:val="00E47EE0"/>
    <w:rsid w:val="00E915F1"/>
    <w:rsid w:val="00ED7972"/>
    <w:rsid w:val="00EE493C"/>
    <w:rsid w:val="00F87B23"/>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3090503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8755</Words>
  <Characters>52532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podstawowych materiałów zużywalnych do laboratorium na podstawie umowy ramowej</dc:subject>
  <dc:creator>Katarzyna Wolynska</dc:creator>
  <cp:keywords/>
  <dc:description/>
  <cp:lastModifiedBy>Joanna Oczkowicz | Łukasiewicz – PORT</cp:lastModifiedBy>
  <cp:revision>4</cp:revision>
  <cp:lastPrinted>2020-02-07T19:43:00Z</cp:lastPrinted>
  <dcterms:created xsi:type="dcterms:W3CDTF">2024-03-25T18:30:00Z</dcterms:created>
  <dcterms:modified xsi:type="dcterms:W3CDTF">2024-03-28T06:23:00Z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