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C43C" w14:textId="351086EC" w:rsidR="000107C5" w:rsidRPr="00536C54" w:rsidRDefault="000107C5" w:rsidP="003151C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SZACOWANIE WARTOŚCI ZAMÓWIENIA - OPIS</w:t>
      </w:r>
    </w:p>
    <w:p w14:paraId="727EF0E2" w14:textId="77777777" w:rsidR="000107C5" w:rsidRPr="00536C54" w:rsidRDefault="000107C5" w:rsidP="00D966D6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EC0C0F" w14:textId="77777777" w:rsidR="000107C5" w:rsidRDefault="000107C5" w:rsidP="00D96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35E19">
        <w:rPr>
          <w:rFonts w:ascii="Arial" w:eastAsia="Calibri" w:hAnsi="Arial" w:cs="Arial"/>
          <w:b/>
          <w:bCs/>
          <w:sz w:val="24"/>
          <w:szCs w:val="24"/>
          <w:lang w:eastAsia="pl-PL"/>
        </w:rPr>
        <w:t>Przedmiot zamówienia:</w:t>
      </w:r>
    </w:p>
    <w:p w14:paraId="1C975BF7" w14:textId="77777777" w:rsidR="000107C5" w:rsidRPr="00335E19" w:rsidRDefault="000107C5" w:rsidP="00D966D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35E19">
        <w:rPr>
          <w:rFonts w:ascii="Arial" w:eastAsia="Calibri" w:hAnsi="Arial" w:cs="Arial"/>
          <w:sz w:val="24"/>
          <w:szCs w:val="24"/>
          <w:lang w:eastAsia="pl-PL"/>
        </w:rPr>
        <w:t xml:space="preserve">Usługa wykonania nasadzeń zastępczych na terenie kompleksu wojskowego administrowanego przez 22 Wojskowy Oddział Gospodarczy w Olsztynie </w:t>
      </w:r>
      <w:r w:rsidRPr="00335E19">
        <w:rPr>
          <w:rFonts w:ascii="Arial" w:eastAsia="Calibri" w:hAnsi="Arial" w:cs="Arial"/>
          <w:sz w:val="24"/>
          <w:szCs w:val="24"/>
          <w:lang w:eastAsia="pl-PL"/>
        </w:rPr>
        <w:br/>
        <w:t xml:space="preserve">w miejscowości Ostróda. </w:t>
      </w:r>
    </w:p>
    <w:p w14:paraId="75AFD544" w14:textId="77777777" w:rsidR="000107C5" w:rsidRPr="002F3824" w:rsidRDefault="000107C5" w:rsidP="00D966D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2"/>
          <w:szCs w:val="24"/>
          <w:lang w:eastAsia="pl-PL"/>
        </w:rPr>
      </w:pPr>
    </w:p>
    <w:p w14:paraId="759576EE" w14:textId="77777777" w:rsidR="000107C5" w:rsidRPr="006B50E8" w:rsidRDefault="000107C5" w:rsidP="00D966D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2007197" w14:textId="77777777" w:rsidR="000107C5" w:rsidRPr="002774E5" w:rsidRDefault="000107C5" w:rsidP="00D966D6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774E5">
        <w:rPr>
          <w:rFonts w:ascii="Arial" w:hAnsi="Arial" w:cs="Arial"/>
          <w:b/>
          <w:bCs/>
          <w:sz w:val="24"/>
          <w:szCs w:val="24"/>
        </w:rPr>
        <w:t>CPV: 77211600-8 - Sadzenie drzew</w:t>
      </w:r>
    </w:p>
    <w:p w14:paraId="66125B56" w14:textId="77777777" w:rsidR="000107C5" w:rsidRPr="006B50E8" w:rsidRDefault="000107C5" w:rsidP="00D966D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46D5E6" w14:textId="77777777" w:rsidR="000107C5" w:rsidRDefault="000107C5" w:rsidP="00D966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0A1F">
        <w:rPr>
          <w:rFonts w:ascii="Arial" w:hAnsi="Arial" w:cs="Arial"/>
          <w:b/>
          <w:bCs/>
          <w:sz w:val="24"/>
          <w:szCs w:val="24"/>
        </w:rPr>
        <w:t>Miejsce realizacji zamówienia:</w:t>
      </w:r>
      <w:r w:rsidRPr="00B640D1">
        <w:rPr>
          <w:rFonts w:ascii="Arial" w:hAnsi="Arial" w:cs="Arial"/>
          <w:sz w:val="24"/>
          <w:szCs w:val="24"/>
        </w:rPr>
        <w:t xml:space="preserve"> ul. Grunwaldzka 17, </w:t>
      </w:r>
      <w:r>
        <w:rPr>
          <w:rFonts w:ascii="Arial" w:hAnsi="Arial" w:cs="Arial"/>
          <w:sz w:val="24"/>
          <w:szCs w:val="24"/>
        </w:rPr>
        <w:t xml:space="preserve">14-100 </w:t>
      </w:r>
      <w:r w:rsidRPr="00B640D1">
        <w:rPr>
          <w:rFonts w:ascii="Arial" w:hAnsi="Arial" w:cs="Arial"/>
          <w:sz w:val="24"/>
          <w:szCs w:val="24"/>
        </w:rPr>
        <w:t>OSTRÓDA</w:t>
      </w:r>
    </w:p>
    <w:p w14:paraId="5D88B95C" w14:textId="77777777" w:rsidR="000107C5" w:rsidRDefault="000107C5" w:rsidP="00D966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3BF256" w14:textId="77777777" w:rsidR="000107C5" w:rsidRDefault="000107C5" w:rsidP="00D966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A1F">
        <w:rPr>
          <w:rFonts w:ascii="Arial" w:hAnsi="Arial" w:cs="Arial"/>
          <w:b/>
          <w:bCs/>
          <w:sz w:val="24"/>
          <w:szCs w:val="24"/>
        </w:rPr>
        <w:t xml:space="preserve">          Termin realizacji zamówienia:</w:t>
      </w:r>
      <w:r>
        <w:rPr>
          <w:rFonts w:ascii="Arial" w:hAnsi="Arial" w:cs="Arial"/>
          <w:sz w:val="24"/>
          <w:szCs w:val="24"/>
        </w:rPr>
        <w:t xml:space="preserve"> wrzesień – październik 2025 r.</w:t>
      </w:r>
    </w:p>
    <w:p w14:paraId="53CCA701" w14:textId="77777777" w:rsidR="000107C5" w:rsidRPr="00B640D1" w:rsidRDefault="000107C5" w:rsidP="00D966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FC26D" w14:textId="77777777" w:rsidR="000107C5" w:rsidRPr="006B50E8" w:rsidRDefault="000107C5" w:rsidP="00D966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50E8">
        <w:rPr>
          <w:rFonts w:ascii="Arial" w:hAnsi="Arial" w:cs="Arial"/>
          <w:sz w:val="24"/>
          <w:szCs w:val="24"/>
        </w:rPr>
        <w:t xml:space="preserve"> </w:t>
      </w:r>
    </w:p>
    <w:p w14:paraId="5C42D378" w14:textId="77777777" w:rsidR="000107C5" w:rsidRPr="00934F97" w:rsidRDefault="000107C5" w:rsidP="00D966D6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34F97">
        <w:rPr>
          <w:rFonts w:ascii="Arial" w:eastAsia="Calibri" w:hAnsi="Arial" w:cs="Arial"/>
          <w:b/>
          <w:bCs/>
          <w:sz w:val="24"/>
          <w:szCs w:val="24"/>
        </w:rPr>
        <w:t>Zakres prac:</w:t>
      </w:r>
    </w:p>
    <w:p w14:paraId="0AB796D0" w14:textId="628590A0" w:rsidR="000107C5" w:rsidRDefault="000107C5" w:rsidP="00D966D6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Zamówienie obejmuje wykonanie nasadzeń zastępczych 16 szt. drzew wraz</w:t>
      </w:r>
      <w:r w:rsidR="00D966D6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 z 36 miesięczną gwarancją na nasadzony materiał roślinny.</w:t>
      </w:r>
    </w:p>
    <w:p w14:paraId="40215279" w14:textId="57E40BF1" w:rsidR="000107C5" w:rsidRDefault="000107C5" w:rsidP="00D966D6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Gwarancja obejmuje uzupełnianie na bieżąco uszkodzonych, brakujących </w:t>
      </w:r>
      <w:r w:rsidR="00D966D6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lub niespełniających swojej funkcji materiałów stabilizujących pień drzewa </w:t>
      </w:r>
      <w:r w:rsidR="00D966D6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oraz wymianę drzew, które nie przyjęły się, obumarły.</w:t>
      </w:r>
    </w:p>
    <w:p w14:paraId="5965CC8A" w14:textId="77777777" w:rsidR="000107C5" w:rsidRDefault="000107C5" w:rsidP="00D966D6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 w ramach usługi zakupi, dostarczy sadzonki drzew oraz wszelkie niezbędne materiały dla prawidłowej realizacji zamówienia. Sadzonki powinny zostać wyprodukowane zgodnie z zaleceniami Związku Szkółkarzy Polskich.</w:t>
      </w:r>
    </w:p>
    <w:p w14:paraId="3164A925" w14:textId="77777777" w:rsidR="000107C5" w:rsidRDefault="000107C5" w:rsidP="00D966D6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34F97">
        <w:rPr>
          <w:rFonts w:ascii="Arial" w:eastAsia="Calibri" w:hAnsi="Arial" w:cs="Arial"/>
          <w:sz w:val="24"/>
          <w:szCs w:val="24"/>
        </w:rPr>
        <w:t>Transport, załadunek i rozładunek materiałów po stronie Wykonawcy w ramach usługi.</w:t>
      </w:r>
    </w:p>
    <w:p w14:paraId="7DB9B034" w14:textId="77777777" w:rsidR="000107C5" w:rsidRDefault="000107C5" w:rsidP="00D966D6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34F97">
        <w:rPr>
          <w:rFonts w:ascii="Arial" w:eastAsia="Calibri" w:hAnsi="Arial" w:cs="Arial"/>
          <w:sz w:val="24"/>
          <w:szCs w:val="24"/>
        </w:rPr>
        <w:t>W trakcie realizacji przedmiotu zamówienia Wykonawca dołoży wszelkich starań, aby nie doprowadzić do uszkodzenia istniejących drzewek i krzewów (dot. części nadziemnej i podziemnej)  oraz elementów architektury</w:t>
      </w:r>
      <w:r>
        <w:rPr>
          <w:rFonts w:ascii="Arial" w:eastAsia="Calibri" w:hAnsi="Arial" w:cs="Arial"/>
          <w:sz w:val="24"/>
          <w:szCs w:val="24"/>
        </w:rPr>
        <w:t>, uzbrojenia terenu</w:t>
      </w:r>
      <w:r w:rsidRPr="00934F97">
        <w:rPr>
          <w:rFonts w:ascii="Arial" w:eastAsia="Calibri" w:hAnsi="Arial" w:cs="Arial"/>
          <w:sz w:val="24"/>
          <w:szCs w:val="24"/>
        </w:rPr>
        <w:t xml:space="preserve"> znajdujących się w obrębie działań Wykonawcy. Roślinność istniejąca, powinna być przez Wykonawcę zabezpieczona przed uszkodzeniami.</w:t>
      </w:r>
    </w:p>
    <w:p w14:paraId="57A9AAD5" w14:textId="45B1A6B9" w:rsidR="000107C5" w:rsidRDefault="000107C5" w:rsidP="00D966D6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ramach prac porządkowych i przygotowawczych należy zdjąć warstwę darni z powierzchni przeznaczonej pod nasadzenia drzew. Zdjętą darń  uznaje się za odpad </w:t>
      </w:r>
      <w:r w:rsidR="00712694">
        <w:rPr>
          <w:rFonts w:ascii="Arial" w:eastAsia="Calibri" w:hAnsi="Arial" w:cs="Arial"/>
          <w:sz w:val="24"/>
          <w:szCs w:val="24"/>
        </w:rPr>
        <w:t>– wywiezienie po stronie Wykonawcy.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230B959B" w14:textId="77777777" w:rsidR="000107C5" w:rsidRDefault="000107C5" w:rsidP="00D966D6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34F97">
        <w:rPr>
          <w:rFonts w:ascii="Arial" w:eastAsia="Calibri" w:hAnsi="Arial" w:cs="Arial"/>
          <w:sz w:val="24"/>
          <w:szCs w:val="24"/>
        </w:rPr>
        <w:t>Dokładne miejsca nasadzeń drzew zostaną wskazane w terenie przez przedstawiciela Zamawiającego.</w:t>
      </w:r>
    </w:p>
    <w:p w14:paraId="0E772830" w14:textId="62AAF75D" w:rsidR="000107C5" w:rsidRDefault="000107C5" w:rsidP="00D966D6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Miejsca do nasadzeń drzew zostały zweryfikowane w zakresie instalacji podziemnych oraz innych elementów infrastruktury technicznej. Nie wyklucza się występowania uzbrojenia podziemnego nie wskazanego na planie </w:t>
      </w:r>
      <w:r>
        <w:rPr>
          <w:rFonts w:ascii="Arial" w:eastAsia="Calibri" w:hAnsi="Arial" w:cs="Arial"/>
          <w:sz w:val="24"/>
          <w:szCs w:val="24"/>
        </w:rPr>
        <w:lastRenderedPageBreak/>
        <w:t xml:space="preserve">sytuacyjnym, w związku z czym, wszelkie roboty ziemne związane </w:t>
      </w:r>
      <w:r w:rsidR="00D966D6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z sadzeniem drzew należy bezwzględnie wykonywać ręcznie.</w:t>
      </w:r>
    </w:p>
    <w:p w14:paraId="0C4D7ADA" w14:textId="53E08A51" w:rsidR="000107C5" w:rsidRPr="00934F97" w:rsidRDefault="000107C5" w:rsidP="00D966D6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34F97">
        <w:rPr>
          <w:rFonts w:ascii="Arial" w:eastAsia="Calibri" w:hAnsi="Arial" w:cs="Arial"/>
          <w:sz w:val="24"/>
          <w:szCs w:val="24"/>
        </w:rPr>
        <w:t xml:space="preserve">Wykonawca wykona usługę na terenie jednostki wojskowej w jej godzinach pracy: od poniedziałku do czwartku w godz. 7:15 – 15:15, w piątek od 7:15 </w:t>
      </w:r>
      <w:r w:rsidR="00D966D6">
        <w:rPr>
          <w:rFonts w:ascii="Arial" w:eastAsia="Calibri" w:hAnsi="Arial" w:cs="Arial"/>
          <w:sz w:val="24"/>
          <w:szCs w:val="24"/>
        </w:rPr>
        <w:br/>
      </w:r>
      <w:r w:rsidRPr="00934F97">
        <w:rPr>
          <w:rFonts w:ascii="Arial" w:eastAsia="Calibri" w:hAnsi="Arial" w:cs="Arial"/>
          <w:sz w:val="24"/>
          <w:szCs w:val="24"/>
        </w:rPr>
        <w:t xml:space="preserve">do 12:00. </w:t>
      </w:r>
      <w:r w:rsidRPr="00934F97">
        <w:rPr>
          <w:rFonts w:ascii="Arial" w:eastAsia="Times New Roman" w:hAnsi="Arial" w:cs="Arial"/>
          <w:sz w:val="24"/>
          <w:szCs w:val="24"/>
          <w:lang w:eastAsia="pl-PL"/>
        </w:rPr>
        <w:t xml:space="preserve">Za dni robocze uznaje się dni od poniedziałku do piątku każdego tygodnia z wyłączeniem dni ustawowo wolnych od pracy. </w:t>
      </w:r>
      <w:r w:rsidRPr="00934F97">
        <w:rPr>
          <w:rFonts w:ascii="Arial" w:eastAsia="Calibri" w:hAnsi="Arial" w:cs="Arial"/>
          <w:sz w:val="24"/>
          <w:szCs w:val="24"/>
        </w:rPr>
        <w:t>Nie dopuszcza się pracy w weekendy.</w:t>
      </w:r>
    </w:p>
    <w:p w14:paraId="136EC6A1" w14:textId="77777777" w:rsidR="000107C5" w:rsidRPr="0020381E" w:rsidRDefault="000107C5" w:rsidP="00D966D6">
      <w:pPr>
        <w:pStyle w:val="Akapitzlist"/>
        <w:numPr>
          <w:ilvl w:val="0"/>
          <w:numId w:val="4"/>
        </w:numPr>
        <w:spacing w:after="120" w:line="360" w:lineRule="auto"/>
        <w:ind w:left="426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0381E">
        <w:rPr>
          <w:rFonts w:ascii="Arial" w:eastAsia="Calibri" w:hAnsi="Arial" w:cs="Arial"/>
          <w:b/>
          <w:bCs/>
          <w:sz w:val="24"/>
          <w:szCs w:val="24"/>
        </w:rPr>
        <w:t>Wytyczne wykonania robót oraz materiału:</w:t>
      </w:r>
    </w:p>
    <w:p w14:paraId="1BC6C244" w14:textId="77777777" w:rsidR="000107C5" w:rsidRDefault="000107C5" w:rsidP="00D966D6">
      <w:pPr>
        <w:pStyle w:val="Akapitzlist"/>
        <w:spacing w:after="120" w:line="360" w:lineRule="auto"/>
        <w:ind w:left="851" w:hanging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 Sadzonki drzew powinny być prawidłowo uformowane, z zachowaniem pokroju charakterystycznego dla danego gatunku oraz posiadać następujące cechy:</w:t>
      </w:r>
    </w:p>
    <w:p w14:paraId="331771E3" w14:textId="77777777" w:rsidR="000107C5" w:rsidRDefault="000107C5" w:rsidP="00D966D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Drzewa z jednym przewodnikiem, z wyraźnie uformowanym pąkiem szczytowym i gałęziami wyrastającymi pod odpowiednim kątem,</w:t>
      </w:r>
    </w:p>
    <w:p w14:paraId="2578DA5F" w14:textId="77777777" w:rsidR="000107C5" w:rsidRDefault="000107C5" w:rsidP="00D966D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Przyrost ostatniego roku wyraźnie i prosto przedłuża przewodnik,</w:t>
      </w:r>
    </w:p>
    <w:p w14:paraId="285E3E3D" w14:textId="77777777" w:rsidR="000107C5" w:rsidRDefault="000107C5" w:rsidP="00D966D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Prawidłowo uformowana bryła korzeniowa (zwarta i porośnięta korzeniami),</w:t>
      </w:r>
    </w:p>
    <w:p w14:paraId="428667D4" w14:textId="77777777" w:rsidR="000107C5" w:rsidRDefault="000107C5" w:rsidP="00D966D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Minimalny obwód sadzonek drzew został określony w tabeli nr 1 ust. 3.3.</w:t>
      </w:r>
    </w:p>
    <w:p w14:paraId="3949F64D" w14:textId="77777777" w:rsidR="000107C5" w:rsidRDefault="000107C5" w:rsidP="00D966D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Sadzonki drzew powinny być etykietowane etykietami paskowymi zawierającymi nazwy gatunkowe polskie i łacińskie.</w:t>
      </w:r>
    </w:p>
    <w:p w14:paraId="657AA9FC" w14:textId="77777777" w:rsidR="000107C5" w:rsidRDefault="000107C5" w:rsidP="00D966D6">
      <w:pPr>
        <w:spacing w:after="120" w:line="36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Zamawiający zastrzega sobie prawo odmowy przyjęcia dostarczonego materiału w przypadku stwierdzenia złej jakości dostarczonego materiału. Wykonawca zobowiązany będzie do dokonania wymiany materiału roślinnego na własny koszt.</w:t>
      </w:r>
    </w:p>
    <w:p w14:paraId="2DD8035D" w14:textId="77777777" w:rsidR="000107C5" w:rsidRDefault="000107C5" w:rsidP="00D966D6">
      <w:pPr>
        <w:spacing w:after="12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NIEDOPUSZCZALNE WADY MATERIAŁU ROŚLINNEGO:</w:t>
      </w:r>
    </w:p>
    <w:p w14:paraId="5305BFF4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Rozwidlenie V-kształtne sadzonek drzew</w:t>
      </w:r>
    </w:p>
    <w:p w14:paraId="1EA1E42F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Świeże ciecia korygujące,</w:t>
      </w:r>
    </w:p>
    <w:p w14:paraId="43BBB22B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Ślady żerowania szkodników,</w:t>
      </w:r>
    </w:p>
    <w:p w14:paraId="12AF0652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Uszkodzenia mechaniczne,</w:t>
      </w:r>
    </w:p>
    <w:p w14:paraId="5F924470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Oznaki chorobowe, martwice,</w:t>
      </w:r>
    </w:p>
    <w:p w14:paraId="095875ED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left="1418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Zwiędnięcia i pomarszczenia kory na korzeniach i częściach nadziemnych,</w:t>
      </w:r>
    </w:p>
    <w:p w14:paraId="21B0B488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Pęknięcia i odwarstwienia kory, deformacje i uszkodzenia kory,</w:t>
      </w:r>
    </w:p>
    <w:p w14:paraId="130A7810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Uszkodzenie pąka szczytowego przewodnika,</w:t>
      </w:r>
    </w:p>
    <w:p w14:paraId="13ACA933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Uszkodzenie lub przesuszenie bryły korzeniowej,</w:t>
      </w:r>
    </w:p>
    <w:p w14:paraId="61E3C385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Uszkodzenia pni.</w:t>
      </w:r>
    </w:p>
    <w:p w14:paraId="79D0B5C8" w14:textId="77777777" w:rsidR="000107C5" w:rsidRDefault="000107C5" w:rsidP="00D966D6">
      <w:pPr>
        <w:pStyle w:val="Akapitzlist"/>
        <w:numPr>
          <w:ilvl w:val="0"/>
          <w:numId w:val="2"/>
        </w:numPr>
        <w:spacing w:after="120" w:line="360" w:lineRule="auto"/>
        <w:ind w:left="1418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Niesymetryczna korona (brak jednego z pięter korony, jednostronna, płaska korona).</w:t>
      </w:r>
    </w:p>
    <w:p w14:paraId="56DAAC25" w14:textId="77777777" w:rsidR="000107C5" w:rsidRDefault="000107C5" w:rsidP="00D966D6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 Sadzenie drzew powinno przebiegać zgodnie z poniższymi wskazaniami:</w:t>
      </w:r>
    </w:p>
    <w:p w14:paraId="1E0AF643" w14:textId="77777777" w:rsidR="000107C5" w:rsidRDefault="000107C5" w:rsidP="00D966D6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Doły pod drzewa powinny mieć wielkość umożliwiającą prawidłowe ustawienie bryły korzeniowej, wielkość dołu powinna być 2-3 krotnie większa od bryły korzeniowej sadzonej rośliny,</w:t>
      </w:r>
    </w:p>
    <w:p w14:paraId="2596349E" w14:textId="77777777" w:rsidR="000107C5" w:rsidRDefault="000107C5" w:rsidP="00D966D6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Sadzenie należy wykonać z całkowitą zaprawą dołów ziemią urodzajną. Ziemia urodzajna po stronie Wykonawcy w ramach usługi. Ziemia powinna być wolna od chwastów, kamieni i innych zanieczyszczeń.</w:t>
      </w:r>
    </w:p>
    <w:p w14:paraId="0E6D67CB" w14:textId="77777777" w:rsidR="000107C5" w:rsidRDefault="000107C5" w:rsidP="00D966D6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Ziemię urodzajna należy zaprawić hydrożelem w formie granulatu, w dawce zalecanej przez producenta konkretnego preparatu.</w:t>
      </w:r>
    </w:p>
    <w:p w14:paraId="16339AC9" w14:textId="77777777" w:rsidR="000107C5" w:rsidRDefault="000107C5" w:rsidP="00D966D6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Rośliny należy sadzić na tej samej głębokości jak ta, na której rosły w szkółce, niedopuszczalne jest umiejscowienie szyi korzeniowej poniżej poziomu terenu</w:t>
      </w:r>
    </w:p>
    <w:p w14:paraId="54C5C1CC" w14:textId="682735F7" w:rsidR="000107C5" w:rsidRDefault="000107C5" w:rsidP="00D966D6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Drzewa należy ustabilizować w gruncie palikami (min. 3 paliki). </w:t>
      </w:r>
      <w:r w:rsidRPr="00DA4719">
        <w:rPr>
          <w:rFonts w:ascii="Arial" w:eastAsia="Calibri" w:hAnsi="Arial" w:cs="Arial"/>
          <w:sz w:val="24"/>
          <w:szCs w:val="24"/>
        </w:rPr>
        <w:t xml:space="preserve">Należy zastosować paliki toczone Ø 60 mm (zastępczo dopuszcza się zastosowanie palików z kantówki </w:t>
      </w:r>
      <w:r>
        <w:rPr>
          <w:rFonts w:ascii="Arial" w:eastAsia="Calibri" w:hAnsi="Arial" w:cs="Arial"/>
          <w:sz w:val="24"/>
          <w:szCs w:val="24"/>
        </w:rPr>
        <w:t>5</w:t>
      </w:r>
      <w:r w:rsidRPr="00DA4719">
        <w:rPr>
          <w:rFonts w:ascii="Arial" w:eastAsia="Calibri" w:hAnsi="Arial" w:cs="Arial"/>
          <w:sz w:val="24"/>
          <w:szCs w:val="24"/>
        </w:rPr>
        <w:t>0 mmm x 50 mm), zaimpregnowane środkiem nieszkodliwym dla roślin.</w:t>
      </w:r>
      <w:r>
        <w:rPr>
          <w:rFonts w:ascii="Arial" w:eastAsia="Calibri" w:hAnsi="Arial" w:cs="Arial"/>
          <w:sz w:val="24"/>
          <w:szCs w:val="24"/>
        </w:rPr>
        <w:t xml:space="preserve"> Paliki muszą być mocno i stabilnie osadzone w dnie dołu sadzeniowego, nie uszkadzając bryły korzeniowej. </w:t>
      </w:r>
      <w:r w:rsidRPr="00DA4719">
        <w:rPr>
          <w:rFonts w:ascii="Arial" w:eastAsia="Calibri" w:hAnsi="Arial" w:cs="Arial"/>
          <w:sz w:val="24"/>
          <w:szCs w:val="24"/>
        </w:rPr>
        <w:t xml:space="preserve"> Wysokość palików należy dobrać tak, aby sięgały do korony drzewa. Do palików należy zastosować poziome rygle usztywniające.  Paliki oraz rygle nie mogą ocierać żadnej części drzewa</w:t>
      </w:r>
      <w:r>
        <w:rPr>
          <w:rFonts w:ascii="Arial" w:eastAsia="Calibri" w:hAnsi="Arial" w:cs="Arial"/>
          <w:sz w:val="24"/>
          <w:szCs w:val="24"/>
        </w:rPr>
        <w:t xml:space="preserve">. Drzewa należy podowiązać pod koroną </w:t>
      </w:r>
      <w:r w:rsidRPr="000B0A1F">
        <w:rPr>
          <w:rFonts w:ascii="Arial" w:eastAsia="Calibri" w:hAnsi="Arial" w:cs="Arial"/>
          <w:sz w:val="24"/>
          <w:szCs w:val="24"/>
        </w:rPr>
        <w:t xml:space="preserve">taśmami </w:t>
      </w:r>
      <w:r w:rsidR="00D966D6">
        <w:rPr>
          <w:rFonts w:ascii="Arial" w:eastAsia="Calibri" w:hAnsi="Arial" w:cs="Arial"/>
          <w:sz w:val="24"/>
          <w:szCs w:val="24"/>
        </w:rPr>
        <w:br/>
      </w:r>
      <w:r w:rsidRPr="000B0A1F">
        <w:rPr>
          <w:rFonts w:ascii="Arial" w:eastAsia="Calibri" w:hAnsi="Arial" w:cs="Arial"/>
          <w:sz w:val="24"/>
          <w:szCs w:val="24"/>
        </w:rPr>
        <w:t>z materiałów, które zapobiegną uszkodzeniom kory na pniu drzew.</w:t>
      </w:r>
    </w:p>
    <w:p w14:paraId="41A89277" w14:textId="77777777" w:rsidR="000107C5" w:rsidRPr="000B0A1F" w:rsidRDefault="000107C5" w:rsidP="00D966D6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 dokonaniu nasadzeń należy ukształtować misy sadzeniowe wokół drzew.</w:t>
      </w:r>
    </w:p>
    <w:p w14:paraId="717F02C7" w14:textId="1B718F0D" w:rsidR="000107C5" w:rsidRPr="00226F00" w:rsidRDefault="000107C5" w:rsidP="00226F0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Posadzone drzewa należy obficie podlać. Woda po stronie Zamawiającego.</w:t>
      </w:r>
    </w:p>
    <w:p w14:paraId="309A8A19" w14:textId="77777777" w:rsidR="000107C5" w:rsidRPr="00BD53DB" w:rsidRDefault="000107C5" w:rsidP="00D966D6">
      <w:pPr>
        <w:spacing w:after="120" w:line="360" w:lineRule="auto"/>
        <w:ind w:left="36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D53DB">
        <w:rPr>
          <w:rFonts w:ascii="Arial" w:eastAsia="Calibri" w:hAnsi="Arial" w:cs="Arial"/>
          <w:sz w:val="24"/>
          <w:szCs w:val="24"/>
        </w:rPr>
        <w:t>3.3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53DB">
        <w:rPr>
          <w:rFonts w:ascii="Arial" w:eastAsia="Calibri" w:hAnsi="Arial" w:cs="Arial"/>
          <w:sz w:val="24"/>
          <w:szCs w:val="24"/>
        </w:rPr>
        <w:t>Tabela 1. Wykaz drzew do wykonania nasadzeń zastępczych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1786"/>
        <w:gridCol w:w="1715"/>
        <w:gridCol w:w="3303"/>
      </w:tblGrid>
      <w:tr w:rsidR="000107C5" w14:paraId="12C7C4F2" w14:textId="77777777" w:rsidTr="00AD433D">
        <w:tc>
          <w:tcPr>
            <w:tcW w:w="769" w:type="dxa"/>
          </w:tcPr>
          <w:p w14:paraId="33B0BA06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1786" w:type="dxa"/>
          </w:tcPr>
          <w:p w14:paraId="1DDD42F6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Gatunek </w:t>
            </w:r>
          </w:p>
        </w:tc>
        <w:tc>
          <w:tcPr>
            <w:tcW w:w="1715" w:type="dxa"/>
          </w:tcPr>
          <w:p w14:paraId="4C5E957B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Ilość [szt.]</w:t>
            </w:r>
          </w:p>
        </w:tc>
        <w:tc>
          <w:tcPr>
            <w:tcW w:w="3303" w:type="dxa"/>
          </w:tcPr>
          <w:p w14:paraId="63997FC6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Parametry</w:t>
            </w:r>
          </w:p>
        </w:tc>
      </w:tr>
      <w:tr w:rsidR="000107C5" w14:paraId="713C2434" w14:textId="77777777" w:rsidTr="00AD433D">
        <w:tc>
          <w:tcPr>
            <w:tcW w:w="769" w:type="dxa"/>
          </w:tcPr>
          <w:p w14:paraId="14DB2E9D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14:paraId="37980771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Lipa drobnolistna</w:t>
            </w:r>
          </w:p>
        </w:tc>
        <w:tc>
          <w:tcPr>
            <w:tcW w:w="1715" w:type="dxa"/>
          </w:tcPr>
          <w:p w14:paraId="5E623BB0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303" w:type="dxa"/>
          </w:tcPr>
          <w:p w14:paraId="7998AD45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Obwód pnia mierzony na wysokości 100 cm:10-12 cm</w:t>
            </w:r>
          </w:p>
        </w:tc>
      </w:tr>
      <w:tr w:rsidR="000107C5" w14:paraId="41AB3BE3" w14:textId="77777777" w:rsidTr="00AD433D">
        <w:tc>
          <w:tcPr>
            <w:tcW w:w="769" w:type="dxa"/>
          </w:tcPr>
          <w:p w14:paraId="2B45CDB6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14:paraId="2FF18B78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Klon pospolity</w:t>
            </w:r>
          </w:p>
        </w:tc>
        <w:tc>
          <w:tcPr>
            <w:tcW w:w="1715" w:type="dxa"/>
          </w:tcPr>
          <w:p w14:paraId="608057F4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303" w:type="dxa"/>
          </w:tcPr>
          <w:p w14:paraId="36BB11EB" w14:textId="77777777" w:rsidR="000107C5" w:rsidRDefault="000107C5" w:rsidP="00D966D6">
            <w:pPr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Obwód pnia mierzony na wysokości 100 cm:10-12 cm</w:t>
            </w:r>
          </w:p>
        </w:tc>
      </w:tr>
    </w:tbl>
    <w:p w14:paraId="6FF970A9" w14:textId="77777777" w:rsidR="000107C5" w:rsidRDefault="000107C5" w:rsidP="00D966D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CC87AE" w14:textId="5E240424" w:rsidR="00351BF8" w:rsidRPr="00A346A9" w:rsidRDefault="000107C5" w:rsidP="00A346A9">
      <w:pPr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BD53DB">
        <w:rPr>
          <w:rFonts w:ascii="Arial" w:eastAsia="Calibri" w:hAnsi="Arial" w:cs="Arial"/>
          <w:b/>
          <w:bCs/>
          <w:sz w:val="24"/>
          <w:szCs w:val="24"/>
          <w:u w:val="single"/>
        </w:rPr>
        <w:t>Zamawiający nie dopuszcza możliwości dokonywania zmian w zakresie gatunkowym drzew oraz ich parametrów</w:t>
      </w:r>
      <w:r w:rsidR="00A346A9">
        <w:rPr>
          <w:rFonts w:ascii="Arial" w:eastAsia="Calibri" w:hAnsi="Arial" w:cs="Arial"/>
          <w:b/>
          <w:bCs/>
          <w:sz w:val="24"/>
          <w:szCs w:val="24"/>
          <w:u w:val="single"/>
        </w:rPr>
        <w:t>.</w:t>
      </w:r>
    </w:p>
    <w:sectPr w:rsidR="00351BF8" w:rsidRPr="00A346A9" w:rsidSect="003151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0BCC" w14:textId="77777777" w:rsidR="00986CEC" w:rsidRDefault="00986CEC" w:rsidP="000107C5">
      <w:pPr>
        <w:spacing w:after="0" w:line="240" w:lineRule="auto"/>
      </w:pPr>
      <w:r>
        <w:separator/>
      </w:r>
    </w:p>
  </w:endnote>
  <w:endnote w:type="continuationSeparator" w:id="0">
    <w:p w14:paraId="002F0048" w14:textId="77777777" w:rsidR="00986CEC" w:rsidRDefault="00986CEC" w:rsidP="0001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61F7" w14:textId="77777777" w:rsidR="003151C8" w:rsidRDefault="00315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BAF4" w14:textId="77777777" w:rsidR="003151C8" w:rsidRDefault="003151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48D8" w14:textId="77777777" w:rsidR="00E631D8" w:rsidRDefault="00E631D8">
    <w:pPr>
      <w:pStyle w:val="Stopka"/>
      <w:jc w:val="right"/>
    </w:pPr>
  </w:p>
  <w:p w14:paraId="1F8F573E" w14:textId="77777777" w:rsidR="00E631D8" w:rsidRDefault="00E63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AFC4" w14:textId="77777777" w:rsidR="00986CEC" w:rsidRDefault="00986CEC" w:rsidP="000107C5">
      <w:pPr>
        <w:spacing w:after="0" w:line="240" w:lineRule="auto"/>
      </w:pPr>
      <w:r>
        <w:separator/>
      </w:r>
    </w:p>
  </w:footnote>
  <w:footnote w:type="continuationSeparator" w:id="0">
    <w:p w14:paraId="289141D3" w14:textId="77777777" w:rsidR="00986CEC" w:rsidRDefault="00986CEC" w:rsidP="0001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38CD" w14:textId="38F3309A" w:rsidR="00E631D8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2A7122" wp14:editId="7D42EC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4250" cy="785495"/>
              <wp:effectExtent l="0" t="2324100" r="0" b="23006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34250" cy="785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17805" w14:textId="77777777" w:rsidR="00E631D8" w:rsidRDefault="00000000" w:rsidP="00BD53DB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Projektowane postanowienia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A712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0;width:577.5pt;height:61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5617805" w14:textId="77777777" w:rsidR="00E631D8" w:rsidRDefault="00000000" w:rsidP="00BD53DB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Projektowane postanowienia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8705" w14:textId="77777777" w:rsidR="003151C8" w:rsidRDefault="003151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ED94" w14:textId="77777777" w:rsidR="003151C8" w:rsidRDefault="0031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DBA"/>
    <w:multiLevelType w:val="hybridMultilevel"/>
    <w:tmpl w:val="6164A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17286"/>
    <w:multiLevelType w:val="hybridMultilevel"/>
    <w:tmpl w:val="AFC25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83E9C"/>
    <w:multiLevelType w:val="multilevel"/>
    <w:tmpl w:val="55AC2D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58F2881"/>
    <w:multiLevelType w:val="hybridMultilevel"/>
    <w:tmpl w:val="7220B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6167"/>
    <w:multiLevelType w:val="hybridMultilevel"/>
    <w:tmpl w:val="DFB25B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57036755">
    <w:abstractNumId w:val="4"/>
  </w:num>
  <w:num w:numId="2" w16cid:durableId="374698583">
    <w:abstractNumId w:val="1"/>
  </w:num>
  <w:num w:numId="3" w16cid:durableId="461846379">
    <w:abstractNumId w:val="3"/>
  </w:num>
  <w:num w:numId="4" w16cid:durableId="425425725">
    <w:abstractNumId w:val="0"/>
  </w:num>
  <w:num w:numId="5" w16cid:durableId="610627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42"/>
    <w:rsid w:val="000107C5"/>
    <w:rsid w:val="00147050"/>
    <w:rsid w:val="00226F00"/>
    <w:rsid w:val="003151C8"/>
    <w:rsid w:val="00351BF8"/>
    <w:rsid w:val="0041733C"/>
    <w:rsid w:val="005600E1"/>
    <w:rsid w:val="00712694"/>
    <w:rsid w:val="007D7B42"/>
    <w:rsid w:val="0083010F"/>
    <w:rsid w:val="00986CEC"/>
    <w:rsid w:val="00A346A9"/>
    <w:rsid w:val="00A86106"/>
    <w:rsid w:val="00B07D93"/>
    <w:rsid w:val="00BF5BA6"/>
    <w:rsid w:val="00C57492"/>
    <w:rsid w:val="00CA58C9"/>
    <w:rsid w:val="00D966D6"/>
    <w:rsid w:val="00DA58D6"/>
    <w:rsid w:val="00E14624"/>
    <w:rsid w:val="00E62F09"/>
    <w:rsid w:val="00E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436D"/>
  <w15:chartTrackingRefBased/>
  <w15:docId w15:val="{1F989DF5-FD6B-46DC-8FF7-BAFA6D67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7C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B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B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B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B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B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B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B42"/>
    <w:rPr>
      <w:i/>
      <w:iCs/>
      <w:color w:val="404040" w:themeColor="text1" w:themeTint="BF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Akapit z listą5,CP-UC,CP-Punkty,Bullet List,List - bullets,Obiekt"/>
    <w:basedOn w:val="Normalny"/>
    <w:link w:val="AkapitzlistZnak"/>
    <w:uiPriority w:val="34"/>
    <w:qFormat/>
    <w:rsid w:val="007D7B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B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B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B4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1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7C5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7C5"/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locked/>
    <w:rsid w:val="000107C5"/>
  </w:style>
  <w:style w:type="table" w:styleId="Tabela-Siatka">
    <w:name w:val="Table Grid"/>
    <w:basedOn w:val="Standardowy"/>
    <w:uiPriority w:val="39"/>
    <w:rsid w:val="000107C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EMW1tM3B3V2dOamczR0pWV1RiZW1Rb2FSMHA3TDg5Z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yWLUAoKyfS6YjrQ+/JIbMney8JUrtNVjooJcfkCEiMo=</DigestValue>
      </Reference>
      <Reference URI="#INFO">
        <DigestMethod Algorithm="http://www.w3.org/2001/04/xmlenc#sha256"/>
        <DigestValue>7KgsmBbhgytfmgiBlyUTwjQ3qKf4oGZjTlqboFkwCzM=</DigestValue>
      </Reference>
    </SignedInfo>
    <SignatureValue>VzhHFoP3YxEGo4J0J2ofLvzQ0eRdIvL+SrZAhHEfujaVLh3sOxsHHKy4zp8U73h/L7HfopJS9qSdevGRbnzgJQ==</SignatureValue>
    <Object Id="INFO">
      <ArrayOfString xmlns:xsd="http://www.w3.org/2001/XMLSchema" xmlns:xsi="http://www.w3.org/2001/XMLSchema-instance" xmlns="">
        <string>D1mm3pwWgNjg3GJVWTbemQoaR0p7L89f</string>
      </ArrayOfString>
    </Object>
  </Signature>
</WrappedLabelInfo>
</file>

<file path=customXml/itemProps1.xml><?xml version="1.0" encoding="utf-8"?>
<ds:datastoreItem xmlns:ds="http://schemas.openxmlformats.org/officeDocument/2006/customXml" ds:itemID="{767F5A11-EC03-42B7-9712-4E6A0DE14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017DD-3255-4A2F-BED7-32A61988B70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AE77C43-AB2B-4B4D-945A-994D6CAEDBD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731</Words>
  <Characters>4848</Characters>
  <Application>Microsoft Office Word</Application>
  <DocSecurity>0</DocSecurity>
  <Lines>114</Lines>
  <Paragraphs>58</Paragraphs>
  <ScaleCrop>false</ScaleCrop>
  <Company>MON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Zaorska Joanna</dc:creator>
  <cp:keywords/>
  <dc:description/>
  <cp:lastModifiedBy>Zaorska Joanna</cp:lastModifiedBy>
  <cp:revision>9</cp:revision>
  <cp:lastPrinted>2025-04-28T10:21:00Z</cp:lastPrinted>
  <dcterms:created xsi:type="dcterms:W3CDTF">2025-04-28T10:17:00Z</dcterms:created>
  <dcterms:modified xsi:type="dcterms:W3CDTF">2025-04-28T11:08:00Z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037367cf-a10f-41c3-977d-d5086d7b318f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Saver">
    <vt:lpwstr>tTShUEVudJD7YpSVMBj7qrhQm5H9uOZW</vt:lpwstr>
  </property>
</Properties>
</file>