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26E3D75C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D2852"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F37AF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podzespołów komputerowych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3BAFFF5C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B52F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41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8A99930" w14:textId="2BE7E02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98F13CD" w14:textId="7777777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2CECFA6A" w14:textId="39553B41" w:rsidR="00ED2852" w:rsidRDefault="00ED2852" w:rsidP="00A2181B">
      <w:pPr>
        <w:spacing w:after="12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91BC4">
        <w:rPr>
          <w:rFonts w:eastAsia="Calibri" w:cs="Arial"/>
          <w:color w:val="222A35"/>
          <w:szCs w:val="20"/>
          <w:lang w:eastAsia="pl-PL"/>
        </w:rPr>
        <w:t>.</w:t>
      </w: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A4F825C" w14:textId="77777777" w:rsidR="00ED2852" w:rsidRPr="00561D23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FD9AB1E" w14:textId="77777777" w:rsidR="00A2181B" w:rsidRPr="000F1C1A" w:rsidRDefault="00A2181B" w:rsidP="00A2181B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2C86519A" w14:textId="77777777" w:rsidR="00A2181B" w:rsidRPr="000F1C1A" w:rsidRDefault="00A2181B" w:rsidP="00A2181B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>Z-ca Kanclerza ds. Inwestycji</w:t>
      </w:r>
    </w:p>
    <w:p w14:paraId="04FB60FD" w14:textId="37F54129" w:rsidR="007166B4" w:rsidRDefault="00A2181B" w:rsidP="00A2181B">
      <w:pPr>
        <w:ind w:left="0" w:firstLine="0"/>
        <w:jc w:val="right"/>
        <w:rPr>
          <w:rFonts w:eastAsia="Calibri" w:cs="Arial"/>
          <w:color w:val="222A35" w:themeColor="text2" w:themeShade="80"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1C2851E0" w14:textId="77777777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71F466" w14:textId="77777777" w:rsidR="00ED2852" w:rsidRDefault="00ED285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2B01C62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4C642462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4E66D835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2C148019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24E16D19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1A9B4F4A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7CDBD79A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11B0543A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5D90E4E2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755C0EDE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63F6AE4B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73E63095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7639A68F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4BCEC320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366ADD61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04FC4181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7B8D6565" w14:textId="77777777" w:rsidR="00A2181B" w:rsidRDefault="00A2181B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5F2D3B28" w:rsidR="00F85C46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F37AF3">
        <w:rPr>
          <w:rFonts w:eastAsia="Calibri" w:cs="Arial"/>
          <w:szCs w:val="20"/>
          <w:lang w:eastAsia="pl-PL"/>
        </w:rPr>
        <w:t>czerwiec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654360EB" w14:textId="77777777" w:rsidR="009B41EA" w:rsidRPr="00ED1083" w:rsidRDefault="009B41EA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7E83CB38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49E44FEB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7CFCB37C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3CC708E7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208B769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7C8D5FD4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7337D8DA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7EBC70DC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052FC802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2874572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27622A35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00A27224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521CE58D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1BD9E1A5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1A1F59DC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451E8DC6" w:rsidR="000C5435" w:rsidRPr="000C5435" w:rsidRDefault="0009637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597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02D85D85" w:rsidR="0026325C" w:rsidRPr="00CA318B" w:rsidRDefault="0068625C" w:rsidP="0068625C">
      <w:pPr>
        <w:tabs>
          <w:tab w:val="left" w:pos="284"/>
          <w:tab w:val="left" w:pos="7380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FB4B1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2190BC5F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0ED1CC21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6F662DBD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</w:p>
    <w:p w14:paraId="74F8A23E" w14:textId="48974C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768A4BB6" w:rsidR="000E5D19" w:rsidRPr="00F37AF3" w:rsidRDefault="00F85C46" w:rsidP="00F37AF3">
      <w:pPr>
        <w:pStyle w:val="Nagwek3"/>
        <w:numPr>
          <w:ilvl w:val="0"/>
          <w:numId w:val="37"/>
        </w:numPr>
        <w:ind w:left="568" w:hanging="284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„Dostawa podzespołów komputerowych”</w:t>
      </w:r>
      <w:r w:rsidR="00F37AF3">
        <w:rPr>
          <w:rFonts w:eastAsia="Calibri"/>
          <w:b/>
        </w:rPr>
        <w:t>.</w:t>
      </w:r>
    </w:p>
    <w:p w14:paraId="27E5F126" w14:textId="1C17250E" w:rsidR="00FC4A04" w:rsidRPr="00E71C6D" w:rsidRDefault="00F85C46" w:rsidP="002A3576">
      <w:pPr>
        <w:pStyle w:val="Nagwek3"/>
        <w:widowControl w:val="0"/>
        <w:numPr>
          <w:ilvl w:val="0"/>
          <w:numId w:val="37"/>
        </w:numPr>
        <w:spacing w:after="24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F37AF3">
        <w:rPr>
          <w:b/>
        </w:rPr>
        <w:t>41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ED1083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FB4B10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8D75285" w:rsidR="00CD4EBF" w:rsidRPr="00CD4EBF" w:rsidRDefault="004C589D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D813F5">
        <w:rPr>
          <w:rFonts w:cs="Arial"/>
          <w:b/>
          <w:bCs/>
          <w:szCs w:val="20"/>
          <w:lang w:eastAsia="pl-PL"/>
        </w:rPr>
        <w:t>podzespołów komputerowych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</w:t>
      </w:r>
      <w:r w:rsidR="00D813F5">
        <w:rPr>
          <w:rFonts w:cs="Arial"/>
          <w:bCs/>
          <w:szCs w:val="20"/>
          <w:lang w:eastAsia="pl-PL"/>
        </w:rPr>
        <w:t>A-C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365EA2">
        <w:rPr>
          <w:rFonts w:cs="Arial"/>
          <w:bCs/>
          <w:szCs w:val="20"/>
          <w:lang w:eastAsia="pl-PL"/>
        </w:rPr>
        <w:t>urządzeniami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1B6D55A0" w:rsidR="00365EA2" w:rsidRDefault="00365EA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Oferowane urządzenia muszą być fabrycznie nowe, nieużywane,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6E08DEC4" w:rsidR="00C34522" w:rsidRPr="00C34522" w:rsidRDefault="00C3452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>Zakres zamówienia obejmuje: dostarczenie urządzeń wraz z rozładunkiem  i wniesieniem do miejsca wskazanego przez Zamawiającego. Wykonawca zobowiązany jest zapewnić bezpłatny serwis gwarancyjny urządzeń;</w:t>
      </w:r>
    </w:p>
    <w:p w14:paraId="0863AF85" w14:textId="03B05BE5" w:rsidR="003A0DD4" w:rsidRPr="00A35F73" w:rsidRDefault="003A0DD4" w:rsidP="00FB4B10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07974BEA" w:rsidR="002C3360" w:rsidRPr="0068625C" w:rsidRDefault="004C589D" w:rsidP="00ED1083">
      <w:pPr>
        <w:pStyle w:val="Akapitzlist"/>
        <w:widowControl w:val="0"/>
        <w:numPr>
          <w:ilvl w:val="0"/>
          <w:numId w:val="56"/>
        </w:numPr>
        <w:spacing w:after="720"/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D813F5" w:rsidRPr="00D813F5">
        <w:rPr>
          <w:b/>
        </w:rPr>
        <w:t>30233132-5</w:t>
      </w:r>
      <w:r w:rsidR="00CD4EBF" w:rsidRPr="00201B3C">
        <w:t xml:space="preserve">- </w:t>
      </w:r>
      <w:r w:rsidR="00D813F5" w:rsidRPr="00D813F5">
        <w:t>Napędy dyskowe</w:t>
      </w:r>
      <w:r w:rsidR="00CD4EBF" w:rsidRPr="00201B3C">
        <w:t>.</w:t>
      </w:r>
    </w:p>
    <w:p w14:paraId="06F51BD7" w14:textId="77777777" w:rsidR="0068625C" w:rsidRPr="003A0DD4" w:rsidRDefault="0068625C" w:rsidP="0068625C">
      <w:pPr>
        <w:pStyle w:val="Akapitzlist"/>
        <w:widowControl w:val="0"/>
        <w:spacing w:after="720"/>
        <w:ind w:left="567" w:firstLine="0"/>
        <w:contextualSpacing w:val="0"/>
        <w:outlineLvl w:val="1"/>
        <w:rPr>
          <w:rFonts w:cs="Arial"/>
          <w:bCs/>
          <w:szCs w:val="20"/>
          <w:lang w:eastAsia="pl-PL"/>
        </w:rPr>
      </w:pPr>
    </w:p>
    <w:p w14:paraId="276985F9" w14:textId="5ACF3BF5" w:rsidR="00170642" w:rsidRPr="00026F96" w:rsidRDefault="00170642" w:rsidP="00FB4B10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70ED9272" w14:textId="4BF6F2AD" w:rsidR="00822550" w:rsidRDefault="00603309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A81F09">
        <w:rPr>
          <w:lang w:val="pl-PL"/>
        </w:rPr>
        <w:t>A-C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72E73E4A" w:rsidR="00F12854" w:rsidRPr="00F12854" w:rsidRDefault="00F12854" w:rsidP="00FB4B10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650FEE" w:rsidRPr="00650FEE">
        <w:rPr>
          <w:lang w:eastAsia="x-none"/>
        </w:rPr>
        <w:t>urządzeni</w:t>
      </w:r>
      <w:r w:rsidR="00650FEE">
        <w:rPr>
          <w:lang w:eastAsia="x-none"/>
        </w:rPr>
        <w:t>a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50EA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01C6C28" w:rsidR="009E363B" w:rsidRDefault="009F79A4" w:rsidP="00FB4B10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56C7C787" w14:textId="12940F95" w:rsidR="00030F89" w:rsidRDefault="00030F89" w:rsidP="00030F89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część A- 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>Dyski HDD</w:t>
      </w:r>
      <w:r w:rsidR="00D21504">
        <w:rPr>
          <w:rFonts w:eastAsia="Times New Roman" w:cs="Times New Roman"/>
          <w:bCs/>
          <w:szCs w:val="26"/>
          <w:lang w:eastAsia="x-none"/>
        </w:rPr>
        <w:t xml:space="preserve"> 7 szt.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 xml:space="preserve">, </w:t>
      </w:r>
      <w:r w:rsidR="006E10A0" w:rsidRPr="006E10A0">
        <w:rPr>
          <w:rFonts w:eastAsia="Times New Roman" w:cs="Times New Roman"/>
          <w:bCs/>
          <w:szCs w:val="26"/>
          <w:lang w:eastAsia="x-none"/>
        </w:rPr>
        <w:t xml:space="preserve">Dyski 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>S</w:t>
      </w:r>
      <w:r w:rsidR="00C57AEB">
        <w:rPr>
          <w:rFonts w:eastAsia="Times New Roman" w:cs="Times New Roman"/>
          <w:bCs/>
          <w:szCs w:val="26"/>
          <w:lang w:eastAsia="x-none"/>
        </w:rPr>
        <w:t>S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>D</w:t>
      </w:r>
      <w:r w:rsidR="00D21504">
        <w:rPr>
          <w:rFonts w:eastAsia="Times New Roman" w:cs="Times New Roman"/>
          <w:bCs/>
          <w:szCs w:val="26"/>
          <w:lang w:eastAsia="x-none"/>
        </w:rPr>
        <w:t>-30 szt.</w:t>
      </w:r>
    </w:p>
    <w:p w14:paraId="2C519555" w14:textId="42652505" w:rsidR="00030F89" w:rsidRPr="000205D5" w:rsidRDefault="00030F89" w:rsidP="000205D5">
      <w:pPr>
        <w:pStyle w:val="Akapitzlist"/>
        <w:numPr>
          <w:ilvl w:val="0"/>
          <w:numId w:val="66"/>
        </w:numPr>
        <w:ind w:left="851" w:hanging="284"/>
        <w:rPr>
          <w:rFonts w:eastAsia="Times New Roman" w:cs="Times New Roman"/>
          <w:bCs/>
          <w:szCs w:val="26"/>
          <w:lang w:eastAsia="x-none"/>
        </w:rPr>
      </w:pPr>
      <w:r w:rsidRPr="000205D5">
        <w:rPr>
          <w:rFonts w:eastAsia="Times New Roman" w:cs="Times New Roman"/>
          <w:bCs/>
          <w:szCs w:val="26"/>
          <w:lang w:eastAsia="x-none"/>
        </w:rPr>
        <w:t>część B-</w:t>
      </w:r>
      <w:r w:rsidR="00D21504" w:rsidRPr="00D21504">
        <w:t xml:space="preserve"> </w:t>
      </w:r>
      <w:r w:rsidR="00D21504" w:rsidRPr="000205D5">
        <w:rPr>
          <w:rFonts w:eastAsia="Times New Roman" w:cs="Times New Roman"/>
          <w:bCs/>
          <w:szCs w:val="26"/>
          <w:lang w:eastAsia="x-none"/>
        </w:rPr>
        <w:t>Dyski  S</w:t>
      </w:r>
      <w:r w:rsidR="00C57AEB">
        <w:rPr>
          <w:rFonts w:eastAsia="Times New Roman" w:cs="Times New Roman"/>
          <w:bCs/>
          <w:szCs w:val="26"/>
          <w:lang w:eastAsia="x-none"/>
        </w:rPr>
        <w:t>S</w:t>
      </w:r>
      <w:r w:rsidR="00D21504" w:rsidRPr="000205D5">
        <w:rPr>
          <w:rFonts w:eastAsia="Times New Roman" w:cs="Times New Roman"/>
          <w:bCs/>
          <w:szCs w:val="26"/>
          <w:lang w:eastAsia="x-none"/>
        </w:rPr>
        <w:t>D-17 szt.</w:t>
      </w:r>
    </w:p>
    <w:p w14:paraId="42067C2B" w14:textId="616F1E74" w:rsidR="00030F89" w:rsidRPr="00030F89" w:rsidRDefault="00030F89" w:rsidP="00030F89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0205D5">
        <w:rPr>
          <w:rFonts w:eastAsia="Times New Roman" w:cs="Times New Roman"/>
          <w:bCs/>
          <w:szCs w:val="26"/>
          <w:lang w:eastAsia="x-none"/>
        </w:rPr>
        <w:t>C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="00D21504" w:rsidRPr="00D21504">
        <w:t xml:space="preserve"> 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>Dysk</w:t>
      </w:r>
      <w:r w:rsidR="00DC74FD">
        <w:rPr>
          <w:rFonts w:eastAsia="Times New Roman" w:cs="Times New Roman"/>
          <w:bCs/>
          <w:szCs w:val="26"/>
          <w:lang w:eastAsia="x-none"/>
        </w:rPr>
        <w:t>i</w:t>
      </w:r>
      <w:r w:rsidR="00D21504" w:rsidRPr="00D21504">
        <w:rPr>
          <w:rFonts w:eastAsia="Times New Roman" w:cs="Times New Roman"/>
          <w:bCs/>
          <w:szCs w:val="26"/>
          <w:lang w:eastAsia="x-none"/>
        </w:rPr>
        <w:t xml:space="preserve"> zewnętrzn</w:t>
      </w:r>
      <w:r w:rsidR="00DC74FD">
        <w:rPr>
          <w:rFonts w:eastAsia="Times New Roman" w:cs="Times New Roman"/>
          <w:bCs/>
          <w:szCs w:val="26"/>
          <w:lang w:eastAsia="x-none"/>
        </w:rPr>
        <w:t>e</w:t>
      </w:r>
      <w:r w:rsidR="00D21504">
        <w:rPr>
          <w:rFonts w:eastAsia="Times New Roman" w:cs="Times New Roman"/>
          <w:bCs/>
          <w:szCs w:val="26"/>
          <w:lang w:eastAsia="x-none"/>
        </w:rPr>
        <w:t>- 2 szt.</w:t>
      </w:r>
    </w:p>
    <w:p w14:paraId="24A8A2CE" w14:textId="77777777" w:rsidR="00A34DB1" w:rsidRDefault="00A34DB1" w:rsidP="00A34DB1">
      <w:pPr>
        <w:pStyle w:val="Akapitzlist"/>
        <w:widowControl w:val="0"/>
        <w:numPr>
          <w:ilvl w:val="0"/>
          <w:numId w:val="70"/>
        </w:numPr>
        <w:ind w:left="567" w:hanging="283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A34DB1">
      <w:pPr>
        <w:pStyle w:val="Akapitzlist"/>
        <w:widowControl w:val="0"/>
        <w:numPr>
          <w:ilvl w:val="0"/>
          <w:numId w:val="70"/>
        </w:numPr>
        <w:ind w:left="567" w:hanging="283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38729039" w:rsidR="000C5435" w:rsidRPr="00201B3C" w:rsidRDefault="00F0343C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201B3C">
        <w:rPr>
          <w:b w:val="0"/>
          <w:color w:val="auto"/>
        </w:rPr>
        <w:t xml:space="preserve">do </w:t>
      </w:r>
      <w:r w:rsidR="00D05790">
        <w:rPr>
          <w:b w:val="0"/>
          <w:color w:val="auto"/>
        </w:rPr>
        <w:t>21</w:t>
      </w:r>
      <w:r w:rsidR="00C96E09" w:rsidRPr="00201B3C">
        <w:rPr>
          <w:b w:val="0"/>
          <w:color w:val="auto"/>
        </w:rPr>
        <w:t xml:space="preserve"> dni </w:t>
      </w:r>
      <w:r w:rsidRPr="00201B3C">
        <w:rPr>
          <w:b w:val="0"/>
          <w:color w:val="auto"/>
        </w:rPr>
        <w:t xml:space="preserve">od </w:t>
      </w:r>
      <w:r w:rsidR="00DB2334">
        <w:rPr>
          <w:b w:val="0"/>
          <w:color w:val="auto"/>
        </w:rPr>
        <w:t>zawarcia umowy</w:t>
      </w:r>
      <w:r w:rsidR="00F12854" w:rsidRPr="00201B3C">
        <w:rPr>
          <w:b w:val="0"/>
          <w:color w:val="auto"/>
        </w:rPr>
        <w:t>.</w:t>
      </w:r>
    </w:p>
    <w:p w14:paraId="06B9A911" w14:textId="19BC53C2" w:rsidR="000518A0" w:rsidRPr="008F21F1" w:rsidRDefault="00E51823" w:rsidP="00FB4B10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A50EAA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3088C207" w14:textId="2D8392A8" w:rsidR="00A34DB1" w:rsidRPr="00A34DB1" w:rsidRDefault="00F85C46" w:rsidP="00FB4B10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</w:p>
    <w:p w14:paraId="2B9E1525" w14:textId="194B6AC5" w:rsidR="00A34DB1" w:rsidRDefault="00A34DB1" w:rsidP="005B2BB0">
      <w:pPr>
        <w:pStyle w:val="Akapitzlist"/>
        <w:widowControl w:val="0"/>
        <w:numPr>
          <w:ilvl w:val="0"/>
          <w:numId w:val="72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część A- Biblioteka UŚ, ul. Bankowa 11A, 40-007 Katowice;</w:t>
      </w:r>
    </w:p>
    <w:p w14:paraId="157E8CFF" w14:textId="3539A017" w:rsidR="00102B94" w:rsidRPr="00A34DB1" w:rsidRDefault="00A34DB1" w:rsidP="005B2BB0">
      <w:pPr>
        <w:pStyle w:val="Akapitzlist"/>
        <w:widowControl w:val="0"/>
        <w:numPr>
          <w:ilvl w:val="0"/>
          <w:numId w:val="72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34DB1">
        <w:rPr>
          <w:rFonts w:eastAsia="Times New Roman" w:cs="Times New Roman"/>
          <w:bCs/>
          <w:szCs w:val="26"/>
          <w:lang w:eastAsia="x-none"/>
        </w:rPr>
        <w:t xml:space="preserve">część B,C- </w:t>
      </w:r>
      <w:r w:rsidR="00DB45D6" w:rsidRPr="00A34DB1">
        <w:rPr>
          <w:rFonts w:eastAsia="Times New Roman" w:cs="Times New Roman"/>
          <w:bCs/>
          <w:szCs w:val="26"/>
          <w:lang w:eastAsia="x-none"/>
        </w:rPr>
        <w:t xml:space="preserve">Uniwersytet Śląski w Katowicach, Dział Zarządzania Dostawami, ul. Bankowa 14, </w:t>
      </w:r>
      <w:r w:rsidR="00D37A2F">
        <w:rPr>
          <w:rFonts w:eastAsia="Times New Roman" w:cs="Times New Roman"/>
          <w:bCs/>
          <w:szCs w:val="26"/>
          <w:lang w:eastAsia="x-none"/>
        </w:rPr>
        <w:t xml:space="preserve">                </w:t>
      </w:r>
      <w:r w:rsidR="00DB45D6" w:rsidRPr="00A34DB1">
        <w:rPr>
          <w:rFonts w:eastAsia="Times New Roman" w:cs="Times New Roman"/>
          <w:bCs/>
          <w:szCs w:val="26"/>
          <w:lang w:eastAsia="x-none"/>
        </w:rPr>
        <w:t>40-007 Katowice;</w:t>
      </w:r>
    </w:p>
    <w:p w14:paraId="56E4DDBD" w14:textId="0697A295" w:rsidR="00934D7C" w:rsidRDefault="00687243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lastRenderedPageBreak/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</w:p>
    <w:p w14:paraId="27A3E814" w14:textId="5F52621D" w:rsidR="00D97A46" w:rsidRDefault="00D97A46" w:rsidP="00BA58BC">
      <w:pPr>
        <w:pStyle w:val="Akapitzlist"/>
        <w:widowControl w:val="0"/>
        <w:numPr>
          <w:ilvl w:val="0"/>
          <w:numId w:val="71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część A-</w:t>
      </w:r>
      <w:r w:rsidR="00BA58BC">
        <w:rPr>
          <w:rFonts w:eastAsia="Times New Roman" w:cs="Times New Roman"/>
          <w:bCs/>
          <w:szCs w:val="26"/>
          <w:lang w:eastAsia="x-none"/>
        </w:rPr>
        <w:t xml:space="preserve"> poz. 1,</w:t>
      </w:r>
      <w:r w:rsidR="00343977">
        <w:rPr>
          <w:rFonts w:eastAsia="Times New Roman" w:cs="Times New Roman"/>
          <w:bCs/>
          <w:szCs w:val="26"/>
          <w:lang w:eastAsia="x-none"/>
        </w:rPr>
        <w:t>2,</w:t>
      </w:r>
      <w:r w:rsidR="00BA58BC">
        <w:rPr>
          <w:rFonts w:eastAsia="Times New Roman" w:cs="Times New Roman"/>
          <w:bCs/>
          <w:szCs w:val="26"/>
          <w:lang w:eastAsia="x-none"/>
        </w:rPr>
        <w:t xml:space="preserve">3 </w:t>
      </w:r>
      <w:r w:rsidR="004C3735">
        <w:rPr>
          <w:rFonts w:eastAsia="Times New Roman" w:cs="Times New Roman"/>
          <w:bCs/>
          <w:szCs w:val="26"/>
          <w:lang w:eastAsia="x-none"/>
        </w:rPr>
        <w:t>( dyski HDD)</w:t>
      </w:r>
      <w:r w:rsidR="00BA58BC">
        <w:rPr>
          <w:rFonts w:eastAsia="Times New Roman" w:cs="Times New Roman"/>
          <w:bCs/>
          <w:szCs w:val="26"/>
          <w:lang w:eastAsia="x-none"/>
        </w:rPr>
        <w:t>-</w:t>
      </w:r>
      <w:r>
        <w:rPr>
          <w:rFonts w:eastAsia="Times New Roman" w:cs="Times New Roman"/>
          <w:bCs/>
          <w:szCs w:val="26"/>
          <w:lang w:eastAsia="x-none"/>
        </w:rPr>
        <w:t xml:space="preserve"> </w:t>
      </w:r>
      <w:r w:rsidR="00BA58BC">
        <w:rPr>
          <w:rFonts w:eastAsia="Times New Roman" w:cs="Times New Roman"/>
          <w:bCs/>
          <w:szCs w:val="26"/>
          <w:lang w:eastAsia="x-none"/>
        </w:rPr>
        <w:t xml:space="preserve">12 m-cy, </w:t>
      </w:r>
      <w:r w:rsidR="004C3735">
        <w:rPr>
          <w:rFonts w:eastAsia="Times New Roman" w:cs="Times New Roman"/>
          <w:bCs/>
          <w:szCs w:val="26"/>
          <w:lang w:eastAsia="x-none"/>
        </w:rPr>
        <w:t>p</w:t>
      </w:r>
      <w:r w:rsidR="00BA58BC">
        <w:rPr>
          <w:rFonts w:eastAsia="Times New Roman" w:cs="Times New Roman"/>
          <w:bCs/>
          <w:szCs w:val="26"/>
          <w:lang w:eastAsia="x-none"/>
        </w:rPr>
        <w:t>oz. 4,5</w:t>
      </w:r>
      <w:r w:rsidR="004C3735">
        <w:rPr>
          <w:rFonts w:eastAsia="Times New Roman" w:cs="Times New Roman"/>
          <w:bCs/>
          <w:szCs w:val="26"/>
          <w:lang w:eastAsia="x-none"/>
        </w:rPr>
        <w:t xml:space="preserve"> (dyski SSD)</w:t>
      </w:r>
      <w:r w:rsidR="00BA58BC">
        <w:rPr>
          <w:rFonts w:eastAsia="Times New Roman" w:cs="Times New Roman"/>
          <w:bCs/>
          <w:szCs w:val="26"/>
          <w:lang w:eastAsia="x-none"/>
        </w:rPr>
        <w:t>- 60 m-cy;</w:t>
      </w:r>
    </w:p>
    <w:p w14:paraId="0244E222" w14:textId="2FA8C834" w:rsidR="00D97A46" w:rsidRPr="00BA58BC" w:rsidRDefault="00D97A46" w:rsidP="00BA58BC">
      <w:pPr>
        <w:pStyle w:val="Akapitzlist"/>
        <w:widowControl w:val="0"/>
        <w:numPr>
          <w:ilvl w:val="0"/>
          <w:numId w:val="71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34DB1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BA58BC">
        <w:rPr>
          <w:rFonts w:eastAsia="Times New Roman" w:cs="Times New Roman"/>
          <w:bCs/>
          <w:szCs w:val="26"/>
          <w:lang w:eastAsia="x-none"/>
        </w:rPr>
        <w:t>B,C- 36 m-cy.</w:t>
      </w:r>
    </w:p>
    <w:p w14:paraId="440E065C" w14:textId="6BE8D81A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735C9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735C9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2DC6DC7A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E55332">
              <w:rPr>
                <w:b w:val="0"/>
                <w:sz w:val="18"/>
                <w:szCs w:val="18"/>
              </w:rPr>
              <w:t>ych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E55332">
              <w:rPr>
                <w:b w:val="0"/>
                <w:sz w:val="18"/>
                <w:szCs w:val="18"/>
              </w:rPr>
              <w:t xml:space="preserve">urządzeń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7FAB370E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A,</w:t>
            </w:r>
            <w:r w:rsidR="00251782">
              <w:rPr>
                <w:b w:val="0"/>
                <w:sz w:val="18"/>
                <w:szCs w:val="18"/>
              </w:rPr>
              <w:t>B,</w:t>
            </w:r>
            <w:r w:rsidR="00E77D5E">
              <w:rPr>
                <w:b w:val="0"/>
                <w:sz w:val="18"/>
                <w:szCs w:val="18"/>
              </w:rPr>
              <w:t>C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BA58BC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BA58BC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7" w:name="_Toc99351183"/>
      <w:r w:rsidRPr="00F82100">
        <w:rPr>
          <w:noProof/>
        </w:rPr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3B4C0452" w14:textId="6E4E9C92" w:rsidR="00256518" w:rsidRDefault="00256518" w:rsidP="00256518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color w:val="auto"/>
        </w:rPr>
      </w:pPr>
    </w:p>
    <w:p w14:paraId="58D984A0" w14:textId="77777777" w:rsidR="00256518" w:rsidRPr="00256518" w:rsidRDefault="00256518" w:rsidP="00256518">
      <w:pPr>
        <w:rPr>
          <w:lang w:eastAsia="x-none"/>
        </w:rPr>
      </w:pPr>
    </w:p>
    <w:p w14:paraId="69E0559B" w14:textId="24E68A15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8" w:name="_Toc99351184"/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0" w:name="_Toc99351185"/>
      <w:bookmarkEnd w:id="19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748CA24D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69B30E52" w14:textId="77777777" w:rsidR="009B514A" w:rsidRPr="009B514A" w:rsidRDefault="009B514A" w:rsidP="009B514A">
      <w:pPr>
        <w:pStyle w:val="Tekstpodstawowy"/>
        <w:rPr>
          <w:lang w:val="pl" w:eastAsia="x-none"/>
        </w:rPr>
      </w:pP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1" w:name="_wp2umuqo1p7z" w:colFirst="0" w:colLast="0"/>
      <w:bookmarkStart w:id="22" w:name="_Toc99351186"/>
      <w:bookmarkEnd w:id="21"/>
      <w:r w:rsidRPr="005B5BDF">
        <w:t>Opis sposobu przygotowania ofert.</w:t>
      </w:r>
      <w:bookmarkEnd w:id="22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</w:t>
      </w:r>
      <w:r w:rsidRPr="005B5BDF">
        <w:lastRenderedPageBreak/>
        <w:t>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E8524F0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E2062A">
        <w:rPr>
          <w:b/>
        </w:rPr>
        <w:t>y</w:t>
      </w:r>
      <w:r w:rsidR="00657383">
        <w:rPr>
          <w:b/>
        </w:rPr>
        <w:t xml:space="preserve"> </w:t>
      </w:r>
      <w:r w:rsidR="00DB2460">
        <w:rPr>
          <w:b/>
        </w:rPr>
        <w:t xml:space="preserve">jednostkowej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5F3DDC1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lastRenderedPageBreak/>
        <w:t>Wykonawca powinien skonkretyzować w formularzu oferty (załącznik nr 1A do SWZ) 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3F379C40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6E14E3">
        <w:rPr>
          <w:b/>
        </w:rPr>
        <w:t xml:space="preserve">urządzeń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</w:t>
      </w:r>
      <w:r w:rsidRPr="005B5BDF">
        <w:lastRenderedPageBreak/>
        <w:t xml:space="preserve">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3" w:name="_Toc99351187"/>
      <w:r w:rsidRPr="005B5BDF">
        <w:t>Sposób oraz termin składania ofert.</w:t>
      </w:r>
      <w:bookmarkEnd w:id="23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371C10BA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FE7C96">
        <w:rPr>
          <w:b/>
          <w:shd w:val="clear" w:color="auto" w:fill="D9E2F3" w:themeFill="accent1" w:themeFillTint="33"/>
          <w:lang w:eastAsia="x-none"/>
        </w:rPr>
        <w:t>14.06.2024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5579D90E" w14:textId="3E88DE11" w:rsidR="00652D62" w:rsidRDefault="00652D62" w:rsidP="00652D62">
      <w:pPr>
        <w:pStyle w:val="Tekstpodstawowy"/>
        <w:rPr>
          <w:lang w:val="pl-PL" w:eastAsia="x-none"/>
        </w:rPr>
      </w:pPr>
    </w:p>
    <w:p w14:paraId="23BC0A98" w14:textId="77777777" w:rsidR="00652D62" w:rsidRPr="00652D62" w:rsidRDefault="00652D62" w:rsidP="00652D62">
      <w:pPr>
        <w:pStyle w:val="Tekstpodstawowy"/>
        <w:rPr>
          <w:lang w:val="pl-PL" w:eastAsia="x-none"/>
        </w:rPr>
      </w:pPr>
    </w:p>
    <w:p w14:paraId="72FDD79E" w14:textId="051128E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4" w:name="_Toc99351188"/>
      <w:r w:rsidRPr="005B5BDF">
        <w:t>Termin i tryb otwarcia ofert.</w:t>
      </w:r>
      <w:bookmarkEnd w:id="24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7818DF42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6F1C95">
        <w:rPr>
          <w:b/>
          <w:shd w:val="clear" w:color="auto" w:fill="D9E2F3" w:themeFill="accent1" w:themeFillTint="33"/>
        </w:rPr>
        <w:t>14.06.2024 r.</w:t>
      </w:r>
      <w:r w:rsidR="006F1C95" w:rsidRPr="00C162C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5" w:name="_Toc99351189"/>
      <w:r w:rsidRPr="005B5BDF">
        <w:t>Termin związania ofertą.</w:t>
      </w:r>
      <w:bookmarkEnd w:id="25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65FBD570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096379">
        <w:rPr>
          <w:b/>
          <w:shd w:val="clear" w:color="auto" w:fill="D9E2F3" w:themeFill="accent1" w:themeFillTint="33"/>
        </w:rPr>
        <w:t>13.07.2024</w:t>
      </w:r>
      <w:bookmarkStart w:id="26" w:name="_GoBack"/>
      <w:bookmarkEnd w:id="26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7" w:name="_Toc99351190"/>
      <w:r w:rsidRPr="005B5BDF">
        <w:lastRenderedPageBreak/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6BF8AB15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652D62">
        <w:rPr>
          <w:rFonts w:cs="Arial"/>
          <w:lang w:val="pl-PL"/>
        </w:rPr>
        <w:t>21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38795B40" w:rsidR="00CC568A" w:rsidRPr="00DE5458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EB0397">
        <w:rPr>
          <w:rFonts w:eastAsia="Palatino Linotype" w:cs="Arial"/>
          <w:b/>
          <w:szCs w:val="20"/>
          <w:lang w:eastAsia="pl-PL"/>
        </w:rPr>
        <w:t xml:space="preserve">21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EB0397">
        <w:rPr>
          <w:rFonts w:eastAsia="Palatino Linotype" w:cs="Arial"/>
          <w:b/>
          <w:szCs w:val="20"/>
          <w:lang w:eastAsia="pl-PL"/>
        </w:rPr>
        <w:t>2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EB0397">
        <w:rPr>
          <w:rFonts w:eastAsia="Palatino Linotype" w:cs="Arial"/>
          <w:b/>
          <w:szCs w:val="20"/>
        </w:rPr>
        <w:t>21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EB0397">
        <w:rPr>
          <w:rFonts w:eastAsia="Palatino Linotype" w:cs="Arial"/>
          <w:szCs w:val="20"/>
        </w:rPr>
        <w:t>20</w:t>
      </w:r>
      <w:r w:rsidRPr="00DE5458">
        <w:rPr>
          <w:rFonts w:eastAsia="Palatino Linotype" w:cs="Arial"/>
          <w:szCs w:val="20"/>
        </w:rPr>
        <w:t xml:space="preserve"> dni – </w:t>
      </w:r>
      <w:r w:rsidR="00EB0397">
        <w:rPr>
          <w:rFonts w:eastAsia="Palatino Linotype" w:cs="Arial"/>
          <w:szCs w:val="20"/>
        </w:rPr>
        <w:t>2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="00EB0397">
        <w:rPr>
          <w:rFonts w:eastAsia="Palatino Linotype" w:cs="Arial"/>
          <w:szCs w:val="20"/>
        </w:rPr>
        <w:t>19</w:t>
      </w:r>
      <w:r w:rsidRPr="00DE5458">
        <w:rPr>
          <w:rFonts w:eastAsia="Palatino Linotype" w:cs="Arial"/>
          <w:szCs w:val="20"/>
        </w:rPr>
        <w:t xml:space="preserve"> dni – </w:t>
      </w:r>
      <w:r w:rsidR="00EB0397">
        <w:rPr>
          <w:rFonts w:eastAsia="Palatino Linotype" w:cs="Arial"/>
          <w:szCs w:val="20"/>
        </w:rPr>
        <w:t>4</w:t>
      </w:r>
      <w:r w:rsidRPr="00DE5458">
        <w:rPr>
          <w:rFonts w:eastAsia="Palatino Linotype" w:cs="Arial"/>
          <w:szCs w:val="20"/>
        </w:rPr>
        <w:t xml:space="preserve"> pkt; … ; 2 dni – </w:t>
      </w:r>
      <w:r w:rsidR="00D22EB1">
        <w:rPr>
          <w:rFonts w:eastAsia="Palatino Linotype" w:cs="Arial"/>
          <w:szCs w:val="20"/>
        </w:rPr>
        <w:t>38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40 pkt;</w:t>
      </w:r>
    </w:p>
    <w:p w14:paraId="0DC18C22" w14:textId="7462ECF6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5A065D">
        <w:rPr>
          <w:rFonts w:eastAsia="Palatino Linotype" w:cs="Arial"/>
          <w:szCs w:val="20"/>
        </w:rPr>
        <w:t>21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325297D8" w:rsidR="00CC568A" w:rsidRPr="00CC568A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lastRenderedPageBreak/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2B96628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8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8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7F2E2A48" w14:textId="77777777" w:rsidR="00ED3A84" w:rsidRPr="001A3180" w:rsidRDefault="00ED3A84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29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9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42E4A12F" w14:textId="77777777" w:rsidR="00ED3A84" w:rsidRPr="00762B2C" w:rsidRDefault="00ED3A84" w:rsidP="0041710E">
      <w:pPr>
        <w:rPr>
          <w:lang w:eastAsia="x-none"/>
        </w:rPr>
      </w:pP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lastRenderedPageBreak/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0" w:name="_Toc99351193"/>
      <w:r w:rsidRPr="005B5BDF">
        <w:t>Informacje dodatkowe.</w:t>
      </w:r>
      <w:bookmarkEnd w:id="30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66777070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817B65">
        <w:rPr>
          <w:b/>
          <w:lang w:val="pl-PL"/>
        </w:rPr>
        <w:t>41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>„Dostawa podzespołów komputerowych”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</w:t>
      </w:r>
      <w:r w:rsidRPr="005B5BDF">
        <w:lastRenderedPageBreak/>
        <w:t>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E10A0" w:rsidRDefault="006E10A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E10A0" w:rsidRDefault="006E10A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72DE01A4" w:rsidR="006E10A0" w:rsidRPr="00901724" w:rsidRDefault="006E10A0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14736680" w14:textId="4B47D4B0" w:rsidR="006E10A0" w:rsidRPr="00ED1083" w:rsidRDefault="006E10A0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6E10A0" w:rsidRPr="00F84EF3" w:rsidRDefault="006E10A0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6E10A0" w:rsidRPr="00602A59" w:rsidRDefault="006E10A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6E10A0" w:rsidRPr="00602A59" w:rsidRDefault="006E10A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6E10A0" w:rsidRPr="00602A59" w:rsidRDefault="006E10A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6E10A0" w:rsidRPr="00602A59" w:rsidRDefault="006E10A0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6E10A0" w:rsidRDefault="00096379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6E10A0" w:rsidRPr="00E517F1">
        <w:rPr>
          <w:rStyle w:val="Hipercze"/>
          <w:sz w:val="16"/>
          <w:szCs w:val="16"/>
        </w:rPr>
        <w:t>www.</w:t>
      </w:r>
      <w:r w:rsidR="006E10A0" w:rsidRPr="00E517F1">
        <w:rPr>
          <w:rStyle w:val="Hipercze"/>
          <w:b/>
          <w:bCs/>
          <w:sz w:val="16"/>
          <w:szCs w:val="16"/>
        </w:rPr>
        <w:t>us.</w:t>
      </w:r>
      <w:r w:rsidR="006E10A0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6E10A0" w:rsidRDefault="006E10A0" w:rsidP="00C0411E">
    <w:pPr>
      <w:pStyle w:val="Stopka"/>
      <w:ind w:hanging="567"/>
    </w:pPr>
  </w:p>
  <w:p w14:paraId="68698B03" w14:textId="3406EA5A" w:rsidR="006E10A0" w:rsidRDefault="006E10A0" w:rsidP="00C0411E">
    <w:pPr>
      <w:pStyle w:val="Stopka"/>
      <w:ind w:hanging="567"/>
    </w:pPr>
  </w:p>
  <w:p w14:paraId="085946A1" w14:textId="77777777" w:rsidR="006E10A0" w:rsidRDefault="006E10A0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E10A0" w:rsidRDefault="006E10A0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6E10A0" w:rsidRDefault="006E10A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1889261" w:rsidR="006E10A0" w:rsidRDefault="006E10A0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1" w:name="_Hlk109991209"/>
    <w:bookmarkStart w:id="32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4AC906DF" w:rsidR="006E10A0" w:rsidRDefault="006E10A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6E10A0" w:rsidRDefault="006E10A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6E10A0" w:rsidRDefault="006E10A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7F6463A2" w:rsidR="006E10A0" w:rsidRDefault="006E10A0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1"/>
    <w:bookmarkEnd w:id="32"/>
  </w:p>
  <w:p w14:paraId="494F3A3B" w14:textId="77777777" w:rsidR="006E10A0" w:rsidRPr="00FC4A04" w:rsidRDefault="006E10A0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8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7"/>
  </w:num>
  <w:num w:numId="59">
    <w:abstractNumId w:val="30"/>
  </w:num>
  <w:num w:numId="60">
    <w:abstractNumId w:val="31"/>
  </w:num>
  <w:num w:numId="61">
    <w:abstractNumId w:val="6"/>
  </w:num>
  <w:num w:numId="62">
    <w:abstractNumId w:val="9"/>
  </w:num>
  <w:num w:numId="63">
    <w:abstractNumId w:val="32"/>
  </w:num>
  <w:num w:numId="64">
    <w:abstractNumId w:val="29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6"/>
  </w:num>
  <w:num w:numId="70">
    <w:abstractNumId w:val="3"/>
  </w:num>
  <w:num w:numId="71">
    <w:abstractNumId w:val="18"/>
  </w:num>
  <w:num w:numId="72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6379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597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1C95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3DD6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D0712"/>
    <w:rsid w:val="008D2094"/>
    <w:rsid w:val="008D5E0B"/>
    <w:rsid w:val="008D6FBC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41EA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181B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A153A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E7C96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1FA9-ED61-4797-881E-2D6E0CAC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22</Pages>
  <Words>9005</Words>
  <Characters>54031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635</cp:revision>
  <cp:lastPrinted>2022-11-24T06:47:00Z</cp:lastPrinted>
  <dcterms:created xsi:type="dcterms:W3CDTF">2021-02-03T06:43:00Z</dcterms:created>
  <dcterms:modified xsi:type="dcterms:W3CDTF">2024-06-06T08:39:00Z</dcterms:modified>
</cp:coreProperties>
</file>