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1B" w:rsidRDefault="0093317E" w:rsidP="0093317E">
      <w:pPr>
        <w:jc w:val="right"/>
        <w:rPr>
          <w:i/>
        </w:rPr>
      </w:pPr>
      <w:r>
        <w:rPr>
          <w:i/>
          <w:color w:val="000000"/>
        </w:rPr>
        <w:t xml:space="preserve">Załącznik Nr </w:t>
      </w:r>
      <w:r w:rsidR="0046171B">
        <w:rPr>
          <w:i/>
        </w:rPr>
        <w:t>5</w:t>
      </w:r>
      <w:r w:rsidRPr="00CE3A95">
        <w:rPr>
          <w:i/>
        </w:rPr>
        <w:t xml:space="preserve"> </w:t>
      </w:r>
    </w:p>
    <w:p w:rsidR="0093317E" w:rsidRPr="00CE3A95" w:rsidRDefault="0046171B" w:rsidP="0093317E">
      <w:pPr>
        <w:jc w:val="right"/>
        <w:rPr>
          <w:b/>
        </w:rPr>
      </w:pPr>
      <w:r>
        <w:rPr>
          <w:i/>
        </w:rPr>
        <w:t>Instrukcja</w:t>
      </w:r>
      <w:r w:rsidR="0093317E" w:rsidRPr="00CE3A95">
        <w:rPr>
          <w:i/>
        </w:rPr>
        <w:t xml:space="preserve"> „Polityka</w:t>
      </w:r>
      <w:bookmarkStart w:id="0" w:name="_GoBack"/>
      <w:bookmarkEnd w:id="0"/>
      <w:r w:rsidR="0093317E" w:rsidRPr="00CE3A95">
        <w:rPr>
          <w:i/>
        </w:rPr>
        <w:t xml:space="preserve"> korzystania z usług podmiotów przetwarzających dane osobowe w imieniu 4. </w:t>
      </w:r>
      <w:proofErr w:type="spellStart"/>
      <w:r w:rsidR="0093317E" w:rsidRPr="00CE3A95">
        <w:rPr>
          <w:i/>
        </w:rPr>
        <w:t>WSzKzP</w:t>
      </w:r>
      <w:proofErr w:type="spellEnd"/>
      <w:r w:rsidR="0093317E"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09" w:rsidRDefault="00890909">
    <w:pPr>
      <w:pStyle w:val="Nagwek"/>
    </w:pPr>
    <w:r>
      <w:t xml:space="preserve">Dotyczy postępowania: </w:t>
    </w:r>
    <w:r w:rsidRPr="00890909">
      <w:t xml:space="preserve">Dostawa </w:t>
    </w:r>
    <w:proofErr w:type="spellStart"/>
    <w:r w:rsidR="00840B73">
      <w:t>wideorhinolaryngoskopu</w:t>
    </w:r>
    <w:proofErr w:type="spellEnd"/>
    <w:r w:rsidR="00840B73">
      <w:t xml:space="preserve"> z monitorem</w:t>
    </w:r>
    <w:r w:rsidRPr="00890909">
      <w:t xml:space="preserve">  – 1 </w:t>
    </w:r>
    <w:proofErr w:type="spellStart"/>
    <w:r w:rsidRPr="00890909">
      <w:t>kpl</w:t>
    </w:r>
    <w:proofErr w:type="spellEnd"/>
    <w:r w:rsidRPr="00890909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46171B"/>
    <w:rsid w:val="004E71EE"/>
    <w:rsid w:val="007756DD"/>
    <w:rsid w:val="00840B73"/>
    <w:rsid w:val="00890909"/>
    <w:rsid w:val="0093317E"/>
    <w:rsid w:val="00C72669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29BA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Edyta Janicka</cp:lastModifiedBy>
  <cp:revision>4</cp:revision>
  <cp:lastPrinted>2024-04-17T06:10:00Z</cp:lastPrinted>
  <dcterms:created xsi:type="dcterms:W3CDTF">2024-07-02T08:14:00Z</dcterms:created>
  <dcterms:modified xsi:type="dcterms:W3CDTF">2024-07-03T08:01:00Z</dcterms:modified>
</cp:coreProperties>
</file>