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 xml:space="preserve">w trybie podstawowym pn: </w:t>
      </w:r>
      <w:r>
        <w:rPr>
          <w:rFonts w:cs="Times New Roman" w:ascii="Times New Roman" w:hAnsi="Times New Roman"/>
          <w:b/>
          <w:bCs w:val="false"/>
          <w:szCs w:val="20"/>
        </w:rPr>
        <w:t xml:space="preserve">Termomodernizacja budynków komunalnych w Strzelinie </w:t>
        <w:br/>
        <w:t>ul. Kolejowa 2 i ul. Kolejowa 4.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ZP.271.11.2025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29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 xml:space="preserve">.08.2025 r.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4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</w:rPr>
        <w:t>Dz. U. z 2024 poz. 725</w:t>
      </w:r>
      <w:r>
        <w:rPr>
          <w:rFonts w:cs="Times New Roman" w:ascii="Times New Roman" w:hAnsi="Times New Roman"/>
        </w:rPr>
        <w:t>)</w:t>
      </w:r>
      <w:r>
        <w:rPr>
          <w:rFonts w:cs="Times New Roman" w:ascii="Times New Roman" w:hAnsi="Times New Roman"/>
        </w:rPr>
        <w:t>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(zgodnie z definicją  MŚP zawartą w załączniku I do Rozporządzenia Komisji UE Nr 651/2014 </w:t>
        <w:br/>
        <w:t>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-199390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597</TotalTime>
  <Application>LibreOffice/7.5.1.2$Windows_X86_64 LibreOffice_project/fcbaee479e84c6cd81291587d2ee68cba099e129</Application>
  <AppVersion>15.0000</AppVersion>
  <Pages>3</Pages>
  <Words>959</Words>
  <Characters>6498</Characters>
  <CharactersWithSpaces>7392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2025-03-12T09:51:04Z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