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1A03" w14:textId="77777777" w:rsidR="00493152" w:rsidRPr="00AF6B1A" w:rsidRDefault="00493152" w:rsidP="00790E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B2E143D" w14:textId="11CB430D" w:rsidR="00493152" w:rsidRPr="00AF6B1A" w:rsidRDefault="00493152" w:rsidP="00790E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F6B1A">
        <w:rPr>
          <w:noProof/>
          <w:sz w:val="22"/>
          <w:szCs w:val="22"/>
        </w:rPr>
        <w:drawing>
          <wp:inline distT="0" distB="0" distL="0" distR="0" wp14:anchorId="3DD809DD" wp14:editId="6C97B7B1">
            <wp:extent cx="5760720" cy="589915"/>
            <wp:effectExtent l="0" t="0" r="0" b="635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BBEFE" w14:textId="02FFA7B2" w:rsidR="00790E55" w:rsidRPr="009D1475" w:rsidRDefault="00790E55" w:rsidP="00790E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1475">
        <w:rPr>
          <w:rFonts w:ascii="Arial" w:hAnsi="Arial" w:cs="Arial"/>
          <w:sz w:val="22"/>
          <w:szCs w:val="22"/>
        </w:rPr>
        <w:t>Załącznik nr 1</w:t>
      </w:r>
      <w:r w:rsidR="00493152" w:rsidRPr="009D1475">
        <w:rPr>
          <w:rFonts w:ascii="Arial" w:hAnsi="Arial" w:cs="Arial"/>
          <w:sz w:val="22"/>
          <w:szCs w:val="22"/>
        </w:rPr>
        <w:t xml:space="preserve"> do SWZ</w:t>
      </w:r>
    </w:p>
    <w:p w14:paraId="24D10047" w14:textId="7B63520F" w:rsidR="00493152" w:rsidRPr="009D1475" w:rsidRDefault="00493152" w:rsidP="00790E5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1475">
        <w:rPr>
          <w:rFonts w:ascii="Arial" w:hAnsi="Arial" w:cs="Arial"/>
          <w:sz w:val="22"/>
          <w:szCs w:val="22"/>
        </w:rPr>
        <w:t>ZP.272.1.9</w:t>
      </w:r>
      <w:r w:rsidR="00A21C3D" w:rsidRPr="009D1475">
        <w:rPr>
          <w:rFonts w:ascii="Arial" w:hAnsi="Arial" w:cs="Arial"/>
          <w:sz w:val="22"/>
          <w:szCs w:val="22"/>
        </w:rPr>
        <w:t>6</w:t>
      </w:r>
      <w:r w:rsidRPr="009D1475">
        <w:rPr>
          <w:rFonts w:ascii="Arial" w:hAnsi="Arial" w:cs="Arial"/>
          <w:sz w:val="22"/>
          <w:szCs w:val="22"/>
        </w:rPr>
        <w:t>.2023</w:t>
      </w:r>
    </w:p>
    <w:p w14:paraId="407AE46D" w14:textId="77777777" w:rsidR="00790E55" w:rsidRPr="009D1475" w:rsidRDefault="00790E55" w:rsidP="00790E55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B7658D4" w14:textId="77777777" w:rsidR="00A21C3D" w:rsidRPr="009D1475" w:rsidRDefault="00A21C3D" w:rsidP="00A21C3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1475">
        <w:rPr>
          <w:rFonts w:ascii="Arial" w:hAnsi="Arial" w:cs="Arial"/>
          <w:b/>
          <w:sz w:val="22"/>
          <w:szCs w:val="22"/>
        </w:rPr>
        <w:t xml:space="preserve">Szczegółowy opis przedmiotu zamówienia </w:t>
      </w:r>
    </w:p>
    <w:p w14:paraId="263A8EEA" w14:textId="77777777" w:rsidR="00A21C3D" w:rsidRPr="009D1475" w:rsidRDefault="00A21C3D" w:rsidP="00A21C3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F896EF1" w14:textId="77777777" w:rsidR="00A21C3D" w:rsidRPr="009D1475" w:rsidRDefault="00A21C3D" w:rsidP="00A21C3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1475">
        <w:rPr>
          <w:rFonts w:ascii="Arial" w:hAnsi="Arial" w:cs="Arial"/>
          <w:sz w:val="22"/>
          <w:szCs w:val="22"/>
        </w:rPr>
        <w:t xml:space="preserve">Przedmiotem zamówienia jest zakup nowych licencji </w:t>
      </w:r>
      <w:r w:rsidRPr="009D1475">
        <w:rPr>
          <w:rFonts w:ascii="Arial" w:hAnsi="Arial" w:cs="Arial"/>
          <w:b/>
          <w:sz w:val="22"/>
          <w:szCs w:val="22"/>
        </w:rPr>
        <w:t xml:space="preserve">Microsoft SQL Server 2022 Standard (2 </w:t>
      </w:r>
      <w:proofErr w:type="spellStart"/>
      <w:r w:rsidRPr="009D1475">
        <w:rPr>
          <w:rFonts w:ascii="Arial" w:hAnsi="Arial" w:cs="Arial"/>
          <w:b/>
          <w:sz w:val="22"/>
          <w:szCs w:val="22"/>
        </w:rPr>
        <w:t>Core</w:t>
      </w:r>
      <w:proofErr w:type="spellEnd"/>
      <w:r w:rsidRPr="009D1475">
        <w:rPr>
          <w:rFonts w:ascii="Arial" w:hAnsi="Arial" w:cs="Arial"/>
          <w:b/>
          <w:sz w:val="22"/>
          <w:szCs w:val="22"/>
        </w:rPr>
        <w:t>) - 5 szt.</w:t>
      </w:r>
      <w:r w:rsidRPr="009D1475">
        <w:rPr>
          <w:rFonts w:ascii="Arial" w:hAnsi="Arial" w:cs="Arial"/>
          <w:sz w:val="22"/>
          <w:szCs w:val="22"/>
        </w:rPr>
        <w:t xml:space="preserve"> lub licencji równoważnych.</w:t>
      </w:r>
    </w:p>
    <w:p w14:paraId="4671D56A" w14:textId="77777777" w:rsidR="00A21C3D" w:rsidRPr="009D1475" w:rsidRDefault="00A21C3D" w:rsidP="00A21C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151063" w14:textId="77777777" w:rsidR="00A21C3D" w:rsidRPr="009D1475" w:rsidRDefault="00A21C3D" w:rsidP="00A21C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26760" w14:textId="1BB12EA1" w:rsidR="00A21C3D" w:rsidRPr="009D1475" w:rsidRDefault="00A21C3D" w:rsidP="00A21C3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D1475">
        <w:rPr>
          <w:rFonts w:ascii="Arial" w:hAnsi="Arial" w:cs="Arial"/>
          <w:b/>
          <w:bCs/>
          <w:sz w:val="22"/>
          <w:szCs w:val="22"/>
        </w:rPr>
        <w:t>Wymagania ogólne:</w:t>
      </w:r>
    </w:p>
    <w:p w14:paraId="71E4BDAA" w14:textId="77777777" w:rsidR="00A21C3D" w:rsidRPr="009D1475" w:rsidRDefault="00A21C3D" w:rsidP="009D1475">
      <w:pPr>
        <w:pStyle w:val="Akapitzlist"/>
        <w:numPr>
          <w:ilvl w:val="0"/>
          <w:numId w:val="17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9D1475">
        <w:rPr>
          <w:rFonts w:ascii="Arial" w:hAnsi="Arial" w:cs="Arial"/>
          <w:sz w:val="22"/>
          <w:szCs w:val="22"/>
        </w:rPr>
        <w:t xml:space="preserve">Licencje muszą być dostarczone w formie elektronicznej. Stan licencji musi być widoczny na indywidualnym profilu Zamawiającego w portalu producenta oprogramowania przeznaczonym do zarządzania licencjami oprogramowania producenta. </w:t>
      </w:r>
    </w:p>
    <w:p w14:paraId="6F4D2342" w14:textId="77777777" w:rsidR="00A21C3D" w:rsidRPr="009D1475" w:rsidRDefault="00A21C3D" w:rsidP="009D1475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D1475">
        <w:rPr>
          <w:rFonts w:ascii="Arial" w:hAnsi="Arial" w:cs="Arial"/>
          <w:sz w:val="22"/>
          <w:szCs w:val="22"/>
        </w:rPr>
        <w:t>2)</w:t>
      </w:r>
      <w:r w:rsidRPr="009D1475">
        <w:rPr>
          <w:rFonts w:ascii="Arial" w:hAnsi="Arial" w:cs="Arial"/>
          <w:sz w:val="22"/>
          <w:szCs w:val="22"/>
        </w:rPr>
        <w:tab/>
        <w:t>Licencje muszą być przeznaczone do użytku w grupowym modelu licencjonowania dla organów administracji publicznej w ramach umowy MPSA nr 4100013999.</w:t>
      </w:r>
    </w:p>
    <w:p w14:paraId="7D4E8898" w14:textId="77777777" w:rsidR="00A21C3D" w:rsidRPr="009D1475" w:rsidRDefault="00A21C3D" w:rsidP="009D1475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D1475">
        <w:rPr>
          <w:rFonts w:ascii="Arial" w:hAnsi="Arial" w:cs="Arial"/>
          <w:sz w:val="22"/>
          <w:szCs w:val="22"/>
        </w:rPr>
        <w:t>3)</w:t>
      </w:r>
      <w:r w:rsidRPr="009D1475">
        <w:rPr>
          <w:rFonts w:ascii="Arial" w:hAnsi="Arial" w:cs="Arial"/>
          <w:sz w:val="22"/>
          <w:szCs w:val="22"/>
        </w:rPr>
        <w:tab/>
        <w:t>Licencje muszą być licencjami wieczystymi.</w:t>
      </w:r>
    </w:p>
    <w:p w14:paraId="48DB2588" w14:textId="77777777" w:rsidR="00A21C3D" w:rsidRPr="009D1475" w:rsidRDefault="00A21C3D" w:rsidP="009D1475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D1475">
        <w:rPr>
          <w:rFonts w:ascii="Arial" w:hAnsi="Arial" w:cs="Arial"/>
          <w:sz w:val="22"/>
          <w:szCs w:val="22"/>
        </w:rPr>
        <w:t>4)</w:t>
      </w:r>
      <w:r w:rsidRPr="009D1475">
        <w:rPr>
          <w:rFonts w:ascii="Arial" w:hAnsi="Arial" w:cs="Arial"/>
          <w:sz w:val="22"/>
          <w:szCs w:val="22"/>
        </w:rPr>
        <w:tab/>
        <w:t>Licencje muszą pozwalać na instalację wcześniejszych wersji oprogramowania Microsoft SQL Server Standard.</w:t>
      </w:r>
    </w:p>
    <w:p w14:paraId="1A3BA50E" w14:textId="77777777" w:rsidR="00A21C3D" w:rsidRPr="009D1475" w:rsidRDefault="00A21C3D" w:rsidP="009D1475">
      <w:p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9D1475">
        <w:rPr>
          <w:rFonts w:ascii="Arial" w:hAnsi="Arial" w:cs="Arial"/>
          <w:sz w:val="22"/>
          <w:szCs w:val="22"/>
        </w:rPr>
        <w:t>5)</w:t>
      </w:r>
      <w:r w:rsidRPr="009D1475">
        <w:rPr>
          <w:rFonts w:ascii="Arial" w:hAnsi="Arial" w:cs="Arial"/>
          <w:sz w:val="22"/>
          <w:szCs w:val="22"/>
        </w:rPr>
        <w:tab/>
        <w:t>Oferowane licencje muszą być nowe, zakupione w autoryzowanym kanale dystrybucyjnym producenta oprogramowania.</w:t>
      </w:r>
    </w:p>
    <w:p w14:paraId="7D37CAF8" w14:textId="77777777" w:rsidR="00A21C3D" w:rsidRPr="009D1475" w:rsidRDefault="00A21C3D" w:rsidP="00A21C3D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607297D5" w14:textId="77777777" w:rsidR="00A21C3D" w:rsidRPr="009D1475" w:rsidRDefault="00A21C3D" w:rsidP="00A21C3D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2737BD71" w14:textId="77777777" w:rsidR="00A21C3D" w:rsidRPr="009D1475" w:rsidRDefault="00A21C3D" w:rsidP="00A21C3D">
      <w:pPr>
        <w:spacing w:after="160" w:line="25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Zamawiający dopuszcza zaoferowanie produktów równoważnych do wyspecyfikowanej licencji Microsoft SQL Server 2022 Standard (2 </w:t>
      </w:r>
      <w:proofErr w:type="spellStart"/>
      <w:r w:rsidRPr="009D1475">
        <w:rPr>
          <w:rFonts w:ascii="Arial" w:eastAsiaTheme="minorHAnsi" w:hAnsi="Arial" w:cs="Arial"/>
          <w:b/>
          <w:sz w:val="22"/>
          <w:szCs w:val="22"/>
          <w:lang w:eastAsia="en-US"/>
        </w:rPr>
        <w:t>Core</w:t>
      </w:r>
      <w:proofErr w:type="spellEnd"/>
      <w:r w:rsidRPr="009D1475">
        <w:rPr>
          <w:rFonts w:ascii="Arial" w:eastAsiaTheme="minorHAnsi" w:hAnsi="Arial" w:cs="Arial"/>
          <w:b/>
          <w:sz w:val="22"/>
          <w:szCs w:val="22"/>
          <w:lang w:eastAsia="en-US"/>
        </w:rPr>
        <w:t>) - 5 szt.</w:t>
      </w:r>
    </w:p>
    <w:p w14:paraId="206B6395" w14:textId="39597626" w:rsidR="00A21C3D" w:rsidRPr="009D1475" w:rsidRDefault="00A21C3D" w:rsidP="00A21C3D">
      <w:pPr>
        <w:pStyle w:val="Akapitzlist"/>
        <w:numPr>
          <w:ilvl w:val="0"/>
          <w:numId w:val="20"/>
        </w:numPr>
        <w:spacing w:after="160" w:line="25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b/>
          <w:sz w:val="22"/>
          <w:szCs w:val="22"/>
          <w:lang w:eastAsia="en-US"/>
        </w:rPr>
        <w:t>Minimalne wymagania dla licencji równoważnej:</w:t>
      </w:r>
    </w:p>
    <w:p w14:paraId="52D80233" w14:textId="77777777" w:rsidR="00A21C3D" w:rsidRPr="009D1475" w:rsidRDefault="00A21C3D" w:rsidP="00A21C3D">
      <w:pPr>
        <w:numPr>
          <w:ilvl w:val="0"/>
          <w:numId w:val="18"/>
        </w:numPr>
        <w:spacing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 xml:space="preserve">licencje równoważne muszą być kompatybilne i w sposób niezakłócony współdziałać z oprogramowaniem Microsoft SQL Server funkcjonującym u Zamawiającego, </w:t>
      </w:r>
    </w:p>
    <w:p w14:paraId="43D94BC6" w14:textId="77777777" w:rsidR="00A21C3D" w:rsidRPr="009D1475" w:rsidRDefault="00A21C3D" w:rsidP="00A21C3D">
      <w:pPr>
        <w:numPr>
          <w:ilvl w:val="0"/>
          <w:numId w:val="18"/>
        </w:numPr>
        <w:spacing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>licencje równoważne nie mogą zakłócić pracy środowiska systemowo - programowego Zamawiającego</w:t>
      </w:r>
    </w:p>
    <w:p w14:paraId="023CBE54" w14:textId="77777777" w:rsidR="00A21C3D" w:rsidRPr="009D1475" w:rsidRDefault="00A21C3D" w:rsidP="00A21C3D">
      <w:pPr>
        <w:numPr>
          <w:ilvl w:val="0"/>
          <w:numId w:val="18"/>
        </w:numPr>
        <w:spacing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>licencje równoważne muszą w pełni współpracować z systemami Zamawiającego, opartymi o dotychczas użytkowane oprogramowanie Microsoft Windows Server oraz Microsoft SQL Server 2019 Standard</w:t>
      </w:r>
    </w:p>
    <w:p w14:paraId="6F5E565C" w14:textId="77777777" w:rsidR="00A21C3D" w:rsidRPr="009D1475" w:rsidRDefault="00A21C3D" w:rsidP="00A21C3D">
      <w:pPr>
        <w:numPr>
          <w:ilvl w:val="0"/>
          <w:numId w:val="18"/>
        </w:numPr>
        <w:spacing w:line="256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 xml:space="preserve">licencje równoważne muszą zapewniać pełną, równoległą współpracę w czasie rzeczywistym i pełną funkcjonalną zamienność oprogramowania równoważnego z wyspecyfikowanym oprogramowaniem Microsoft Windows Server 2022 Datacenter 16 </w:t>
      </w:r>
      <w:proofErr w:type="spellStart"/>
      <w:r w:rsidRPr="009D1475">
        <w:rPr>
          <w:rFonts w:ascii="Arial" w:eastAsiaTheme="minorHAnsi" w:hAnsi="Arial" w:cs="Arial"/>
          <w:sz w:val="22"/>
          <w:szCs w:val="22"/>
          <w:lang w:eastAsia="en-US"/>
        </w:rPr>
        <w:t>Core</w:t>
      </w:r>
      <w:proofErr w:type="spellEnd"/>
      <w:r w:rsidRPr="009D147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123E9F5" w14:textId="77777777" w:rsidR="00A21C3D" w:rsidRPr="009D1475" w:rsidRDefault="00A21C3D" w:rsidP="00A21C3D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9D32104" w14:textId="77777777" w:rsidR="00A21C3D" w:rsidRPr="009D1475" w:rsidRDefault="00A21C3D" w:rsidP="00A21C3D">
      <w:pPr>
        <w:numPr>
          <w:ilvl w:val="0"/>
          <w:numId w:val="21"/>
        </w:num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>W przypadku zaproponowania licencji równoważnych Wykonawca przeprowadzi na własny koszt instalację, konfigurację i integrację dostarczonego produktu. Wykonawca przeprowadzi migrację wszelkich danych i konfiguracji zapewniając identyczne funkcjonowanie całego środowiska w stosunku do aktualnego środowiska. Przerwa w działaniu aktualnie eksploatowanego środowiska produkcyjnego nie może wynieść więcej niż 5 godzin.</w:t>
      </w:r>
    </w:p>
    <w:p w14:paraId="23A65518" w14:textId="77777777" w:rsidR="00A21C3D" w:rsidRPr="009D1475" w:rsidRDefault="00A21C3D" w:rsidP="00A21C3D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F1B4DDD" w14:textId="77777777" w:rsidR="00A21C3D" w:rsidRPr="009D1475" w:rsidRDefault="00A21C3D" w:rsidP="00A21C3D">
      <w:pPr>
        <w:numPr>
          <w:ilvl w:val="0"/>
          <w:numId w:val="21"/>
        </w:num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 xml:space="preserve">W przypadku zaoferowania przez Wykonawcę licencji równoważnych Wykonawca dokona transferu wiedzy w zakresie utrzymania i rozwoju rozwiązania opartego o zaproponowane licencje. </w:t>
      </w:r>
    </w:p>
    <w:p w14:paraId="1586F074" w14:textId="77777777" w:rsidR="00A21C3D" w:rsidRPr="009D1475" w:rsidRDefault="00A21C3D" w:rsidP="00A21C3D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4C34B75" w14:textId="77777777" w:rsidR="00A21C3D" w:rsidRPr="009D1475" w:rsidRDefault="00A21C3D" w:rsidP="00A21C3D">
      <w:pPr>
        <w:numPr>
          <w:ilvl w:val="0"/>
          <w:numId w:val="21"/>
        </w:num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 xml:space="preserve">W przypadku, gdy zaoferowane przez Wykonawcę licencje równoważne nie będą właściwie współdziałać ze sprzętem i oprogramowaniem funkcjonującym u Zamawiającego i/lub spowoduje zakłócenia w funkcjonowaniu pracy środowiska sprzętowo-programowego u Zamawiającego, Wykonawca pokryje wszystkie koszty związane z przywróceniem i sprawnym działaniem infrastruktury sprzętowo-programowej Zamawiającego oraz na własny koszt dokona niezbędnych modyfikacji przywracających właściwe działanie środowiska sprzętowo-programowego Zamawiającego również po usunięciu licencji równoważnych oraz dostarczy inne rozwiązana spełniające wymagania SOPZ. </w:t>
      </w:r>
    </w:p>
    <w:p w14:paraId="0332C5FD" w14:textId="77777777" w:rsidR="00A21C3D" w:rsidRPr="009D1475" w:rsidRDefault="00A21C3D" w:rsidP="00A21C3D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DE21F66" w14:textId="77777777" w:rsidR="00A21C3D" w:rsidRPr="009D1475" w:rsidRDefault="00A21C3D" w:rsidP="00A21C3D">
      <w:pPr>
        <w:numPr>
          <w:ilvl w:val="0"/>
          <w:numId w:val="21"/>
        </w:num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 xml:space="preserve">Licencje równoważne dostarczane przez Wykonawcę nie mogą powodować utraty kompatybilności oraz wsparcia/gwarancji producentów używanego i współpracującego z nim oprogramowania u Zamawiającego. </w:t>
      </w:r>
    </w:p>
    <w:p w14:paraId="76DB7780" w14:textId="77777777" w:rsidR="00A21C3D" w:rsidRPr="009D1475" w:rsidRDefault="00A21C3D" w:rsidP="00A21C3D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C846C79" w14:textId="77777777" w:rsidR="00A21C3D" w:rsidRPr="009D1475" w:rsidRDefault="00A21C3D" w:rsidP="00A21C3D">
      <w:pPr>
        <w:numPr>
          <w:ilvl w:val="0"/>
          <w:numId w:val="21"/>
        </w:num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 xml:space="preserve">Licencje równoważne zastosowane przez Wykonawcę nie mogą w momencie składania przez niego oferty mieć statusu zakończenia wsparcia technicznego producenta. Niedopuszczalne jest zastosowanie licencji równoważnych, dla którego producent ogłosił zakończenie jego rozwoju w terminie 3 lat licząc od momentu złożenia oferty. Niedopuszczalne jest użycie licencji równoważnych, dla którego producent oprogramowania współpracującego ogłosił zaprzestanie wsparcia w jego nowszych wersjach. </w:t>
      </w:r>
    </w:p>
    <w:p w14:paraId="5F424B47" w14:textId="77777777" w:rsidR="00A21C3D" w:rsidRPr="009D1475" w:rsidRDefault="00A21C3D" w:rsidP="00A21C3D">
      <w:pPr>
        <w:spacing w:line="25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4EBD29" w14:textId="77777777" w:rsidR="00A21C3D" w:rsidRPr="009D1475" w:rsidRDefault="00A21C3D" w:rsidP="00A21C3D">
      <w:pPr>
        <w:numPr>
          <w:ilvl w:val="0"/>
          <w:numId w:val="21"/>
        </w:num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>Zastosowanie rozwiązania równoważnego nie może ograniczyć funkcjonalności posiadanego systemu przez Zamawiającego i nie może powodować konieczności ponoszenia dodatkowych kosztów dla Zamawiającego.</w:t>
      </w:r>
    </w:p>
    <w:p w14:paraId="20BB839F" w14:textId="77777777" w:rsidR="00A21C3D" w:rsidRPr="009D1475" w:rsidRDefault="00A21C3D" w:rsidP="00A21C3D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</w:p>
    <w:p w14:paraId="54B5274E" w14:textId="77777777" w:rsidR="00A21C3D" w:rsidRPr="009D1475" w:rsidRDefault="00A21C3D" w:rsidP="00A21C3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B1AC2F" w14:textId="77777777" w:rsidR="00A21C3D" w:rsidRPr="009D1475" w:rsidRDefault="00A21C3D" w:rsidP="00A21C3D">
      <w:pPr>
        <w:numPr>
          <w:ilvl w:val="0"/>
          <w:numId w:val="21"/>
        </w:numPr>
        <w:spacing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D1475">
        <w:rPr>
          <w:rFonts w:ascii="Arial" w:eastAsiaTheme="minorHAnsi" w:hAnsi="Arial" w:cs="Arial"/>
          <w:sz w:val="22"/>
          <w:szCs w:val="22"/>
          <w:lang w:eastAsia="en-US"/>
        </w:rPr>
        <w:t>W przypadku dostarczania licencji, równoważnych względem wyspecyfikowanej przez Zamawiającego w Szczegółowym Opisie Przedmiotu Zamówienia, Wykonawca musi na swoją odpowiedzialność i swój koszt udowodnić, że dostarczone licencje spełniają wszystkie wymagania i warunki określone w Szczegółowym Opisie Przedmiotu Zamówienia.</w:t>
      </w:r>
    </w:p>
    <w:p w14:paraId="6F276089" w14:textId="4B702236" w:rsidR="00A21C3D" w:rsidRPr="009D1475" w:rsidRDefault="00A21C3D" w:rsidP="00A21C3D">
      <w:pPr>
        <w:spacing w:line="256" w:lineRule="auto"/>
        <w:ind w:firstLine="60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</w:p>
    <w:p w14:paraId="54AF6353" w14:textId="77777777" w:rsidR="00A21C3D" w:rsidRPr="009D1475" w:rsidRDefault="00A21C3D" w:rsidP="00A21C3D">
      <w:pPr>
        <w:spacing w:line="276" w:lineRule="auto"/>
        <w:jc w:val="both"/>
        <w:rPr>
          <w:rFonts w:ascii="Arial" w:hAnsi="Arial" w:cs="Arial"/>
          <w:bCs/>
          <w:strike/>
          <w:sz w:val="22"/>
          <w:szCs w:val="22"/>
          <w:lang w:val="x-none"/>
        </w:rPr>
      </w:pPr>
    </w:p>
    <w:p w14:paraId="6A5D2CC3" w14:textId="77777777" w:rsidR="004A2200" w:rsidRPr="00AF6B1A" w:rsidRDefault="004A2200" w:rsidP="00790E55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sectPr w:rsidR="004A2200" w:rsidRPr="00AF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E8"/>
    <w:multiLevelType w:val="hybridMultilevel"/>
    <w:tmpl w:val="BBA8B65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65267"/>
    <w:multiLevelType w:val="hybridMultilevel"/>
    <w:tmpl w:val="2C4E0A84"/>
    <w:lvl w:ilvl="0" w:tplc="CD12E27C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4B2C2E"/>
    <w:multiLevelType w:val="hybridMultilevel"/>
    <w:tmpl w:val="4E6E5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542C9"/>
    <w:multiLevelType w:val="hybridMultilevel"/>
    <w:tmpl w:val="2A80E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4245F"/>
    <w:multiLevelType w:val="hybridMultilevel"/>
    <w:tmpl w:val="B918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5076C5B"/>
    <w:multiLevelType w:val="hybridMultilevel"/>
    <w:tmpl w:val="5C8A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E5"/>
    <w:multiLevelType w:val="hybridMultilevel"/>
    <w:tmpl w:val="3430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6"/>
  </w:num>
  <w:num w:numId="10">
    <w:abstractNumId w:val="2"/>
  </w:num>
  <w:num w:numId="11">
    <w:abstractNumId w:val="3"/>
  </w:num>
  <w:num w:numId="12">
    <w:abstractNumId w:val="16"/>
  </w:num>
  <w:num w:numId="13">
    <w:abstractNumId w:val="0"/>
  </w:num>
  <w:num w:numId="14">
    <w:abstractNumId w:val="4"/>
  </w:num>
  <w:num w:numId="15">
    <w:abstractNumId w:val="11"/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77"/>
    <w:rsid w:val="00082EE9"/>
    <w:rsid w:val="00212620"/>
    <w:rsid w:val="00416E27"/>
    <w:rsid w:val="00471479"/>
    <w:rsid w:val="00493152"/>
    <w:rsid w:val="004A2200"/>
    <w:rsid w:val="00535FD7"/>
    <w:rsid w:val="00773EF3"/>
    <w:rsid w:val="00790E55"/>
    <w:rsid w:val="007D6411"/>
    <w:rsid w:val="0084254A"/>
    <w:rsid w:val="00932777"/>
    <w:rsid w:val="009D1475"/>
    <w:rsid w:val="00A21C3D"/>
    <w:rsid w:val="00AF6B1A"/>
    <w:rsid w:val="00C92800"/>
    <w:rsid w:val="00E56DDC"/>
    <w:rsid w:val="00E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4AEC"/>
  <w15:chartTrackingRefBased/>
  <w15:docId w15:val="{8060631A-2D6A-405F-BFED-811D82E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0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5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928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8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093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3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Klimczak</cp:lastModifiedBy>
  <cp:revision>6</cp:revision>
  <dcterms:created xsi:type="dcterms:W3CDTF">2023-07-28T08:51:00Z</dcterms:created>
  <dcterms:modified xsi:type="dcterms:W3CDTF">2023-08-02T11:59:00Z</dcterms:modified>
</cp:coreProperties>
</file>