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BE" w:rsidRDefault="008026B5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</w:t>
      </w:r>
    </w:p>
    <w:p w:rsidR="005B42BE" w:rsidRDefault="005B42BE">
      <w:pPr>
        <w:spacing w:line="276" w:lineRule="auto"/>
        <w:rPr>
          <w:rFonts w:ascii="Tahoma" w:hAnsi="Tahoma" w:cs="Tahoma"/>
          <w:sz w:val="20"/>
          <w:szCs w:val="20"/>
        </w:rPr>
      </w:pPr>
    </w:p>
    <w:p w:rsidR="005B42BE" w:rsidRDefault="008026B5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</w:t>
      </w:r>
    </w:p>
    <w:p w:rsidR="005B42BE" w:rsidRPr="000D7B7F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0D7B7F">
        <w:rPr>
          <w:rFonts w:ascii="Tahoma" w:hAnsi="Tahoma" w:cs="Tahoma"/>
          <w:sz w:val="20"/>
          <w:szCs w:val="20"/>
        </w:rPr>
        <w:t>Przedmiotem zmówienia</w:t>
      </w:r>
      <w:r w:rsidRPr="000D7B7F">
        <w:rPr>
          <w:rFonts w:ascii="Tahoma" w:hAnsi="Tahoma" w:cs="Tahoma"/>
          <w:b/>
          <w:sz w:val="20"/>
          <w:szCs w:val="20"/>
        </w:rPr>
        <w:t xml:space="preserve"> </w:t>
      </w:r>
      <w:r w:rsidRPr="000D7B7F">
        <w:rPr>
          <w:rFonts w:ascii="Tahoma" w:hAnsi="Tahoma" w:cs="Tahoma"/>
          <w:sz w:val="20"/>
          <w:szCs w:val="20"/>
        </w:rPr>
        <w:t>jest o</w:t>
      </w:r>
      <w:r w:rsidRPr="000D7B7F">
        <w:rPr>
          <w:rFonts w:ascii="Tahoma" w:hAnsi="Tahoma" w:cs="Tahoma"/>
          <w:color w:val="000000"/>
          <w:sz w:val="20"/>
          <w:szCs w:val="20"/>
        </w:rPr>
        <w:t xml:space="preserve">pracowanie </w:t>
      </w:r>
      <w:r w:rsidRPr="000D7B7F">
        <w:rPr>
          <w:rFonts w:ascii="Tahoma" w:hAnsi="Tahoma" w:cs="Tahoma"/>
          <w:sz w:val="20"/>
          <w:szCs w:val="20"/>
        </w:rPr>
        <w:t xml:space="preserve"> </w:t>
      </w:r>
      <w:r w:rsidRPr="000D7B7F">
        <w:rPr>
          <w:rFonts w:ascii="Tahoma" w:hAnsi="Tahoma" w:cs="Tahoma"/>
          <w:bCs/>
          <w:sz w:val="20"/>
          <w:szCs w:val="20"/>
        </w:rPr>
        <w:t>kompletnej dokumentacji projektowej wraz ze Specyfikacją Techniczną Wykonania i Odbioru Robót Budowlanych (STWiOR)</w:t>
      </w:r>
      <w:r w:rsidRPr="000D7B7F">
        <w:rPr>
          <w:rFonts w:ascii="Tahoma" w:hAnsi="Tahoma" w:cs="Tahoma"/>
          <w:sz w:val="20"/>
          <w:szCs w:val="20"/>
        </w:rPr>
        <w:t xml:space="preserve"> dla modernizacji istniejącej ochrony odgromowej oraz instalacji przeciwprzepięciowej w obiektach budowlanych na terenie Wydziału Ujęć Drwęca-Jedwabno</w:t>
      </w:r>
      <w:r w:rsidR="004A1B8D" w:rsidRPr="000D7B7F">
        <w:rPr>
          <w:rFonts w:ascii="Tahoma" w:hAnsi="Tahoma" w:cs="Tahoma"/>
          <w:sz w:val="20"/>
          <w:szCs w:val="20"/>
        </w:rPr>
        <w:t>.</w:t>
      </w:r>
    </w:p>
    <w:p w:rsidR="005B42BE" w:rsidRPr="000D7B7F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0D7B7F">
        <w:rPr>
          <w:rFonts w:ascii="Tahoma" w:hAnsi="Tahoma" w:cs="Tahoma"/>
          <w:sz w:val="20"/>
          <w:szCs w:val="20"/>
        </w:rPr>
        <w:t>CPV 71320000-7</w:t>
      </w:r>
    </w:p>
    <w:p w:rsidR="005B42BE" w:rsidRPr="004A1B8D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A1B8D">
        <w:rPr>
          <w:rFonts w:ascii="Tahoma" w:hAnsi="Tahoma" w:cs="Tahoma"/>
          <w:sz w:val="20"/>
          <w:szCs w:val="20"/>
        </w:rPr>
        <w:t>Przedmiotowa dokumentacja ma stanowić opis przedmiotu zamówienia robót budowlano-montażowy</w:t>
      </w:r>
      <w:r w:rsidRPr="004A1B8D">
        <w:rPr>
          <w:rFonts w:ascii="Tahoma" w:hAnsi="Tahoma" w:cs="Tahoma"/>
          <w:sz w:val="20"/>
          <w:szCs w:val="20"/>
        </w:rPr>
        <w:t xml:space="preserve">ch na podstawie </w:t>
      </w:r>
      <w:r w:rsidR="004A1B8D" w:rsidRPr="004A1B8D">
        <w:rPr>
          <w:rFonts w:ascii="Tahoma" w:hAnsi="Tahoma" w:cs="Tahoma"/>
          <w:color w:val="000000"/>
          <w:sz w:val="20"/>
          <w:szCs w:val="20"/>
        </w:rPr>
        <w:t>ustawy z dnia 11 września 2019 r. Prawo zamówień publicznych oraz aktów wykonawczych do ustawy</w:t>
      </w:r>
      <w:r w:rsidR="004A1B8D">
        <w:rPr>
          <w:rFonts w:ascii="Tahoma" w:hAnsi="Tahoma" w:cs="Tahoma"/>
          <w:color w:val="000000"/>
          <w:sz w:val="20"/>
          <w:szCs w:val="20"/>
        </w:rPr>
        <w:t>.</w:t>
      </w:r>
    </w:p>
    <w:p w:rsidR="005B42BE" w:rsidRDefault="005B42B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B42BE" w:rsidRDefault="008026B5" w:rsidP="000D7B7F">
      <w:pPr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Określenie przedmiotu zamówienia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Dokumentacje projektowe należy opracować zgodnie z:</w:t>
      </w:r>
    </w:p>
    <w:p w:rsidR="005B42BE" w:rsidRDefault="008026B5">
      <w:pPr>
        <w:pStyle w:val="Akapitzlist"/>
        <w:numPr>
          <w:ilvl w:val="1"/>
          <w:numId w:val="11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Wytycznymi </w:t>
      </w:r>
      <w:r>
        <w:rPr>
          <w:rFonts w:ascii="Tahoma" w:hAnsi="Tahoma" w:cs="Tahoma"/>
          <w:sz w:val="20"/>
          <w:szCs w:val="20"/>
        </w:rPr>
        <w:t xml:space="preserve">technicznymi do projektowania i realizacji sieci, przyłączy oraz urządzeń wodociągowych i kanalizacyjnych </w:t>
      </w:r>
      <w:r>
        <w:rPr>
          <w:rFonts w:ascii="Tahoma" w:hAnsi="Tahoma" w:cs="Tahoma"/>
          <w:color w:val="000000"/>
          <w:sz w:val="20"/>
          <w:szCs w:val="20"/>
        </w:rPr>
        <w:t xml:space="preserve">dostępnymi </w:t>
      </w:r>
      <w:r>
        <w:rPr>
          <w:rFonts w:ascii="Tahoma" w:hAnsi="Tahoma" w:cs="Tahoma"/>
          <w:sz w:val="20"/>
          <w:szCs w:val="20"/>
        </w:rPr>
        <w:t xml:space="preserve">na stronie Zamawiającego </w:t>
      </w:r>
      <w:hyperlink r:id="rId8">
        <w:r>
          <w:rPr>
            <w:rFonts w:ascii="Tahoma" w:hAnsi="Tahoma" w:cs="Tahoma"/>
            <w:color w:val="0000FF"/>
            <w:sz w:val="20"/>
            <w:szCs w:val="20"/>
            <w:u w:val="single"/>
          </w:rPr>
          <w:t>www.wodociagi.torun.com.pl</w:t>
        </w:r>
      </w:hyperlink>
      <w:r>
        <w:rPr>
          <w:rFonts w:ascii="Tahoma" w:hAnsi="Tahoma" w:cs="Tahoma"/>
          <w:sz w:val="20"/>
          <w:szCs w:val="20"/>
        </w:rPr>
        <w:t xml:space="preserve"> w zakładce „Strefa klienta – Jak załatwić sprawę – Załatwianie spraw – Wytyczne techniczne”)</w:t>
      </w:r>
    </w:p>
    <w:p w:rsidR="005B42BE" w:rsidRDefault="008026B5">
      <w:pPr>
        <w:pStyle w:val="Akapitzlist"/>
        <w:numPr>
          <w:ilvl w:val="1"/>
          <w:numId w:val="11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34 Prawa Budowlanego,</w:t>
      </w:r>
    </w:p>
    <w:p w:rsidR="005B42BE" w:rsidRDefault="008026B5">
      <w:pPr>
        <w:pStyle w:val="Akapitzlist"/>
        <w:numPr>
          <w:ilvl w:val="1"/>
          <w:numId w:val="11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Regulaminem udzielania zamówień na dostawy, usługi i roboty budowlane w spółce Toruńskie Wodociągi Sp. z o.o.</w:t>
      </w:r>
    </w:p>
    <w:p w:rsidR="005B42BE" w:rsidRDefault="008026B5">
      <w:pPr>
        <w:pStyle w:val="Akapitzlist"/>
        <w:numPr>
          <w:ilvl w:val="1"/>
          <w:numId w:val="11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Wytycznymi „Ochrony drzew</w:t>
      </w:r>
      <w:r>
        <w:rPr>
          <w:rFonts w:ascii="Tahoma" w:hAnsi="Tahoma" w:cs="Tahoma"/>
          <w:sz w:val="20"/>
          <w:szCs w:val="20"/>
        </w:rPr>
        <w:t xml:space="preserve"> w procesie inwestycyjnym” – dostępnymi na stronie </w:t>
      </w:r>
      <w:hyperlink r:id="rId9">
        <w:r>
          <w:rPr>
            <w:rFonts w:ascii="Tahoma" w:hAnsi="Tahoma" w:cs="Tahoma"/>
            <w:sz w:val="20"/>
            <w:szCs w:val="20"/>
          </w:rPr>
          <w:t>www.wodociagi.torun.com.pl</w:t>
        </w:r>
      </w:hyperlink>
      <w:r>
        <w:rPr>
          <w:rFonts w:ascii="Tahoma" w:hAnsi="Tahoma" w:cs="Tahoma"/>
          <w:sz w:val="20"/>
          <w:szCs w:val="20"/>
        </w:rPr>
        <w:t xml:space="preserve"> w zakładce „Strefa klienta – jak załatwić sprawę – załatwianie spraw – wytyczne”.</w:t>
      </w:r>
    </w:p>
    <w:p w:rsidR="005B42BE" w:rsidRDefault="005B42BE">
      <w:pPr>
        <w:pStyle w:val="Akapitzlist"/>
        <w:ind w:left="1276"/>
        <w:jc w:val="both"/>
        <w:rPr>
          <w:rFonts w:ascii="Tahoma" w:hAnsi="Tahoma" w:cs="Tahoma"/>
          <w:sz w:val="20"/>
          <w:szCs w:val="20"/>
        </w:rPr>
      </w:pPr>
    </w:p>
    <w:p w:rsidR="005B42BE" w:rsidRPr="000D7B7F" w:rsidRDefault="008026B5" w:rsidP="000D7B7F">
      <w:pPr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0D7B7F">
        <w:rPr>
          <w:rFonts w:ascii="Tahoma" w:hAnsi="Tahoma" w:cs="Tahoma"/>
          <w:b/>
          <w:sz w:val="20"/>
          <w:szCs w:val="20"/>
        </w:rPr>
        <w:t>Informacje dla Wykonawcy</w:t>
      </w:r>
    </w:p>
    <w:p w:rsidR="005B42BE" w:rsidRPr="000D7B7F" w:rsidRDefault="008026B5" w:rsidP="000D7B7F">
      <w:pPr>
        <w:pStyle w:val="Akapitzlist"/>
        <w:numPr>
          <w:ilvl w:val="1"/>
          <w:numId w:val="16"/>
        </w:numPr>
        <w:spacing w:before="42"/>
        <w:jc w:val="both"/>
        <w:rPr>
          <w:rFonts w:ascii="Tahoma" w:hAnsi="Tahoma" w:cs="Tahoma"/>
          <w:sz w:val="20"/>
          <w:szCs w:val="20"/>
        </w:rPr>
      </w:pPr>
      <w:r w:rsidRPr="000D7B7F">
        <w:rPr>
          <w:rFonts w:ascii="Tahoma" w:hAnsi="Tahoma" w:cs="Tahoma"/>
          <w:sz w:val="20"/>
          <w:szCs w:val="20"/>
        </w:rPr>
        <w:t>Dokumentacja proj</w:t>
      </w:r>
      <w:r w:rsidRPr="000D7B7F">
        <w:rPr>
          <w:rFonts w:ascii="Tahoma" w:hAnsi="Tahoma" w:cs="Tahoma"/>
          <w:sz w:val="20"/>
          <w:szCs w:val="20"/>
        </w:rPr>
        <w:t>ektowa winna obejmować: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wyznaczenie ryzyka wystąpienia szkody wskutek wyładowań atmosferycznych zgodnie z normą PN-EN serii 62305 dla urządzeń elektrycznych zasilających, sterujących,   pomiarowych dostępu i ochrony dla wszystkich obiektów SUW,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inwentaryzację elementów ochrony przeciwprzepięciowej zainstalowanych na wszystkich stacjach 110/6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, 6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, 0,4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rozdzielniach, zasilających kluczowe systemy technologiczne,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Sprawdzenie czy zastosowana ilość ograniczników przepięć dla linii pomiarowych </w:t>
      </w:r>
      <w:r w:rsidRPr="000D7B7F">
        <w:rPr>
          <w:rFonts w:ascii="Tahoma" w:hAnsi="Tahoma" w:cs="Tahoma"/>
          <w:sz w:val="20"/>
          <w:szCs w:val="20"/>
        </w:rPr>
        <w:t>SUW jest wystarczająca,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inwentaryzację sieci 0,4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zasilającej komputery do sterowania i wizualizacji (szczególnie na centralnej dyspozytorni - CD),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wzmocnienie ochrony przeciwprzepięciowej sieci zasilającej i linii pomiarowych sterowników PLC szczególnie</w:t>
      </w:r>
      <w:r w:rsidRPr="000D7B7F">
        <w:rPr>
          <w:rFonts w:ascii="Tahoma" w:hAnsi="Tahoma" w:cs="Tahoma"/>
          <w:sz w:val="20"/>
          <w:szCs w:val="20"/>
        </w:rPr>
        <w:t xml:space="preserve"> w CD,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proofErr w:type="spellStart"/>
      <w:r w:rsidRPr="000D7B7F">
        <w:rPr>
          <w:rFonts w:ascii="Tahoma" w:hAnsi="Tahoma" w:cs="Tahoma"/>
          <w:sz w:val="20"/>
          <w:szCs w:val="20"/>
        </w:rPr>
        <w:t>wyseparowanie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ochrony odgromowej masztu telekomunikacyjnego w okolicach stacji 6/0,4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T-2 i wzmocnienie ochrony linii zasilającej urządzenia masztu, 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zastosowanie odrębnej ochrony nie połączonej z uziemieniami dla: </w:t>
      </w:r>
      <w:proofErr w:type="spellStart"/>
      <w:r w:rsidRPr="000D7B7F">
        <w:rPr>
          <w:rFonts w:ascii="Tahoma" w:hAnsi="Tahoma" w:cs="Tahoma"/>
          <w:sz w:val="20"/>
          <w:szCs w:val="20"/>
        </w:rPr>
        <w:t>Ozonowni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oraz stacji  6/0,4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T</w:t>
      </w:r>
      <w:r w:rsidRPr="000D7B7F">
        <w:rPr>
          <w:rFonts w:ascii="Tahoma" w:hAnsi="Tahoma" w:cs="Tahoma"/>
          <w:sz w:val="20"/>
          <w:szCs w:val="20"/>
        </w:rPr>
        <w:t>-2 za pomocą masztów odgromowych,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zaprojektowanie ochrony dla sterowników PLC z kategorii wytrzymałości udarowej </w:t>
      </w:r>
      <w:r w:rsidRPr="000D7B7F">
        <w:rPr>
          <w:rFonts w:ascii="Tahoma" w:hAnsi="Tahoma" w:cs="Tahoma"/>
          <w:b/>
          <w:bCs/>
          <w:sz w:val="20"/>
          <w:szCs w:val="20"/>
        </w:rPr>
        <w:t>kategoria I,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obwody zasilania sterowników PLC muszą posiadać ochronniki zapewniające ochronę </w:t>
      </w:r>
      <w:r w:rsidRPr="000D7B7F">
        <w:rPr>
          <w:rFonts w:ascii="Tahoma" w:hAnsi="Tahoma" w:cs="Tahoma"/>
          <w:b/>
          <w:bCs/>
          <w:sz w:val="20"/>
          <w:szCs w:val="20"/>
        </w:rPr>
        <w:t xml:space="preserve">kategorii </w:t>
      </w:r>
      <w:proofErr w:type="spellStart"/>
      <w:r w:rsidRPr="000D7B7F">
        <w:rPr>
          <w:rFonts w:ascii="Tahoma" w:hAnsi="Tahoma" w:cs="Tahoma"/>
          <w:b/>
          <w:bCs/>
          <w:sz w:val="20"/>
          <w:szCs w:val="20"/>
        </w:rPr>
        <w:t>III,II,I</w:t>
      </w:r>
      <w:proofErr w:type="spellEnd"/>
      <w:r w:rsidRPr="000D7B7F">
        <w:rPr>
          <w:rFonts w:ascii="Tahoma" w:hAnsi="Tahoma" w:cs="Tahoma"/>
          <w:b/>
          <w:bCs/>
          <w:sz w:val="20"/>
          <w:szCs w:val="20"/>
        </w:rPr>
        <w:t>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należy zastosować ochronę mied</w:t>
      </w:r>
      <w:r w:rsidRPr="000D7B7F">
        <w:rPr>
          <w:rFonts w:ascii="Tahoma" w:hAnsi="Tahoma" w:cs="Tahoma"/>
          <w:sz w:val="20"/>
          <w:szCs w:val="20"/>
        </w:rPr>
        <w:t>zianych linii pomiarowych, sterowniczych wprowadzanych do wszystkich sterowników PLC,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dokonanie podziału obiektu na strefy ochrony odgromowej,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dobór ograniczników przepięć w instalacji elektrycznej oraz teletechnicznej,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wyznaczenie bezpiecznych odstępów iz</w:t>
      </w:r>
      <w:r w:rsidRPr="000D7B7F">
        <w:rPr>
          <w:rFonts w:ascii="Tahoma" w:hAnsi="Tahoma" w:cs="Tahoma"/>
          <w:sz w:val="20"/>
          <w:szCs w:val="20"/>
        </w:rPr>
        <w:t>olacyjnych instalacji urządzeń elektrycznych i elektronicznych na elewacji budynków.</w:t>
      </w:r>
    </w:p>
    <w:p w:rsidR="005B42BE" w:rsidRDefault="008026B5" w:rsidP="000D7B7F">
      <w:pPr>
        <w:pStyle w:val="Akapitzlist"/>
        <w:numPr>
          <w:ilvl w:val="1"/>
          <w:numId w:val="16"/>
        </w:numPr>
        <w:spacing w:before="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Dokumentacja powinna być dedykowanym sposobem ochrony odgromowej i przeciwprzepięciowej systemu sterowania i wizualizacji na bazie występujących w </w:t>
      </w:r>
      <w:r>
        <w:rPr>
          <w:rFonts w:ascii="Tahoma" w:hAnsi="Tahoma" w:cs="Tahoma"/>
          <w:sz w:val="20"/>
          <w:szCs w:val="20"/>
        </w:rPr>
        <w:lastRenderedPageBreak/>
        <w:t>przeszłości potwierdzony</w:t>
      </w:r>
      <w:r>
        <w:rPr>
          <w:rFonts w:ascii="Tahoma" w:hAnsi="Tahoma" w:cs="Tahoma"/>
          <w:sz w:val="20"/>
          <w:szCs w:val="20"/>
        </w:rPr>
        <w:t>ch wyładowań piorunowych uwzględniających miejsce ich powstania oraz zakresu ich skutków.</w:t>
      </w:r>
    </w:p>
    <w:p w:rsidR="005B42BE" w:rsidRDefault="008026B5">
      <w:pPr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Szczególną uwagę należy zwrócić na przesył sygnałów </w:t>
      </w:r>
      <w:r w:rsidRPr="000D7B7F">
        <w:rPr>
          <w:rFonts w:ascii="Tahoma" w:hAnsi="Tahoma" w:cs="Tahoma"/>
          <w:sz w:val="20"/>
          <w:szCs w:val="20"/>
        </w:rPr>
        <w:t xml:space="preserve">sterowniczych </w:t>
      </w:r>
      <w:r w:rsidRPr="000D7B7F">
        <w:rPr>
          <w:rFonts w:ascii="Tahoma" w:hAnsi="Tahoma" w:cs="Tahoma"/>
          <w:sz w:val="20"/>
          <w:szCs w:val="20"/>
        </w:rPr>
        <w:t>i pomiarowych</w:t>
      </w:r>
      <w:r w:rsidRPr="000D7B7F">
        <w:rPr>
          <w:rFonts w:ascii="Tahoma" w:hAnsi="Tahoma" w:cs="Tahoma"/>
          <w:sz w:val="20"/>
          <w:szCs w:val="20"/>
        </w:rPr>
        <w:t xml:space="preserve"> dotyczących technologii uzdatniania wody i sterowania procesami na całej stacji</w:t>
      </w:r>
      <w:r>
        <w:rPr>
          <w:rFonts w:ascii="Tahoma" w:hAnsi="Tahoma" w:cs="Tahoma"/>
          <w:sz w:val="20"/>
          <w:szCs w:val="20"/>
        </w:rPr>
        <w:t xml:space="preserve"> zwłasz</w:t>
      </w:r>
      <w:r>
        <w:rPr>
          <w:rFonts w:ascii="Tahoma" w:hAnsi="Tahoma" w:cs="Tahoma"/>
          <w:sz w:val="20"/>
          <w:szCs w:val="20"/>
        </w:rPr>
        <w:t>cza przesyłu sygnałów między budynkami zgodnie z PN-EN 61643-21.</w:t>
      </w:r>
    </w:p>
    <w:p w:rsidR="005B42BE" w:rsidRDefault="008026B5" w:rsidP="000D7B7F">
      <w:pPr>
        <w:pStyle w:val="Akapitzlist"/>
        <w:numPr>
          <w:ilvl w:val="1"/>
          <w:numId w:val="16"/>
        </w:numPr>
        <w:spacing w:before="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Załącznikiem do niniejszego OPZ jest Opracowanie techniczne Stowarzyszenia Elektryków Polskich z Ośrodka Rzeczoznawstwa SEP w Gdańsku z dnia 26.08.2022 r. na temat oceny istniejącego systemu </w:t>
      </w:r>
      <w:r>
        <w:rPr>
          <w:rFonts w:ascii="Tahoma" w:hAnsi="Tahoma" w:cs="Tahoma"/>
          <w:sz w:val="20"/>
          <w:szCs w:val="20"/>
        </w:rPr>
        <w:t>ochrony odgromowej i przeciwprzepięciowej obiektów SUW Drwęca - Jedwabno, które stanowić będzie materiał pomocniczy podczas projektowania.</w:t>
      </w: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B42BE" w:rsidRDefault="008026B5" w:rsidP="000D7B7F">
      <w:pPr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prac obejmuje</w:t>
      </w:r>
      <w:r>
        <w:rPr>
          <w:rFonts w:ascii="Tahoma" w:hAnsi="Tahoma" w:cs="Tahoma"/>
          <w:sz w:val="20"/>
          <w:szCs w:val="20"/>
        </w:rPr>
        <w:t>:</w:t>
      </w:r>
    </w:p>
    <w:p w:rsidR="005B42BE" w:rsidRPr="000D7B7F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0D7B7F">
        <w:rPr>
          <w:rFonts w:ascii="Tahoma" w:hAnsi="Tahoma" w:cs="Tahoma"/>
          <w:sz w:val="20"/>
          <w:szCs w:val="20"/>
        </w:rPr>
        <w:t xml:space="preserve">uzyskanie prawomocnej decyzji pozwolenia na budowę bądź przyjętego bez podstaw do wniesienia </w:t>
      </w:r>
      <w:r w:rsidRPr="000D7B7F">
        <w:rPr>
          <w:rFonts w:ascii="Tahoma" w:hAnsi="Tahoma" w:cs="Tahoma"/>
          <w:sz w:val="20"/>
          <w:szCs w:val="20"/>
        </w:rPr>
        <w:t>sprzeciwu zgłoszenia zamiaru rozpoczęcia robót,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uzyskanie kompletu materiałów niezbędnych do projektowania (aktualne plany sytuacyjno-wysokościowe, mapy stanu prawnego i inne),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materiałów do wniosku o wydanie decyzji o środowiskowych uwarunkowa</w:t>
      </w:r>
      <w:r>
        <w:rPr>
          <w:rFonts w:ascii="Tahoma" w:hAnsi="Tahoma" w:cs="Tahoma"/>
          <w:sz w:val="20"/>
          <w:szCs w:val="20"/>
        </w:rPr>
        <w:t>niach zgody na realizację przedsięwzięcia, w tym „Raportu o oddziaływaniu na środowisko”, złożenie wniosku i uzyskanie prawomocnej decyzji, zgodnie z obowiązującymi przepisami (jeżeli będzie wymagane),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opracowanie materiałów do wniosku o wydanie decyzji o </w:t>
      </w:r>
      <w:r>
        <w:rPr>
          <w:rFonts w:ascii="Tahoma" w:hAnsi="Tahoma" w:cs="Tahoma"/>
          <w:sz w:val="20"/>
          <w:szCs w:val="20"/>
        </w:rPr>
        <w:t>ustaleniu lokalizacji inwestycji celu publicznego wraz z uzyskaniem prawomocnej decyzji, zgodnie z obowiązującymi przepisami (jeżeli będzie taka wymagana),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uzyskania wypisu i wyrysu z Miejscowego Planu Zagospodarowania Przestrzennego jeżeli organ wydający </w:t>
      </w:r>
      <w:r>
        <w:rPr>
          <w:rFonts w:ascii="Tahoma" w:hAnsi="Tahoma" w:cs="Tahoma"/>
          <w:sz w:val="20"/>
          <w:szCs w:val="20"/>
        </w:rPr>
        <w:t>decyzję pozwolenia na budowę/zgłoszenia wymaga jego dostarczenie wraz z wnioskiem,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kompletnej dokumentacji projektowej odpowiadającej warunkom określonym w:</w:t>
      </w:r>
    </w:p>
    <w:p w:rsidR="005B42BE" w:rsidRDefault="008026B5">
      <w:pPr>
        <w:pStyle w:val="Akapitzlist"/>
        <w:numPr>
          <w:ilvl w:val="2"/>
          <w:numId w:val="13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Rozporządzeniu Ministra Rozwoju i Technologii z dnia 20.12.2021r. w sprawie szczegółowe</w:t>
      </w:r>
      <w:r>
        <w:rPr>
          <w:rFonts w:ascii="Tahoma" w:hAnsi="Tahoma" w:cs="Tahoma"/>
          <w:sz w:val="20"/>
          <w:szCs w:val="20"/>
        </w:rPr>
        <w:t>go zakresu i formy dok. projektowej, specyfikacji technicznych wykonania i odbioru robót budowlanych oraz programu funkcjonalno-użytkowego,</w:t>
      </w:r>
    </w:p>
    <w:p w:rsidR="005B42BE" w:rsidRDefault="008026B5">
      <w:pPr>
        <w:pStyle w:val="Akapitzlist"/>
        <w:numPr>
          <w:ilvl w:val="2"/>
          <w:numId w:val="13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Rozporządzeniu Ministra Rozwoju i Technologii z dnia 20.12.2021r. w sprawie określenia metod i podstaw sporządzania </w:t>
      </w:r>
      <w:r>
        <w:rPr>
          <w:rFonts w:ascii="Tahoma" w:hAnsi="Tahoma" w:cs="Tahoma"/>
          <w:sz w:val="20"/>
          <w:szCs w:val="20"/>
        </w:rPr>
        <w:t>kosztorysów inwestorskich, obliczania planowych kosztów prac projektowych oraz planowanych kosztów robót budowlanych określonych w programie funkcjonalno-użytkowym,</w:t>
      </w:r>
    </w:p>
    <w:p w:rsidR="005B42BE" w:rsidRDefault="008026B5">
      <w:pPr>
        <w:pStyle w:val="Akapitzlist"/>
        <w:numPr>
          <w:ilvl w:val="2"/>
          <w:numId w:val="13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Rozporządzeniu Ministra Rozwoju w sprawie szczegółowego zakresu i formy projektu budowlaneg</w:t>
      </w:r>
      <w:r>
        <w:rPr>
          <w:rFonts w:ascii="Tahoma" w:hAnsi="Tahoma" w:cs="Tahoma"/>
          <w:sz w:val="20"/>
          <w:szCs w:val="20"/>
        </w:rPr>
        <w:t>o z 11.09.2020 r,</w:t>
      </w:r>
    </w:p>
    <w:p w:rsidR="005B42BE" w:rsidRDefault="008026B5">
      <w:pPr>
        <w:pStyle w:val="Akapitzlist"/>
        <w:numPr>
          <w:ilvl w:val="2"/>
          <w:numId w:val="13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Ustawie z dnia 7 lipca 1994 Prawo budowlane.</w:t>
      </w:r>
    </w:p>
    <w:p w:rsidR="005B42BE" w:rsidRDefault="008026B5">
      <w:pPr>
        <w:numPr>
          <w:ilvl w:val="0"/>
          <w:numId w:val="3"/>
        </w:numPr>
        <w:ind w:left="1701" w:hanging="37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projekt budowlany</w:t>
      </w:r>
      <w:r>
        <w:rPr>
          <w:rFonts w:ascii="Tahoma" w:hAnsi="Tahoma" w:cs="Tahoma"/>
          <w:sz w:val="20"/>
          <w:szCs w:val="20"/>
        </w:rPr>
        <w:t xml:space="preserve"> w zakresie wymaganym do uzyskania decyzji pozwolenia na budowę / zgłoszenia zamiaru rozpoczęcia robót dla przedmiotowego zadania, z niezbędnymi uzgodnieniami i decyzjami. </w:t>
      </w:r>
    </w:p>
    <w:p w:rsidR="005B42BE" w:rsidRDefault="008026B5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</w:t>
      </w:r>
      <w:r>
        <w:rPr>
          <w:rFonts w:ascii="Tahoma" w:hAnsi="Tahoma" w:cs="Tahoma"/>
          <w:sz w:val="20"/>
          <w:szCs w:val="20"/>
        </w:rPr>
        <w:t xml:space="preserve">jekt budowlany odpowiadać będzie zapisom przywołanym w pkt. 3.8, szczególnie w </w:t>
      </w:r>
      <w:r>
        <w:rPr>
          <w:rFonts w:ascii="Tahoma" w:hAnsi="Tahoma" w:cs="Tahoma"/>
          <w:sz w:val="20"/>
          <w:szCs w:val="20"/>
          <w:u w:val="single"/>
        </w:rPr>
        <w:t>art. 34 ust 3 Ustawy</w:t>
      </w:r>
      <w:r>
        <w:rPr>
          <w:rFonts w:ascii="Tahoma" w:hAnsi="Tahoma" w:cs="Tahoma"/>
          <w:sz w:val="20"/>
          <w:szCs w:val="20"/>
        </w:rPr>
        <w:t xml:space="preserve"> z dnia 7 lipca 1994 Prawo budowlane i zawierać będzie: </w:t>
      </w:r>
    </w:p>
    <w:p w:rsidR="005B42BE" w:rsidRDefault="008026B5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-projekt zagospodarowania terenu, </w:t>
      </w:r>
    </w:p>
    <w:p w:rsidR="005B42BE" w:rsidRDefault="008026B5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-projekt architektoniczno budowlany,</w:t>
      </w:r>
    </w:p>
    <w:p w:rsidR="005B42BE" w:rsidRDefault="008026B5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-projekt techniczny.</w:t>
      </w:r>
    </w:p>
    <w:p w:rsidR="005B42BE" w:rsidRDefault="008026B5">
      <w:pPr>
        <w:numPr>
          <w:ilvl w:val="0"/>
          <w:numId w:val="3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</w:t>
      </w:r>
      <w:r>
        <w:rPr>
          <w:rFonts w:ascii="Tahoma" w:hAnsi="Tahoma" w:cs="Tahoma"/>
          <w:b/>
          <w:sz w:val="20"/>
          <w:szCs w:val="20"/>
        </w:rPr>
        <w:t>ekt wykonawczy</w:t>
      </w:r>
      <w:r>
        <w:rPr>
          <w:rFonts w:ascii="Tahoma" w:hAnsi="Tahoma" w:cs="Tahoma"/>
          <w:sz w:val="20"/>
          <w:szCs w:val="20"/>
        </w:rPr>
        <w:t xml:space="preserve"> uszczegółowiający projekt budowlany, zgodnie z Rozporządzeniami przywołanymi w pkt. 3.8,</w:t>
      </w:r>
    </w:p>
    <w:p w:rsidR="005B42BE" w:rsidRDefault="008026B5">
      <w:pPr>
        <w:numPr>
          <w:ilvl w:val="0"/>
          <w:numId w:val="3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przedmiar robót oraz kosztorys inwestorski </w:t>
      </w:r>
      <w:r>
        <w:rPr>
          <w:rFonts w:ascii="Tahoma" w:hAnsi="Tahoma" w:cs="Tahoma"/>
          <w:sz w:val="20"/>
          <w:szCs w:val="20"/>
        </w:rPr>
        <w:t>opracowany zgodnie z Rozporządzeniami przywołanymi w pkt. 3.8.</w:t>
      </w:r>
    </w:p>
    <w:p w:rsidR="005B42BE" w:rsidRDefault="008026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Uwaga:</w:t>
      </w:r>
    </w:p>
    <w:p w:rsidR="005B42BE" w:rsidRDefault="008026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pow. wytycznymi, </w:t>
      </w:r>
      <w:r>
        <w:rPr>
          <w:rFonts w:ascii="Tahoma" w:hAnsi="Tahoma" w:cs="Tahoma"/>
          <w:b/>
          <w:sz w:val="20"/>
          <w:szCs w:val="20"/>
        </w:rPr>
        <w:t xml:space="preserve">Zamawiający </w:t>
      </w:r>
      <w:r>
        <w:rPr>
          <w:rFonts w:ascii="Tahoma" w:hAnsi="Tahoma" w:cs="Tahoma"/>
          <w:b/>
          <w:sz w:val="20"/>
          <w:szCs w:val="20"/>
        </w:rPr>
        <w:t>wymaga aby kosztorys inwestorski zawierał między innymi krótki opis techniczny</w:t>
      </w:r>
      <w:r>
        <w:rPr>
          <w:rFonts w:ascii="Tahoma" w:hAnsi="Tahoma" w:cs="Tahoma"/>
          <w:sz w:val="20"/>
          <w:szCs w:val="20"/>
        </w:rPr>
        <w:t xml:space="preserve"> wraz z istotnymi parametrami, które określają wielkość obiektu lub robót </w:t>
      </w:r>
      <w:r>
        <w:rPr>
          <w:rFonts w:ascii="Tahoma" w:hAnsi="Tahoma" w:cs="Tahoma"/>
          <w:b/>
          <w:sz w:val="20"/>
          <w:szCs w:val="20"/>
        </w:rPr>
        <w:t>oraz w odrębnej kolumnie numer specyfikacji technicznej wykonania i odbioru robót,</w:t>
      </w:r>
      <w:r>
        <w:rPr>
          <w:rFonts w:ascii="Tahoma" w:hAnsi="Tahoma" w:cs="Tahoma"/>
          <w:sz w:val="20"/>
          <w:szCs w:val="20"/>
        </w:rPr>
        <w:t xml:space="preserve"> zawierającej wymagani</w:t>
      </w:r>
      <w:r>
        <w:rPr>
          <w:rFonts w:ascii="Tahoma" w:hAnsi="Tahoma" w:cs="Tahoma"/>
          <w:sz w:val="20"/>
          <w:szCs w:val="20"/>
        </w:rPr>
        <w:t>a dla danej pozycji przedmiaru / kosztorysu.</w:t>
      </w:r>
    </w:p>
    <w:p w:rsidR="005B42BE" w:rsidRDefault="008026B5">
      <w:pPr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oraz:</w:t>
      </w:r>
    </w:p>
    <w:p w:rsidR="005B42BE" w:rsidRDefault="008026B5">
      <w:pPr>
        <w:numPr>
          <w:ilvl w:val="0"/>
          <w:numId w:val="3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specyfikację techniczną </w:t>
      </w:r>
      <w:r>
        <w:rPr>
          <w:rFonts w:ascii="Tahoma" w:hAnsi="Tahoma" w:cs="Tahoma"/>
          <w:sz w:val="20"/>
          <w:szCs w:val="20"/>
        </w:rPr>
        <w:t>wykonania i odbioru robót, opracowany zgodnie z Rozporządzeniem przywołanym w pkt. 3.8. – skomunikowaną z kosztorysem jw.</w:t>
      </w:r>
    </w:p>
    <w:p w:rsidR="005B42BE" w:rsidRDefault="008026B5">
      <w:pPr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dodatkowo:</w:t>
      </w:r>
    </w:p>
    <w:p w:rsidR="005B42BE" w:rsidRDefault="008026B5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informację dotyczącą bezpieczeństwa i ochrony </w:t>
      </w:r>
      <w:r>
        <w:rPr>
          <w:rFonts w:ascii="Tahoma" w:hAnsi="Tahoma" w:cs="Tahoma"/>
          <w:sz w:val="20"/>
          <w:szCs w:val="20"/>
        </w:rPr>
        <w:t>zdrowia (BIOZ) ze względu na specyfikę projektowanego obiektu budowlanego, odpowiadająca warunkom określonym w Rozporządzeniu Ministra Infrastruktury z dnia 23.06.2003 r., w sprawie informacji dotyczącej bezpieczeństwa i ochrony zdrowia oraz bezpieczeństwa</w:t>
      </w:r>
      <w:r>
        <w:rPr>
          <w:rFonts w:ascii="Tahoma" w:hAnsi="Tahoma" w:cs="Tahoma"/>
          <w:sz w:val="20"/>
          <w:szCs w:val="20"/>
        </w:rPr>
        <w:t xml:space="preserve"> i ochrony zdrowia,</w:t>
      </w:r>
    </w:p>
    <w:p w:rsidR="005B42BE" w:rsidRDefault="008026B5">
      <w:pPr>
        <w:keepNext/>
        <w:numPr>
          <w:ilvl w:val="0"/>
          <w:numId w:val="9"/>
        </w:numPr>
        <w:jc w:val="both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Rozporządzeniem Ministra Transportu, Budownictwa i Gospodarki Morskiej z 25.04.2012 w sprawie ustalania geotechnicznych warunków posadowienia obiektów budowlanych, w zależności od kategorii geotechnicznej obiektu budowlanego </w:t>
      </w:r>
      <w:r>
        <w:rPr>
          <w:rFonts w:ascii="Tahoma" w:hAnsi="Tahoma" w:cs="Tahoma"/>
          <w:sz w:val="20"/>
          <w:szCs w:val="20"/>
        </w:rPr>
        <w:t>(jeżeli będzie wymagana):</w:t>
      </w:r>
    </w:p>
    <w:p w:rsidR="005B42BE" w:rsidRDefault="008026B5">
      <w:pPr>
        <w:numPr>
          <w:ilvl w:val="0"/>
          <w:numId w:val="8"/>
        </w:numPr>
        <w:tabs>
          <w:tab w:val="clear" w:pos="720"/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dla I kategorii: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opinię (dokumentację) geotechniczną</w:t>
      </w:r>
      <w:r>
        <w:rPr>
          <w:rFonts w:ascii="Tahoma" w:hAnsi="Tahoma" w:cs="Tahoma"/>
          <w:sz w:val="20"/>
          <w:szCs w:val="20"/>
        </w:rPr>
        <w:t xml:space="preserve"> wraz z określeniem poziomu wód i profilem gruntu,</w:t>
      </w:r>
    </w:p>
    <w:p w:rsidR="005B42BE" w:rsidRDefault="008026B5">
      <w:pPr>
        <w:numPr>
          <w:ilvl w:val="0"/>
          <w:numId w:val="8"/>
        </w:numPr>
        <w:tabs>
          <w:tab w:val="clear" w:pos="720"/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dla II kategorii</w:t>
      </w:r>
      <w:r>
        <w:rPr>
          <w:rFonts w:ascii="Tahoma" w:hAnsi="Tahoma" w:cs="Tahoma"/>
          <w:sz w:val="20"/>
          <w:szCs w:val="20"/>
        </w:rPr>
        <w:t xml:space="preserve"> (dla obiektu liniowego przy wykopach głębszych niż 1,2 </w:t>
      </w:r>
      <w:proofErr w:type="spellStart"/>
      <w:r>
        <w:rPr>
          <w:rFonts w:ascii="Tahoma" w:hAnsi="Tahoma" w:cs="Tahoma"/>
          <w:sz w:val="20"/>
          <w:szCs w:val="20"/>
        </w:rPr>
        <w:t>m.p.p.t</w:t>
      </w:r>
      <w:proofErr w:type="spellEnd"/>
      <w:r>
        <w:rPr>
          <w:rFonts w:ascii="Tahoma" w:hAnsi="Tahoma" w:cs="Tahoma"/>
          <w:sz w:val="20"/>
          <w:szCs w:val="20"/>
        </w:rPr>
        <w:t xml:space="preserve">.): </w:t>
      </w:r>
      <w:r>
        <w:rPr>
          <w:rFonts w:ascii="Tahoma" w:hAnsi="Tahoma" w:cs="Tahoma"/>
          <w:b/>
          <w:sz w:val="20"/>
          <w:szCs w:val="20"/>
        </w:rPr>
        <w:t xml:space="preserve">dokumentację badań podłoża wraz z projektem </w:t>
      </w:r>
      <w:r>
        <w:rPr>
          <w:rFonts w:ascii="Tahoma" w:hAnsi="Tahoma" w:cs="Tahoma"/>
          <w:b/>
          <w:sz w:val="20"/>
          <w:szCs w:val="20"/>
        </w:rPr>
        <w:t xml:space="preserve">geotechnicznym </w:t>
      </w:r>
      <w:r>
        <w:rPr>
          <w:rFonts w:ascii="Tahoma" w:hAnsi="Tahoma" w:cs="Tahoma"/>
          <w:sz w:val="20"/>
          <w:szCs w:val="20"/>
        </w:rPr>
        <w:t>zatwierdzonym w drodze decyzji przez właściwy organ administracji geologicznej,</w:t>
      </w:r>
    </w:p>
    <w:p w:rsidR="005B42BE" w:rsidRDefault="008026B5">
      <w:pPr>
        <w:numPr>
          <w:ilvl w:val="0"/>
          <w:numId w:val="8"/>
        </w:numPr>
        <w:tabs>
          <w:tab w:val="clear" w:pos="720"/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dla III kategorii:</w:t>
      </w:r>
      <w:r>
        <w:rPr>
          <w:rFonts w:ascii="Tahoma" w:hAnsi="Tahoma" w:cs="Tahoma"/>
          <w:sz w:val="20"/>
          <w:szCs w:val="20"/>
        </w:rPr>
        <w:t xml:space="preserve"> (oraz II kategorii przy złożonych warunkach gruntowych) </w:t>
      </w:r>
      <w:r>
        <w:rPr>
          <w:rFonts w:ascii="Tahoma" w:hAnsi="Tahoma" w:cs="Tahoma"/>
          <w:b/>
          <w:sz w:val="20"/>
          <w:szCs w:val="20"/>
        </w:rPr>
        <w:t>dokumentację geologiczno-inżynierską</w:t>
      </w:r>
      <w:r>
        <w:rPr>
          <w:rFonts w:ascii="Tahoma" w:hAnsi="Tahoma" w:cs="Tahoma"/>
          <w:sz w:val="20"/>
          <w:szCs w:val="20"/>
        </w:rPr>
        <w:t xml:space="preserve">, zgodnie z przepisami ustawy z dnia 9 czerwca </w:t>
      </w:r>
      <w:r>
        <w:rPr>
          <w:rFonts w:ascii="Tahoma" w:hAnsi="Tahoma" w:cs="Tahoma"/>
          <w:sz w:val="20"/>
          <w:szCs w:val="20"/>
        </w:rPr>
        <w:t>2011r. Prawo geologiczne i górnicze.</w:t>
      </w:r>
    </w:p>
    <w:p w:rsidR="005B42BE" w:rsidRDefault="008026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celu określenia </w:t>
      </w:r>
      <w:r>
        <w:rPr>
          <w:rFonts w:ascii="Tahoma" w:hAnsi="Tahoma" w:cs="Tahoma"/>
          <w:b/>
          <w:sz w:val="20"/>
          <w:szCs w:val="20"/>
          <w:u w:val="single"/>
        </w:rPr>
        <w:t>profilu gruntu i poziomu wód gruntowych</w:t>
      </w:r>
      <w:r>
        <w:rPr>
          <w:rFonts w:ascii="Tahoma" w:hAnsi="Tahoma" w:cs="Tahoma"/>
          <w:sz w:val="20"/>
          <w:szCs w:val="20"/>
        </w:rPr>
        <w:t xml:space="preserve"> Wykonawca wykona odpowiednią ilość niezbędnych odwiertów.</w:t>
      </w:r>
    </w:p>
    <w:p w:rsidR="005B42BE" w:rsidRDefault="008026B5">
      <w:pPr>
        <w:ind w:firstLine="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odwiertów powinna umożliwić uzyskanie profilu gruntu w lokalizacji przedmiotowych zadań.</w:t>
      </w:r>
    </w:p>
    <w:p w:rsidR="005B42BE" w:rsidRDefault="008026B5">
      <w:p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Za</w:t>
      </w:r>
      <w:r>
        <w:rPr>
          <w:rFonts w:ascii="Tahoma" w:hAnsi="Tahoma" w:cs="Tahoma"/>
          <w:b/>
          <w:sz w:val="20"/>
          <w:szCs w:val="20"/>
        </w:rPr>
        <w:t>mawiający dopuszcza wykorzystanie danych archiwalnych</w:t>
      </w:r>
      <w:r>
        <w:rPr>
          <w:rFonts w:ascii="Tahoma" w:hAnsi="Tahoma" w:cs="Tahoma"/>
          <w:sz w:val="20"/>
          <w:szCs w:val="20"/>
        </w:rPr>
        <w:t xml:space="preserve"> pod warunkiem, że odwierty na podstawie których je opracowano zlokalizowane są w miejscach umożliwiających określenie profilu gruntu i wód gruntowych. </w:t>
      </w:r>
      <w:r>
        <w:rPr>
          <w:rFonts w:ascii="Tahoma" w:hAnsi="Tahoma" w:cs="Tahoma"/>
          <w:sz w:val="20"/>
          <w:szCs w:val="20"/>
          <w:u w:val="single"/>
        </w:rPr>
        <w:t>Wykonawca poda dane źródłowe.</w:t>
      </w:r>
    </w:p>
    <w:p w:rsidR="005B42BE" w:rsidRDefault="005B42BE">
      <w:pPr>
        <w:jc w:val="both"/>
        <w:rPr>
          <w:rFonts w:ascii="Tahoma" w:hAnsi="Tahoma" w:cs="Tahoma"/>
          <w:sz w:val="20"/>
          <w:szCs w:val="20"/>
        </w:rPr>
      </w:pPr>
    </w:p>
    <w:p w:rsidR="005B42BE" w:rsidRDefault="008026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dopuszcz</w:t>
      </w:r>
      <w:r>
        <w:rPr>
          <w:rFonts w:ascii="Tahoma" w:hAnsi="Tahoma" w:cs="Tahoma"/>
          <w:b/>
          <w:sz w:val="20"/>
          <w:szCs w:val="20"/>
        </w:rPr>
        <w:t>a umieszczenie opinii geotechnicznej, jako oddzielnego rozdziału projektu budowlanego, bez konieczności tworzenia odrębnego opracowania.</w:t>
      </w:r>
    </w:p>
    <w:p w:rsidR="005B42BE" w:rsidRDefault="005B42BE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5B42BE" w:rsidRDefault="008026B5">
      <w:pPr>
        <w:numPr>
          <w:ilvl w:val="0"/>
          <w:numId w:val="10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dodatkowe opracowania i projekty wymagane przez instytucje i władze, potrzebne Zamawiającemu do przygotowania i realiz</w:t>
      </w:r>
      <w:r>
        <w:rPr>
          <w:rFonts w:ascii="Tahoma" w:hAnsi="Tahoma" w:cs="Tahoma"/>
          <w:sz w:val="20"/>
          <w:szCs w:val="20"/>
        </w:rPr>
        <w:t xml:space="preserve">acji robót budowlano-montażowych (m. in. projekt zasilania placu budowy w energię elektryczną, </w:t>
      </w:r>
      <w:r>
        <w:rPr>
          <w:rFonts w:ascii="Tahoma" w:hAnsi="Tahoma" w:cs="Tahoma"/>
          <w:b/>
          <w:sz w:val="20"/>
          <w:szCs w:val="20"/>
        </w:rPr>
        <w:t>inwentaryzację zieleni wraz z projektem wycinki</w:t>
      </w:r>
      <w:r>
        <w:rPr>
          <w:rFonts w:ascii="Tahoma" w:hAnsi="Tahoma" w:cs="Tahoma"/>
          <w:sz w:val="20"/>
          <w:szCs w:val="20"/>
        </w:rPr>
        <w:t xml:space="preserve"> (z podaniem obwodu drzew na wysokości 5 cm oraz 130 cm) umożliwiający nie tylko pozyskanie zgody na wycinkę ale </w:t>
      </w:r>
      <w:r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 xml:space="preserve">ównież na realizację robót </w:t>
      </w:r>
      <w:proofErr w:type="spellStart"/>
      <w:r>
        <w:rPr>
          <w:rFonts w:ascii="Tahoma" w:hAnsi="Tahoma" w:cs="Tahoma"/>
          <w:b/>
          <w:sz w:val="20"/>
          <w:szCs w:val="20"/>
        </w:rPr>
        <w:t>bud-mont</w:t>
      </w:r>
      <w:proofErr w:type="spellEnd"/>
      <w:r>
        <w:rPr>
          <w:rFonts w:ascii="Tahoma" w:hAnsi="Tahoma" w:cs="Tahoma"/>
          <w:sz w:val="20"/>
          <w:szCs w:val="20"/>
        </w:rPr>
        <w:t xml:space="preserve">. itp. jeżeli będą wymagane), </w:t>
      </w:r>
    </w:p>
    <w:p w:rsidR="005B42BE" w:rsidRDefault="005B42B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skompletowanie dokumentacji terenowo-prawnej zapewniającej prawo zamawiającego do dysponowania terenem na czas realizacji inwestycji i uzyskanie decyzji pozwolenia na budowę bądź zgłoszenie</w:t>
      </w:r>
      <w:r>
        <w:rPr>
          <w:rFonts w:ascii="Tahoma" w:hAnsi="Tahoma" w:cs="Tahoma"/>
          <w:sz w:val="20"/>
          <w:szCs w:val="20"/>
        </w:rPr>
        <w:t xml:space="preserve"> zamiaru rozpoczęcia robót:</w:t>
      </w:r>
    </w:p>
    <w:p w:rsidR="005B42BE" w:rsidRDefault="008026B5">
      <w:pPr>
        <w:pStyle w:val="Akapitzlist"/>
        <w:numPr>
          <w:ilvl w:val="2"/>
          <w:numId w:val="14"/>
        </w:numPr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 mapy „stanu prawnego” dla terenu realizacji inwestycji, tj. mapy ewidencji gruntów z naniesioną trasą inwestycji i z wykazem właścicieli nieruchomości.</w:t>
      </w:r>
    </w:p>
    <w:p w:rsidR="005B42BE" w:rsidRDefault="008026B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B42BE" w:rsidRDefault="008026B5">
      <w:pPr>
        <w:ind w:left="1260" w:hanging="12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UWAGA:</w:t>
      </w:r>
      <w:r>
        <w:rPr>
          <w:rFonts w:ascii="Tahoma" w:hAnsi="Tahoma" w:cs="Tahoma"/>
          <w:b/>
          <w:sz w:val="20"/>
          <w:szCs w:val="20"/>
        </w:rPr>
        <w:tab/>
        <w:t xml:space="preserve">Oryginały dokumentacji terenowo-prawnej </w:t>
      </w:r>
      <w:r>
        <w:rPr>
          <w:rFonts w:ascii="Tahoma" w:hAnsi="Tahoma" w:cs="Tahoma"/>
          <w:b/>
          <w:sz w:val="20"/>
          <w:szCs w:val="20"/>
          <w:u w:val="single"/>
        </w:rPr>
        <w:t>nie stanowią ele</w:t>
      </w:r>
      <w:r>
        <w:rPr>
          <w:rFonts w:ascii="Tahoma" w:hAnsi="Tahoma" w:cs="Tahoma"/>
          <w:b/>
          <w:sz w:val="20"/>
          <w:szCs w:val="20"/>
          <w:u w:val="single"/>
        </w:rPr>
        <w:t>mentu projektu budowlanego i</w:t>
      </w:r>
      <w:r>
        <w:rPr>
          <w:rFonts w:ascii="Tahoma" w:hAnsi="Tahoma" w:cs="Tahoma"/>
          <w:b/>
          <w:sz w:val="20"/>
          <w:szCs w:val="20"/>
        </w:rPr>
        <w:t xml:space="preserve"> zostaną przekazane Zamawiającemu jako element składowy egzemplarza nr 1 opisanego jako „egz. archiwalny” z oryginałami uzgodnień.</w:t>
      </w:r>
    </w:p>
    <w:p w:rsidR="005B42BE" w:rsidRDefault="005B42BE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sporządzenie Oświadczenie projektanta i projektanta sprawdzającego o sporządzeniu projektu </w:t>
      </w:r>
      <w:r>
        <w:rPr>
          <w:rFonts w:ascii="Tahoma" w:hAnsi="Tahoma" w:cs="Tahoma"/>
          <w:sz w:val="20"/>
          <w:szCs w:val="20"/>
        </w:rPr>
        <w:t>technicznego, dotyczącego zamierzenia budowlanego zgodnie z obowiązującymi przepisami, zasadami wiedzy technicznej, projektem zagospodarowania działki lub terenu oraz projektem architektoniczno-budowlanym oraz rozstrzygnięciami dotyczącymi zamierzenia budo</w:t>
      </w:r>
      <w:r>
        <w:rPr>
          <w:rFonts w:ascii="Tahoma" w:hAnsi="Tahoma" w:cs="Tahoma"/>
          <w:sz w:val="20"/>
          <w:szCs w:val="20"/>
        </w:rPr>
        <w:t>wlanego (zgodnie z art. 41 ust 4a Ustawy z dnia 7 lipca 1994 Prawo budowlane).</w:t>
      </w: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D7B7F" w:rsidRDefault="000D7B7F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B42BE" w:rsidRDefault="008026B5" w:rsidP="000D7B7F">
      <w:pPr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Dodatkowe wymagania Zamawiającego</w:t>
      </w: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dokumentacji wymagane jest zamieszczenie między innymi:</w:t>
      </w:r>
    </w:p>
    <w:p w:rsidR="005B42BE" w:rsidRDefault="008026B5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zestawienie materiałów,</w:t>
      </w:r>
    </w:p>
    <w:p w:rsidR="005B42BE" w:rsidRDefault="008026B5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informacji czy dana inwestycja znajduje się na terenie, n</w:t>
      </w:r>
      <w:r>
        <w:rPr>
          <w:rFonts w:ascii="Tahoma" w:hAnsi="Tahoma" w:cs="Tahoma"/>
          <w:sz w:val="20"/>
          <w:szCs w:val="20"/>
        </w:rPr>
        <w:t>a którym są/nie ma stanowisk ochrony konserwatorskiej,</w:t>
      </w:r>
    </w:p>
    <w:p w:rsidR="005B42BE" w:rsidRDefault="008026B5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informacji dotyczącej obszaru oddziaływania inwestycji na środowisko wraz z podaniem numerów działek na których realizowana będzie budowa,</w:t>
      </w:r>
    </w:p>
    <w:p w:rsidR="005B42BE" w:rsidRDefault="008026B5">
      <w:pPr>
        <w:numPr>
          <w:ilvl w:val="0"/>
          <w:numId w:val="7"/>
        </w:numPr>
        <w:tabs>
          <w:tab w:val="left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informacji, że planowana inwestycja zlokalizowana jest na tere</w:t>
      </w:r>
      <w:r>
        <w:rPr>
          <w:rFonts w:ascii="Tahoma" w:hAnsi="Tahoma" w:cs="Tahoma"/>
          <w:sz w:val="20"/>
          <w:szCs w:val="20"/>
        </w:rPr>
        <w:t>nie objętym Miejscowym Planem Zagospodarowania Przestrzennego (podać nazwę).................................. i jest zgodna z jego ustaleniami.</w:t>
      </w:r>
    </w:p>
    <w:p w:rsidR="005B42BE" w:rsidRDefault="008026B5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graficznego i tekstowego określenia szerokości niezbędnego pasa montażowego,</w:t>
      </w:r>
    </w:p>
    <w:p w:rsidR="005B42BE" w:rsidRDefault="008026B5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linii rozgraniczających</w:t>
      </w:r>
      <w:r>
        <w:rPr>
          <w:rFonts w:ascii="Tahoma" w:hAnsi="Tahoma" w:cs="Tahoma"/>
          <w:sz w:val="20"/>
          <w:szCs w:val="20"/>
        </w:rPr>
        <w:t xml:space="preserve"> zgodnie z M</w:t>
      </w:r>
      <w:r>
        <w:rPr>
          <w:rFonts w:ascii="Tahoma" w:hAnsi="Tahoma" w:cs="Tahoma"/>
          <w:sz w:val="20"/>
          <w:szCs w:val="20"/>
        </w:rPr>
        <w:t>iejscowym Planem Zagospodarowania Przestrzennego,</w:t>
      </w:r>
    </w:p>
    <w:p w:rsidR="005B42BE" w:rsidRDefault="005B42B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Projektant zobowiązany będzie w sposób czytelny przenieść do wszystkich egzemplarzy projektu naniesienia dokonane przez instytucje uzgadniające.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Opłaty za uzyskanie niezbędnych decyzji, uzgodnień i postanowień stanowią koszty Wykonawcy </w:t>
      </w:r>
      <w:r>
        <w:rPr>
          <w:rFonts w:ascii="Tahoma" w:hAnsi="Tahoma" w:cs="Tahoma"/>
          <w:b/>
          <w:sz w:val="20"/>
          <w:szCs w:val="20"/>
        </w:rPr>
        <w:t xml:space="preserve">z wyjątkiem </w:t>
      </w:r>
      <w:r>
        <w:rPr>
          <w:rFonts w:ascii="Tahoma" w:hAnsi="Tahoma" w:cs="Tahoma"/>
          <w:sz w:val="20"/>
          <w:szCs w:val="20"/>
        </w:rPr>
        <w:t xml:space="preserve">opłat za uzgodnienia projektów w Toruńskich Wodociągach Sp. z o.o.  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Dodatkowe opracowania i projekty wynikające np. z kolizji z innymi urządzeniami </w:t>
      </w:r>
      <w:r>
        <w:rPr>
          <w:rFonts w:ascii="Tahoma" w:hAnsi="Tahoma" w:cs="Tahoma"/>
          <w:sz w:val="20"/>
          <w:szCs w:val="20"/>
        </w:rPr>
        <w:t>podziemnymi oraz koniecznością wnioskowania o pozwolenie na budowę / zgłoszenie dodatkowo w innych instytucjach (np. Urząd Wojewódzki, PKP) Wykonawca wykona w ramach niniejszego zadania, bez dodatkowego wynagrodzenia.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budowlany należy wykonać na ak</w:t>
      </w:r>
      <w:r>
        <w:rPr>
          <w:rFonts w:ascii="Tahoma" w:hAnsi="Tahoma" w:cs="Tahoma"/>
          <w:sz w:val="20"/>
          <w:szCs w:val="20"/>
        </w:rPr>
        <w:t>tualnych mapach sytuacyjno – wysokościowych w skali 1:500 zawierających wypis z rejestru gruntów, poprzez który będzie przebiegać trasa projektowanych zadań.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 budowlany </w:t>
      </w:r>
      <w:proofErr w:type="spellStart"/>
      <w:r>
        <w:rPr>
          <w:rFonts w:ascii="Tahoma" w:hAnsi="Tahoma" w:cs="Tahoma"/>
          <w:sz w:val="20"/>
          <w:szCs w:val="20"/>
        </w:rPr>
        <w:t>j.w</w:t>
      </w:r>
      <w:proofErr w:type="spellEnd"/>
      <w:r>
        <w:rPr>
          <w:rFonts w:ascii="Tahoma" w:hAnsi="Tahoma" w:cs="Tahoma"/>
          <w:sz w:val="20"/>
          <w:szCs w:val="20"/>
        </w:rPr>
        <w:t>. podlega uzgodnieniu w naszej Spółce.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zobowiązuje Wykonawcę do w</w:t>
      </w:r>
      <w:r>
        <w:rPr>
          <w:rFonts w:ascii="Tahoma" w:hAnsi="Tahoma" w:cs="Tahoma"/>
          <w:sz w:val="20"/>
          <w:szCs w:val="20"/>
        </w:rPr>
        <w:t>ystawienia oświadczenia, przedkładanego wraz z protokołem odbioru, o należytym opracowaniu inwentaryzacji dendrologicznej bądź o braku konieczności jego opracowania.</w:t>
      </w:r>
    </w:p>
    <w:p w:rsidR="005B42BE" w:rsidRDefault="008026B5">
      <w:pPr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Wystawienie powyższego oświadczenia poprzedzić ma wizja lokalna Wykonawcy w obecności Zama</w:t>
      </w:r>
      <w:r>
        <w:rPr>
          <w:rFonts w:ascii="Tahoma" w:hAnsi="Tahoma" w:cs="Tahoma"/>
          <w:sz w:val="20"/>
          <w:szCs w:val="20"/>
        </w:rPr>
        <w:t>wiającego.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Prace projektowe będące przedmiotem umowy należy wykonać i przekazać w wersji papierowej, </w:t>
      </w:r>
      <w:r>
        <w:rPr>
          <w:rFonts w:ascii="Tahoma" w:hAnsi="Tahoma" w:cs="Tahoma"/>
          <w:sz w:val="20"/>
          <w:szCs w:val="20"/>
          <w:u w:val="single"/>
        </w:rPr>
        <w:t>oddzielnie dla każdego zadania</w:t>
      </w:r>
      <w:r>
        <w:rPr>
          <w:rFonts w:ascii="Tahoma" w:hAnsi="Tahoma" w:cs="Tahoma"/>
          <w:sz w:val="20"/>
          <w:szCs w:val="20"/>
        </w:rPr>
        <w:t>, w ilości:</w:t>
      </w:r>
    </w:p>
    <w:p w:rsidR="005B42BE" w:rsidRDefault="008026B5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projekty budowlane (lub budowlano-wykonawcze) (nie wliczając egz. złożonego celem uzgodnienia dokumentacji): - </w:t>
      </w:r>
      <w:r>
        <w:rPr>
          <w:rFonts w:ascii="Tahoma" w:hAnsi="Tahoma" w:cs="Tahoma"/>
          <w:b/>
          <w:sz w:val="20"/>
          <w:szCs w:val="20"/>
        </w:rPr>
        <w:t xml:space="preserve">3 </w:t>
      </w:r>
      <w:r>
        <w:rPr>
          <w:rFonts w:ascii="Tahoma" w:hAnsi="Tahoma" w:cs="Tahoma"/>
          <w:b/>
          <w:sz w:val="20"/>
          <w:szCs w:val="20"/>
        </w:rPr>
        <w:t>egz., tj.:</w:t>
      </w:r>
    </w:p>
    <w:p w:rsidR="005B42BE" w:rsidRDefault="008026B5">
      <w:pPr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 egz. </w:t>
      </w:r>
      <w:r>
        <w:rPr>
          <w:rFonts w:ascii="Tahoma" w:hAnsi="Tahoma" w:cs="Tahoma"/>
          <w:sz w:val="20"/>
          <w:szCs w:val="20"/>
        </w:rPr>
        <w:t>tzw. archiwalny z oryginałami uzgodnień  oraz</w:t>
      </w:r>
    </w:p>
    <w:p w:rsidR="005B42BE" w:rsidRDefault="008026B5">
      <w:pPr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 egz. </w:t>
      </w:r>
      <w:r>
        <w:rPr>
          <w:rFonts w:ascii="Tahoma" w:hAnsi="Tahoma" w:cs="Tahoma"/>
          <w:sz w:val="20"/>
          <w:szCs w:val="20"/>
        </w:rPr>
        <w:t>zwrócony z urzędu i opatrzony pieczątką zgłoszenia bądź pozwolenia na budowę,</w:t>
      </w:r>
    </w:p>
    <w:p w:rsidR="005B42BE" w:rsidRDefault="008026B5">
      <w:pPr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 egz.</w:t>
      </w:r>
      <w:r>
        <w:rPr>
          <w:rFonts w:ascii="Tahoma" w:hAnsi="Tahoma" w:cs="Tahoma"/>
          <w:sz w:val="20"/>
          <w:szCs w:val="20"/>
        </w:rPr>
        <w:t xml:space="preserve"> dodatkowy.</w:t>
      </w:r>
    </w:p>
    <w:p w:rsidR="005B42BE" w:rsidRDefault="008026B5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dodatkowo występujących np. terenów zamkniętych, </w:t>
      </w:r>
      <w:r>
        <w:rPr>
          <w:rFonts w:ascii="Tahoma" w:hAnsi="Tahoma" w:cs="Tahoma"/>
          <w:b/>
          <w:sz w:val="20"/>
          <w:szCs w:val="20"/>
        </w:rPr>
        <w:t>terenów PKP</w:t>
      </w:r>
      <w:r>
        <w:rPr>
          <w:rFonts w:ascii="Tahoma" w:hAnsi="Tahoma" w:cs="Tahoma"/>
          <w:sz w:val="20"/>
          <w:szCs w:val="20"/>
        </w:rPr>
        <w:t>, dróg krajowyc</w:t>
      </w:r>
      <w:r>
        <w:rPr>
          <w:rFonts w:ascii="Tahoma" w:hAnsi="Tahoma" w:cs="Tahoma"/>
          <w:sz w:val="20"/>
          <w:szCs w:val="20"/>
        </w:rPr>
        <w:t>h oraz wojewódzkich należy opracować dodatkowe egzemplarze projektu budowlanego w ilości jw.,</w:t>
      </w:r>
    </w:p>
    <w:p w:rsidR="005B42BE" w:rsidRDefault="008026B5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opracowania dodatkowe i projekty wykonawcze po 2 egzemplarze (konieczność przekazania projektów wykonawczych każdorazowo uzgodnić z Zamawiającym).</w:t>
      </w:r>
    </w:p>
    <w:p w:rsidR="005B42BE" w:rsidRDefault="008026B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Ponadto, kopię </w:t>
      </w:r>
      <w:r>
        <w:rPr>
          <w:rFonts w:ascii="Tahoma" w:hAnsi="Tahoma" w:cs="Tahoma"/>
          <w:sz w:val="20"/>
          <w:szCs w:val="20"/>
        </w:rPr>
        <w:t xml:space="preserve">podpisanej dokumentacji należy dostarczyć w formie cyfrowej w postaci: </w:t>
      </w:r>
    </w:p>
    <w:p w:rsidR="005B42BE" w:rsidRDefault="008026B5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skanów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b/>
          <w:sz w:val="20"/>
          <w:szCs w:val="20"/>
        </w:rPr>
        <w:t>„pd</w:t>
      </w:r>
      <w:proofErr w:type="spellEnd"/>
      <w:r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” </w:t>
      </w:r>
      <w:r>
        <w:rPr>
          <w:rFonts w:ascii="Tahoma" w:hAnsi="Tahoma" w:cs="Tahoma"/>
          <w:b/>
          <w:sz w:val="20"/>
          <w:szCs w:val="20"/>
        </w:rPr>
        <w:t>DO JEDNEGO PLIKU</w:t>
      </w:r>
      <w:r>
        <w:rPr>
          <w:rFonts w:ascii="Tahoma" w:hAnsi="Tahoma" w:cs="Tahoma"/>
          <w:sz w:val="20"/>
          <w:szCs w:val="20"/>
        </w:rPr>
        <w:t xml:space="preserve"> (z podpisami) dla całości dokumentacji projektowej i ze wszystkimi pozyskanymi przez Wykonawcę decyzjami i uzgodnieniami (to znaczy </w:t>
      </w:r>
      <w:r>
        <w:rPr>
          <w:rFonts w:ascii="Tahoma" w:hAnsi="Tahoma" w:cs="Tahoma"/>
          <w:b/>
          <w:sz w:val="20"/>
          <w:szCs w:val="20"/>
        </w:rPr>
        <w:t>po uzyskaniu decy</w:t>
      </w:r>
      <w:r>
        <w:rPr>
          <w:rFonts w:ascii="Tahoma" w:hAnsi="Tahoma" w:cs="Tahoma"/>
          <w:b/>
          <w:sz w:val="20"/>
          <w:szCs w:val="20"/>
        </w:rPr>
        <w:t>zji pozwolenia</w:t>
      </w:r>
      <w:r>
        <w:rPr>
          <w:rFonts w:ascii="Tahoma" w:hAnsi="Tahoma" w:cs="Tahoma"/>
          <w:sz w:val="20"/>
          <w:szCs w:val="20"/>
        </w:rPr>
        <w:t xml:space="preserve"> na budowę bądź zgłoszenia).</w:t>
      </w:r>
    </w:p>
    <w:p w:rsidR="005B42BE" w:rsidRDefault="008026B5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plików: *.</w:t>
      </w:r>
      <w:proofErr w:type="spellStart"/>
      <w:r>
        <w:rPr>
          <w:rFonts w:ascii="Tahoma" w:hAnsi="Tahoma" w:cs="Tahoma"/>
          <w:sz w:val="20"/>
          <w:szCs w:val="20"/>
        </w:rPr>
        <w:t>doc</w:t>
      </w:r>
      <w:proofErr w:type="spellEnd"/>
      <w:r>
        <w:rPr>
          <w:rFonts w:ascii="Tahoma" w:hAnsi="Tahoma" w:cs="Tahoma"/>
          <w:sz w:val="20"/>
          <w:szCs w:val="20"/>
        </w:rPr>
        <w:t xml:space="preserve"> dla części opisowej oraz dla rysunków w formie, *.dwg-AutoCad-14 lub *.</w:t>
      </w:r>
      <w:proofErr w:type="spellStart"/>
      <w:r>
        <w:rPr>
          <w:rFonts w:ascii="Tahoma" w:hAnsi="Tahoma" w:cs="Tahoma"/>
          <w:sz w:val="20"/>
          <w:szCs w:val="20"/>
        </w:rPr>
        <w:t>dxf</w:t>
      </w:r>
      <w:proofErr w:type="spellEnd"/>
      <w:r>
        <w:rPr>
          <w:rFonts w:ascii="Tahoma" w:hAnsi="Tahoma" w:cs="Tahoma"/>
          <w:sz w:val="20"/>
          <w:szCs w:val="20"/>
        </w:rPr>
        <w:t xml:space="preserve"> lub *.</w:t>
      </w:r>
      <w:proofErr w:type="spellStart"/>
      <w:r>
        <w:rPr>
          <w:rFonts w:ascii="Tahoma" w:hAnsi="Tahoma" w:cs="Tahoma"/>
          <w:sz w:val="20"/>
          <w:szCs w:val="20"/>
        </w:rPr>
        <w:t>dgn</w:t>
      </w:r>
      <w:proofErr w:type="spellEnd"/>
      <w:r>
        <w:rPr>
          <w:rFonts w:ascii="Tahoma" w:hAnsi="Tahoma" w:cs="Tahoma"/>
          <w:sz w:val="20"/>
          <w:szCs w:val="20"/>
        </w:rPr>
        <w:t>, a formę zapisu kosztorysów Wykonawca ustali każdorazowo z Zamawiającym.</w:t>
      </w: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B42BE" w:rsidRDefault="008026B5" w:rsidP="000D7B7F">
      <w:pPr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Verdana,BoldItalic" w:hAnsi="Tahoma" w:cs="Tahoma"/>
          <w:b/>
          <w:bCs/>
          <w:iCs/>
          <w:sz w:val="20"/>
          <w:szCs w:val="20"/>
        </w:rPr>
        <w:t>Załączniki</w:t>
      </w:r>
    </w:p>
    <w:p w:rsidR="005B42BE" w:rsidRDefault="005B42BE">
      <w:pPr>
        <w:jc w:val="both"/>
        <w:rPr>
          <w:rFonts w:ascii="Tahoma" w:hAnsi="Tahoma" w:cs="Tahoma"/>
          <w:b/>
          <w:sz w:val="20"/>
          <w:szCs w:val="20"/>
        </w:rPr>
      </w:pPr>
    </w:p>
    <w:p w:rsidR="005B42BE" w:rsidRDefault="008026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Verdana,BoldItalic" w:hAnsi="Tahoma" w:cs="Tahoma"/>
          <w:bCs/>
          <w:iCs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ałącznikiem do </w:t>
      </w:r>
      <w:r>
        <w:rPr>
          <w:rFonts w:ascii="Tahoma" w:hAnsi="Tahoma" w:cs="Tahoma"/>
          <w:sz w:val="20"/>
          <w:szCs w:val="20"/>
        </w:rPr>
        <w:t>niniejszego Opisu Przedmiotu Zamówienia jest Opracowanie techniczne Stowarzyszenia Elektryków Polskich z Ośrodka Rzeczoznawstwa SEP w Gdańsku z dnia 26.08.2022 r.</w:t>
      </w:r>
    </w:p>
    <w:sectPr w:rsidR="005B42BE" w:rsidSect="005B42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B5" w:rsidRDefault="008026B5" w:rsidP="005B42BE">
      <w:r>
        <w:separator/>
      </w:r>
    </w:p>
  </w:endnote>
  <w:endnote w:type="continuationSeparator" w:id="0">
    <w:p w:rsidR="008026B5" w:rsidRDefault="008026B5" w:rsidP="005B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BE" w:rsidRDefault="008026B5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B42BE" w:rsidRDefault="008026B5">
    <w:pPr>
      <w:jc w:val="both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Opracowanie 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>kompletnej dokumentac</w:t>
    </w:r>
    <w:r>
      <w:rPr>
        <w:rFonts w:ascii="Tahoma" w:hAnsi="Tahoma" w:cs="Tahoma"/>
        <w:bCs/>
        <w:sz w:val="16"/>
        <w:szCs w:val="16"/>
      </w:rPr>
      <w:t>ji projektowej wraz ze Specyfikacją Techniczną Wykonania i Odbioru Robót Budowlanych (STWiOR)</w:t>
    </w:r>
    <w:r>
      <w:rPr>
        <w:rFonts w:ascii="Tahoma" w:hAnsi="Tahoma" w:cs="Tahoma"/>
        <w:sz w:val="16"/>
        <w:szCs w:val="16"/>
      </w:rPr>
      <w:t xml:space="preserve"> dla modernizacji istniejącej ochrony odgromowej oraz instalacji przeciwprzepięciowej w obiektach budowlanych na terenie Wydziału Ujęć Drwęca-Jedwabno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B5" w:rsidRDefault="008026B5" w:rsidP="005B42BE">
      <w:r>
        <w:separator/>
      </w:r>
    </w:p>
  </w:footnote>
  <w:footnote w:type="continuationSeparator" w:id="0">
    <w:p w:rsidR="008026B5" w:rsidRDefault="008026B5" w:rsidP="005B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808077"/>
      <w:docPartObj>
        <w:docPartGallery w:val="Page Numbers (Top of Page)"/>
        <w:docPartUnique/>
      </w:docPartObj>
    </w:sdtPr>
    <w:sdtContent>
      <w:p w:rsidR="005B42BE" w:rsidRDefault="005B42BE">
        <w:pPr>
          <w:pStyle w:val="Header"/>
          <w:jc w:val="right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 w:rsidR="008026B5">
          <w:rPr>
            <w:rFonts w:ascii="Tahoma" w:hAnsi="Tahoma" w:cs="Tahoma"/>
            <w:sz w:val="16"/>
            <w:szCs w:val="16"/>
          </w:rPr>
          <w:instrText>PAGE</w:instrText>
        </w:r>
        <w:r>
          <w:rPr>
            <w:rFonts w:ascii="Tahoma" w:hAnsi="Tahoma" w:cs="Tahoma"/>
            <w:sz w:val="16"/>
            <w:szCs w:val="16"/>
          </w:rPr>
          <w:fldChar w:fldCharType="separate"/>
        </w:r>
        <w:r w:rsidR="000D7B7F">
          <w:rPr>
            <w:rFonts w:ascii="Tahoma" w:hAnsi="Tahoma" w:cs="Tahoma"/>
            <w:noProof/>
            <w:sz w:val="16"/>
            <w:szCs w:val="16"/>
          </w:rPr>
          <w:t>1</w:t>
        </w:r>
        <w:r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5B42BE" w:rsidRDefault="008026B5">
    <w:pPr>
      <w:pStyle w:val="Header"/>
      <w:tabs>
        <w:tab w:val="clear" w:pos="4536"/>
        <w:tab w:val="clear" w:pos="9072"/>
        <w:tab w:val="left" w:pos="21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2 </w:t>
    </w:r>
    <w:r>
      <w:rPr>
        <w:rFonts w:ascii="Tahoma" w:hAnsi="Tahoma" w:cs="Tahoma"/>
        <w:sz w:val="16"/>
        <w:szCs w:val="16"/>
      </w:rPr>
      <w:t>do SIWZ - OPZ</w:t>
    </w:r>
  </w:p>
  <w:p w:rsidR="005B42BE" w:rsidRDefault="008026B5">
    <w:pPr>
      <w:pStyle w:val="Head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2E5"/>
    <w:multiLevelType w:val="multilevel"/>
    <w:tmpl w:val="048604EC"/>
    <w:lvl w:ilvl="0">
      <w:start w:val="4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1">
    <w:nsid w:val="0378379C"/>
    <w:multiLevelType w:val="multilevel"/>
    <w:tmpl w:val="1D5E06C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6D24C6F"/>
    <w:multiLevelType w:val="multilevel"/>
    <w:tmpl w:val="EF1822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">
    <w:nsid w:val="090B286D"/>
    <w:multiLevelType w:val="multilevel"/>
    <w:tmpl w:val="2CC269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FD30C0"/>
    <w:multiLevelType w:val="multilevel"/>
    <w:tmpl w:val="D1846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7824AC"/>
    <w:multiLevelType w:val="multilevel"/>
    <w:tmpl w:val="02B660F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99B552F"/>
    <w:multiLevelType w:val="multilevel"/>
    <w:tmpl w:val="B6C4F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7">
    <w:nsid w:val="46BA0584"/>
    <w:multiLevelType w:val="multilevel"/>
    <w:tmpl w:val="8696972C"/>
    <w:lvl w:ilvl="0">
      <w:start w:val="1"/>
      <w:numFmt w:val="lowerLetter"/>
      <w:lvlText w:val="%1)"/>
      <w:lvlJc w:val="left"/>
      <w:pPr>
        <w:tabs>
          <w:tab w:val="num" w:pos="0"/>
        </w:tabs>
        <w:ind w:left="214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">
    <w:nsid w:val="4A887F36"/>
    <w:multiLevelType w:val="multilevel"/>
    <w:tmpl w:val="09A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1384B"/>
    <w:multiLevelType w:val="multilevel"/>
    <w:tmpl w:val="CA4EB08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522355AD"/>
    <w:multiLevelType w:val="multilevel"/>
    <w:tmpl w:val="F3EA0BB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6" w:hanging="180"/>
      </w:pPr>
    </w:lvl>
  </w:abstractNum>
  <w:abstractNum w:abstractNumId="11">
    <w:nsid w:val="59AF6850"/>
    <w:multiLevelType w:val="multilevel"/>
    <w:tmpl w:val="46C8B99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147185"/>
    <w:multiLevelType w:val="multilevel"/>
    <w:tmpl w:val="B2C24E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3">
    <w:nsid w:val="639A47FB"/>
    <w:multiLevelType w:val="multilevel"/>
    <w:tmpl w:val="7684107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7A85D4B"/>
    <w:multiLevelType w:val="multilevel"/>
    <w:tmpl w:val="B164FD3C"/>
    <w:lvl w:ilvl="0">
      <w:start w:val="1"/>
      <w:numFmt w:val="upperRoman"/>
      <w:pStyle w:val="Tytu"/>
      <w:lvlText w:val="%1."/>
      <w:lvlJc w:val="righ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C8335F0"/>
    <w:multiLevelType w:val="multilevel"/>
    <w:tmpl w:val="D9E4B396"/>
    <w:lvl w:ilvl="0">
      <w:start w:val="4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216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  <w:num w:numId="13">
    <w:abstractNumId w:val="15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2BE"/>
    <w:rsid w:val="000D7B7F"/>
    <w:rsid w:val="004A1B8D"/>
    <w:rsid w:val="005B42BE"/>
    <w:rsid w:val="0080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2F7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zeinternetowe">
    <w:name w:val="Łącze internetowe"/>
    <w:basedOn w:val="Domylnaczcionkaakapitu"/>
    <w:rsid w:val="0042397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DF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DF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2DFF"/>
    <w:rPr>
      <w:rFonts w:eastAsia="Times New Roman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qFormat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StandardowyverdanaZnak">
    <w:name w:val="Standardowy verdana Znak"/>
    <w:link w:val="Standardowyverdana"/>
    <w:qFormat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OpisZnak">
    <w:name w:val="Opis Znak"/>
    <w:link w:val="Opis"/>
    <w:qFormat/>
    <w:rsid w:val="00017CA8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5B42B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90A68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157C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Heading4"/>
    <w:qFormat/>
    <w:rsid w:val="002F78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5B42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paragraph" w:styleId="Lista">
    <w:name w:val="List"/>
    <w:basedOn w:val="Tekstpodstawowy"/>
    <w:rsid w:val="005B42BE"/>
    <w:rPr>
      <w:rFonts w:cs="Arial"/>
    </w:rPr>
  </w:style>
  <w:style w:type="paragraph" w:customStyle="1" w:styleId="Caption">
    <w:name w:val="Caption"/>
    <w:basedOn w:val="Normalny"/>
    <w:qFormat/>
    <w:rsid w:val="005B42B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B42B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2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2DFF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5B42BE"/>
  </w:style>
  <w:style w:type="paragraph" w:customStyle="1" w:styleId="Header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paragraph" w:customStyle="1" w:styleId="Default">
    <w:name w:val="Default"/>
    <w:qFormat/>
    <w:rsid w:val="00B97D2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qFormat/>
    <w:rsid w:val="004C173E"/>
    <w:pPr>
      <w:tabs>
        <w:tab w:val="left" w:pos="567"/>
      </w:tabs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E1261B"/>
    <w:pPr>
      <w:spacing w:after="120"/>
    </w:pPr>
    <w:rPr>
      <w:rFonts w:ascii="Arial" w:hAnsi="Arial" w:cs="Arial"/>
      <w:sz w:val="16"/>
      <w:szCs w:val="16"/>
    </w:rPr>
  </w:style>
  <w:style w:type="paragraph" w:customStyle="1" w:styleId="Opis">
    <w:name w:val="Opis"/>
    <w:basedOn w:val="Normalny"/>
    <w:link w:val="OpisZnak"/>
    <w:qFormat/>
    <w:rsid w:val="00017CA8"/>
    <w:pPr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OPIS0">
    <w:name w:val="OPIS"/>
    <w:qFormat/>
    <w:rsid w:val="00017CA8"/>
    <w:pPr>
      <w:spacing w:before="60" w:line="36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paragraph" w:customStyle="1" w:styleId="Standard">
    <w:name w:val="Standard"/>
    <w:qFormat/>
    <w:rsid w:val="00D1397D"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1397D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Standard"/>
    <w:qFormat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qFormat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C0BF-591D-496F-A250-054FE317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1892</Words>
  <Characters>11353</Characters>
  <Application>Microsoft Office Word</Application>
  <DocSecurity>0</DocSecurity>
  <Lines>94</Lines>
  <Paragraphs>26</Paragraphs>
  <ScaleCrop>false</ScaleCrop>
  <Company>Toruńskie Wodociągi Sp. z o.o.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3</cp:revision>
  <cp:lastPrinted>2020-05-28T07:57:00Z</cp:lastPrinted>
  <dcterms:created xsi:type="dcterms:W3CDTF">2023-06-14T05:07:00Z</dcterms:created>
  <dcterms:modified xsi:type="dcterms:W3CDTF">2023-06-14T05:14:00Z</dcterms:modified>
  <dc:language>pl-PL</dc:language>
</cp:coreProperties>
</file>