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2F8B" w14:textId="77777777" w:rsidR="00214187" w:rsidRDefault="006E757B">
      <w:pPr>
        <w:jc w:val="right"/>
      </w:pPr>
      <w:r>
        <w:t>Załącznik nr 2</w:t>
      </w:r>
    </w:p>
    <w:p w14:paraId="54E6A4DD" w14:textId="77777777" w:rsidR="00214187" w:rsidRDefault="006E757B">
      <w:pPr>
        <w:jc w:val="right"/>
      </w:pPr>
      <w:r>
        <w:t>do Ogłoszenia o Wstępnych Konsultacjach Rynkowych</w:t>
      </w:r>
    </w:p>
    <w:p w14:paraId="2F4F830F" w14:textId="77777777" w:rsidR="00214187" w:rsidRDefault="00214187"/>
    <w:p w14:paraId="1863A8F3" w14:textId="77777777" w:rsidR="00214187" w:rsidRDefault="006E757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Wstępne założenia techniczne, funkcjonalne i użytkowe</w:t>
      </w:r>
    </w:p>
    <w:p w14:paraId="4255253B" w14:textId="77777777" w:rsidR="00214187" w:rsidRDefault="00214187"/>
    <w:p w14:paraId="57820FB0" w14:textId="77777777" w:rsidR="00214187" w:rsidRDefault="006E757B">
      <w:pPr>
        <w:pStyle w:val="Tekstpodstawowy"/>
      </w:pPr>
      <w:r>
        <w:rPr>
          <w:rStyle w:val="Pogrubienie"/>
        </w:rPr>
        <w:t>Założenia techniczne:</w:t>
      </w:r>
    </w:p>
    <w:p w14:paraId="33A0C92D" w14:textId="77777777" w:rsidR="00214187" w:rsidRDefault="006E757B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>
        <w:rPr>
          <w:rStyle w:val="Pogrubienie"/>
        </w:rPr>
        <w:t>Wyposażenie:</w:t>
      </w:r>
      <w:r>
        <w:t xml:space="preserve"> </w:t>
      </w:r>
    </w:p>
    <w:p w14:paraId="3A528EF3" w14:textId="77777777" w:rsidR="00214187" w:rsidRDefault="006E757B">
      <w:pPr>
        <w:pStyle w:val="Tekstpodstawowy"/>
        <w:numPr>
          <w:ilvl w:val="1"/>
          <w:numId w:val="1"/>
        </w:numPr>
        <w:tabs>
          <w:tab w:val="left" w:pos="0"/>
        </w:tabs>
        <w:spacing w:after="0"/>
      </w:pPr>
      <w:r>
        <w:t xml:space="preserve">Dzierżawa nowoczesnych analizatorów laboratoryjnych o wysokiej przepustowości i dokładności. </w:t>
      </w:r>
    </w:p>
    <w:p w14:paraId="0C42E4AF" w14:textId="77777777" w:rsidR="00214187" w:rsidRDefault="006E757B">
      <w:pPr>
        <w:pStyle w:val="Tekstpodstawowy"/>
        <w:numPr>
          <w:ilvl w:val="1"/>
          <w:numId w:val="1"/>
        </w:numPr>
        <w:tabs>
          <w:tab w:val="left" w:pos="0"/>
        </w:tabs>
        <w:spacing w:after="0"/>
      </w:pPr>
      <w:r>
        <w:t xml:space="preserve">Zapewnienie kompleksowego wyposażenia, w tym: </w:t>
      </w:r>
    </w:p>
    <w:p w14:paraId="7D4BD055" w14:textId="77777777" w:rsidR="00214187" w:rsidRDefault="006E757B">
      <w:pPr>
        <w:pStyle w:val="Tekstpodstawowy"/>
        <w:numPr>
          <w:ilvl w:val="2"/>
          <w:numId w:val="1"/>
        </w:numPr>
        <w:tabs>
          <w:tab w:val="left" w:pos="0"/>
        </w:tabs>
        <w:spacing w:after="0"/>
      </w:pPr>
      <w:r>
        <w:t xml:space="preserve">Analizatory biochemiczne </w:t>
      </w:r>
    </w:p>
    <w:p w14:paraId="60844703" w14:textId="77777777" w:rsidR="00214187" w:rsidRDefault="006E757B">
      <w:pPr>
        <w:pStyle w:val="Tekstpodstawowy"/>
        <w:numPr>
          <w:ilvl w:val="2"/>
          <w:numId w:val="1"/>
        </w:numPr>
        <w:tabs>
          <w:tab w:val="left" w:pos="0"/>
        </w:tabs>
        <w:spacing w:after="0"/>
      </w:pPr>
      <w:r>
        <w:t xml:space="preserve">Analizatory hematologiczne </w:t>
      </w:r>
    </w:p>
    <w:p w14:paraId="4DA51AED" w14:textId="77777777" w:rsidR="00214187" w:rsidRDefault="006E757B">
      <w:pPr>
        <w:pStyle w:val="Tekstpodstawowy"/>
        <w:numPr>
          <w:ilvl w:val="2"/>
          <w:numId w:val="1"/>
        </w:numPr>
        <w:tabs>
          <w:tab w:val="left" w:pos="0"/>
        </w:tabs>
        <w:spacing w:after="0"/>
      </w:pPr>
      <w:r>
        <w:t xml:space="preserve">Analizatory immunochemiczne </w:t>
      </w:r>
    </w:p>
    <w:p w14:paraId="5206D1F5" w14:textId="77777777" w:rsidR="00214187" w:rsidRDefault="006E757B">
      <w:pPr>
        <w:pStyle w:val="Tekstpodstawowy"/>
        <w:numPr>
          <w:ilvl w:val="2"/>
          <w:numId w:val="1"/>
        </w:numPr>
        <w:tabs>
          <w:tab w:val="left" w:pos="0"/>
        </w:tabs>
        <w:spacing w:after="0"/>
      </w:pPr>
      <w:r>
        <w:t>Analizatory do badań równowagi kwasowo-zasadowej w laboratorium oraz oddziałach szpitala (tryb POCT)</w:t>
      </w:r>
    </w:p>
    <w:p w14:paraId="6AB1985E" w14:textId="77777777" w:rsidR="00214187" w:rsidRDefault="006E757B">
      <w:pPr>
        <w:pStyle w:val="Tekstpodstawowy"/>
        <w:numPr>
          <w:ilvl w:val="2"/>
          <w:numId w:val="1"/>
        </w:numPr>
        <w:tabs>
          <w:tab w:val="left" w:pos="0"/>
        </w:tabs>
        <w:spacing w:after="0"/>
      </w:pPr>
      <w:r>
        <w:t xml:space="preserve">Analizatory do badań </w:t>
      </w:r>
      <w:proofErr w:type="spellStart"/>
      <w:r>
        <w:t>koagulologicznych</w:t>
      </w:r>
      <w:proofErr w:type="spellEnd"/>
    </w:p>
    <w:p w14:paraId="3A2F2B5C" w14:textId="77777777" w:rsidR="00214187" w:rsidRDefault="006E757B">
      <w:pPr>
        <w:pStyle w:val="Tekstpodstawowy"/>
        <w:numPr>
          <w:ilvl w:val="2"/>
          <w:numId w:val="1"/>
        </w:numPr>
        <w:tabs>
          <w:tab w:val="left" w:pos="0"/>
        </w:tabs>
        <w:spacing w:after="0"/>
      </w:pPr>
      <w:r>
        <w:t>Analizatory do badania ogólnego moczu</w:t>
      </w:r>
    </w:p>
    <w:p w14:paraId="3E9F40C3" w14:textId="77777777" w:rsidR="00214187" w:rsidRDefault="006E757B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>
        <w:rPr>
          <w:rStyle w:val="Pogrubienie"/>
        </w:rPr>
        <w:t>Odczynniki i materiały zużywalne:</w:t>
      </w:r>
      <w:r>
        <w:t xml:space="preserve"> </w:t>
      </w:r>
    </w:p>
    <w:p w14:paraId="7E845898" w14:textId="77777777" w:rsidR="00214187" w:rsidRDefault="006E757B">
      <w:pPr>
        <w:pStyle w:val="Tekstpodstawowy"/>
        <w:numPr>
          <w:ilvl w:val="1"/>
          <w:numId w:val="1"/>
        </w:numPr>
        <w:tabs>
          <w:tab w:val="left" w:pos="0"/>
        </w:tabs>
        <w:spacing w:after="0"/>
      </w:pPr>
      <w:r>
        <w:t xml:space="preserve">Dostawa wysokiej jakości odczynników i materiałów zużywalnych </w:t>
      </w:r>
    </w:p>
    <w:p w14:paraId="3647C4AB" w14:textId="77777777" w:rsidR="00214187" w:rsidRDefault="006E757B">
      <w:pPr>
        <w:pStyle w:val="Tekstpodstawowy"/>
        <w:numPr>
          <w:ilvl w:val="1"/>
          <w:numId w:val="1"/>
        </w:numPr>
        <w:tabs>
          <w:tab w:val="left" w:pos="0"/>
        </w:tabs>
        <w:spacing w:after="0"/>
      </w:pPr>
      <w:r>
        <w:t>Zapewnienie ciągłości dostaw</w:t>
      </w:r>
    </w:p>
    <w:p w14:paraId="7A509AED" w14:textId="77777777" w:rsidR="00214187" w:rsidRDefault="006E757B">
      <w:pPr>
        <w:pStyle w:val="Tekstpodstawowy"/>
        <w:numPr>
          <w:ilvl w:val="1"/>
          <w:numId w:val="1"/>
        </w:numPr>
        <w:tabs>
          <w:tab w:val="left" w:pos="0"/>
        </w:tabs>
        <w:spacing w:after="0"/>
      </w:pPr>
      <w:r>
        <w:t>Zapewnienie materiałów kontrolnych oraz sprawdzianów zewnętrznych</w:t>
      </w:r>
    </w:p>
    <w:p w14:paraId="015468E4" w14:textId="77777777" w:rsidR="00214187" w:rsidRDefault="006E757B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>
        <w:rPr>
          <w:rStyle w:val="Pogrubienie"/>
        </w:rPr>
        <w:t>Serwis i wsparcie techniczne:</w:t>
      </w:r>
      <w:r>
        <w:t xml:space="preserve"> </w:t>
      </w:r>
    </w:p>
    <w:p w14:paraId="1E48B0CC" w14:textId="77777777" w:rsidR="00214187" w:rsidRDefault="006E757B">
      <w:pPr>
        <w:pStyle w:val="Tekstpodstawowy"/>
        <w:numPr>
          <w:ilvl w:val="1"/>
          <w:numId w:val="1"/>
        </w:numPr>
        <w:tabs>
          <w:tab w:val="left" w:pos="0"/>
        </w:tabs>
        <w:spacing w:after="0"/>
      </w:pPr>
      <w:r>
        <w:t xml:space="preserve">Szybki i sprawny serwis techniczny w przypadku awarii. Krótki czas reakcji na zgłoszenia awarii, minimalizujący przestoje w pracy laboratorium. </w:t>
      </w:r>
    </w:p>
    <w:p w14:paraId="65B33DE7" w14:textId="77777777" w:rsidR="00214187" w:rsidRDefault="006E757B">
      <w:pPr>
        <w:pStyle w:val="Tekstpodstawowy"/>
        <w:numPr>
          <w:ilvl w:val="1"/>
          <w:numId w:val="1"/>
        </w:numPr>
        <w:tabs>
          <w:tab w:val="left" w:pos="0"/>
        </w:tabs>
        <w:spacing w:after="0"/>
      </w:pPr>
      <w:r>
        <w:t xml:space="preserve">Regularne przeglądy i konserwacja sprzętu. </w:t>
      </w:r>
    </w:p>
    <w:p w14:paraId="285AAA50" w14:textId="77777777" w:rsidR="00214187" w:rsidRDefault="006E757B">
      <w:pPr>
        <w:pStyle w:val="Tekstpodstawowy"/>
        <w:numPr>
          <w:ilvl w:val="1"/>
          <w:numId w:val="1"/>
        </w:numPr>
        <w:tabs>
          <w:tab w:val="left" w:pos="0"/>
        </w:tabs>
        <w:spacing w:after="0"/>
      </w:pPr>
      <w:r>
        <w:t>Szkolenia dla personelu laboratoryjnego oraz użytkowników analizatorów POCT</w:t>
      </w:r>
    </w:p>
    <w:p w14:paraId="394483B3" w14:textId="77777777" w:rsidR="00214187" w:rsidRDefault="006E757B">
      <w:pPr>
        <w:pStyle w:val="Tekstpodstawowy"/>
        <w:numPr>
          <w:ilvl w:val="1"/>
          <w:numId w:val="1"/>
        </w:numPr>
        <w:tabs>
          <w:tab w:val="left" w:pos="0"/>
        </w:tabs>
        <w:spacing w:after="0"/>
      </w:pPr>
      <w:r>
        <w:t xml:space="preserve">Dostęp do infolinii technicznej. </w:t>
      </w:r>
    </w:p>
    <w:p w14:paraId="147D2C31" w14:textId="77777777" w:rsidR="00214187" w:rsidRDefault="006E757B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>
        <w:rPr>
          <w:rStyle w:val="Pogrubienie"/>
        </w:rPr>
        <w:t>Łączność i integracja:</w:t>
      </w:r>
      <w:r>
        <w:t xml:space="preserve">  </w:t>
      </w:r>
    </w:p>
    <w:p w14:paraId="21151631" w14:textId="77777777" w:rsidR="00214187" w:rsidRDefault="006E757B">
      <w:pPr>
        <w:pStyle w:val="Tekstpodstawowy"/>
        <w:numPr>
          <w:ilvl w:val="1"/>
          <w:numId w:val="1"/>
        </w:numPr>
        <w:tabs>
          <w:tab w:val="left" w:pos="0"/>
        </w:tabs>
        <w:spacing w:after="0"/>
      </w:pPr>
      <w:r>
        <w:t xml:space="preserve">Możliwość integracji z systemem LIS oraz HIS w przypadku </w:t>
      </w:r>
      <w:r>
        <w:t>analizatorów POCT</w:t>
      </w:r>
    </w:p>
    <w:p w14:paraId="410106BB" w14:textId="77777777" w:rsidR="00214187" w:rsidRDefault="006E757B">
      <w:pPr>
        <w:pStyle w:val="Tekstpodstawowy"/>
      </w:pPr>
      <w:r>
        <w:rPr>
          <w:rStyle w:val="Pogrubienie"/>
        </w:rPr>
        <w:t>Założenia funkcjonalne:</w:t>
      </w:r>
    </w:p>
    <w:p w14:paraId="5F6BFEDC" w14:textId="77777777" w:rsidR="00214187" w:rsidRDefault="006E757B">
      <w:pPr>
        <w:pStyle w:val="Tekstpodstawowy"/>
        <w:numPr>
          <w:ilvl w:val="0"/>
          <w:numId w:val="2"/>
        </w:numPr>
        <w:tabs>
          <w:tab w:val="clear" w:pos="707"/>
          <w:tab w:val="left" w:pos="0"/>
        </w:tabs>
        <w:spacing w:after="0"/>
      </w:pPr>
      <w:r>
        <w:rPr>
          <w:rStyle w:val="Pogrubienie"/>
        </w:rPr>
        <w:t>Zakres badań:</w:t>
      </w:r>
      <w:r>
        <w:t xml:space="preserve"> </w:t>
      </w:r>
    </w:p>
    <w:p w14:paraId="4D1D3056" w14:textId="77777777" w:rsidR="00214187" w:rsidRDefault="006E757B">
      <w:pPr>
        <w:pStyle w:val="Tekstpodstawowy"/>
        <w:numPr>
          <w:ilvl w:val="1"/>
          <w:numId w:val="2"/>
        </w:numPr>
        <w:tabs>
          <w:tab w:val="left" w:pos="0"/>
        </w:tabs>
        <w:spacing w:after="0"/>
      </w:pPr>
      <w:r>
        <w:t xml:space="preserve">Możliwość wykonywania szerokiego zakresu badań laboratoryjnych, w tym: </w:t>
      </w:r>
    </w:p>
    <w:p w14:paraId="73D43B17" w14:textId="77777777" w:rsidR="00214187" w:rsidRDefault="006E757B">
      <w:pPr>
        <w:pStyle w:val="Tekstpodstawowy"/>
        <w:numPr>
          <w:ilvl w:val="2"/>
          <w:numId w:val="2"/>
        </w:numPr>
        <w:tabs>
          <w:tab w:val="left" w:pos="0"/>
        </w:tabs>
        <w:spacing w:after="0"/>
      </w:pPr>
      <w:r>
        <w:t xml:space="preserve">Badania biochemiczne </w:t>
      </w:r>
    </w:p>
    <w:p w14:paraId="2FEBD81E" w14:textId="77777777" w:rsidR="00214187" w:rsidRDefault="006E757B">
      <w:pPr>
        <w:pStyle w:val="Tekstpodstawowy"/>
        <w:numPr>
          <w:ilvl w:val="2"/>
          <w:numId w:val="2"/>
        </w:numPr>
        <w:tabs>
          <w:tab w:val="left" w:pos="0"/>
        </w:tabs>
        <w:spacing w:after="0"/>
      </w:pPr>
      <w:r>
        <w:t xml:space="preserve">Badania hematologiczne </w:t>
      </w:r>
    </w:p>
    <w:p w14:paraId="05CECCFF" w14:textId="77777777" w:rsidR="00214187" w:rsidRDefault="006E757B">
      <w:pPr>
        <w:pStyle w:val="Tekstpodstawowy"/>
        <w:numPr>
          <w:ilvl w:val="2"/>
          <w:numId w:val="2"/>
        </w:numPr>
        <w:tabs>
          <w:tab w:val="left" w:pos="0"/>
        </w:tabs>
        <w:spacing w:after="0"/>
      </w:pPr>
      <w:r>
        <w:t xml:space="preserve">Badania immunochemiczne </w:t>
      </w:r>
    </w:p>
    <w:p w14:paraId="699AFACC" w14:textId="77777777" w:rsidR="00214187" w:rsidRDefault="006E757B">
      <w:pPr>
        <w:pStyle w:val="Tekstpodstawowy"/>
        <w:numPr>
          <w:ilvl w:val="2"/>
          <w:numId w:val="2"/>
        </w:numPr>
        <w:tabs>
          <w:tab w:val="left" w:pos="0"/>
        </w:tabs>
        <w:spacing w:after="0"/>
      </w:pPr>
      <w:r>
        <w:t xml:space="preserve">Badania równowagi kwasowo-zasadowej </w:t>
      </w:r>
    </w:p>
    <w:p w14:paraId="79944BBB" w14:textId="77777777" w:rsidR="00214187" w:rsidRDefault="006E757B">
      <w:pPr>
        <w:pStyle w:val="Tekstpodstawowy"/>
        <w:numPr>
          <w:ilvl w:val="2"/>
          <w:numId w:val="2"/>
        </w:numPr>
        <w:tabs>
          <w:tab w:val="left" w:pos="0"/>
        </w:tabs>
        <w:spacing w:after="0"/>
      </w:pPr>
      <w:r>
        <w:t xml:space="preserve">Badania </w:t>
      </w:r>
      <w:proofErr w:type="spellStart"/>
      <w:r>
        <w:t>koagulologiczne</w:t>
      </w:r>
      <w:proofErr w:type="spellEnd"/>
    </w:p>
    <w:p w14:paraId="492A4D27" w14:textId="77777777" w:rsidR="00214187" w:rsidRDefault="006E757B">
      <w:pPr>
        <w:pStyle w:val="Tekstpodstawowy"/>
        <w:numPr>
          <w:ilvl w:val="2"/>
          <w:numId w:val="2"/>
        </w:numPr>
        <w:tabs>
          <w:tab w:val="left" w:pos="0"/>
        </w:tabs>
        <w:spacing w:after="0"/>
      </w:pPr>
      <w:r>
        <w:t xml:space="preserve">Badania z zakresu analityki ogólnej (badanie moczu) </w:t>
      </w:r>
    </w:p>
    <w:p w14:paraId="76DEB3B2" w14:textId="77777777" w:rsidR="00214187" w:rsidRDefault="006E757B">
      <w:pPr>
        <w:pStyle w:val="Tekstpodstawowy"/>
        <w:numPr>
          <w:ilvl w:val="1"/>
          <w:numId w:val="2"/>
        </w:numPr>
        <w:tabs>
          <w:tab w:val="left" w:pos="0"/>
        </w:tabs>
        <w:spacing w:after="0"/>
      </w:pPr>
      <w:r>
        <w:lastRenderedPageBreak/>
        <w:t xml:space="preserve">Zapewnienie możliwości wykonywania badań pilnych (tryb cito). </w:t>
      </w:r>
    </w:p>
    <w:p w14:paraId="58A0AE65" w14:textId="77777777" w:rsidR="00214187" w:rsidRDefault="006E757B">
      <w:pPr>
        <w:pStyle w:val="Tekstpodstawowy"/>
        <w:numPr>
          <w:ilvl w:val="0"/>
          <w:numId w:val="2"/>
        </w:numPr>
        <w:tabs>
          <w:tab w:val="clear" w:pos="707"/>
          <w:tab w:val="left" w:pos="0"/>
        </w:tabs>
        <w:spacing w:after="0"/>
      </w:pPr>
      <w:r>
        <w:rPr>
          <w:rStyle w:val="Pogrubienie"/>
        </w:rPr>
        <w:t>Wydajność:</w:t>
      </w:r>
      <w:r>
        <w:t xml:space="preserve"> </w:t>
      </w:r>
    </w:p>
    <w:p w14:paraId="274F46EA" w14:textId="77777777" w:rsidR="00214187" w:rsidRDefault="006E757B">
      <w:pPr>
        <w:pStyle w:val="Tekstpodstawowy"/>
        <w:numPr>
          <w:ilvl w:val="1"/>
          <w:numId w:val="2"/>
        </w:numPr>
        <w:tabs>
          <w:tab w:val="left" w:pos="0"/>
        </w:tabs>
        <w:spacing w:after="0"/>
      </w:pPr>
      <w:r>
        <w:t xml:space="preserve">Wysoka przepustowość analizatorów, umożliwiająca szybkie wykonywanie dużej liczby badań. </w:t>
      </w:r>
    </w:p>
    <w:p w14:paraId="276039E7" w14:textId="77777777" w:rsidR="00214187" w:rsidRDefault="006E757B">
      <w:pPr>
        <w:pStyle w:val="Tekstpodstawowy"/>
        <w:numPr>
          <w:ilvl w:val="0"/>
          <w:numId w:val="2"/>
        </w:numPr>
        <w:tabs>
          <w:tab w:val="clear" w:pos="707"/>
          <w:tab w:val="left" w:pos="0"/>
        </w:tabs>
        <w:spacing w:after="0"/>
      </w:pPr>
      <w:r>
        <w:rPr>
          <w:rStyle w:val="Pogrubienie"/>
        </w:rPr>
        <w:t>Jakość:</w:t>
      </w:r>
      <w:r>
        <w:t xml:space="preserve"> </w:t>
      </w:r>
    </w:p>
    <w:p w14:paraId="319A23EB" w14:textId="77777777" w:rsidR="00214187" w:rsidRDefault="006E757B">
      <w:pPr>
        <w:pStyle w:val="Tekstpodstawowy"/>
        <w:numPr>
          <w:ilvl w:val="1"/>
          <w:numId w:val="2"/>
        </w:numPr>
        <w:tabs>
          <w:tab w:val="left" w:pos="0"/>
        </w:tabs>
        <w:spacing w:after="0"/>
      </w:pPr>
      <w:r>
        <w:t xml:space="preserve">Zapewnienie wysokiej jakości wyników badań. </w:t>
      </w:r>
    </w:p>
    <w:p w14:paraId="0160AF6A" w14:textId="77777777" w:rsidR="00214187" w:rsidRDefault="006E757B">
      <w:pPr>
        <w:pStyle w:val="Tekstpodstawowy"/>
        <w:numPr>
          <w:ilvl w:val="1"/>
          <w:numId w:val="2"/>
        </w:numPr>
        <w:tabs>
          <w:tab w:val="left" w:pos="0"/>
        </w:tabs>
        <w:spacing w:after="0"/>
      </w:pPr>
      <w:r>
        <w:t xml:space="preserve">Spełnienie wymagań norm i standardów. </w:t>
      </w:r>
    </w:p>
    <w:p w14:paraId="75361C18" w14:textId="77777777" w:rsidR="00214187" w:rsidRDefault="006E757B">
      <w:pPr>
        <w:pStyle w:val="Tekstpodstawowy"/>
      </w:pPr>
      <w:r>
        <w:rPr>
          <w:rStyle w:val="Pogrubienie"/>
        </w:rPr>
        <w:t>Założenia użytkowe:</w:t>
      </w:r>
    </w:p>
    <w:p w14:paraId="37E0B377" w14:textId="77777777" w:rsidR="00214187" w:rsidRDefault="006E757B">
      <w:pPr>
        <w:pStyle w:val="Tekstpodstawowy"/>
        <w:numPr>
          <w:ilvl w:val="0"/>
          <w:numId w:val="3"/>
        </w:numPr>
        <w:tabs>
          <w:tab w:val="clear" w:pos="707"/>
          <w:tab w:val="left" w:pos="0"/>
        </w:tabs>
        <w:spacing w:after="0"/>
      </w:pPr>
      <w:r>
        <w:rPr>
          <w:rStyle w:val="Pogrubienie"/>
        </w:rPr>
        <w:t>Ergonomia:</w:t>
      </w:r>
      <w:r>
        <w:t xml:space="preserve"> </w:t>
      </w:r>
    </w:p>
    <w:p w14:paraId="4251AD14" w14:textId="77777777" w:rsidR="00214187" w:rsidRDefault="006E757B">
      <w:pPr>
        <w:pStyle w:val="Tekstpodstawowy"/>
        <w:numPr>
          <w:ilvl w:val="1"/>
          <w:numId w:val="3"/>
        </w:numPr>
        <w:tabs>
          <w:tab w:val="left" w:pos="0"/>
        </w:tabs>
        <w:spacing w:after="0"/>
      </w:pPr>
      <w:r>
        <w:t xml:space="preserve">Łatwa i intuicyjna obsługa urządzeń. </w:t>
      </w:r>
    </w:p>
    <w:p w14:paraId="5269B1BB" w14:textId="77777777" w:rsidR="00214187" w:rsidRDefault="006E757B">
      <w:pPr>
        <w:pStyle w:val="Tekstpodstawowy"/>
        <w:numPr>
          <w:ilvl w:val="1"/>
          <w:numId w:val="3"/>
        </w:numPr>
        <w:tabs>
          <w:tab w:val="left" w:pos="0"/>
        </w:tabs>
        <w:spacing w:after="0"/>
      </w:pPr>
      <w:r>
        <w:t xml:space="preserve">Ergonomiczne stanowiska pracy, zapewniające komfort i bezpieczeństwo personelu. </w:t>
      </w:r>
    </w:p>
    <w:p w14:paraId="3BD42821" w14:textId="77777777" w:rsidR="00214187" w:rsidRDefault="006E757B">
      <w:pPr>
        <w:pStyle w:val="Tekstpodstawowy"/>
        <w:numPr>
          <w:ilvl w:val="0"/>
          <w:numId w:val="3"/>
        </w:numPr>
        <w:tabs>
          <w:tab w:val="clear" w:pos="707"/>
          <w:tab w:val="left" w:pos="0"/>
        </w:tabs>
        <w:spacing w:after="0"/>
      </w:pPr>
      <w:r>
        <w:rPr>
          <w:rStyle w:val="Pogrubienie"/>
        </w:rPr>
        <w:t>Szkolenie:</w:t>
      </w:r>
      <w:r>
        <w:t xml:space="preserve"> </w:t>
      </w:r>
    </w:p>
    <w:p w14:paraId="5514419E" w14:textId="77777777" w:rsidR="00214187" w:rsidRDefault="006E757B">
      <w:pPr>
        <w:pStyle w:val="Tekstpodstawowy"/>
        <w:numPr>
          <w:ilvl w:val="1"/>
          <w:numId w:val="3"/>
        </w:numPr>
        <w:tabs>
          <w:tab w:val="left" w:pos="0"/>
        </w:tabs>
        <w:spacing w:after="0"/>
      </w:pPr>
      <w:r>
        <w:t>Zapewnienie kompleksowych szkoleń dla personelu laboratoryjnego oraz użytkowników POCT</w:t>
      </w:r>
    </w:p>
    <w:p w14:paraId="05263D1E" w14:textId="77777777" w:rsidR="00214187" w:rsidRDefault="006E757B">
      <w:pPr>
        <w:pStyle w:val="Tekstpodstawowy"/>
        <w:numPr>
          <w:ilvl w:val="1"/>
          <w:numId w:val="3"/>
        </w:numPr>
        <w:tabs>
          <w:tab w:val="left" w:pos="0"/>
        </w:tabs>
        <w:spacing w:after="0"/>
      </w:pPr>
      <w:r>
        <w:t xml:space="preserve">Dostępność materiałów szkoleniowych. </w:t>
      </w:r>
    </w:p>
    <w:p w14:paraId="27035EE6" w14:textId="77777777" w:rsidR="00214187" w:rsidRDefault="006E757B">
      <w:pPr>
        <w:pStyle w:val="Tekstpodstawowy"/>
        <w:numPr>
          <w:ilvl w:val="0"/>
          <w:numId w:val="3"/>
        </w:numPr>
        <w:tabs>
          <w:tab w:val="clear" w:pos="707"/>
          <w:tab w:val="left" w:pos="0"/>
        </w:tabs>
        <w:spacing w:after="0"/>
      </w:pPr>
      <w:r>
        <w:rPr>
          <w:rStyle w:val="Pogrubienie"/>
        </w:rPr>
        <w:t>Wsparcie:</w:t>
      </w:r>
      <w:r>
        <w:t xml:space="preserve"> </w:t>
      </w:r>
    </w:p>
    <w:p w14:paraId="475C5D78" w14:textId="77777777" w:rsidR="00214187" w:rsidRDefault="006E757B">
      <w:pPr>
        <w:pStyle w:val="Tekstpodstawowy"/>
        <w:numPr>
          <w:ilvl w:val="1"/>
          <w:numId w:val="3"/>
        </w:numPr>
        <w:tabs>
          <w:tab w:val="left" w:pos="0"/>
        </w:tabs>
        <w:spacing w:after="0"/>
      </w:pPr>
      <w:r>
        <w:t xml:space="preserve">Zapewnienie wsparcia technicznego i merytorycznego. </w:t>
      </w:r>
    </w:p>
    <w:p w14:paraId="3D7A9C1C" w14:textId="77777777" w:rsidR="00214187" w:rsidRDefault="006E757B">
      <w:pPr>
        <w:pStyle w:val="Tekstpodstawowy"/>
        <w:numPr>
          <w:ilvl w:val="1"/>
          <w:numId w:val="3"/>
        </w:numPr>
        <w:tabs>
          <w:tab w:val="left" w:pos="0"/>
        </w:tabs>
        <w:spacing w:after="0"/>
      </w:pPr>
      <w:r>
        <w:t xml:space="preserve">Dostępność konsultacji z ekspertami. </w:t>
      </w:r>
    </w:p>
    <w:p w14:paraId="23C3BE02" w14:textId="77777777" w:rsidR="00214187" w:rsidRDefault="006E757B">
      <w:pPr>
        <w:pStyle w:val="Tekstpodstawowy"/>
        <w:numPr>
          <w:ilvl w:val="0"/>
          <w:numId w:val="3"/>
        </w:numPr>
        <w:tabs>
          <w:tab w:val="clear" w:pos="707"/>
          <w:tab w:val="left" w:pos="0"/>
        </w:tabs>
        <w:spacing w:after="0"/>
      </w:pPr>
      <w:r>
        <w:rPr>
          <w:rStyle w:val="Pogrubienie"/>
        </w:rPr>
        <w:t>Dostosowanie:</w:t>
      </w:r>
      <w:r>
        <w:t xml:space="preserve"> </w:t>
      </w:r>
    </w:p>
    <w:p w14:paraId="275D126B" w14:textId="77777777" w:rsidR="00214187" w:rsidRDefault="006E757B">
      <w:pPr>
        <w:pStyle w:val="Tekstpodstawowy"/>
        <w:numPr>
          <w:ilvl w:val="1"/>
          <w:numId w:val="3"/>
        </w:numPr>
        <w:tabs>
          <w:tab w:val="left" w:pos="0"/>
        </w:tabs>
        <w:spacing w:after="0"/>
      </w:pPr>
      <w:r>
        <w:t xml:space="preserve">Możliwość dostosowania wyposażenia do indywidualnych potrzeb szpitala. </w:t>
      </w:r>
    </w:p>
    <w:p w14:paraId="3898557C" w14:textId="77777777" w:rsidR="00214187" w:rsidRDefault="006E757B">
      <w:pPr>
        <w:pStyle w:val="Tekstpodstawowy"/>
        <w:numPr>
          <w:ilvl w:val="1"/>
          <w:numId w:val="3"/>
        </w:numPr>
        <w:tabs>
          <w:tab w:val="left" w:pos="0"/>
        </w:tabs>
      </w:pPr>
      <w:r>
        <w:t>Elastyczność w zakresie dostaw odczynników i materiałów zużywalnych - dostawy „</w:t>
      </w:r>
      <w:proofErr w:type="spellStart"/>
      <w:r>
        <w:t>just</w:t>
      </w:r>
      <w:proofErr w:type="spellEnd"/>
      <w:r>
        <w:t xml:space="preserve"> in </w:t>
      </w:r>
      <w:proofErr w:type="spellStart"/>
      <w:r>
        <w:t>time</w:t>
      </w:r>
      <w:proofErr w:type="spellEnd"/>
      <w:r>
        <w:t>”</w:t>
      </w:r>
    </w:p>
    <w:p w14:paraId="47143BE1" w14:textId="77777777" w:rsidR="00214187" w:rsidRDefault="00214187">
      <w:pPr>
        <w:pStyle w:val="Tekstpodstawowy"/>
      </w:pPr>
    </w:p>
    <w:p w14:paraId="6E4A0BAA" w14:textId="77777777" w:rsidR="00214187" w:rsidRDefault="00214187">
      <w:pPr>
        <w:rPr>
          <w:color w:val="FF0000"/>
        </w:rPr>
      </w:pPr>
    </w:p>
    <w:sectPr w:rsidR="0021418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7CA2"/>
    <w:multiLevelType w:val="multilevel"/>
    <w:tmpl w:val="61AA125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9F03F03"/>
    <w:multiLevelType w:val="multilevel"/>
    <w:tmpl w:val="3B9C2D9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59794C6F"/>
    <w:multiLevelType w:val="multilevel"/>
    <w:tmpl w:val="F53221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6BE03C05"/>
    <w:multiLevelType w:val="multilevel"/>
    <w:tmpl w:val="A07C5D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8547239">
    <w:abstractNumId w:val="1"/>
  </w:num>
  <w:num w:numId="2" w16cid:durableId="550657568">
    <w:abstractNumId w:val="2"/>
  </w:num>
  <w:num w:numId="3" w16cid:durableId="1269463693">
    <w:abstractNumId w:val="0"/>
  </w:num>
  <w:num w:numId="4" w16cid:durableId="597639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87"/>
    <w:rsid w:val="00214187"/>
    <w:rsid w:val="006E757B"/>
    <w:rsid w:val="00C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A9EB"/>
  <w15:docId w15:val="{203437E2-90EB-4F04-897D-7BB3D8E9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1E0"/>
    <w:pPr>
      <w:spacing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F11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F11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F11E0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Akapitzlist1">
    <w:name w:val="Akapit z listą1"/>
    <w:basedOn w:val="Normalny"/>
    <w:qFormat/>
    <w:rsid w:val="008F11E0"/>
    <w:pPr>
      <w:widowControl w:val="0"/>
      <w:spacing w:line="100" w:lineRule="atLeast"/>
      <w:ind w:left="708"/>
    </w:pPr>
    <w:rPr>
      <w:rFonts w:ascii="Arial" w:hAnsi="Arial" w:cs="Arial"/>
      <w:kern w:val="2"/>
      <w:szCs w:val="18"/>
      <w:lang w:eastAsia="hi-IN" w:bidi="hi-I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F11E0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dc:description/>
  <cp:lastModifiedBy>Przemysław Bogdanowicz</cp:lastModifiedBy>
  <cp:revision>2</cp:revision>
  <dcterms:created xsi:type="dcterms:W3CDTF">2025-04-02T11:27:00Z</dcterms:created>
  <dcterms:modified xsi:type="dcterms:W3CDTF">2025-04-02T11:27:00Z</dcterms:modified>
  <dc:language>pl-PL</dc:language>
</cp:coreProperties>
</file>