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25B8611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8667C5">
        <w:rPr>
          <w:rFonts w:eastAsia="Tahoma" w:cstheme="minorHAnsi"/>
          <w:b/>
          <w:sz w:val="24"/>
          <w:szCs w:val="24"/>
        </w:rPr>
        <w:t xml:space="preserve">Przedszkola nr </w:t>
      </w:r>
      <w:r w:rsidR="005F611E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667C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17116846" w:rsidR="003D7BBE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11DA1695" w14:textId="76A0FABD" w:rsidR="005F611E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8C00FBC" w14:textId="1B286881" w:rsidR="005F611E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83DE218" w14:textId="7917ACA0" w:rsidR="005F611E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C466459" w14:textId="77777777" w:rsidR="005F611E" w:rsidRPr="006C251C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567"/>
        <w:gridCol w:w="709"/>
        <w:gridCol w:w="1275"/>
        <w:gridCol w:w="993"/>
        <w:gridCol w:w="850"/>
        <w:gridCol w:w="1276"/>
        <w:gridCol w:w="1389"/>
      </w:tblGrid>
      <w:tr w:rsidR="00C12FBF" w:rsidRPr="00F82457" w14:paraId="3390B2DD" w14:textId="77777777" w:rsidTr="008667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F3F93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8667C5">
        <w:trPr>
          <w:cantSplit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F611E" w:rsidRPr="00F82457" w14:paraId="2C3A8537" w14:textId="77777777" w:rsidTr="008667C5">
        <w:trPr>
          <w:cantSplit/>
          <w:trHeight w:val="268"/>
        </w:trPr>
        <w:tc>
          <w:tcPr>
            <w:tcW w:w="709" w:type="dxa"/>
            <w:vAlign w:val="center"/>
            <w:hideMark/>
          </w:tcPr>
          <w:p w14:paraId="3C5C81CC" w14:textId="042548A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EC511E" w14:textId="64A08E5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Ananas plastry, w lekkim syropie ,w puszce, bez dodatku chemicznych substancji dodatkowych do żywności (głównie substancji konserwujących, regulatorów kwasowości)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2320B" w14:textId="5987338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460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61E8753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34C0C7A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9F89E31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5C154B26" w14:textId="3A9FF4A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F0C52D" w14:textId="3668406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Barszcz czerwony koncentrat, bez konserwantów, pasteryzowany. Bez dodatku regulatorów kwasowości, syropu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Glukozowo-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butelka z możliwością ponownego zamknięcia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16459" w14:textId="0E93D3A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7020EE6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7A8EAF8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AC8340B" w14:textId="77777777" w:rsidTr="0058130E">
        <w:trPr>
          <w:cantSplit/>
        </w:trPr>
        <w:tc>
          <w:tcPr>
            <w:tcW w:w="709" w:type="dxa"/>
            <w:vAlign w:val="center"/>
            <w:hideMark/>
          </w:tcPr>
          <w:p w14:paraId="61D99D55" w14:textId="0A6D208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75B66B" w14:textId="22937CC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batonik  mleczna  kanapka, SKŁADNIKI: pasteryzowane MLEKO (40%), olej palmowy, cukier, mąka PSZENNA (10,5%), MLEKO odtłuszczone w proszku (9%), miód (5%), MASŁO odwodnione, JAJA w proszku, kakao w proszku o obniżonej zawartości tłuszczu, otręby PSZENNE drobne, substancje spulchniające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1D0BA" w14:textId="49BDADF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6CB5548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1E973D2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532B49D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3D81427E" w14:textId="5522E18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E0B3F7" w14:textId="06EC5E3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Bazylia suszona, otarta, zioła wysokiej jakości, system utrzymania aromatu, specjalne wielowarstwowe szczelne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484BD" w14:textId="4E93824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230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1D25293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22D3734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7685A12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0547A7E1" w14:textId="05E04E6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9002919" w14:textId="16FE0E5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Biszkopty okrągłe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7C463" w14:textId="5F2B0C5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140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6460C5A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4C6D0C0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95EAE15" w14:textId="77777777" w:rsidTr="008667C5">
        <w:trPr>
          <w:cantSplit/>
        </w:trPr>
        <w:tc>
          <w:tcPr>
            <w:tcW w:w="709" w:type="dxa"/>
            <w:vAlign w:val="center"/>
          </w:tcPr>
          <w:p w14:paraId="71C5A3B2" w14:textId="3A09D9D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25CF69" w14:textId="6C71F24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Brzoskwinia w syropie, połówki, w puszce, bez dodatku chemicznych substancji dodatkowych do żywności (głównie substancji konserwujących, regulatorów kwasowości)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32553" w14:textId="1ECFDD0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465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223259B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442C438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CF06F55" w14:textId="77777777" w:rsidTr="008667C5">
        <w:trPr>
          <w:cantSplit/>
        </w:trPr>
        <w:tc>
          <w:tcPr>
            <w:tcW w:w="709" w:type="dxa"/>
            <w:vAlign w:val="center"/>
          </w:tcPr>
          <w:p w14:paraId="541A5F9A" w14:textId="42D7760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D270B6" w14:textId="3EB3E4C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Budyń wanil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owy, bez dodatku konce</w:t>
            </w: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tratów, z naturalnych składników. Bez dodatku chemicznych substancji dodatkowych do żywności, sztucznych aromatów i barwników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DDB4" w14:textId="683E84B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559599C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7A72F86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AC6BF5E" w14:textId="77777777" w:rsidTr="008667C5">
        <w:trPr>
          <w:cantSplit/>
        </w:trPr>
        <w:tc>
          <w:tcPr>
            <w:tcW w:w="709" w:type="dxa"/>
            <w:vAlign w:val="center"/>
          </w:tcPr>
          <w:p w14:paraId="18FFFAE1" w14:textId="38AEBCE0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485A37" w14:textId="10D54E3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Chrupki kukurydziane, oznakowane jednoznacznie w sposób potwierdzający, że nie zawierają glutenu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3F52D" w14:textId="19BA369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1F7BAE2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3AA8E4A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3FE80B2" w14:textId="77777777" w:rsidTr="008667C5">
        <w:trPr>
          <w:cantSplit/>
        </w:trPr>
        <w:tc>
          <w:tcPr>
            <w:tcW w:w="709" w:type="dxa"/>
            <w:vAlign w:val="center"/>
          </w:tcPr>
          <w:p w14:paraId="241F65BF" w14:textId="29574C15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8F2727" w14:textId="7CA856F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Chrzan tarty słoik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C2E8A" w14:textId="1632A14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74A9B83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4DB02EF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CB5EF0C" w14:textId="77777777" w:rsidTr="0058130E">
        <w:trPr>
          <w:cantSplit/>
        </w:trPr>
        <w:tc>
          <w:tcPr>
            <w:tcW w:w="709" w:type="dxa"/>
            <w:vAlign w:val="center"/>
          </w:tcPr>
          <w:p w14:paraId="66D049AA" w14:textId="70B2297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FA6ED33" w14:textId="5F091D5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Ciasto francuskie chłodzone, niemrożone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604B8" w14:textId="2E75FB3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375g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5FC2D2A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3016BAF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888D75E" w14:textId="77777777" w:rsidTr="008667C5">
        <w:trPr>
          <w:cantSplit/>
        </w:trPr>
        <w:tc>
          <w:tcPr>
            <w:tcW w:w="709" w:type="dxa"/>
            <w:vAlign w:val="center"/>
          </w:tcPr>
          <w:p w14:paraId="7F4DD48E" w14:textId="3AF25A30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E04F9C" w14:textId="056AC9B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9E58E" w14:textId="0A90706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36006A3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58E9D79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E6C682A" w14:textId="77777777" w:rsidTr="008667C5">
        <w:trPr>
          <w:cantSplit/>
        </w:trPr>
        <w:tc>
          <w:tcPr>
            <w:tcW w:w="709" w:type="dxa"/>
            <w:vAlign w:val="center"/>
          </w:tcPr>
          <w:p w14:paraId="6171FCC1" w14:textId="738AC02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CFA53AC" w14:textId="2EB413E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Cukier puder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01FF1" w14:textId="3F511B6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5CE5BD5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33CF47F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CF82798" w14:textId="77777777" w:rsidTr="008667C5">
        <w:trPr>
          <w:cantSplit/>
        </w:trPr>
        <w:tc>
          <w:tcPr>
            <w:tcW w:w="709" w:type="dxa"/>
            <w:vAlign w:val="center"/>
          </w:tcPr>
          <w:p w14:paraId="3E2BBF48" w14:textId="0CFA64C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55FB15" w14:textId="2EFEE3B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Cukier waniliowy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E2AE0" w14:textId="7D6EF44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16</w:t>
            </w:r>
            <w:r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8979" w14:textId="33C4580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9C658" w14:textId="620E6F7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F2B1D6B" w14:textId="77777777" w:rsidTr="0058130E">
        <w:trPr>
          <w:cantSplit/>
        </w:trPr>
        <w:tc>
          <w:tcPr>
            <w:tcW w:w="709" w:type="dxa"/>
            <w:vAlign w:val="center"/>
          </w:tcPr>
          <w:p w14:paraId="0E7F49E2" w14:textId="264E36F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4215FA" w14:textId="672F90C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cukierki galaretka w czekoladzie mlecznej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651FE79" w14:textId="119BB42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C3BF5" w14:textId="1FD89BF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4CADE" w14:textId="0E87381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BB5E812" w14:textId="77777777" w:rsidTr="008667C5">
        <w:trPr>
          <w:cantSplit/>
        </w:trPr>
        <w:tc>
          <w:tcPr>
            <w:tcW w:w="709" w:type="dxa"/>
            <w:vAlign w:val="center"/>
          </w:tcPr>
          <w:p w14:paraId="237D0FE4" w14:textId="5206708F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FD7653D" w14:textId="42D2B17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Cynamon mielony,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38C9B" w14:textId="4515F52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0009" w14:textId="2016051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C180E" w14:textId="7DE5DBB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A8C82B6" w14:textId="77777777" w:rsidTr="0058130E">
        <w:trPr>
          <w:cantSplit/>
        </w:trPr>
        <w:tc>
          <w:tcPr>
            <w:tcW w:w="709" w:type="dxa"/>
            <w:vAlign w:val="center"/>
          </w:tcPr>
          <w:p w14:paraId="38DFBF51" w14:textId="5E8F082A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ABB4A28" w14:textId="628BD07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czekolada gorzka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8E886" w14:textId="38A280B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5099" w14:textId="03D091E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9B10E" w14:textId="2A54F80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7B9B199" w14:textId="77777777" w:rsidTr="008667C5">
        <w:trPr>
          <w:cantSplit/>
          <w:trHeight w:val="70"/>
        </w:trPr>
        <w:tc>
          <w:tcPr>
            <w:tcW w:w="709" w:type="dxa"/>
            <w:vAlign w:val="center"/>
          </w:tcPr>
          <w:p w14:paraId="2B029406" w14:textId="0C34B585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F580A6" w14:textId="0AEABF3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czekolada mleczna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52B50" w14:textId="00F558D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B48B9" w14:textId="1F0D5F4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19E93" w14:textId="3DFEB0C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F7157B7" w14:textId="77777777" w:rsidTr="008667C5">
        <w:trPr>
          <w:cantSplit/>
        </w:trPr>
        <w:tc>
          <w:tcPr>
            <w:tcW w:w="709" w:type="dxa"/>
            <w:vAlign w:val="center"/>
          </w:tcPr>
          <w:p w14:paraId="5E111D54" w14:textId="316F854E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9F03B2" w14:textId="3E81EDA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Czosnek granulowany, system utrzymania aromatu, specjalne wielowarstwowe szczelne opakowanie. Bez dodatku chemicznych substancji dodatkowych do żywności 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br/>
              <w:t>(głównie dwutlenku siarki)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D97E2" w14:textId="1667C3D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8993D" w14:textId="56974AD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B6E5C" w14:textId="1E5F315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C1238E2" w14:textId="77777777" w:rsidTr="008667C5">
        <w:trPr>
          <w:cantSplit/>
        </w:trPr>
        <w:tc>
          <w:tcPr>
            <w:tcW w:w="709" w:type="dxa"/>
            <w:vAlign w:val="center"/>
          </w:tcPr>
          <w:p w14:paraId="78F408DE" w14:textId="663E332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051DB7" w14:textId="1581DBC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Daktyle suszone bez pestek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1D310" w14:textId="07878C2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B07FF" w14:textId="42D4347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E8CCA" w14:textId="56BEA74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259D973" w14:textId="77777777" w:rsidTr="008667C5">
        <w:trPr>
          <w:cantSplit/>
        </w:trPr>
        <w:tc>
          <w:tcPr>
            <w:tcW w:w="709" w:type="dxa"/>
            <w:vAlign w:val="center"/>
          </w:tcPr>
          <w:p w14:paraId="0AF61E9B" w14:textId="678AE266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00E0E6" w14:textId="6DFF7B6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Drożd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e świeże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0A10E" w14:textId="5643956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F9D8F" w14:textId="7272359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C3A02" w14:textId="6346A1F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6D5C632" w14:textId="77777777" w:rsidTr="0058130E">
        <w:trPr>
          <w:cantSplit/>
        </w:trPr>
        <w:tc>
          <w:tcPr>
            <w:tcW w:w="709" w:type="dxa"/>
            <w:vAlign w:val="center"/>
          </w:tcPr>
          <w:p w14:paraId="59A688FB" w14:textId="55684C4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4E1FDF7" w14:textId="032104E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Dżem z brzoskwiń  extra g</w:t>
            </w:r>
            <w:r>
              <w:rPr>
                <w:rFonts w:cstheme="minorHAnsi"/>
                <w:color w:val="000000"/>
                <w:sz w:val="20"/>
                <w:szCs w:val="20"/>
              </w:rPr>
              <w:t>ł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adki, bez kawałków owoców, niesłodzony, pasteryzowany, Bez dodatku substancji słodzących, syropu glukozowego lub syropu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Glukozowo-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, bez dodatku chemicznych substancji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Dodatkowych do żywności (głównie substancji żelujących,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zagęszczających, regulatorów kwasowości i przeciwutleniaczy) produktu. Zawartość owoców min.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8E571" w14:textId="5C7E6EC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EB6E" w14:textId="524DC0C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2AA76" w14:textId="3FE1B6F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9D1436E" w14:textId="77777777" w:rsidTr="008667C5">
        <w:trPr>
          <w:cantSplit/>
        </w:trPr>
        <w:tc>
          <w:tcPr>
            <w:tcW w:w="709" w:type="dxa"/>
            <w:vAlign w:val="center"/>
          </w:tcPr>
          <w:p w14:paraId="4073EDB2" w14:textId="0CD13E67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728CD9" w14:textId="775C307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Dżem z truskawek extra gładki, bez kawałków owoców, bez pestek,  Bez dodatku substancji słodzących, syropu glukozowego lub syropu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br/>
              <w:t>Glukozowo-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, bez dodatku chemicznych substancji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br/>
              <w:t xml:space="preserve">Dodatkowych do żywności (głównie substancji żelujących,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zagęszczających, regulatorów kwasowości i przeciwutleniaczy) produktu. Zawartość owoców min.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23533" w14:textId="0A1A7E6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399" w14:textId="3420B1B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567E7" w14:textId="2190B48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A861F14" w14:textId="77777777" w:rsidTr="0058130E">
        <w:trPr>
          <w:cantSplit/>
        </w:trPr>
        <w:tc>
          <w:tcPr>
            <w:tcW w:w="709" w:type="dxa"/>
            <w:vAlign w:val="center"/>
          </w:tcPr>
          <w:p w14:paraId="500EEAFC" w14:textId="36DD7FA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599485" w14:textId="4C558CE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39D63" w14:textId="304C151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CE76" w14:textId="113416B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24323" w14:textId="46CB1F0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709BB71" w14:textId="77777777" w:rsidTr="0058130E">
        <w:trPr>
          <w:cantSplit/>
        </w:trPr>
        <w:tc>
          <w:tcPr>
            <w:tcW w:w="709" w:type="dxa"/>
            <w:vAlign w:val="center"/>
          </w:tcPr>
          <w:p w14:paraId="7EF30CD7" w14:textId="5CE3DF0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4089E4" w14:textId="15F8E02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Galaretka brzoskwin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6DE59" w14:textId="359B128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71g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D318" w14:textId="47E3EDE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B4CF5" w14:textId="04924ED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2953AF6" w14:textId="77777777" w:rsidTr="008667C5">
        <w:trPr>
          <w:cantSplit/>
        </w:trPr>
        <w:tc>
          <w:tcPr>
            <w:tcW w:w="709" w:type="dxa"/>
            <w:vAlign w:val="center"/>
          </w:tcPr>
          <w:p w14:paraId="2DBD6AD5" w14:textId="08D1E8DF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B82C05" w14:textId="5D78ECE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Galaretka o smaku malinowa, Skład: żelatyna , kwas cytrynowy, barwniki: kurkumina, kompleksy miedziowe, chlorofil i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chlorofilin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27D8FF5" w14:textId="252DDC8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71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A988" w14:textId="6BDE224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CA63E" w14:textId="1244C73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F714105" w14:textId="77777777" w:rsidTr="0058130E">
        <w:trPr>
          <w:cantSplit/>
        </w:trPr>
        <w:tc>
          <w:tcPr>
            <w:tcW w:w="709" w:type="dxa"/>
            <w:vAlign w:val="center"/>
          </w:tcPr>
          <w:p w14:paraId="617007D6" w14:textId="7AA0F84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E9795B" w14:textId="078A1E5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Galaretka truskawkowa,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15F05" w14:textId="67A5063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71g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F6D2" w14:textId="2555B37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78C04" w14:textId="434A0C8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5C510A9" w14:textId="77777777" w:rsidTr="0058130E">
        <w:trPr>
          <w:cantSplit/>
        </w:trPr>
        <w:tc>
          <w:tcPr>
            <w:tcW w:w="709" w:type="dxa"/>
            <w:vAlign w:val="center"/>
          </w:tcPr>
          <w:p w14:paraId="7106F1E2" w14:textId="334FD976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27A5DE5" w14:textId="59F291A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Granola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z owocami - chrupiące płatki owsiane, suszone owoce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tj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: truskawka, żurawina, wiśnia, orzechy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D829" w14:textId="06BE3A7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158B0" w14:textId="232F49B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42FD4" w14:textId="7CC62B7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9997DAF" w14:textId="77777777" w:rsidTr="0058130E">
        <w:trPr>
          <w:cantSplit/>
        </w:trPr>
        <w:tc>
          <w:tcPr>
            <w:tcW w:w="709" w:type="dxa"/>
            <w:vAlign w:val="center"/>
          </w:tcPr>
          <w:p w14:paraId="63C77DA2" w14:textId="071A8E4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2B9095" w14:textId="103B124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Groch łuskany, pozbawiony łuski, połówki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69113" w14:textId="0FF60F8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63F0" w14:textId="4D70908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EC674" w14:textId="32023BA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740FF88" w14:textId="77777777" w:rsidTr="008667C5">
        <w:trPr>
          <w:cantSplit/>
        </w:trPr>
        <w:tc>
          <w:tcPr>
            <w:tcW w:w="709" w:type="dxa"/>
            <w:vAlign w:val="center"/>
          </w:tcPr>
          <w:p w14:paraId="06C614F2" w14:textId="4C563920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1E4115" w14:textId="767D2C2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Groszek konserwowy puszka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3B32C" w14:textId="08F40B2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340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723A" w14:textId="7E0252D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413B4" w14:textId="2893EB0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D2B574C" w14:textId="77777777" w:rsidTr="008667C5">
        <w:trPr>
          <w:cantSplit/>
        </w:trPr>
        <w:tc>
          <w:tcPr>
            <w:tcW w:w="709" w:type="dxa"/>
            <w:vAlign w:val="center"/>
          </w:tcPr>
          <w:p w14:paraId="3E98BDD7" w14:textId="36DD438E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B7B2C8" w14:textId="52E901D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255AF" w14:textId="0B12511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E8CC" w14:textId="6A46AFE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8CC39" w14:textId="2C33F6D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5C1AB45" w14:textId="77777777" w:rsidTr="008667C5">
        <w:trPr>
          <w:cantSplit/>
        </w:trPr>
        <w:tc>
          <w:tcPr>
            <w:tcW w:w="709" w:type="dxa"/>
            <w:vAlign w:val="center"/>
          </w:tcPr>
          <w:p w14:paraId="28F3A97C" w14:textId="2A53A09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B9C25B" w14:textId="6A1B6E7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Herbata czarna z naturalnym aromatem, w składzie herbata czarna, naturalny aromat,  w saszetkach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1DB66" w14:textId="4F34EE4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90 s</w:t>
            </w:r>
            <w:r>
              <w:rPr>
                <w:rFonts w:cstheme="minorHAnsi"/>
                <w:color w:val="000000"/>
                <w:sz w:val="20"/>
                <w:szCs w:val="20"/>
              </w:rPr>
              <w:t>zt.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AB6B1" w14:textId="6561105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F6797" w14:textId="2594FD6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94113E3" w14:textId="77777777" w:rsidTr="0058130E">
        <w:trPr>
          <w:cantSplit/>
        </w:trPr>
        <w:tc>
          <w:tcPr>
            <w:tcW w:w="709" w:type="dxa"/>
            <w:vAlign w:val="center"/>
          </w:tcPr>
          <w:p w14:paraId="2C7DC6C9" w14:textId="277A5DF5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3FE67B" w14:textId="0215755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Herbata mięta w saszetkach, 100% liść mięty pieprzowej (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Menthae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piperitae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folium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9F83D" w14:textId="3792D86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x 1,3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52A3C" w14:textId="453F30C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1ECC0" w14:textId="7FDCB80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7D03AE5" w14:textId="77777777" w:rsidTr="0058130E">
        <w:trPr>
          <w:cantSplit/>
        </w:trPr>
        <w:tc>
          <w:tcPr>
            <w:tcW w:w="709" w:type="dxa"/>
            <w:vAlign w:val="center"/>
          </w:tcPr>
          <w:p w14:paraId="1759F65E" w14:textId="6C3552C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4D3F26" w14:textId="7DF4C8F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Herbatka owocowo ziołowa aromatyzowana o smaku maliny i żurawiny, w składzie: hibiskus, malina 40%, liść jeżyny, żurawina 5%, aromaty, korzeń lukrecji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C8E30" w14:textId="68C7B0C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x 2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AB2B" w14:textId="3085AA1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E6166" w14:textId="7EB880E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5DDDE76" w14:textId="77777777" w:rsidTr="008667C5">
        <w:trPr>
          <w:cantSplit/>
        </w:trPr>
        <w:tc>
          <w:tcPr>
            <w:tcW w:w="709" w:type="dxa"/>
            <w:vAlign w:val="center"/>
          </w:tcPr>
          <w:p w14:paraId="5340E328" w14:textId="2DD3C5E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B5756C9" w14:textId="40A48EC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Herbatniki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95461" w14:textId="2206F23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F4B7" w14:textId="6F2E7C4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6E467" w14:textId="75F50CB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BDB0D24" w14:textId="77777777" w:rsidTr="008667C5">
        <w:trPr>
          <w:cantSplit/>
        </w:trPr>
        <w:tc>
          <w:tcPr>
            <w:tcW w:w="709" w:type="dxa"/>
            <w:vAlign w:val="center"/>
          </w:tcPr>
          <w:p w14:paraId="0BBD6C72" w14:textId="268347FE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F60BDB" w14:textId="10AE8A8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Kakao gorzkie extra ciemne, składniki: kakao o obniżonej 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awartości tłuszczu (zaw.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tłuszczu kakaowego 10-12%)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1C47A" w14:textId="3F9D666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2FCC" w14:textId="174D90D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576C7" w14:textId="2067E48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E3CE86A" w14:textId="77777777" w:rsidTr="008667C5">
        <w:trPr>
          <w:cantSplit/>
        </w:trPr>
        <w:tc>
          <w:tcPr>
            <w:tcW w:w="709" w:type="dxa"/>
            <w:vAlign w:val="center"/>
          </w:tcPr>
          <w:p w14:paraId="1640FB8A" w14:textId="35F747B5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FEA24A" w14:textId="182C32B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Kasza jęczmienna wiejska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4E3D3" w14:textId="3766197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E18E" w14:textId="1084AAE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DDE7F" w14:textId="1D0F793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FCEAA3A" w14:textId="77777777" w:rsidTr="0058130E">
        <w:trPr>
          <w:cantSplit/>
        </w:trPr>
        <w:tc>
          <w:tcPr>
            <w:tcW w:w="709" w:type="dxa"/>
            <w:vAlign w:val="center"/>
          </w:tcPr>
          <w:p w14:paraId="6DBD999C" w14:textId="35528D4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DBADF66" w14:textId="0AB9FBB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Kasza manna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90AEC" w14:textId="7A66C0E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C26C" w14:textId="375D65D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37609" w14:textId="6B363D9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FDCAAB4" w14:textId="77777777" w:rsidTr="0058130E">
        <w:trPr>
          <w:cantSplit/>
        </w:trPr>
        <w:tc>
          <w:tcPr>
            <w:tcW w:w="709" w:type="dxa"/>
            <w:vAlign w:val="center"/>
          </w:tcPr>
          <w:p w14:paraId="51DA593F" w14:textId="4765509F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9EB29C" w14:textId="58AB303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Kawa zbożowa, rozpuszczalna składniki: zboża 78%( jęczmień, żyto), cykoria bez dodatku cukru, może zawierać naturalnie występujące cukry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6D3A7" w14:textId="5A9B623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2845D" w14:textId="3376375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C9D55" w14:textId="264A127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DDCB40A" w14:textId="77777777" w:rsidTr="0058130E">
        <w:trPr>
          <w:cantSplit/>
        </w:trPr>
        <w:tc>
          <w:tcPr>
            <w:tcW w:w="709" w:type="dxa"/>
            <w:vAlign w:val="center"/>
          </w:tcPr>
          <w:p w14:paraId="4D3B73F2" w14:textId="17CB1907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DBD9F6" w14:textId="4170579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Ketchup łagodny dla dzieci, bez konserwantów, zagęstników,  polepszaczy, zawartość pomidorów 185g na 100g produktu gotowego. Bez dodatku chemicznych substancji dodatkowych do żywności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(głównie substancji konserwujących, regulatorów kwasowości),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Bez dodatku skrobi modyfikowanej, octu spirytusowego, sztucznych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br/>
              <w:t>Aromatów i barwników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5A469" w14:textId="135A7F8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1154E" w14:textId="73DB3E0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B1DEA" w14:textId="2DCCE22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89E7AE7" w14:textId="77777777" w:rsidTr="0058130E">
        <w:trPr>
          <w:cantSplit/>
        </w:trPr>
        <w:tc>
          <w:tcPr>
            <w:tcW w:w="709" w:type="dxa"/>
            <w:vAlign w:val="center"/>
          </w:tcPr>
          <w:p w14:paraId="1EEE4AF3" w14:textId="73A7B75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BDFDA8" w14:textId="65416F7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Kminek mielony, zioła wysokiej jakości, system utrzymania aromatu, specjalne wielowarstwowe szczelne opakowania.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8E468" w14:textId="2140783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F4379" w14:textId="418C5D3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C3CB1" w14:textId="71DA8F7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2B89E99" w14:textId="77777777" w:rsidTr="0058130E">
        <w:trPr>
          <w:cantSplit/>
        </w:trPr>
        <w:tc>
          <w:tcPr>
            <w:tcW w:w="709" w:type="dxa"/>
            <w:vAlign w:val="center"/>
          </w:tcPr>
          <w:p w14:paraId="26F66CD4" w14:textId="280A3276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B9D2FC" w14:textId="01FB215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Kokos wiórki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002D0" w14:textId="5DF27BE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8A34D" w14:textId="1F16B57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DB497" w14:textId="4E6190D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506278F" w14:textId="77777777" w:rsidTr="0058130E">
        <w:trPr>
          <w:cantSplit/>
        </w:trPr>
        <w:tc>
          <w:tcPr>
            <w:tcW w:w="709" w:type="dxa"/>
            <w:vAlign w:val="center"/>
          </w:tcPr>
          <w:p w14:paraId="32F047C3" w14:textId="5A4C69C8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FDE04D" w14:textId="44CE406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Koncentrat pomidorowy 30% , w słoiku, pasteryzowany. Bez sztucznych barwników i konserwantów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2C95C" w14:textId="4518633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38AAA" w14:textId="0F206BB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B7718" w14:textId="7ED7E93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BDE0CEA" w14:textId="77777777" w:rsidTr="0058130E">
        <w:trPr>
          <w:cantSplit/>
        </w:trPr>
        <w:tc>
          <w:tcPr>
            <w:tcW w:w="709" w:type="dxa"/>
            <w:vAlign w:val="center"/>
          </w:tcPr>
          <w:p w14:paraId="49C1D478" w14:textId="0ACDA99E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C00ED25" w14:textId="089727C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Krem czekoladowo - orzechowy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65DFD" w14:textId="49CAA3D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7992" w14:textId="3F67F9D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49487" w14:textId="6BE70EE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D0765D7" w14:textId="77777777" w:rsidTr="008667C5">
        <w:trPr>
          <w:cantSplit/>
        </w:trPr>
        <w:tc>
          <w:tcPr>
            <w:tcW w:w="709" w:type="dxa"/>
            <w:vAlign w:val="center"/>
          </w:tcPr>
          <w:p w14:paraId="21BCCD4C" w14:textId="1AFFBEDE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1CA3F0" w14:textId="2EFE6FA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Kukurydza konserwowa w puszce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A2B64" w14:textId="268A2C0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892C" w14:textId="7E09C96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E41C3" w14:textId="2A5B5DE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362743E" w14:textId="77777777" w:rsidTr="008667C5">
        <w:trPr>
          <w:cantSplit/>
        </w:trPr>
        <w:tc>
          <w:tcPr>
            <w:tcW w:w="709" w:type="dxa"/>
            <w:vAlign w:val="center"/>
          </w:tcPr>
          <w:p w14:paraId="7D682321" w14:textId="7EC5EEF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189DBB" w14:textId="4368662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7C26A" w14:textId="74C8E87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07D1" w14:textId="0242F82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B650" w14:textId="4BB8922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122A02B" w14:textId="77777777" w:rsidTr="008667C5">
        <w:trPr>
          <w:cantSplit/>
        </w:trPr>
        <w:tc>
          <w:tcPr>
            <w:tcW w:w="709" w:type="dxa"/>
            <w:vAlign w:val="center"/>
          </w:tcPr>
          <w:p w14:paraId="3A4053D4" w14:textId="45AD2C4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DCC2A2" w14:textId="7FC7597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Liść laurowy, zioła wysokiej jakości, system utrzymania aromatu, specjalne wielowarstwowe szczelne opakowania,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399CB" w14:textId="0CCAC33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FCB87" w14:textId="5229A94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FB829" w14:textId="2B5F7B7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A07ED7A" w14:textId="77777777" w:rsidTr="008667C5">
        <w:trPr>
          <w:cantSplit/>
        </w:trPr>
        <w:tc>
          <w:tcPr>
            <w:tcW w:w="709" w:type="dxa"/>
            <w:vAlign w:val="center"/>
          </w:tcPr>
          <w:p w14:paraId="71866686" w14:textId="019B6BD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C18073C" w14:textId="5E52D2D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lubczyk liście suszone zioła wysokiej jakości, system utrzymania aromatu, specjalne wielowarstwowe szczelne opakowania.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A59A5" w14:textId="11F84D1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DE867" w14:textId="51877E5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9B2FA" w14:textId="31D6CAC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ADEE698" w14:textId="77777777" w:rsidTr="008667C5">
        <w:trPr>
          <w:cantSplit/>
        </w:trPr>
        <w:tc>
          <w:tcPr>
            <w:tcW w:w="709" w:type="dxa"/>
            <w:vAlign w:val="center"/>
          </w:tcPr>
          <w:p w14:paraId="12C2476E" w14:textId="40D0765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3AFB43" w14:textId="3A037E7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Majeranek, suszony, otarty, zioła wysokiej jakości, system utrzymania aromatu, specjalne wielowarstwowe szczelne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60AEF" w14:textId="2FB7D4B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E6B9C" w14:textId="3447255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31206" w14:textId="13CFEF4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467640E" w14:textId="77777777" w:rsidTr="008667C5">
        <w:trPr>
          <w:cantSplit/>
        </w:trPr>
        <w:tc>
          <w:tcPr>
            <w:tcW w:w="709" w:type="dxa"/>
            <w:vAlign w:val="center"/>
          </w:tcPr>
          <w:p w14:paraId="2E49A3B0" w14:textId="5EF62F0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196E9A" w14:textId="4A4300F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Majonez, słoik,  70% tłuszczu, bez konserwantów. Bez dodatku chemicznych substancji dodatkowych do żywności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(głównie regulatorów kwasowości, przeciwutleniaczy) i octu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br/>
              <w:t>spirytusowego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4F7B8" w14:textId="4254141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310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0054A" w14:textId="53BDCEF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7D19B" w14:textId="062DC14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41AE5C4" w14:textId="77777777" w:rsidTr="008667C5">
        <w:trPr>
          <w:cantSplit/>
        </w:trPr>
        <w:tc>
          <w:tcPr>
            <w:tcW w:w="709" w:type="dxa"/>
            <w:vAlign w:val="center"/>
          </w:tcPr>
          <w:p w14:paraId="6AA707F2" w14:textId="16CFB067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8CDC5" w14:textId="25848E9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alfabet,  gwiazdki składniki: kasza pszenna makaronowa,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)jaja 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na kilogram mąki, woda, przyprawa 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AC5E7" w14:textId="09031BC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 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DF66" w14:textId="2EE732B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51389" w14:textId="5788B0E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C45E5F5" w14:textId="77777777" w:rsidTr="008667C5">
        <w:trPr>
          <w:cantSplit/>
        </w:trPr>
        <w:tc>
          <w:tcPr>
            <w:tcW w:w="709" w:type="dxa"/>
            <w:vAlign w:val="center"/>
          </w:tcPr>
          <w:p w14:paraId="14FDC7E0" w14:textId="564056C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6E9AAF9" w14:textId="7823F3E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krajanka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pięciojajajeczny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, składniki: kasza pszenna makaronowa,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 jaja 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na kilogram mąki, woda, przyprawa 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1010D" w14:textId="0D4ED8E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2D76" w14:textId="3449AC1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6C442" w14:textId="007D8F8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8EDB21C" w14:textId="77777777" w:rsidTr="008667C5">
        <w:trPr>
          <w:cantSplit/>
        </w:trPr>
        <w:tc>
          <w:tcPr>
            <w:tcW w:w="709" w:type="dxa"/>
            <w:vAlign w:val="center"/>
          </w:tcPr>
          <w:p w14:paraId="717B5EB0" w14:textId="251D25E3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C8B76" w14:textId="259B178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łazanki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guadretti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,  składniki: kasza pszenna makaronowa,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jaja 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na kilogram mąki, woda, przyprawa 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EFBB8" w14:textId="23A5540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911E" w14:textId="4692515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B0C7B" w14:textId="0D29F68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3A4D817" w14:textId="77777777" w:rsidTr="008667C5">
        <w:trPr>
          <w:cantSplit/>
        </w:trPr>
        <w:tc>
          <w:tcPr>
            <w:tcW w:w="709" w:type="dxa"/>
            <w:vAlign w:val="center"/>
          </w:tcPr>
          <w:p w14:paraId="0F5A8952" w14:textId="5CFA82D7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52C93C" w14:textId="301308F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muszelki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Canhigliette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piccole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 składniki: kasza pszenna makaronowa,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jaja 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na kilogram mąki, woda, przyprawa 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ED059" w14:textId="51479BA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C018" w14:textId="515E84B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549CA" w14:textId="78636E1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27F3E6F" w14:textId="77777777" w:rsidTr="008667C5">
        <w:trPr>
          <w:cantSplit/>
        </w:trPr>
        <w:tc>
          <w:tcPr>
            <w:tcW w:w="709" w:type="dxa"/>
            <w:vAlign w:val="center"/>
          </w:tcPr>
          <w:p w14:paraId="22A2CB75" w14:textId="1FF03E9A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63FEF3" w14:textId="4736B44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nitka cienka  składniki: kasza pszenna makaronowa,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jaja 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na kilogram mąki, woda, przyprawa 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89A00" w14:textId="5EC9510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728" w14:textId="23483A3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2D541" w14:textId="3E45B0D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858687B" w14:textId="77777777" w:rsidTr="008667C5">
        <w:trPr>
          <w:cantSplit/>
        </w:trPr>
        <w:tc>
          <w:tcPr>
            <w:tcW w:w="709" w:type="dxa"/>
            <w:vAlign w:val="center"/>
          </w:tcPr>
          <w:p w14:paraId="243934D4" w14:textId="6AA8105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AC7E49" w14:textId="7E0F3FA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penne piórka,  składniki: Mąka pszenna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(100%)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5851F" w14:textId="4B4F03A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E7E" w14:textId="6AF030F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8C582" w14:textId="175CDCF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FDC56AF" w14:textId="77777777" w:rsidTr="0058130E">
        <w:trPr>
          <w:cantSplit/>
        </w:trPr>
        <w:tc>
          <w:tcPr>
            <w:tcW w:w="709" w:type="dxa"/>
            <w:vAlign w:val="center"/>
          </w:tcPr>
          <w:p w14:paraId="3AA406F1" w14:textId="4DBDB31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AB119C" w14:textId="64D73A2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ryżowy Składniki: Kaszka pszenna makaronowa,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), jaja 5 sztuk na kilogram mąki, woda, przyprawa kurkuma.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F6124" w14:textId="6C0FD12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E8941" w14:textId="234DE58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46105" w14:textId="65618DA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E8F2264" w14:textId="77777777" w:rsidTr="0058130E">
        <w:trPr>
          <w:cantSplit/>
        </w:trPr>
        <w:tc>
          <w:tcPr>
            <w:tcW w:w="709" w:type="dxa"/>
            <w:vAlign w:val="center"/>
          </w:tcPr>
          <w:p w14:paraId="4CCAD868" w14:textId="5969228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DCED78" w14:textId="149829C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Makaron świderki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elich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, muszelki, kolanka, wstęgi),  składniki: kasza pszenna makaronowa,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)jaja 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na kilogram mąki, woda, przyprawa 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EC658" w14:textId="74D2818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C0F30" w14:textId="39D5CBB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F6985" w14:textId="489AD33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7FAD43E" w14:textId="77777777" w:rsidTr="0058130E">
        <w:trPr>
          <w:cantSplit/>
        </w:trPr>
        <w:tc>
          <w:tcPr>
            <w:tcW w:w="709" w:type="dxa"/>
            <w:vAlign w:val="center"/>
          </w:tcPr>
          <w:p w14:paraId="2479F071" w14:textId="3B12ACDF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509E6D4" w14:textId="534245A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953AC" w14:textId="7A1157E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B9C50" w14:textId="6F979C1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8970F" w14:textId="5E1E316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027E742" w14:textId="77777777" w:rsidTr="0058130E">
        <w:trPr>
          <w:cantSplit/>
        </w:trPr>
        <w:tc>
          <w:tcPr>
            <w:tcW w:w="709" w:type="dxa"/>
            <w:vAlign w:val="center"/>
          </w:tcPr>
          <w:p w14:paraId="7B61D96A" w14:textId="4B2E0D6F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DEA07B" w14:textId="14DEB8C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marmolada wieloowocowa słoik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7AF5" w14:textId="3BE6B7D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CCE9D" w14:textId="6F82173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F2D0E" w14:textId="005A196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04B86DC" w14:textId="77777777" w:rsidTr="0058130E">
        <w:trPr>
          <w:cantSplit/>
        </w:trPr>
        <w:tc>
          <w:tcPr>
            <w:tcW w:w="709" w:type="dxa"/>
            <w:vAlign w:val="center"/>
          </w:tcPr>
          <w:p w14:paraId="7080E243" w14:textId="5C1ABC0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B750BAB" w14:textId="096893D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Mąka pszenna tortowa typ 450,500,650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D652D" w14:textId="43A3695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F692E" w14:textId="43B8AC4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2F10A" w14:textId="3525521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FFF179C" w14:textId="77777777" w:rsidTr="0058130E">
        <w:trPr>
          <w:cantSplit/>
        </w:trPr>
        <w:tc>
          <w:tcPr>
            <w:tcW w:w="709" w:type="dxa"/>
            <w:vAlign w:val="center"/>
          </w:tcPr>
          <w:p w14:paraId="080EBA16" w14:textId="7101E497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058E3F" w14:textId="5E2B778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Mąka ziemni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czana 100 % skrobi ziemni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czanej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EDFD4" w14:textId="5E15C63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D92CB" w14:textId="1CD3EA9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55A3A" w14:textId="5599562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F985927" w14:textId="77777777" w:rsidTr="0058130E">
        <w:trPr>
          <w:cantSplit/>
        </w:trPr>
        <w:tc>
          <w:tcPr>
            <w:tcW w:w="709" w:type="dxa"/>
            <w:vAlign w:val="center"/>
          </w:tcPr>
          <w:p w14:paraId="4479AD66" w14:textId="0B36FAF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FE0B42" w14:textId="4CC9FB8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Mieszanka przypraw do gyros , składniki: sól jodowana, cebula, papryka czosnek, oregano, cukier, pieprz, rozmaryn system utrzymania aromatu, specjalne wielowarstwowe szczelne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2975A" w14:textId="7D91393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53043" w14:textId="11F1870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948A3" w14:textId="0A3624A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6AB42BF" w14:textId="77777777" w:rsidTr="0058130E">
        <w:trPr>
          <w:cantSplit/>
        </w:trPr>
        <w:tc>
          <w:tcPr>
            <w:tcW w:w="709" w:type="dxa"/>
            <w:vAlign w:val="center"/>
          </w:tcPr>
          <w:p w14:paraId="584BD6E1" w14:textId="66FE93E3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7F484E" w14:textId="5CD7901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migdały płatki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5DEFB" w14:textId="7AA0D42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82CC2" w14:textId="79BAB0E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9E5B1" w14:textId="5056E2A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2398441" w14:textId="77777777" w:rsidTr="0058130E">
        <w:trPr>
          <w:cantSplit/>
        </w:trPr>
        <w:tc>
          <w:tcPr>
            <w:tcW w:w="709" w:type="dxa"/>
            <w:vAlign w:val="center"/>
          </w:tcPr>
          <w:p w14:paraId="5AD2F739" w14:textId="1759679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A631940" w14:textId="1D1522F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Miód pszczeli wielokwiatowy, naturalny,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C9A64" w14:textId="2DE2AEB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EEFB" w14:textId="00817DC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BE860" w14:textId="634FD9E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79B9FC6" w14:textId="77777777" w:rsidTr="0058130E">
        <w:trPr>
          <w:cantSplit/>
        </w:trPr>
        <w:tc>
          <w:tcPr>
            <w:tcW w:w="709" w:type="dxa"/>
            <w:vAlign w:val="center"/>
          </w:tcPr>
          <w:p w14:paraId="4BA49B5B" w14:textId="0B11ED3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E8CF46" w14:textId="54CA006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mus owocowy 100% owoców, bez dodatku cukru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46267" w14:textId="36270C4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00F8B" w14:textId="3CBFC20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1005E" w14:textId="6D8BEDC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31E037C" w14:textId="77777777" w:rsidTr="0058130E">
        <w:trPr>
          <w:cantSplit/>
        </w:trPr>
        <w:tc>
          <w:tcPr>
            <w:tcW w:w="709" w:type="dxa"/>
            <w:vAlign w:val="center"/>
          </w:tcPr>
          <w:p w14:paraId="6B213BF2" w14:textId="34F9C96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505A5C7" w14:textId="2397AAA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Ocet balsamiczny, opakowanie szkło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5AEAA" w14:textId="5AC423D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A94D5" w14:textId="6A76DF1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CB0EE" w14:textId="14D8B30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FB9AE9B" w14:textId="77777777" w:rsidTr="0058130E">
        <w:trPr>
          <w:cantSplit/>
        </w:trPr>
        <w:tc>
          <w:tcPr>
            <w:tcW w:w="709" w:type="dxa"/>
            <w:vAlign w:val="center"/>
          </w:tcPr>
          <w:p w14:paraId="2754B80A" w14:textId="7895B53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253178" w14:textId="40C08E1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Ocet spirytusowy 10 %, butelka szklana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7C0A1" w14:textId="5E8CA33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5BA07" w14:textId="1E72EE0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E7AB5" w14:textId="5122859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5CB2508" w14:textId="77777777" w:rsidTr="0058130E">
        <w:trPr>
          <w:cantSplit/>
        </w:trPr>
        <w:tc>
          <w:tcPr>
            <w:tcW w:w="709" w:type="dxa"/>
            <w:vAlign w:val="center"/>
          </w:tcPr>
          <w:p w14:paraId="4F3D7245" w14:textId="4CEE91D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3559BCF" w14:textId="21C0B36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Olej rzepakowy z pierwszego tłoczenia na zimno, 100 % rafinowany, filtrowany na zimno, naturalne źródło kwasów omega3, witaminy E i K,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Olej roślinny rzepakowy z pierwszego tłoczenia o zawartości Kwasów jednonienasyconych powyżej 50% i wielonienasyconych poniżej 40%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70668" w14:textId="6C86515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D6BB7" w14:textId="7CC6C1B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A4490" w14:textId="2AED616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D22EAC2" w14:textId="77777777" w:rsidTr="008667C5">
        <w:trPr>
          <w:cantSplit/>
        </w:trPr>
        <w:tc>
          <w:tcPr>
            <w:tcW w:w="709" w:type="dxa"/>
            <w:vAlign w:val="center"/>
          </w:tcPr>
          <w:p w14:paraId="0D3AFB38" w14:textId="2BC10FAE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AC45775" w14:textId="6BF7930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Oregano zioła wysokiej jakości, system utrzymania aromatu, specjalne wielowarstwowe szczelne opakowania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B40" w14:textId="25FC57C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</w:t>
            </w:r>
            <w:r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057B" w14:textId="35675D4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A3AB8" w14:textId="0364F84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D0F792A" w14:textId="77777777" w:rsidTr="0058130E">
        <w:trPr>
          <w:cantSplit/>
        </w:trPr>
        <w:tc>
          <w:tcPr>
            <w:tcW w:w="709" w:type="dxa"/>
            <w:vAlign w:val="center"/>
          </w:tcPr>
          <w:p w14:paraId="54B71FEA" w14:textId="4AC593F7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503BF0" w14:textId="2728184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orzechy laskowe bez łupinek, pakowane hermetycznie, gatunek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81730" w14:textId="01F1C56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E84B3" w14:textId="4519B25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58F09" w14:textId="70224E4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F6F1A05" w14:textId="77777777" w:rsidTr="008667C5">
        <w:trPr>
          <w:cantSplit/>
        </w:trPr>
        <w:tc>
          <w:tcPr>
            <w:tcW w:w="709" w:type="dxa"/>
            <w:vAlign w:val="center"/>
          </w:tcPr>
          <w:p w14:paraId="471FA34E" w14:textId="108F8E5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C8BB2F" w14:textId="0D90608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orzechy nerkowca bez łupinek, pakowane hermetycznie, gatunek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1B75D" w14:textId="3CA590E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45AF4" w14:textId="7676787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21942" w14:textId="13D1624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E020AB1" w14:textId="77777777" w:rsidTr="008667C5">
        <w:trPr>
          <w:cantSplit/>
        </w:trPr>
        <w:tc>
          <w:tcPr>
            <w:tcW w:w="709" w:type="dxa"/>
            <w:vAlign w:val="center"/>
          </w:tcPr>
          <w:p w14:paraId="16D86E7B" w14:textId="0A5A9FC8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131C5C" w14:textId="0684482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orzechy włoskie bez łupinek, pakowane hermetycznie, gatunek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A753" w14:textId="29BD80D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F3F1" w14:textId="6F3F1B2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947C1" w14:textId="46F9528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C3FB82A" w14:textId="77777777" w:rsidTr="0058130E">
        <w:trPr>
          <w:cantSplit/>
        </w:trPr>
        <w:tc>
          <w:tcPr>
            <w:tcW w:w="709" w:type="dxa"/>
            <w:vAlign w:val="center"/>
          </w:tcPr>
          <w:p w14:paraId="4A9E300A" w14:textId="76FF610A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1A5CB45" w14:textId="417FFE3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Papryka mielona słodka, system utrzymania aromatu, specjalne wielowarstwowe szczelne opakowanie,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3F586" w14:textId="2D56775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EFF41" w14:textId="1C02CC9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337D4" w14:textId="51DCD83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8AE5C2A" w14:textId="77777777" w:rsidTr="0058130E">
        <w:trPr>
          <w:cantSplit/>
        </w:trPr>
        <w:tc>
          <w:tcPr>
            <w:tcW w:w="709" w:type="dxa"/>
            <w:vAlign w:val="center"/>
          </w:tcPr>
          <w:p w14:paraId="297F5EEB" w14:textId="36BB6C16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691C17" w14:textId="7529F0C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Passata pomidorowa szklana  butelka składniki: pomidory, bazylia, zioła prowansalskie, czosnek.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7531B" w14:textId="07A4DA3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754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C07DA" w14:textId="5A22DAF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61641" w14:textId="208CFAA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05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D9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8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8D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1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013AA39" w14:textId="77777777" w:rsidTr="0058130E">
        <w:trPr>
          <w:cantSplit/>
        </w:trPr>
        <w:tc>
          <w:tcPr>
            <w:tcW w:w="709" w:type="dxa"/>
            <w:vAlign w:val="center"/>
          </w:tcPr>
          <w:p w14:paraId="5B116A6B" w14:textId="3BB3FCC3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2C7917" w14:textId="41538C2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pestki dyni gatunek pierwszy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E489D" w14:textId="3E9B4B36" w:rsidR="005F611E" w:rsidRPr="00224DFE" w:rsidRDefault="0058130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r w:rsidR="005F611E"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8009" w14:textId="7EB4609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09A4E" w14:textId="030200B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A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02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7E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F4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41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4E2290B" w14:textId="77777777" w:rsidTr="0058130E">
        <w:trPr>
          <w:cantSplit/>
        </w:trPr>
        <w:tc>
          <w:tcPr>
            <w:tcW w:w="709" w:type="dxa"/>
            <w:vAlign w:val="center"/>
          </w:tcPr>
          <w:p w14:paraId="3857B372" w14:textId="181D009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78BF282" w14:textId="2163F99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Pieprz cytrynowy mielony, system utrzymania aromatu, specjalne wielowarstwowe szczelne opakowanie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333C0" w14:textId="2BB0BBC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53461" w14:textId="111375F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728CF" w14:textId="61122F6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02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3C1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1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93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8C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E282C5E" w14:textId="77777777" w:rsidTr="0058130E">
        <w:trPr>
          <w:cantSplit/>
        </w:trPr>
        <w:tc>
          <w:tcPr>
            <w:tcW w:w="709" w:type="dxa"/>
            <w:vAlign w:val="center"/>
          </w:tcPr>
          <w:p w14:paraId="1E6E85FC" w14:textId="31E25BA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16C70D" w14:textId="4CB413D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Pieprz czarny mielony, system utrzymania aromatu, specjalne wielowarstwowe szczelne opakowanie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F0189" w14:textId="2055E17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AA701" w14:textId="3EB6B10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5C114" w14:textId="31944CC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5C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4E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EA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B8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F1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25790F7" w14:textId="77777777" w:rsidTr="0058130E">
        <w:trPr>
          <w:cantSplit/>
        </w:trPr>
        <w:tc>
          <w:tcPr>
            <w:tcW w:w="709" w:type="dxa"/>
            <w:vAlign w:val="center"/>
          </w:tcPr>
          <w:p w14:paraId="71C1F10C" w14:textId="35592C3F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493AB1" w14:textId="75B300C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Płatki kukurydziane, śniadaniowe, , z obniżoną zawartością soli i cukru. Bez dodatku regulatorów kwasowości, skł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dniki mąka kukurydziana, ekstrakt słodowy  jęczmienny, barwniki : karoteny, karmel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D7057" w14:textId="71DEB44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BA3DA" w14:textId="0E06551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9D1E9" w14:textId="6903DE7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12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D2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B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C9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6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BC1E213" w14:textId="77777777" w:rsidTr="0058130E">
        <w:trPr>
          <w:cantSplit/>
        </w:trPr>
        <w:tc>
          <w:tcPr>
            <w:tcW w:w="709" w:type="dxa"/>
            <w:vAlign w:val="center"/>
          </w:tcPr>
          <w:p w14:paraId="7201CD38" w14:textId="3096C9E0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2ACE7C" w14:textId="75B3B2F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Płatki owsiane  błyskawiczne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04FAC" w14:textId="55E521B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D7784" w14:textId="0A319C4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ECA5C" w14:textId="581DA2C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93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62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1A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8A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5F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DC7D8A6" w14:textId="77777777" w:rsidTr="0058130E">
        <w:trPr>
          <w:cantSplit/>
        </w:trPr>
        <w:tc>
          <w:tcPr>
            <w:tcW w:w="709" w:type="dxa"/>
            <w:vAlign w:val="center"/>
          </w:tcPr>
          <w:p w14:paraId="21FEA2B6" w14:textId="74CF65D6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B4D684" w14:textId="3DDBADC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Płatki śniadaniowe kulki czekoladowe bez oleju palmowego i syropu glukozowego skład ( mąka pszenna pełnoziarnista, kukurydziana, ryżowa  pszenna, cukier, syrop z pszenicy i słodu jęcz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iennego , kakao ciemne, skrobia pszenna, olej słonecznikowy, witaminy, sól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65AD8" w14:textId="4D6F2A4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808F4" w14:textId="2B75C01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C557A" w14:textId="29B8091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52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A1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81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8E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49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0B37DFD" w14:textId="77777777" w:rsidTr="0058130E">
        <w:trPr>
          <w:cantSplit/>
        </w:trPr>
        <w:tc>
          <w:tcPr>
            <w:tcW w:w="709" w:type="dxa"/>
            <w:vAlign w:val="center"/>
          </w:tcPr>
          <w:p w14:paraId="0F14ED72" w14:textId="19F274E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0E5E710" w14:textId="5EE01CD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Płatki śniadaniowe miód kó</w:t>
            </w:r>
            <w:r>
              <w:rPr>
                <w:rFonts w:cstheme="minorHAnsi"/>
                <w:color w:val="000000"/>
                <w:sz w:val="20"/>
                <w:szCs w:val="20"/>
              </w:rPr>
              <w:t>ł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ka bez oleju palmowego i syropu glukozowego skład ( mąka pszenna pełnoziarnista, kukurydziana, ryżowa  pszenna, cukier, syrop z pszenicy i słodu jęcz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iennego miód, skrobia pszenna, olej słonecznikowy, witaminy, sól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E1093" w14:textId="7A46745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EC759" w14:textId="16BF08D6" w:rsidR="005F611E" w:rsidRPr="00224DFE" w:rsidRDefault="005710CD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26332" w14:textId="061A72B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20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16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29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B8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AC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F22B37A" w14:textId="77777777" w:rsidTr="0058130E">
        <w:trPr>
          <w:cantSplit/>
        </w:trPr>
        <w:tc>
          <w:tcPr>
            <w:tcW w:w="709" w:type="dxa"/>
            <w:vAlign w:val="center"/>
          </w:tcPr>
          <w:p w14:paraId="6961AF75" w14:textId="146E5264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951184" w14:textId="61B3172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Pomidory krojone w puszce, bez skórki, w gęstym soku pomidorowym, bez substancji konserwujących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DD203" w14:textId="777E77D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EADDC" w14:textId="3F12BC9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0928F" w14:textId="3F64FAD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64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C4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7E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0B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4C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FF48ABE" w14:textId="77777777" w:rsidTr="0058130E">
        <w:trPr>
          <w:cantSplit/>
        </w:trPr>
        <w:tc>
          <w:tcPr>
            <w:tcW w:w="709" w:type="dxa"/>
            <w:vAlign w:val="center"/>
          </w:tcPr>
          <w:p w14:paraId="717503D1" w14:textId="1D1F9DA5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1206FA6" w14:textId="741E62C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powidła  śliwkowe słoik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7FD8F" w14:textId="318A51A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290g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73103" w14:textId="66E574D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026AB" w14:textId="1256CD9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B2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02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FB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0B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C7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06B346C" w14:textId="77777777" w:rsidTr="0058130E">
        <w:trPr>
          <w:cantSplit/>
        </w:trPr>
        <w:tc>
          <w:tcPr>
            <w:tcW w:w="709" w:type="dxa"/>
            <w:vAlign w:val="center"/>
          </w:tcPr>
          <w:p w14:paraId="51A235E6" w14:textId="40ADF958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FA87D4" w14:textId="3FA5E7FD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9B099" w14:textId="50C1CB4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30g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8BC98" w14:textId="7ADF4682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7D2FB" w14:textId="51395D5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D72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EB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E5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C8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7C7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C425FD0" w14:textId="77777777" w:rsidTr="0058130E">
        <w:trPr>
          <w:cantSplit/>
        </w:trPr>
        <w:tc>
          <w:tcPr>
            <w:tcW w:w="709" w:type="dxa"/>
            <w:vAlign w:val="center"/>
          </w:tcPr>
          <w:p w14:paraId="1F57A36A" w14:textId="638BB50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24D814" w14:textId="759BB9E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Przyprawa do piernika, ciast i deserów - suszona mieszanka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przyprawowa, składniki : cukier, cynamon, goźd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iki, kakao o zmniejszonej zawartości tłuszczu, owoc kol</w:t>
            </w:r>
            <w:r>
              <w:rPr>
                <w:rFonts w:cstheme="minorHAnsi"/>
                <w:color w:val="000000"/>
                <w:sz w:val="20"/>
                <w:szCs w:val="20"/>
              </w:rPr>
              <w:t>en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dry, ziele angielskie,, gałka muszkatołowa system utrzymania aromatu, specjalne wielowarstwowe szczelne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21E15" w14:textId="755D269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8C28E" w14:textId="181A14C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88EB" w14:textId="4AD30E0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763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37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AA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18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70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B87A50E" w14:textId="77777777" w:rsidTr="0058130E">
        <w:trPr>
          <w:cantSplit/>
        </w:trPr>
        <w:tc>
          <w:tcPr>
            <w:tcW w:w="709" w:type="dxa"/>
            <w:vAlign w:val="center"/>
          </w:tcPr>
          <w:p w14:paraId="59B37711" w14:textId="5D5FA34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EBA18A" w14:textId="7925D73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Przyprawa do potraw w proszku, w składzie: Sól, warzywa suszone (15,5%): marchew, pasternak, ziemniak, cebula, natka pietruszki, korzeń selera, por, kapusta, korzeń pietruszki, pomidor, czosnek, papryka słodka; wzmacniacze smaku: glutaminian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monosodowy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, 5’-rybonukleotydy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disodowe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; cukier, skrobia, pieprz czarny, barwnik: ryboflawina.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10738" w14:textId="6801239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ED240" w14:textId="64675B2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4B21A" w14:textId="29D3962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8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A0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2C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92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FA4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76FACDA" w14:textId="77777777" w:rsidTr="0058130E">
        <w:trPr>
          <w:cantSplit/>
        </w:trPr>
        <w:tc>
          <w:tcPr>
            <w:tcW w:w="709" w:type="dxa"/>
            <w:vAlign w:val="center"/>
          </w:tcPr>
          <w:p w14:paraId="6B3CBA3B" w14:textId="0F1BF8DD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C1697D" w14:textId="3B3FF75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przyprawa w płynie, szklana butelka bez dozownika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8A438" w14:textId="5B87A87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0E0F2" w14:textId="67DB219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26D44" w14:textId="1C93718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33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69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B8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ED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DA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86E481B" w14:textId="77777777" w:rsidTr="0058130E">
        <w:trPr>
          <w:cantSplit/>
        </w:trPr>
        <w:tc>
          <w:tcPr>
            <w:tcW w:w="709" w:type="dxa"/>
            <w:vAlign w:val="center"/>
          </w:tcPr>
          <w:p w14:paraId="3A866670" w14:textId="74D2233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14B2EC" w14:textId="4A1E815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przyprawa warzywna do potraw (składniki: sól morska, warzywa suszone 32%- marchew pasternak, cebula, ziemniaki, seler, pomidory, papryka , natka pietruszki, cukier, lubczyk, pieprz czarny, kurkuma, czosnek, koper)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0F894" w14:textId="3DAD520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D0E5F" w14:textId="082C0A8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D2CB9" w14:textId="2703119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9B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2F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A8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ED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E8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36C1493" w14:textId="77777777" w:rsidTr="0058130E">
        <w:trPr>
          <w:cantSplit/>
        </w:trPr>
        <w:tc>
          <w:tcPr>
            <w:tcW w:w="709" w:type="dxa"/>
            <w:vAlign w:val="center"/>
          </w:tcPr>
          <w:p w14:paraId="5AE778BB" w14:textId="72934012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0F8DB9" w14:textId="65F2E24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Rodzynki sułtańskie, Bez dodatku chemicznych substancji dodatkowych do żywności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br/>
              <w:t>(głównie substancji konserwujących), bez dodatku olejów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CF2B5" w14:textId="781CCE8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7F75F" w14:textId="00E7849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9EDC0" w14:textId="3ACE347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AA5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1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F3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80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AD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7D0DEC7" w14:textId="77777777" w:rsidTr="008667C5">
        <w:trPr>
          <w:cantSplit/>
        </w:trPr>
        <w:tc>
          <w:tcPr>
            <w:tcW w:w="709" w:type="dxa"/>
            <w:vAlign w:val="center"/>
          </w:tcPr>
          <w:p w14:paraId="46350EA0" w14:textId="6D1DBA7E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7EF87D" w14:textId="5E8D292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długoziarnisty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, suchy, bez połamanych ziaren i mączki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FC54D" w14:textId="49096C9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1 kg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0F869" w14:textId="0C11D71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69B06" w14:textId="5F20784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EF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D6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3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E51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7F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DB0DB26" w14:textId="77777777" w:rsidTr="0058130E">
        <w:trPr>
          <w:cantSplit/>
        </w:trPr>
        <w:tc>
          <w:tcPr>
            <w:tcW w:w="709" w:type="dxa"/>
            <w:vAlign w:val="center"/>
          </w:tcPr>
          <w:p w14:paraId="1AA6E9FA" w14:textId="68F97D8F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6ACA94" w14:textId="27256AE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A506D" w14:textId="6B5D72C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C5C70" w14:textId="359D7B9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2EB76" w14:textId="4A9E728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F3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B0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D5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33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BC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6EA728E" w14:textId="77777777" w:rsidTr="0058130E">
        <w:trPr>
          <w:cantSplit/>
        </w:trPr>
        <w:tc>
          <w:tcPr>
            <w:tcW w:w="709" w:type="dxa"/>
            <w:vAlign w:val="center"/>
          </w:tcPr>
          <w:p w14:paraId="1D112928" w14:textId="2E0D0BC7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64974F" w14:textId="6CF0373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D78E1" w14:textId="29AD96C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33F02" w14:textId="72B6D21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4FF74" w14:textId="0EF4A681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2C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7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80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E24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3E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9596263" w14:textId="77777777" w:rsidTr="0058130E">
        <w:trPr>
          <w:cantSplit/>
        </w:trPr>
        <w:tc>
          <w:tcPr>
            <w:tcW w:w="709" w:type="dxa"/>
            <w:vAlign w:val="center"/>
          </w:tcPr>
          <w:p w14:paraId="0658B484" w14:textId="6C9FBA98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11ED72" w14:textId="6F4325B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sok jabłkowy 100% o ma</w:t>
            </w:r>
            <w:r>
              <w:rPr>
                <w:rFonts w:cstheme="minorHAnsi"/>
                <w:color w:val="000000"/>
                <w:sz w:val="20"/>
                <w:szCs w:val="20"/>
              </w:rPr>
              <w:t>ksy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malnej ilości cukr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10 g na 100 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ED874" w14:textId="2E8F31EB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289CC" w14:textId="715E1E4A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D1EAA" w14:textId="641B6B3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8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55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6D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1B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D4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E50CD21" w14:textId="77777777" w:rsidTr="0058130E">
        <w:trPr>
          <w:cantSplit/>
        </w:trPr>
        <w:tc>
          <w:tcPr>
            <w:tcW w:w="709" w:type="dxa"/>
            <w:vAlign w:val="center"/>
          </w:tcPr>
          <w:p w14:paraId="061E858A" w14:textId="1E5098A1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F5BC6C" w14:textId="36EF6DB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sok jabłkowy 100% o ma</w:t>
            </w:r>
            <w:r>
              <w:rPr>
                <w:rFonts w:cstheme="minorHAnsi"/>
                <w:color w:val="000000"/>
                <w:sz w:val="20"/>
                <w:szCs w:val="20"/>
              </w:rPr>
              <w:t>ksy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malnej ilości cukr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10 g na 100 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A6B66" w14:textId="511D8E2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0,2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72509" w14:textId="025AFE0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4A336" w14:textId="295D8006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96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C2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DB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52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00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86ACACF" w14:textId="77777777" w:rsidTr="0058130E">
        <w:trPr>
          <w:cantSplit/>
        </w:trPr>
        <w:tc>
          <w:tcPr>
            <w:tcW w:w="709" w:type="dxa"/>
            <w:vAlign w:val="center"/>
          </w:tcPr>
          <w:p w14:paraId="6DA1D772" w14:textId="348A447B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D333D6" w14:textId="7AF1976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sok marchewkowo, jabłkowo , bananowy 100% o o</w:t>
            </w: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ni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onej zawartości cukru ma</w:t>
            </w:r>
            <w:r>
              <w:rPr>
                <w:rFonts w:cstheme="minorHAnsi"/>
                <w:color w:val="000000"/>
                <w:sz w:val="20"/>
                <w:szCs w:val="20"/>
              </w:rPr>
              <w:t>ksymalnie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10 g na 100 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8A096" w14:textId="67B4115F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0,33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58078" w14:textId="08B2DC6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E5D99" w14:textId="7DB143A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6E7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A1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4D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9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D7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1DACAB8" w14:textId="77777777" w:rsidTr="0058130E">
        <w:trPr>
          <w:cantSplit/>
        </w:trPr>
        <w:tc>
          <w:tcPr>
            <w:tcW w:w="709" w:type="dxa"/>
            <w:vAlign w:val="center"/>
          </w:tcPr>
          <w:p w14:paraId="280D1CC9" w14:textId="7FE9F0AC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1616C6" w14:textId="7FB35BFC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sok pomara</w:t>
            </w:r>
            <w:r>
              <w:rPr>
                <w:rFonts w:cstheme="minorHAnsi"/>
                <w:color w:val="000000"/>
                <w:sz w:val="20"/>
                <w:szCs w:val="20"/>
              </w:rPr>
              <w:t>ń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czowy 100% o </w:t>
            </w:r>
            <w:r w:rsidRPr="00FA228D">
              <w:rPr>
                <w:rFonts w:cstheme="minorHAnsi"/>
                <w:color w:val="000000"/>
                <w:sz w:val="20"/>
                <w:szCs w:val="20"/>
              </w:rPr>
              <w:t>maksymalnej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ilości cukry 10 g na 100 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475E8" w14:textId="172691BE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C2629" w14:textId="69AD03C9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0EDC6" w14:textId="4C63143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0F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24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4B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9E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0C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96D1989" w14:textId="77777777" w:rsidTr="0058130E">
        <w:trPr>
          <w:cantSplit/>
        </w:trPr>
        <w:tc>
          <w:tcPr>
            <w:tcW w:w="709" w:type="dxa"/>
            <w:vAlign w:val="center"/>
          </w:tcPr>
          <w:p w14:paraId="4BC0D37B" w14:textId="456631A5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7DFD29" w14:textId="7698C813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sok pomarańczowy 100% o </w:t>
            </w:r>
            <w:r w:rsidRPr="00FA228D">
              <w:rPr>
                <w:rFonts w:cstheme="minorHAnsi"/>
                <w:color w:val="000000"/>
                <w:sz w:val="20"/>
                <w:szCs w:val="20"/>
              </w:rPr>
              <w:t>maksymalnej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ilości cukry 10 g na 100 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5E1D0" w14:textId="69BA3098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0,2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4D32F" w14:textId="0B94467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69E20" w14:textId="3CEE9E0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E24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D0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F7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5D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32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59CB641" w14:textId="77777777" w:rsidTr="0058130E">
        <w:trPr>
          <w:cantSplit/>
        </w:trPr>
        <w:tc>
          <w:tcPr>
            <w:tcW w:w="709" w:type="dxa"/>
            <w:vAlign w:val="center"/>
          </w:tcPr>
          <w:p w14:paraId="58DF8FF5" w14:textId="71A36935" w:rsidR="005F611E" w:rsidRPr="00625C51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28AF7" w14:textId="3A1997C5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Sos pomidorowy typu spaghetti, słoik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9DADA" w14:textId="6FDCD190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DD515" w14:textId="5F16D314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45215" w14:textId="399BBEE7" w:rsidR="005F611E" w:rsidRPr="00224D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61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81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70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1D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62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34C318C" w14:textId="77777777" w:rsidTr="0058130E">
        <w:trPr>
          <w:cantSplit/>
        </w:trPr>
        <w:tc>
          <w:tcPr>
            <w:tcW w:w="709" w:type="dxa"/>
            <w:vAlign w:val="center"/>
          </w:tcPr>
          <w:p w14:paraId="57DB7724" w14:textId="1BD8DCC2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9768D40" w14:textId="009A61E7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Sos sojowy ciemny - SOJA 35%, woda, sól, barwnik: E 150a, mąka PSZENNA, substancja zagęszczająca: guma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ksantanowa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, bez dodatku glutaminianu </w:t>
            </w:r>
            <w:proofErr w:type="spellStart"/>
            <w:r w:rsidRPr="00163C6E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  <w:r w:rsidRPr="00163C6E">
              <w:rPr>
                <w:rFonts w:cstheme="minorHAnsi"/>
                <w:color w:val="000000"/>
                <w:sz w:val="20"/>
                <w:szCs w:val="20"/>
              </w:rPr>
              <w:t>. Opakowanie - Szkło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59CAD" w14:textId="51178208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87D2C" w14:textId="092A62AF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70994" w14:textId="59FC0FA7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1B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F2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424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02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F1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6D47020" w14:textId="77777777" w:rsidTr="0058130E">
        <w:trPr>
          <w:cantSplit/>
        </w:trPr>
        <w:tc>
          <w:tcPr>
            <w:tcW w:w="709" w:type="dxa"/>
            <w:vAlign w:val="center"/>
          </w:tcPr>
          <w:p w14:paraId="2D659871" w14:textId="5122F842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D96040A" w14:textId="07486674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Sól morska jodowana,  gruboz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arnista, w składzie: Sól morska, jodan potasu, substancja przeciwzbrylająca: E535, opakowanie PET.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5B711" w14:textId="3048023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CF34D" w14:textId="3500EAA1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E88A5" w14:textId="50DF6512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A3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9C0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3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D24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A3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50244BF3" w14:textId="77777777" w:rsidTr="0058130E">
        <w:trPr>
          <w:cantSplit/>
        </w:trPr>
        <w:tc>
          <w:tcPr>
            <w:tcW w:w="709" w:type="dxa"/>
            <w:vAlign w:val="center"/>
          </w:tcPr>
          <w:p w14:paraId="4B32F249" w14:textId="17D49E20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85BD6C" w14:textId="09EA5C99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Syrop malinowy, szklana butelka z dozownikiem, mo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liwoś</w:t>
            </w:r>
            <w:r>
              <w:rPr>
                <w:rFonts w:cstheme="minorHAnsi"/>
                <w:color w:val="000000"/>
                <w:sz w:val="20"/>
                <w:szCs w:val="20"/>
              </w:rPr>
              <w:t>ć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 ponownego zamknięcia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0DAE9" w14:textId="35BD7423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420ml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EE17" w14:textId="3B16775D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CD334" w14:textId="315C7DFD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4C7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54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49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05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A90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FFFBCFD" w14:textId="77777777" w:rsidTr="0058130E">
        <w:trPr>
          <w:cantSplit/>
        </w:trPr>
        <w:tc>
          <w:tcPr>
            <w:tcW w:w="709" w:type="dxa"/>
            <w:vAlign w:val="center"/>
          </w:tcPr>
          <w:p w14:paraId="41CCCB99" w14:textId="68F531AF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AB7184" w14:textId="4F7CB590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Tuńczyk w sosie własnym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EB2FE" w14:textId="1A7365D3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6C2D" w14:textId="5EBF6374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3D324" w14:textId="00FAC576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C8E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C1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7DB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E3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38E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0450B7B" w14:textId="77777777" w:rsidTr="0058130E">
        <w:trPr>
          <w:cantSplit/>
        </w:trPr>
        <w:tc>
          <w:tcPr>
            <w:tcW w:w="709" w:type="dxa"/>
            <w:vAlign w:val="center"/>
          </w:tcPr>
          <w:p w14:paraId="7E737909" w14:textId="54D26CE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F75A9D" w14:textId="5A4D50EB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Tuńczyk w oleju słonecznikowym w kawałkach, puszka. Składniki: ryba - tuńczyk, olej słonecznikowy , sól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BF4C0" w14:textId="49C4EB87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160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96108" w14:textId="01E76F89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C76B4" w14:textId="116B9A60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88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1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7E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23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61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733557E" w14:textId="77777777" w:rsidTr="0058130E">
        <w:trPr>
          <w:cantSplit/>
        </w:trPr>
        <w:tc>
          <w:tcPr>
            <w:tcW w:w="709" w:type="dxa"/>
            <w:vAlign w:val="center"/>
          </w:tcPr>
          <w:p w14:paraId="69C208A2" w14:textId="133EFF64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D210A2" w14:textId="7DEA5049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Tymianek, zioła wysokiej jakości, system utrzymania aromatu, specjalne wielowarstwowe szczelne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4F244" w14:textId="0A2A6EE4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EE542" w14:textId="526E10ED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DE48C" w14:textId="168B622D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CB50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0F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1E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1CC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A4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40256CF" w14:textId="77777777" w:rsidTr="0058130E">
        <w:trPr>
          <w:cantSplit/>
        </w:trPr>
        <w:tc>
          <w:tcPr>
            <w:tcW w:w="709" w:type="dxa"/>
            <w:vAlign w:val="center"/>
          </w:tcPr>
          <w:p w14:paraId="2DDED8A1" w14:textId="6D047097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296BE2" w14:textId="39C2C98B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wafelki nadziewane bez czekolady mleczne</w:t>
            </w:r>
            <w:r w:rsidR="005710CD"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,  w składzie: nugat ,orzechy laskowe, mleko, orzeszki ziemne m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ka pszenna, skrobia w proszku, kakao w proszku o obniżonej zawartości tłuszczu ,  tłuszcz mleczny, skrobia ziemniaczana, olej rzepakowy, o obni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onej zawartości cukru 10g na 100 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C9D50" w14:textId="6ADFA423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BC23B" w14:textId="07E9D089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725CF" w14:textId="6A2EA022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78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02D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52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2E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8A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9D94C04" w14:textId="77777777" w:rsidTr="008667C5">
        <w:trPr>
          <w:cantSplit/>
        </w:trPr>
        <w:tc>
          <w:tcPr>
            <w:tcW w:w="709" w:type="dxa"/>
            <w:vAlign w:val="center"/>
          </w:tcPr>
          <w:p w14:paraId="7F289D0D" w14:textId="477F2CD7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1DFF85" w14:textId="49E3DE10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wafelki w czekoladzie mlecznej w składzie m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ka pszenna, olej palmowy, miazga kakaowa, skrobia w proszku, kakao w proszku o obniżonej zawartości tłuszczu , tłuszcz kakaowy, tłuszcz mleczny, skrobia ziemniaczana, olej rzepakowy, o obni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onej zawartości cukru 10g na 100 g produktu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07EA4" w14:textId="11AE424E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17,5g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70D94" w14:textId="56AAB8B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0C2DB" w14:textId="6442C3A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81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E4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CB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274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FB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CDBFFF8" w14:textId="77777777" w:rsidTr="008667C5">
        <w:trPr>
          <w:cantSplit/>
        </w:trPr>
        <w:tc>
          <w:tcPr>
            <w:tcW w:w="709" w:type="dxa"/>
            <w:vAlign w:val="center"/>
          </w:tcPr>
          <w:p w14:paraId="0ACD8746" w14:textId="2CE9C7E4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CB4CD8" w14:textId="2C250ED1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wafle kukurydziane cienkie Składniki: Kukurydza 89,4% (grys kukurydziany, ziarno kukurydzy), ryż biały, sól himalajska.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FA7B9" w14:textId="7F8FC7A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25952" w14:textId="73F8AE3C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74F4" w14:textId="2B0DBCDC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07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DBB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4C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A1D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9B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59AD062" w14:textId="77777777" w:rsidTr="0058130E">
        <w:trPr>
          <w:cantSplit/>
        </w:trPr>
        <w:tc>
          <w:tcPr>
            <w:tcW w:w="709" w:type="dxa"/>
            <w:vAlign w:val="center"/>
          </w:tcPr>
          <w:p w14:paraId="56D6752F" w14:textId="3DB28DA0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5A6F6D" w14:textId="7AC05229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Wafle misie do deserów i lodów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1A342" w14:textId="50DFE85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0DBCB" w14:textId="44C7C5B5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CB2CA" w14:textId="5DADB4A0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A7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80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26F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5C8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D0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AECB290" w14:textId="77777777" w:rsidTr="0058130E">
        <w:trPr>
          <w:cantSplit/>
        </w:trPr>
        <w:tc>
          <w:tcPr>
            <w:tcW w:w="709" w:type="dxa"/>
            <w:vAlign w:val="center"/>
          </w:tcPr>
          <w:p w14:paraId="24023937" w14:textId="57DE3545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59B3F3" w14:textId="08445839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wafle ryżowe  grube Składniki: Ryż brązowy, słonecznik 5%, sól. Produkt może zawierać sezam.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910E7" w14:textId="3310C137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A140E" w14:textId="05355862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04862" w14:textId="26D69132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C40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DB9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05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72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66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71616307" w14:textId="77777777" w:rsidTr="0058130E">
        <w:trPr>
          <w:cantSplit/>
        </w:trPr>
        <w:tc>
          <w:tcPr>
            <w:tcW w:w="709" w:type="dxa"/>
            <w:vAlign w:val="center"/>
          </w:tcPr>
          <w:p w14:paraId="31A3565B" w14:textId="5D22448F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34AD09" w14:textId="0B8A5A1C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woda mineralna niegazowana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F1328" w14:textId="4D50C1DB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18,9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E93B1" w14:textId="1289D349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49C94" w14:textId="2F77BBA4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B3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A3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C2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580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E7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08ADE25D" w14:textId="77777777" w:rsidTr="0058130E">
        <w:trPr>
          <w:cantSplit/>
        </w:trPr>
        <w:tc>
          <w:tcPr>
            <w:tcW w:w="709" w:type="dxa"/>
            <w:vAlign w:val="center"/>
          </w:tcPr>
          <w:p w14:paraId="6017B559" w14:textId="663182B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951092" w14:textId="3167EF69" w:rsidR="005F611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Woda mineralna niegazowana, butelka plastikowa, mo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liwość ponownego zamknięcia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96078" w14:textId="095EA19F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6B49C" w14:textId="387D81A1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B966C" w14:textId="3501537C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73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C8A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D64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90CD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E6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4B3A6E67" w14:textId="77777777" w:rsidTr="0058130E">
        <w:trPr>
          <w:cantSplit/>
        </w:trPr>
        <w:tc>
          <w:tcPr>
            <w:tcW w:w="709" w:type="dxa"/>
            <w:vAlign w:val="center"/>
          </w:tcPr>
          <w:p w14:paraId="71E7BED4" w14:textId="0FE156E0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90BB55" w14:textId="0EEC839B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Woda niegazowana, butelka plastikowa, mo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liwość ponownego zamknięcia z dziubkiem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F9081" w14:textId="228196B2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0,5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7A2E6" w14:textId="607EE5C8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0F299" w14:textId="7F420F8E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B565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70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2E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D7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326E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A957E3B" w14:textId="77777777" w:rsidTr="0058130E">
        <w:trPr>
          <w:cantSplit/>
        </w:trPr>
        <w:tc>
          <w:tcPr>
            <w:tcW w:w="709" w:type="dxa"/>
            <w:vAlign w:val="center"/>
          </w:tcPr>
          <w:p w14:paraId="114DD3BA" w14:textId="6DD349CB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C049EE" w14:textId="245BBBFD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Zioła prowansalskie, zioła wysokiej jakości, system utrzymania aromatu, specjalne wielowarstwowe szczelne opakowanie PET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1149C" w14:textId="6E47A70F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0AD44" w14:textId="4DE0D599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3E8A3" w14:textId="456F1ED5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947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47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FCFF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8579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DB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22892854" w14:textId="77777777" w:rsidTr="0058130E">
        <w:trPr>
          <w:cantSplit/>
        </w:trPr>
        <w:tc>
          <w:tcPr>
            <w:tcW w:w="709" w:type="dxa"/>
            <w:vAlign w:val="center"/>
          </w:tcPr>
          <w:p w14:paraId="7A901D99" w14:textId="5327DE3A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CC77B0" w14:textId="52FE9976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żelatyna s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ożywcz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84D38" w14:textId="0C5213AB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70C41" w14:textId="43C94BC1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DC1DA" w14:textId="1C6C13A4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06E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8356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36A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E2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835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6FFE1B45" w14:textId="77777777" w:rsidTr="0058130E">
        <w:trPr>
          <w:cantSplit/>
        </w:trPr>
        <w:tc>
          <w:tcPr>
            <w:tcW w:w="709" w:type="dxa"/>
            <w:vAlign w:val="center"/>
          </w:tcPr>
          <w:p w14:paraId="2177ABC0" w14:textId="188F8543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704AE09" w14:textId="793A3CF6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Żur śląski zakwas  - butelka, w składzie tylko: mąka żytnia, świeży czosnek, sól, możliwość ponownego zamknięcia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54C1C" w14:textId="4A41A706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470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5BAE4" w14:textId="53B15C2F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FAC2C" w14:textId="562A4A18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AAD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CEC2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F23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9035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0776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8229D98" w14:textId="77777777" w:rsidTr="0058130E">
        <w:trPr>
          <w:cantSplit/>
        </w:trPr>
        <w:tc>
          <w:tcPr>
            <w:tcW w:w="709" w:type="dxa"/>
            <w:vAlign w:val="center"/>
          </w:tcPr>
          <w:p w14:paraId="465B4C6C" w14:textId="4617F49D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8FB0D7" w14:textId="2F695E73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Żurawina suszona pakowana hermetycznie, I gatunek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FE746" w14:textId="25EA6B29" w:rsidR="005F611E" w:rsidRPr="002403FE" w:rsidRDefault="005710CD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5F611E"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820A1" w14:textId="10F51DB9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87CCF" w14:textId="2681F53C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D24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3E8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F5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1E4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BA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0BFD0BC" w14:textId="77777777" w:rsidTr="0058130E">
        <w:trPr>
          <w:cantSplit/>
        </w:trPr>
        <w:tc>
          <w:tcPr>
            <w:tcW w:w="709" w:type="dxa"/>
            <w:vAlign w:val="center"/>
          </w:tcPr>
          <w:p w14:paraId="59A34EBC" w14:textId="6E5FAB36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9106CFE" w14:textId="62A9CD05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Korpusy deserowe słodkie, małe opakowanie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23F4A" w14:textId="272B2AEF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2CCC1" w14:textId="3E1ADECD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DDE8" w14:textId="27E23F5B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E64C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35B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5A6B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4FA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36F2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3FFF58F6" w14:textId="77777777" w:rsidTr="0058130E">
        <w:trPr>
          <w:cantSplit/>
        </w:trPr>
        <w:tc>
          <w:tcPr>
            <w:tcW w:w="709" w:type="dxa"/>
            <w:vAlign w:val="center"/>
          </w:tcPr>
          <w:p w14:paraId="5E2349BD" w14:textId="1C7E2F57" w:rsidR="005F611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D0D2FF" w14:textId="2DA55A94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Korpusy deserowe słodkie,  duże opakowanie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B335E" w14:textId="3B90B569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E4F80" w14:textId="398C4839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CBDBD" w14:textId="55BB8CB2" w:rsidR="005F611E" w:rsidRPr="002403FE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C623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1BAF" w14:textId="77777777" w:rsidR="005F611E" w:rsidRPr="00F82457" w:rsidRDefault="005F611E" w:rsidP="005F6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2DC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D67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F71" w14:textId="77777777" w:rsidR="005F611E" w:rsidRPr="00F82457" w:rsidRDefault="005F611E" w:rsidP="005F61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611E" w:rsidRPr="00F82457" w14:paraId="1567AB59" w14:textId="77777777" w:rsidTr="008667C5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F611E" w:rsidRPr="00F82457" w:rsidRDefault="005F611E" w:rsidP="005F61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F611E" w:rsidRPr="00F82457" w:rsidRDefault="005F611E" w:rsidP="005F61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F611E" w:rsidRPr="00F82457" w:rsidRDefault="005F611E" w:rsidP="005F61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F611E" w:rsidRPr="00F82457" w:rsidRDefault="005F611E" w:rsidP="005F61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6D5E4CC5" w14:textId="77777777" w:rsidR="005F611E" w:rsidRDefault="005F611E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249E70E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77777777" w:rsidR="00224DFE" w:rsidRPr="00F82457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288C8AF3" w:rsidR="007109AB" w:rsidRPr="00F82457" w:rsidRDefault="001645A3" w:rsidP="007B5EE6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58130E" w:rsidRDefault="0058130E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58130E" w:rsidRDefault="005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58130E" w:rsidRDefault="0058130E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8130E" w:rsidRDefault="00581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58130E" w:rsidRDefault="0058130E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58130E" w:rsidRDefault="005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754C6F4" w:rsidR="0058130E" w:rsidRPr="001645A3" w:rsidRDefault="0058130E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9440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710CD"/>
    <w:rsid w:val="0058130E"/>
    <w:rsid w:val="005875EB"/>
    <w:rsid w:val="005B6836"/>
    <w:rsid w:val="005D4DDE"/>
    <w:rsid w:val="005D52BD"/>
    <w:rsid w:val="005F3F93"/>
    <w:rsid w:val="005F611E"/>
    <w:rsid w:val="00625C51"/>
    <w:rsid w:val="00645460"/>
    <w:rsid w:val="006B2623"/>
    <w:rsid w:val="006C251C"/>
    <w:rsid w:val="006F41B4"/>
    <w:rsid w:val="00705C52"/>
    <w:rsid w:val="007109AB"/>
    <w:rsid w:val="007B5EE6"/>
    <w:rsid w:val="007F1FD7"/>
    <w:rsid w:val="00814753"/>
    <w:rsid w:val="008667C5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2744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11</cp:revision>
  <dcterms:created xsi:type="dcterms:W3CDTF">2024-06-21T11:33:00Z</dcterms:created>
  <dcterms:modified xsi:type="dcterms:W3CDTF">2024-07-03T08:40:00Z</dcterms:modified>
</cp:coreProperties>
</file>