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7801"/>
      </w:tblGrid>
      <w:tr w:rsidR="0043405F" w:rsidRPr="000E2B6C" w14:paraId="0B498848" w14:textId="77777777" w:rsidTr="0043405F">
        <w:trPr>
          <w:trHeight w:val="1000"/>
          <w:jc w:val="center"/>
        </w:trPr>
        <w:tc>
          <w:tcPr>
            <w:tcW w:w="10631" w:type="dxa"/>
            <w:gridSpan w:val="2"/>
            <w:vAlign w:val="center"/>
          </w:tcPr>
          <w:p w14:paraId="0FA282B2" w14:textId="77777777" w:rsidR="0043405F" w:rsidRPr="003A2EF9" w:rsidRDefault="0043405F" w:rsidP="0043405F">
            <w:pPr>
              <w:pStyle w:val="Nagwek1"/>
              <w:rPr>
                <w:rFonts w:ascii="Arial" w:hAnsi="Arial" w:cs="Arial"/>
                <w:sz w:val="20"/>
                <w:szCs w:val="20"/>
              </w:rPr>
            </w:pPr>
            <w:r w:rsidRPr="003A2EF9">
              <w:rPr>
                <w:rFonts w:ascii="Arial" w:hAnsi="Arial" w:cs="Arial"/>
                <w:sz w:val="20"/>
                <w:szCs w:val="20"/>
              </w:rPr>
              <w:t>Przedmiot zamówienia - wymagania Zamawiającego</w:t>
            </w:r>
          </w:p>
          <w:p w14:paraId="7B1C6487" w14:textId="216E7EFF" w:rsidR="0043405F" w:rsidRPr="00FB53C3" w:rsidRDefault="006529DC" w:rsidP="00FB53C3">
            <w:pPr>
              <w:spacing w:before="120" w:after="120"/>
              <w:jc w:val="center"/>
              <w:rPr>
                <w:rFonts w:ascii="Arial" w:hAnsi="Arial" w:cs="Arial"/>
                <w:b/>
                <w:sz w:val="20"/>
                <w:szCs w:val="20"/>
              </w:rPr>
            </w:pPr>
            <w:r>
              <w:rPr>
                <w:rFonts w:ascii="Arial" w:hAnsi="Arial" w:cs="Arial"/>
                <w:b/>
                <w:sz w:val="20"/>
                <w:szCs w:val="20"/>
              </w:rPr>
              <w:t>Serwer wizualizacji TSN</w:t>
            </w:r>
          </w:p>
        </w:tc>
      </w:tr>
      <w:tr w:rsidR="0043405F" w:rsidRPr="000E2B6C" w14:paraId="3546F0C1" w14:textId="77777777" w:rsidTr="0043405F">
        <w:tblPrEx>
          <w:jc w:val="left"/>
          <w:tblCellMar>
            <w:left w:w="108" w:type="dxa"/>
            <w:right w:w="108" w:type="dxa"/>
          </w:tblCellMar>
          <w:tblLook w:val="04A0" w:firstRow="1" w:lastRow="0" w:firstColumn="1" w:lastColumn="0" w:noHBand="0" w:noVBand="1"/>
        </w:tblPrEx>
        <w:trPr>
          <w:trHeight w:val="405"/>
        </w:trPr>
        <w:tc>
          <w:tcPr>
            <w:tcW w:w="2830" w:type="dxa"/>
            <w:shd w:val="clear" w:color="auto" w:fill="auto"/>
            <w:vAlign w:val="center"/>
          </w:tcPr>
          <w:p w14:paraId="1EFDE1BD" w14:textId="77777777" w:rsidR="0043405F" w:rsidRPr="000E2B6C" w:rsidRDefault="0043405F" w:rsidP="00F84C40">
            <w:pPr>
              <w:jc w:val="center"/>
              <w:rPr>
                <w:rFonts w:ascii="Calibri" w:hAnsi="Calibri" w:cs="Calibri"/>
                <w:b/>
                <w:sz w:val="20"/>
                <w:szCs w:val="20"/>
              </w:rPr>
            </w:pPr>
            <w:r w:rsidRPr="000E2B6C">
              <w:rPr>
                <w:rFonts w:ascii="Calibri" w:hAnsi="Calibri" w:cs="Calibri"/>
                <w:b/>
                <w:sz w:val="20"/>
                <w:szCs w:val="20"/>
              </w:rPr>
              <w:t>Nazwa komponentu</w:t>
            </w:r>
          </w:p>
        </w:tc>
        <w:tc>
          <w:tcPr>
            <w:tcW w:w="7801" w:type="dxa"/>
            <w:shd w:val="clear" w:color="auto" w:fill="auto"/>
            <w:vAlign w:val="center"/>
          </w:tcPr>
          <w:p w14:paraId="0CC9D040" w14:textId="77777777" w:rsidR="0043405F" w:rsidRPr="000E2B6C" w:rsidRDefault="0043405F" w:rsidP="00F84C40">
            <w:pPr>
              <w:jc w:val="center"/>
              <w:rPr>
                <w:rFonts w:ascii="Calibri" w:hAnsi="Calibri" w:cs="Calibri"/>
                <w:b/>
                <w:sz w:val="20"/>
                <w:szCs w:val="20"/>
              </w:rPr>
            </w:pPr>
            <w:r w:rsidRPr="000E2B6C">
              <w:rPr>
                <w:rFonts w:ascii="Calibri" w:hAnsi="Calibri" w:cs="Calibri"/>
                <w:b/>
                <w:sz w:val="20"/>
                <w:szCs w:val="20"/>
              </w:rPr>
              <w:t>Wymagane parametry techniczne komputerów</w:t>
            </w:r>
          </w:p>
        </w:tc>
      </w:tr>
      <w:tr w:rsidR="0043405F" w:rsidRPr="000E2B6C" w14:paraId="0462ECED" w14:textId="77777777" w:rsidTr="0043405F">
        <w:tblPrEx>
          <w:jc w:val="left"/>
          <w:tblCellMar>
            <w:left w:w="108" w:type="dxa"/>
            <w:right w:w="108" w:type="dxa"/>
          </w:tblCellMar>
          <w:tblLook w:val="04A0" w:firstRow="1" w:lastRow="0" w:firstColumn="1" w:lastColumn="0" w:noHBand="0" w:noVBand="1"/>
        </w:tblPrEx>
        <w:tc>
          <w:tcPr>
            <w:tcW w:w="2830" w:type="dxa"/>
            <w:shd w:val="clear" w:color="auto" w:fill="auto"/>
            <w:vAlign w:val="center"/>
          </w:tcPr>
          <w:p w14:paraId="7D8EFD38" w14:textId="77777777" w:rsidR="0043405F" w:rsidRPr="000E2B6C" w:rsidRDefault="0043405F" w:rsidP="00F84C40">
            <w:pPr>
              <w:jc w:val="center"/>
              <w:rPr>
                <w:rFonts w:ascii="Calibri" w:hAnsi="Calibri" w:cs="Calibri"/>
                <w:b/>
                <w:sz w:val="20"/>
                <w:szCs w:val="20"/>
              </w:rPr>
            </w:pPr>
            <w:r w:rsidRPr="000E2B6C">
              <w:rPr>
                <w:rFonts w:ascii="Calibri" w:hAnsi="Calibri" w:cs="Calibri"/>
                <w:b/>
                <w:sz w:val="20"/>
                <w:szCs w:val="20"/>
              </w:rPr>
              <w:t>Zastosowanie</w:t>
            </w:r>
          </w:p>
        </w:tc>
        <w:tc>
          <w:tcPr>
            <w:tcW w:w="7801" w:type="dxa"/>
            <w:shd w:val="clear" w:color="auto" w:fill="auto"/>
            <w:vAlign w:val="center"/>
          </w:tcPr>
          <w:p w14:paraId="719536C4" w14:textId="64288B77" w:rsidR="0043405F" w:rsidRPr="000E2B6C" w:rsidRDefault="006529DC" w:rsidP="00F84C40">
            <w:pPr>
              <w:jc w:val="both"/>
              <w:rPr>
                <w:rFonts w:ascii="Calibri" w:hAnsi="Calibri" w:cs="Calibri"/>
                <w:bCs/>
                <w:color w:val="000000" w:themeColor="text1"/>
                <w:sz w:val="20"/>
                <w:szCs w:val="20"/>
              </w:rPr>
            </w:pPr>
            <w:r>
              <w:rPr>
                <w:rFonts w:ascii="Calibri" w:hAnsi="Calibri" w:cs="Calibri"/>
                <w:bCs/>
                <w:color w:val="000000" w:themeColor="text1"/>
                <w:sz w:val="20"/>
                <w:szCs w:val="20"/>
              </w:rPr>
              <w:t>Serwer</w:t>
            </w:r>
            <w:r w:rsidR="0043405F" w:rsidRPr="000E2B6C">
              <w:rPr>
                <w:rFonts w:ascii="Calibri" w:hAnsi="Calibri" w:cs="Calibri"/>
                <w:bCs/>
                <w:color w:val="000000" w:themeColor="text1"/>
                <w:sz w:val="20"/>
                <w:szCs w:val="20"/>
              </w:rPr>
              <w:t xml:space="preserve"> będzie wykorzystywany </w:t>
            </w:r>
            <w:r>
              <w:rPr>
                <w:rFonts w:ascii="Calibri" w:hAnsi="Calibri" w:cs="Calibri"/>
                <w:bCs/>
                <w:color w:val="000000" w:themeColor="text1"/>
                <w:sz w:val="20"/>
                <w:szCs w:val="20"/>
              </w:rPr>
              <w:t>na</w:t>
            </w:r>
            <w:r w:rsidR="0043405F" w:rsidRPr="000E2B6C">
              <w:rPr>
                <w:rFonts w:ascii="Calibri" w:hAnsi="Calibri" w:cs="Calibri"/>
                <w:bCs/>
                <w:color w:val="000000" w:themeColor="text1"/>
                <w:sz w:val="20"/>
                <w:szCs w:val="20"/>
              </w:rPr>
              <w:t xml:space="preserve"> potrzeb</w:t>
            </w:r>
            <w:r>
              <w:rPr>
                <w:rFonts w:ascii="Calibri" w:hAnsi="Calibri" w:cs="Calibri"/>
                <w:bCs/>
                <w:color w:val="000000" w:themeColor="text1"/>
                <w:sz w:val="20"/>
                <w:szCs w:val="20"/>
              </w:rPr>
              <w:t>y</w:t>
            </w:r>
            <w:r w:rsidR="0043405F" w:rsidRPr="000E2B6C">
              <w:rPr>
                <w:rFonts w:ascii="Calibri" w:hAnsi="Calibri" w:cs="Calibri"/>
                <w:bCs/>
                <w:color w:val="000000" w:themeColor="text1"/>
                <w:sz w:val="20"/>
                <w:szCs w:val="20"/>
              </w:rPr>
              <w:t xml:space="preserve"> </w:t>
            </w:r>
            <w:r>
              <w:rPr>
                <w:rFonts w:ascii="Calibri" w:hAnsi="Calibri" w:cs="Calibri"/>
                <w:bCs/>
                <w:color w:val="000000" w:themeColor="text1"/>
                <w:sz w:val="20"/>
                <w:szCs w:val="20"/>
              </w:rPr>
              <w:t xml:space="preserve">lokalnego systemu wizualizacji TSN, przetwarzania strumieni wideo, zarządzania kamerami monitoringu oraz do uruchamiania </w:t>
            </w:r>
            <w:r w:rsidR="0043405F" w:rsidRPr="000E2B6C">
              <w:rPr>
                <w:rFonts w:ascii="Calibri" w:hAnsi="Calibri" w:cs="Calibri"/>
                <w:bCs/>
                <w:color w:val="000000" w:themeColor="text1"/>
                <w:sz w:val="20"/>
                <w:szCs w:val="20"/>
              </w:rPr>
              <w:t>aplikacji graficznych, aplikacji obliczeniowych</w:t>
            </w:r>
            <w:r>
              <w:rPr>
                <w:rFonts w:ascii="Calibri" w:hAnsi="Calibri" w:cs="Calibri"/>
                <w:bCs/>
                <w:color w:val="000000" w:themeColor="text1"/>
                <w:sz w:val="20"/>
                <w:szCs w:val="20"/>
              </w:rPr>
              <w:t>,</w:t>
            </w:r>
            <w:r w:rsidR="0043405F" w:rsidRPr="000E2B6C">
              <w:rPr>
                <w:rFonts w:ascii="Calibri" w:hAnsi="Calibri" w:cs="Calibri"/>
                <w:bCs/>
                <w:color w:val="000000" w:themeColor="text1"/>
                <w:sz w:val="20"/>
                <w:szCs w:val="20"/>
              </w:rPr>
              <w:t xml:space="preserve">  jako lokalna baza danych</w:t>
            </w:r>
            <w:r>
              <w:rPr>
                <w:rFonts w:ascii="Calibri" w:hAnsi="Calibri" w:cs="Calibri"/>
                <w:bCs/>
                <w:color w:val="000000" w:themeColor="text1"/>
                <w:sz w:val="20"/>
                <w:szCs w:val="20"/>
              </w:rPr>
              <w:t>.</w:t>
            </w:r>
          </w:p>
        </w:tc>
      </w:tr>
      <w:tr w:rsidR="0043405F" w:rsidRPr="000E2B6C" w14:paraId="177EEBEB" w14:textId="77777777" w:rsidTr="0043405F">
        <w:tblPrEx>
          <w:jc w:val="left"/>
          <w:tblCellMar>
            <w:left w:w="108" w:type="dxa"/>
            <w:right w:w="108" w:type="dxa"/>
          </w:tblCellMar>
          <w:tblLook w:val="04A0" w:firstRow="1" w:lastRow="0" w:firstColumn="1" w:lastColumn="0" w:noHBand="0" w:noVBand="1"/>
        </w:tblPrEx>
        <w:tc>
          <w:tcPr>
            <w:tcW w:w="2830" w:type="dxa"/>
            <w:shd w:val="clear" w:color="auto" w:fill="auto"/>
            <w:vAlign w:val="center"/>
          </w:tcPr>
          <w:p w14:paraId="6227ECFA" w14:textId="77777777" w:rsidR="0043405F" w:rsidRPr="000E2B6C" w:rsidRDefault="0043405F" w:rsidP="00F84C40">
            <w:pPr>
              <w:jc w:val="center"/>
              <w:rPr>
                <w:rFonts w:ascii="Calibri" w:hAnsi="Calibri" w:cs="Calibri"/>
                <w:b/>
                <w:sz w:val="20"/>
                <w:szCs w:val="20"/>
              </w:rPr>
            </w:pPr>
            <w:r w:rsidRPr="000E2B6C">
              <w:rPr>
                <w:rFonts w:ascii="Calibri" w:hAnsi="Calibri" w:cs="Calibri"/>
                <w:b/>
                <w:sz w:val="20"/>
                <w:szCs w:val="20"/>
              </w:rPr>
              <w:t>Procesor</w:t>
            </w:r>
          </w:p>
        </w:tc>
        <w:tc>
          <w:tcPr>
            <w:tcW w:w="7801" w:type="dxa"/>
            <w:shd w:val="clear" w:color="auto" w:fill="auto"/>
            <w:vAlign w:val="center"/>
          </w:tcPr>
          <w:p w14:paraId="30BB2B75" w14:textId="77777777" w:rsidR="0043405F" w:rsidRPr="000E2B6C" w:rsidRDefault="0043405F" w:rsidP="00F84C40">
            <w:pPr>
              <w:jc w:val="both"/>
              <w:rPr>
                <w:rFonts w:ascii="Calibri" w:hAnsi="Calibri" w:cs="Calibri"/>
                <w:bCs/>
                <w:color w:val="000000" w:themeColor="text1"/>
                <w:sz w:val="20"/>
                <w:szCs w:val="20"/>
              </w:rPr>
            </w:pPr>
            <w:r w:rsidRPr="000E2B6C">
              <w:rPr>
                <w:rFonts w:ascii="Calibri" w:hAnsi="Calibri" w:cs="Calibri"/>
                <w:bCs/>
                <w:color w:val="000000" w:themeColor="text1"/>
                <w:sz w:val="20"/>
                <w:szCs w:val="20"/>
              </w:rPr>
              <w:t>Procesor dedykowany do pracy w komputerach stacjonarnych. Procesor osiągający w teście „</w:t>
            </w:r>
            <w:proofErr w:type="spellStart"/>
            <w:r w:rsidRPr="000E2B6C">
              <w:rPr>
                <w:rFonts w:ascii="Calibri" w:hAnsi="Calibri" w:cs="Calibri"/>
                <w:bCs/>
                <w:color w:val="000000" w:themeColor="text1"/>
                <w:sz w:val="20"/>
                <w:szCs w:val="20"/>
              </w:rPr>
              <w:t>PassMark</w:t>
            </w:r>
            <w:proofErr w:type="spellEnd"/>
            <w:r w:rsidRPr="000E2B6C">
              <w:rPr>
                <w:rFonts w:ascii="Calibri" w:hAnsi="Calibri" w:cs="Calibri"/>
                <w:bCs/>
                <w:color w:val="000000" w:themeColor="text1"/>
                <w:sz w:val="20"/>
                <w:szCs w:val="20"/>
              </w:rPr>
              <w:t xml:space="preserve"> - CPU Mark” wynik co najmniej 62 440 pkt (</w:t>
            </w:r>
            <w:r w:rsidRPr="000E2B6C">
              <w:rPr>
                <w:rFonts w:ascii="Calibri" w:hAnsi="Calibri" w:cs="Calibri"/>
                <w:bCs/>
                <w:color w:val="FF0000"/>
                <w:sz w:val="20"/>
                <w:szCs w:val="20"/>
              </w:rPr>
              <w:t>zgodnie z załącznikiem A1</w:t>
            </w:r>
            <w:r w:rsidRPr="000E2B6C">
              <w:rPr>
                <w:rFonts w:ascii="Calibri" w:hAnsi="Calibri" w:cs="Calibri"/>
                <w:bCs/>
                <w:color w:val="000000" w:themeColor="text1"/>
                <w:sz w:val="20"/>
                <w:szCs w:val="20"/>
              </w:rPr>
              <w:t>).</w:t>
            </w:r>
          </w:p>
        </w:tc>
      </w:tr>
      <w:tr w:rsidR="0043405F" w:rsidRPr="000E2B6C" w14:paraId="10FB6868" w14:textId="77777777" w:rsidTr="0043405F">
        <w:tblPrEx>
          <w:jc w:val="left"/>
          <w:tblCellMar>
            <w:left w:w="108" w:type="dxa"/>
            <w:right w:w="108" w:type="dxa"/>
          </w:tblCellMar>
          <w:tblLook w:val="04A0" w:firstRow="1" w:lastRow="0" w:firstColumn="1" w:lastColumn="0" w:noHBand="0" w:noVBand="1"/>
        </w:tblPrEx>
        <w:trPr>
          <w:trHeight w:val="332"/>
        </w:trPr>
        <w:tc>
          <w:tcPr>
            <w:tcW w:w="2830" w:type="dxa"/>
            <w:shd w:val="clear" w:color="auto" w:fill="auto"/>
            <w:vAlign w:val="center"/>
          </w:tcPr>
          <w:p w14:paraId="7B2D43A0" w14:textId="77777777" w:rsidR="0043405F" w:rsidRPr="000E2B6C" w:rsidRDefault="0043405F" w:rsidP="00F84C40">
            <w:pPr>
              <w:jc w:val="center"/>
              <w:rPr>
                <w:rFonts w:ascii="Calibri" w:hAnsi="Calibri" w:cs="Calibri"/>
                <w:b/>
                <w:sz w:val="20"/>
                <w:szCs w:val="20"/>
              </w:rPr>
            </w:pPr>
            <w:r w:rsidRPr="000E2B6C">
              <w:rPr>
                <w:rFonts w:ascii="Calibri" w:hAnsi="Calibri" w:cs="Calibri"/>
                <w:b/>
                <w:sz w:val="20"/>
                <w:szCs w:val="20"/>
              </w:rPr>
              <w:t>Pamięć RAM</w:t>
            </w:r>
          </w:p>
        </w:tc>
        <w:tc>
          <w:tcPr>
            <w:tcW w:w="7801" w:type="dxa"/>
            <w:shd w:val="clear" w:color="auto" w:fill="auto"/>
            <w:vAlign w:val="center"/>
          </w:tcPr>
          <w:p w14:paraId="1288463E" w14:textId="77777777" w:rsidR="0043405F" w:rsidRPr="000E2B6C" w:rsidRDefault="0043405F" w:rsidP="00F84C40">
            <w:pPr>
              <w:jc w:val="both"/>
              <w:rPr>
                <w:rFonts w:ascii="Calibri" w:hAnsi="Calibri" w:cs="Calibri"/>
                <w:bCs/>
                <w:color w:val="000000" w:themeColor="text1"/>
                <w:sz w:val="20"/>
                <w:szCs w:val="20"/>
              </w:rPr>
            </w:pPr>
            <w:r w:rsidRPr="000E2B6C">
              <w:rPr>
                <w:rFonts w:ascii="Calibri" w:hAnsi="Calibri" w:cs="Calibri"/>
                <w:bCs/>
                <w:color w:val="000000" w:themeColor="text1"/>
                <w:sz w:val="20"/>
                <w:szCs w:val="20"/>
              </w:rPr>
              <w:t xml:space="preserve">Min. 32GB DDR5 6000 MHz. Możliwość rozbudowy do min. 128GB. Obsługa pamięci </w:t>
            </w:r>
            <w:r>
              <w:rPr>
                <w:rFonts w:ascii="Calibri" w:hAnsi="Calibri" w:cs="Calibri"/>
                <w:bCs/>
                <w:color w:val="000000" w:themeColor="text1"/>
                <w:sz w:val="20"/>
                <w:szCs w:val="20"/>
              </w:rPr>
              <w:t>72</w:t>
            </w:r>
            <w:r w:rsidRPr="000E2B6C">
              <w:rPr>
                <w:rFonts w:ascii="Calibri" w:hAnsi="Calibri" w:cs="Calibri"/>
                <w:bCs/>
                <w:color w:val="000000" w:themeColor="text1"/>
                <w:sz w:val="20"/>
                <w:szCs w:val="20"/>
              </w:rPr>
              <w:t xml:space="preserve">00Mhz. </w:t>
            </w:r>
          </w:p>
        </w:tc>
      </w:tr>
      <w:tr w:rsidR="0043405F" w:rsidRPr="000E2B6C" w14:paraId="7D274DDD" w14:textId="77777777" w:rsidTr="0043405F">
        <w:tblPrEx>
          <w:jc w:val="left"/>
          <w:tblCellMar>
            <w:left w:w="108" w:type="dxa"/>
            <w:right w:w="108" w:type="dxa"/>
          </w:tblCellMar>
          <w:tblLook w:val="04A0" w:firstRow="1" w:lastRow="0" w:firstColumn="1" w:lastColumn="0" w:noHBand="0" w:noVBand="1"/>
        </w:tblPrEx>
        <w:tc>
          <w:tcPr>
            <w:tcW w:w="2830" w:type="dxa"/>
            <w:shd w:val="clear" w:color="auto" w:fill="auto"/>
            <w:vAlign w:val="center"/>
          </w:tcPr>
          <w:p w14:paraId="17E113E2" w14:textId="77777777" w:rsidR="0043405F" w:rsidRPr="000E2B6C" w:rsidRDefault="0043405F" w:rsidP="00F84C40">
            <w:pPr>
              <w:jc w:val="center"/>
              <w:rPr>
                <w:rFonts w:ascii="Calibri" w:hAnsi="Calibri" w:cs="Calibri"/>
                <w:b/>
                <w:color w:val="000000" w:themeColor="text1"/>
                <w:sz w:val="20"/>
                <w:szCs w:val="20"/>
              </w:rPr>
            </w:pPr>
            <w:r w:rsidRPr="000E2B6C">
              <w:rPr>
                <w:rFonts w:ascii="Calibri" w:hAnsi="Calibri" w:cs="Calibri"/>
                <w:b/>
                <w:color w:val="000000" w:themeColor="text1"/>
                <w:sz w:val="20"/>
                <w:szCs w:val="20"/>
              </w:rPr>
              <w:t>Pamięć masowa</w:t>
            </w:r>
          </w:p>
        </w:tc>
        <w:tc>
          <w:tcPr>
            <w:tcW w:w="7801" w:type="dxa"/>
            <w:shd w:val="clear" w:color="auto" w:fill="auto"/>
            <w:vAlign w:val="center"/>
          </w:tcPr>
          <w:p w14:paraId="30C47E20" w14:textId="77777777" w:rsidR="0043405F" w:rsidRPr="000E2B6C" w:rsidRDefault="0043405F" w:rsidP="00F84C40">
            <w:pPr>
              <w:jc w:val="both"/>
              <w:rPr>
                <w:rFonts w:ascii="Calibri" w:hAnsi="Calibri" w:cs="Calibri"/>
                <w:bCs/>
                <w:color w:val="000000" w:themeColor="text1"/>
                <w:sz w:val="20"/>
                <w:szCs w:val="20"/>
              </w:rPr>
            </w:pPr>
            <w:r w:rsidRPr="000E2B6C">
              <w:rPr>
                <w:rFonts w:ascii="Calibri" w:hAnsi="Calibri" w:cs="Calibri"/>
                <w:bCs/>
                <w:color w:val="000000" w:themeColor="text1"/>
                <w:sz w:val="20"/>
                <w:szCs w:val="20"/>
              </w:rPr>
              <w:t xml:space="preserve">Min. dwa dyski M.2 </w:t>
            </w:r>
            <w:proofErr w:type="spellStart"/>
            <w:r w:rsidRPr="000E2B6C">
              <w:rPr>
                <w:rFonts w:ascii="Calibri" w:hAnsi="Calibri" w:cs="Calibri"/>
                <w:bCs/>
                <w:color w:val="000000" w:themeColor="text1"/>
                <w:sz w:val="20"/>
                <w:szCs w:val="20"/>
              </w:rPr>
              <w:t>NVMe</w:t>
            </w:r>
            <w:proofErr w:type="spellEnd"/>
            <w:r w:rsidRPr="000E2B6C">
              <w:rPr>
                <w:rFonts w:ascii="Calibri" w:hAnsi="Calibri" w:cs="Calibri"/>
                <w:bCs/>
                <w:color w:val="000000" w:themeColor="text1"/>
                <w:sz w:val="20"/>
                <w:szCs w:val="20"/>
              </w:rPr>
              <w:t xml:space="preserve"> o pojemności 2TB każdy, prędkość odczytu min. 7200 MB/s, prędkość zapisu min. 6500 MB/s </w:t>
            </w:r>
          </w:p>
        </w:tc>
      </w:tr>
      <w:tr w:rsidR="0043405F" w:rsidRPr="000E2B6C" w14:paraId="243F6CB4" w14:textId="77777777" w:rsidTr="0043405F">
        <w:tblPrEx>
          <w:jc w:val="left"/>
          <w:tblCellMar>
            <w:left w:w="108" w:type="dxa"/>
            <w:right w:w="108" w:type="dxa"/>
          </w:tblCellMar>
          <w:tblLook w:val="04A0" w:firstRow="1" w:lastRow="0" w:firstColumn="1" w:lastColumn="0" w:noHBand="0" w:noVBand="1"/>
        </w:tblPrEx>
        <w:tc>
          <w:tcPr>
            <w:tcW w:w="2830" w:type="dxa"/>
            <w:shd w:val="clear" w:color="auto" w:fill="auto"/>
            <w:vAlign w:val="center"/>
          </w:tcPr>
          <w:p w14:paraId="67E318FC" w14:textId="77777777" w:rsidR="0043405F" w:rsidRPr="000E2B6C" w:rsidRDefault="0043405F" w:rsidP="00F84C40">
            <w:pPr>
              <w:jc w:val="center"/>
              <w:rPr>
                <w:rFonts w:ascii="Calibri" w:hAnsi="Calibri" w:cs="Calibri"/>
                <w:b/>
                <w:sz w:val="20"/>
                <w:szCs w:val="20"/>
              </w:rPr>
            </w:pPr>
            <w:r w:rsidRPr="000E2B6C">
              <w:rPr>
                <w:rFonts w:ascii="Calibri" w:hAnsi="Calibri" w:cs="Calibri"/>
                <w:b/>
                <w:sz w:val="20"/>
                <w:szCs w:val="20"/>
              </w:rPr>
              <w:t>Wydajność grafiki</w:t>
            </w:r>
          </w:p>
        </w:tc>
        <w:tc>
          <w:tcPr>
            <w:tcW w:w="7801" w:type="dxa"/>
            <w:shd w:val="clear" w:color="auto" w:fill="auto"/>
            <w:vAlign w:val="center"/>
          </w:tcPr>
          <w:p w14:paraId="0E426593" w14:textId="77777777" w:rsidR="0043405F" w:rsidRPr="000E2B6C" w:rsidRDefault="0043405F" w:rsidP="00F84C40">
            <w:pPr>
              <w:jc w:val="both"/>
              <w:rPr>
                <w:rFonts w:ascii="Calibri" w:hAnsi="Calibri" w:cs="Calibri"/>
                <w:bCs/>
                <w:color w:val="000000" w:themeColor="text1"/>
                <w:sz w:val="20"/>
                <w:szCs w:val="20"/>
              </w:rPr>
            </w:pPr>
            <w:r w:rsidRPr="000E2B6C">
              <w:rPr>
                <w:rFonts w:ascii="Calibri" w:hAnsi="Calibri" w:cs="Calibri"/>
                <w:bCs/>
                <w:color w:val="000000" w:themeColor="text1"/>
                <w:sz w:val="20"/>
                <w:szCs w:val="20"/>
              </w:rPr>
              <w:t>Dedykowana karta graficzna z 16GB pamięci niewspółdzielonej, osiągająca w teście „</w:t>
            </w:r>
            <w:proofErr w:type="spellStart"/>
            <w:r w:rsidRPr="000E2B6C">
              <w:rPr>
                <w:rFonts w:ascii="Calibri" w:hAnsi="Calibri" w:cs="Calibri"/>
                <w:bCs/>
                <w:color w:val="000000" w:themeColor="text1"/>
                <w:sz w:val="20"/>
                <w:szCs w:val="20"/>
              </w:rPr>
              <w:t>PassMark</w:t>
            </w:r>
            <w:proofErr w:type="spellEnd"/>
            <w:r w:rsidRPr="000E2B6C">
              <w:rPr>
                <w:rFonts w:ascii="Calibri" w:hAnsi="Calibri" w:cs="Calibri"/>
                <w:bCs/>
                <w:color w:val="000000" w:themeColor="text1"/>
                <w:sz w:val="20"/>
                <w:szCs w:val="20"/>
              </w:rPr>
              <w:t xml:space="preserve"> - G3D Mark” wynik co najmniej 33 800 pkt. (</w:t>
            </w:r>
            <w:r w:rsidRPr="000E2B6C">
              <w:rPr>
                <w:rFonts w:ascii="Calibri" w:hAnsi="Calibri" w:cs="Calibri"/>
                <w:bCs/>
                <w:color w:val="FF0000"/>
                <w:sz w:val="20"/>
                <w:szCs w:val="20"/>
              </w:rPr>
              <w:t>zgodnie z załącznikiem A2</w:t>
            </w:r>
            <w:r w:rsidRPr="000E2B6C">
              <w:rPr>
                <w:rFonts w:ascii="Calibri" w:hAnsi="Calibri" w:cs="Calibri"/>
                <w:bCs/>
                <w:color w:val="000000" w:themeColor="text1"/>
                <w:sz w:val="20"/>
                <w:szCs w:val="20"/>
              </w:rPr>
              <w:t>).</w:t>
            </w:r>
          </w:p>
        </w:tc>
      </w:tr>
      <w:tr w:rsidR="0043405F" w:rsidRPr="000E2B6C" w14:paraId="326C913A" w14:textId="77777777" w:rsidTr="0043405F">
        <w:tblPrEx>
          <w:jc w:val="left"/>
          <w:tblCellMar>
            <w:left w:w="108" w:type="dxa"/>
            <w:right w:w="108" w:type="dxa"/>
          </w:tblCellMar>
          <w:tblLook w:val="04A0" w:firstRow="1" w:lastRow="0" w:firstColumn="1" w:lastColumn="0" w:noHBand="0" w:noVBand="1"/>
        </w:tblPrEx>
        <w:tc>
          <w:tcPr>
            <w:tcW w:w="2830" w:type="dxa"/>
            <w:shd w:val="clear" w:color="auto" w:fill="auto"/>
            <w:vAlign w:val="center"/>
          </w:tcPr>
          <w:p w14:paraId="303A06FD" w14:textId="77777777" w:rsidR="0043405F" w:rsidRPr="000E2B6C" w:rsidRDefault="0043405F" w:rsidP="00F84C40">
            <w:pPr>
              <w:jc w:val="center"/>
              <w:rPr>
                <w:rFonts w:ascii="Calibri" w:hAnsi="Calibri" w:cs="Calibri"/>
                <w:b/>
                <w:sz w:val="20"/>
                <w:szCs w:val="20"/>
              </w:rPr>
            </w:pPr>
            <w:r w:rsidRPr="000E2B6C">
              <w:rPr>
                <w:rFonts w:ascii="Calibri" w:hAnsi="Calibri" w:cs="Calibri"/>
                <w:b/>
                <w:sz w:val="20"/>
                <w:szCs w:val="20"/>
              </w:rPr>
              <w:t>Wyposażenie multimedialne</w:t>
            </w:r>
          </w:p>
        </w:tc>
        <w:tc>
          <w:tcPr>
            <w:tcW w:w="7801" w:type="dxa"/>
            <w:shd w:val="clear" w:color="auto" w:fill="auto"/>
            <w:vAlign w:val="center"/>
          </w:tcPr>
          <w:p w14:paraId="3D2AEA55" w14:textId="77777777" w:rsidR="0043405F" w:rsidRPr="000E2B6C" w:rsidRDefault="0043405F" w:rsidP="00F84C40">
            <w:pPr>
              <w:jc w:val="both"/>
              <w:rPr>
                <w:rFonts w:ascii="Calibri" w:hAnsi="Calibri" w:cs="Calibri"/>
                <w:b/>
                <w:color w:val="00B050"/>
                <w:sz w:val="20"/>
                <w:szCs w:val="20"/>
              </w:rPr>
            </w:pPr>
            <w:r w:rsidRPr="000E2B6C">
              <w:rPr>
                <w:rFonts w:ascii="Calibri" w:hAnsi="Calibri" w:cs="Calibri"/>
                <w:bCs/>
                <w:sz w:val="20"/>
                <w:szCs w:val="20"/>
              </w:rPr>
              <w:t>Karta dźwiękowa min. dwukanałowa zintegrowana z płytą główną, zgodna z High Definition, port słuchawek i mikrofonu na przednim panelu.</w:t>
            </w:r>
          </w:p>
        </w:tc>
      </w:tr>
      <w:tr w:rsidR="0043405F" w:rsidRPr="000E2B6C" w14:paraId="189AE405" w14:textId="77777777" w:rsidTr="0043405F">
        <w:tblPrEx>
          <w:jc w:val="left"/>
          <w:tblCellMar>
            <w:left w:w="108" w:type="dxa"/>
            <w:right w:w="108" w:type="dxa"/>
          </w:tblCellMar>
          <w:tblLook w:val="04A0" w:firstRow="1" w:lastRow="0" w:firstColumn="1" w:lastColumn="0" w:noHBand="0" w:noVBand="1"/>
        </w:tblPrEx>
        <w:trPr>
          <w:trHeight w:val="436"/>
        </w:trPr>
        <w:tc>
          <w:tcPr>
            <w:tcW w:w="2830" w:type="dxa"/>
            <w:shd w:val="clear" w:color="auto" w:fill="auto"/>
            <w:vAlign w:val="center"/>
          </w:tcPr>
          <w:p w14:paraId="0A0C2974" w14:textId="77777777" w:rsidR="0043405F" w:rsidRPr="000E2B6C" w:rsidRDefault="0043405F" w:rsidP="00F84C40">
            <w:pPr>
              <w:jc w:val="center"/>
              <w:rPr>
                <w:rFonts w:ascii="Calibri" w:hAnsi="Calibri" w:cs="Calibri"/>
                <w:b/>
                <w:sz w:val="20"/>
                <w:szCs w:val="20"/>
              </w:rPr>
            </w:pPr>
            <w:r w:rsidRPr="000E2B6C">
              <w:rPr>
                <w:rFonts w:ascii="Calibri" w:hAnsi="Calibri" w:cs="Calibri"/>
                <w:b/>
                <w:sz w:val="20"/>
                <w:szCs w:val="20"/>
              </w:rPr>
              <w:t>Obudowa</w:t>
            </w:r>
          </w:p>
        </w:tc>
        <w:tc>
          <w:tcPr>
            <w:tcW w:w="7801" w:type="dxa"/>
            <w:shd w:val="clear" w:color="auto" w:fill="auto"/>
            <w:vAlign w:val="center"/>
          </w:tcPr>
          <w:p w14:paraId="0F9EF048" w14:textId="77777777" w:rsidR="0043405F" w:rsidRPr="000E2B6C" w:rsidRDefault="0043405F" w:rsidP="00F84C40">
            <w:pPr>
              <w:jc w:val="both"/>
              <w:rPr>
                <w:rFonts w:ascii="Calibri" w:hAnsi="Calibri" w:cs="Calibri"/>
                <w:bCs/>
                <w:color w:val="000000" w:themeColor="text1"/>
                <w:sz w:val="20"/>
                <w:szCs w:val="20"/>
              </w:rPr>
            </w:pPr>
            <w:r w:rsidRPr="000E2B6C">
              <w:rPr>
                <w:rFonts w:ascii="Calibri" w:hAnsi="Calibri" w:cs="Calibri"/>
                <w:bCs/>
                <w:color w:val="000000" w:themeColor="text1"/>
                <w:sz w:val="20"/>
                <w:szCs w:val="20"/>
              </w:rPr>
              <w:t>Typu Tower z obsługą kart wyłącznie o pełnej wysokości. Umożliwiająca montaż min. 2 dysków 3.5” i min. 5 x dysków 2.5” wewnątrz obudowy. Obudowa fabrycznie przystosowana do pracy w orientacji pionowej. Suma wymiarów obudowy nieprzekraczająca 1 160 mm.</w:t>
            </w:r>
          </w:p>
          <w:p w14:paraId="5F74A2EA" w14:textId="77777777" w:rsidR="0043405F" w:rsidRPr="000E2B6C" w:rsidRDefault="0043405F" w:rsidP="00F84C40">
            <w:pPr>
              <w:jc w:val="both"/>
              <w:rPr>
                <w:rFonts w:ascii="Calibri" w:hAnsi="Calibri" w:cs="Calibri"/>
                <w:bCs/>
                <w:color w:val="000000" w:themeColor="text1"/>
                <w:sz w:val="20"/>
                <w:szCs w:val="20"/>
              </w:rPr>
            </w:pPr>
            <w:r w:rsidRPr="000E2B6C">
              <w:rPr>
                <w:rFonts w:ascii="Calibri" w:hAnsi="Calibri" w:cs="Calibri"/>
                <w:bCs/>
                <w:color w:val="000000" w:themeColor="text1"/>
                <w:sz w:val="20"/>
                <w:szCs w:val="20"/>
              </w:rPr>
              <w:t xml:space="preserve">Na panelu przednim i tylnym zamontowany min. 1 wentylator chłodzący min. 140mm. </w:t>
            </w:r>
          </w:p>
        </w:tc>
      </w:tr>
      <w:tr w:rsidR="0043405F" w:rsidRPr="000E2B6C" w14:paraId="01D9F032" w14:textId="77777777" w:rsidTr="0043405F">
        <w:tblPrEx>
          <w:jc w:val="left"/>
          <w:tblCellMar>
            <w:left w:w="108" w:type="dxa"/>
            <w:right w:w="108" w:type="dxa"/>
          </w:tblCellMar>
          <w:tblLook w:val="04A0" w:firstRow="1" w:lastRow="0" w:firstColumn="1" w:lastColumn="0" w:noHBand="0" w:noVBand="1"/>
        </w:tblPrEx>
        <w:trPr>
          <w:trHeight w:val="436"/>
        </w:trPr>
        <w:tc>
          <w:tcPr>
            <w:tcW w:w="2830" w:type="dxa"/>
            <w:shd w:val="clear" w:color="auto" w:fill="auto"/>
            <w:vAlign w:val="center"/>
          </w:tcPr>
          <w:p w14:paraId="092A54B5" w14:textId="77777777" w:rsidR="0043405F" w:rsidRPr="000E2B6C" w:rsidRDefault="0043405F" w:rsidP="00F84C40">
            <w:pPr>
              <w:jc w:val="center"/>
              <w:rPr>
                <w:rFonts w:ascii="Calibri" w:hAnsi="Calibri" w:cs="Calibri"/>
                <w:b/>
                <w:sz w:val="20"/>
                <w:szCs w:val="20"/>
              </w:rPr>
            </w:pPr>
            <w:r w:rsidRPr="000E2B6C">
              <w:rPr>
                <w:rFonts w:ascii="Calibri" w:hAnsi="Calibri" w:cs="Calibri"/>
                <w:b/>
                <w:sz w:val="20"/>
                <w:szCs w:val="20"/>
              </w:rPr>
              <w:t>Zasilanie</w:t>
            </w:r>
          </w:p>
        </w:tc>
        <w:tc>
          <w:tcPr>
            <w:tcW w:w="7801" w:type="dxa"/>
            <w:shd w:val="clear" w:color="auto" w:fill="auto"/>
            <w:vAlign w:val="center"/>
          </w:tcPr>
          <w:p w14:paraId="380062C5" w14:textId="77777777" w:rsidR="0043405F" w:rsidRPr="000E2B6C" w:rsidRDefault="0043405F" w:rsidP="00F84C40">
            <w:pPr>
              <w:jc w:val="both"/>
              <w:rPr>
                <w:rFonts w:ascii="Calibri" w:hAnsi="Calibri" w:cs="Calibri"/>
                <w:bCs/>
                <w:color w:val="000000" w:themeColor="text1"/>
                <w:sz w:val="20"/>
                <w:szCs w:val="20"/>
              </w:rPr>
            </w:pPr>
            <w:r w:rsidRPr="000E2B6C">
              <w:rPr>
                <w:rFonts w:ascii="Calibri" w:hAnsi="Calibri" w:cs="Calibri"/>
                <w:bCs/>
                <w:color w:val="000000" w:themeColor="text1"/>
                <w:sz w:val="20"/>
                <w:szCs w:val="20"/>
              </w:rPr>
              <w:t>Zasilacz o mocy min. 850W pracujący w sieci 230V 50/60Hz prądu zmiennego i efektywności min. 9</w:t>
            </w:r>
            <w:r>
              <w:rPr>
                <w:rFonts w:ascii="Calibri" w:hAnsi="Calibri" w:cs="Calibri"/>
                <w:bCs/>
                <w:color w:val="000000" w:themeColor="text1"/>
                <w:sz w:val="20"/>
                <w:szCs w:val="20"/>
              </w:rPr>
              <w:t>2</w:t>
            </w:r>
            <w:r w:rsidRPr="000E2B6C">
              <w:rPr>
                <w:rFonts w:ascii="Calibri" w:hAnsi="Calibri" w:cs="Calibri"/>
                <w:bCs/>
                <w:color w:val="000000" w:themeColor="text1"/>
                <w:sz w:val="20"/>
                <w:szCs w:val="20"/>
              </w:rPr>
              <w:t>% przy obciążeniu zasilacza na poziomie 50%. Oferowany zasilacz musi być fabrycznie nowy, zgodny z wszystkimi komponentami oferowanego komputera, objęty gwarancją producenta komputera.</w:t>
            </w:r>
          </w:p>
        </w:tc>
      </w:tr>
      <w:tr w:rsidR="0043405F" w:rsidRPr="000E2B6C" w14:paraId="4BCCC284" w14:textId="77777777" w:rsidTr="0043405F">
        <w:tblPrEx>
          <w:jc w:val="left"/>
          <w:tblCellMar>
            <w:left w:w="108" w:type="dxa"/>
            <w:right w:w="108" w:type="dxa"/>
          </w:tblCellMar>
          <w:tblLook w:val="04A0" w:firstRow="1" w:lastRow="0" w:firstColumn="1" w:lastColumn="0" w:noHBand="0" w:noVBand="1"/>
        </w:tblPrEx>
        <w:tc>
          <w:tcPr>
            <w:tcW w:w="2830" w:type="dxa"/>
            <w:shd w:val="clear" w:color="auto" w:fill="auto"/>
            <w:vAlign w:val="center"/>
          </w:tcPr>
          <w:p w14:paraId="20E04C5D" w14:textId="77777777" w:rsidR="0043405F" w:rsidRPr="000E2B6C" w:rsidRDefault="0043405F" w:rsidP="00F84C40">
            <w:pPr>
              <w:jc w:val="center"/>
              <w:rPr>
                <w:rFonts w:ascii="Calibri" w:hAnsi="Calibri" w:cs="Calibri"/>
                <w:b/>
                <w:sz w:val="20"/>
                <w:szCs w:val="20"/>
              </w:rPr>
            </w:pPr>
            <w:r w:rsidRPr="000E2B6C">
              <w:rPr>
                <w:rFonts w:ascii="Calibri" w:hAnsi="Calibri" w:cs="Calibri"/>
                <w:b/>
                <w:sz w:val="20"/>
                <w:szCs w:val="20"/>
              </w:rPr>
              <w:t>BIOS</w:t>
            </w:r>
          </w:p>
        </w:tc>
        <w:tc>
          <w:tcPr>
            <w:tcW w:w="7801" w:type="dxa"/>
            <w:shd w:val="clear" w:color="auto" w:fill="auto"/>
            <w:vAlign w:val="center"/>
          </w:tcPr>
          <w:p w14:paraId="57DE46FB" w14:textId="77777777" w:rsidR="0043405F" w:rsidRPr="000E2B6C" w:rsidRDefault="0043405F" w:rsidP="00F84C40">
            <w:pPr>
              <w:jc w:val="both"/>
              <w:rPr>
                <w:rFonts w:ascii="Calibri" w:hAnsi="Calibri" w:cs="Calibri"/>
                <w:bCs/>
                <w:sz w:val="20"/>
                <w:szCs w:val="20"/>
              </w:rPr>
            </w:pPr>
            <w:r w:rsidRPr="000E2B6C">
              <w:rPr>
                <w:rFonts w:ascii="Calibri" w:hAnsi="Calibri" w:cs="Calibri"/>
                <w:bCs/>
                <w:sz w:val="20"/>
                <w:szCs w:val="20"/>
              </w:rPr>
              <w:t xml:space="preserve">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w:t>
            </w:r>
          </w:p>
          <w:p w14:paraId="0555E8B3" w14:textId="77777777" w:rsidR="0043405F" w:rsidRPr="000E2B6C" w:rsidRDefault="0043405F" w:rsidP="00F84C40">
            <w:pPr>
              <w:widowControl w:val="0"/>
              <w:autoSpaceDE w:val="0"/>
              <w:autoSpaceDN w:val="0"/>
              <w:adjustRightInd w:val="0"/>
              <w:ind w:right="50"/>
              <w:jc w:val="both"/>
              <w:rPr>
                <w:rFonts w:ascii="Calibri" w:hAnsi="Calibri" w:cs="Calibri"/>
                <w:bCs/>
                <w:sz w:val="20"/>
                <w:szCs w:val="20"/>
              </w:rPr>
            </w:pPr>
            <w:r w:rsidRPr="000E2B6C">
              <w:rPr>
                <w:rFonts w:ascii="Calibri" w:hAnsi="Calibri" w:cs="Calibri"/>
                <w:bCs/>
                <w:sz w:val="20"/>
                <w:szCs w:val="20"/>
              </w:rPr>
              <w:t>Funkcja blokowania/odblokowania BOOT-</w:t>
            </w:r>
            <w:proofErr w:type="spellStart"/>
            <w:r w:rsidRPr="000E2B6C">
              <w:rPr>
                <w:rFonts w:ascii="Calibri" w:hAnsi="Calibri" w:cs="Calibri"/>
                <w:bCs/>
                <w:sz w:val="20"/>
                <w:szCs w:val="20"/>
              </w:rPr>
              <w:t>owania</w:t>
            </w:r>
            <w:proofErr w:type="spellEnd"/>
            <w:r w:rsidRPr="000E2B6C">
              <w:rPr>
                <w:rFonts w:ascii="Calibri" w:hAnsi="Calibri" w:cs="Calibri"/>
                <w:bCs/>
                <w:sz w:val="20"/>
                <w:szCs w:val="20"/>
              </w:rPr>
              <w:t xml:space="preserve"> stacji roboczej z zewnętrznych urządzeń, możliwość 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i administratora. Możliwość włączenia/wyłączenia kontrolera SATA (w tym w szczególności pojedynczo), Możliwość ustawienia portów USB w trybie „no BOOT” (podczas startu komputer nie wykrywa urządzeń </w:t>
            </w:r>
            <w:proofErr w:type="spellStart"/>
            <w:r w:rsidRPr="000E2B6C">
              <w:rPr>
                <w:rFonts w:ascii="Calibri" w:hAnsi="Calibri" w:cs="Calibri"/>
                <w:bCs/>
                <w:sz w:val="20"/>
                <w:szCs w:val="20"/>
              </w:rPr>
              <w:t>bootujących</w:t>
            </w:r>
            <w:proofErr w:type="spellEnd"/>
            <w:r w:rsidRPr="000E2B6C">
              <w:rPr>
                <w:rFonts w:ascii="Calibri" w:hAnsi="Calibri" w:cs="Calibri"/>
                <w:bCs/>
                <w:sz w:val="20"/>
                <w:szCs w:val="20"/>
              </w:rPr>
              <w:t xml:space="preserve"> typu USB). Możliwość wyłączania portów USB pojedynczo. </w:t>
            </w:r>
          </w:p>
        </w:tc>
      </w:tr>
      <w:tr w:rsidR="0043405F" w:rsidRPr="000E2B6C" w14:paraId="0322EBAE" w14:textId="77777777" w:rsidTr="0043405F">
        <w:tblPrEx>
          <w:jc w:val="left"/>
          <w:tblCellMar>
            <w:left w:w="108" w:type="dxa"/>
            <w:right w:w="108" w:type="dxa"/>
          </w:tblCellMar>
          <w:tblLook w:val="04A0" w:firstRow="1" w:lastRow="0" w:firstColumn="1" w:lastColumn="0" w:noHBand="0" w:noVBand="1"/>
        </w:tblPrEx>
        <w:tc>
          <w:tcPr>
            <w:tcW w:w="2830" w:type="dxa"/>
            <w:shd w:val="clear" w:color="auto" w:fill="auto"/>
            <w:vAlign w:val="center"/>
          </w:tcPr>
          <w:p w14:paraId="094F113B" w14:textId="77777777" w:rsidR="0043405F" w:rsidRPr="000E2B6C" w:rsidRDefault="0043405F" w:rsidP="00F84C40">
            <w:pPr>
              <w:jc w:val="center"/>
              <w:rPr>
                <w:rFonts w:ascii="Calibri" w:hAnsi="Calibri" w:cs="Calibri"/>
                <w:b/>
                <w:sz w:val="20"/>
                <w:szCs w:val="20"/>
              </w:rPr>
            </w:pPr>
            <w:r w:rsidRPr="000E2B6C">
              <w:rPr>
                <w:rFonts w:ascii="Calibri" w:hAnsi="Calibri" w:cs="Calibri"/>
                <w:b/>
                <w:sz w:val="20"/>
                <w:szCs w:val="20"/>
              </w:rPr>
              <w:t>Wirtualizacja</w:t>
            </w:r>
          </w:p>
        </w:tc>
        <w:tc>
          <w:tcPr>
            <w:tcW w:w="7801" w:type="dxa"/>
            <w:shd w:val="clear" w:color="auto" w:fill="auto"/>
            <w:vAlign w:val="center"/>
          </w:tcPr>
          <w:p w14:paraId="3954BEA7" w14:textId="77777777" w:rsidR="0043405F" w:rsidRPr="000E2B6C" w:rsidRDefault="0043405F" w:rsidP="00F84C40">
            <w:pPr>
              <w:jc w:val="both"/>
              <w:rPr>
                <w:rFonts w:ascii="Calibri" w:hAnsi="Calibri" w:cs="Calibri"/>
                <w:bCs/>
                <w:sz w:val="20"/>
                <w:szCs w:val="20"/>
              </w:rPr>
            </w:pPr>
            <w:r w:rsidRPr="000E2B6C">
              <w:rPr>
                <w:rFonts w:ascii="Calibri" w:hAnsi="Calibri" w:cs="Calibri"/>
                <w:sz w:val="20"/>
                <w:szCs w:val="20"/>
              </w:rPr>
              <w:t>Sprzętowe wsparcie technologii wirtualizacji realizowane łącznie w procesorze, chipsecie płyty głównej oraz w BIOS systemu (możliwość włączenia/wyłączenia sprzętowego wsparcia wirtualizacji dla poszczególnych komponentów systemu).</w:t>
            </w:r>
          </w:p>
        </w:tc>
      </w:tr>
      <w:tr w:rsidR="0043405F" w:rsidRPr="000E2B6C" w14:paraId="22A90136" w14:textId="77777777" w:rsidTr="0043405F">
        <w:tblPrEx>
          <w:jc w:val="left"/>
          <w:tblCellMar>
            <w:left w:w="108" w:type="dxa"/>
            <w:right w:w="108" w:type="dxa"/>
          </w:tblCellMar>
          <w:tblLook w:val="04A0" w:firstRow="1" w:lastRow="0" w:firstColumn="1" w:lastColumn="0" w:noHBand="0" w:noVBand="1"/>
        </w:tblPrEx>
        <w:tc>
          <w:tcPr>
            <w:tcW w:w="2830" w:type="dxa"/>
            <w:shd w:val="clear" w:color="auto" w:fill="auto"/>
            <w:vAlign w:val="center"/>
          </w:tcPr>
          <w:p w14:paraId="6DB831F9" w14:textId="77777777" w:rsidR="0043405F" w:rsidRPr="000E2B6C" w:rsidRDefault="0043405F" w:rsidP="00F84C40">
            <w:pPr>
              <w:jc w:val="center"/>
              <w:rPr>
                <w:rFonts w:ascii="Calibri" w:hAnsi="Calibri" w:cs="Calibri"/>
                <w:b/>
                <w:sz w:val="20"/>
                <w:szCs w:val="20"/>
              </w:rPr>
            </w:pPr>
            <w:r w:rsidRPr="000E2B6C">
              <w:rPr>
                <w:rFonts w:ascii="Calibri" w:hAnsi="Calibri" w:cs="Calibri"/>
                <w:b/>
                <w:sz w:val="20"/>
                <w:szCs w:val="20"/>
              </w:rPr>
              <w:t>System operacyjny</w:t>
            </w:r>
          </w:p>
        </w:tc>
        <w:tc>
          <w:tcPr>
            <w:tcW w:w="7801" w:type="dxa"/>
            <w:shd w:val="clear" w:color="auto" w:fill="auto"/>
            <w:vAlign w:val="center"/>
          </w:tcPr>
          <w:p w14:paraId="4E620D67" w14:textId="77777777" w:rsidR="0043405F" w:rsidRPr="000E2B6C" w:rsidRDefault="0043405F" w:rsidP="00F84C40">
            <w:pPr>
              <w:jc w:val="both"/>
              <w:rPr>
                <w:rFonts w:ascii="Calibri" w:hAnsi="Calibri" w:cs="Calibri"/>
                <w:bCs/>
                <w:sz w:val="20"/>
                <w:szCs w:val="20"/>
              </w:rPr>
            </w:pPr>
            <w:r w:rsidRPr="000E2B6C">
              <w:rPr>
                <w:rFonts w:ascii="Calibri" w:hAnsi="Calibri" w:cs="Calibri"/>
                <w:bCs/>
                <w:color w:val="000000" w:themeColor="text1"/>
                <w:sz w:val="20"/>
                <w:szCs w:val="20"/>
                <w:bdr w:val="none" w:sz="0" w:space="0" w:color="auto" w:frame="1"/>
              </w:rPr>
              <w:t>Zainstalowany system operacyjny Windows 11 Professional, klucz licencyjny Windows 11 Professional nie musi być zapisany trwale w BIOS, musi umożliwiać instalację systemu operacyjnego na podstawie dołączonego nośnika lub zdalnie po ręcznym wpisaniu klucza licencyjnego.</w:t>
            </w:r>
          </w:p>
        </w:tc>
      </w:tr>
      <w:tr w:rsidR="0043405F" w:rsidRPr="000E2B6C" w14:paraId="28ABED6B" w14:textId="77777777" w:rsidTr="0043405F">
        <w:tblPrEx>
          <w:jc w:val="left"/>
          <w:tblCellMar>
            <w:left w:w="108" w:type="dxa"/>
            <w:right w:w="108" w:type="dxa"/>
          </w:tblCellMar>
          <w:tblLook w:val="04A0" w:firstRow="1" w:lastRow="0" w:firstColumn="1" w:lastColumn="0" w:noHBand="0" w:noVBand="1"/>
        </w:tblPrEx>
        <w:tc>
          <w:tcPr>
            <w:tcW w:w="2830" w:type="dxa"/>
            <w:shd w:val="clear" w:color="auto" w:fill="auto"/>
            <w:vAlign w:val="center"/>
          </w:tcPr>
          <w:p w14:paraId="48A03175" w14:textId="77777777" w:rsidR="0043405F" w:rsidRPr="000E2B6C" w:rsidRDefault="0043405F" w:rsidP="00F84C40">
            <w:pPr>
              <w:jc w:val="center"/>
              <w:rPr>
                <w:rFonts w:ascii="Calibri" w:hAnsi="Calibri" w:cs="Calibri"/>
                <w:b/>
                <w:sz w:val="20"/>
                <w:szCs w:val="20"/>
              </w:rPr>
            </w:pPr>
            <w:r w:rsidRPr="000E2B6C">
              <w:rPr>
                <w:rFonts w:ascii="Calibri" w:hAnsi="Calibri" w:cs="Calibri"/>
                <w:b/>
                <w:sz w:val="20"/>
                <w:szCs w:val="20"/>
              </w:rPr>
              <w:t>Certyfikaty i standardy</w:t>
            </w:r>
          </w:p>
        </w:tc>
        <w:tc>
          <w:tcPr>
            <w:tcW w:w="7801" w:type="dxa"/>
            <w:shd w:val="clear" w:color="auto" w:fill="auto"/>
            <w:vAlign w:val="center"/>
          </w:tcPr>
          <w:p w14:paraId="4496423A" w14:textId="77777777" w:rsidR="0043405F" w:rsidRPr="000E2B6C" w:rsidRDefault="0043405F" w:rsidP="00F84C40">
            <w:pPr>
              <w:pStyle w:val="Akapitzlist"/>
              <w:numPr>
                <w:ilvl w:val="0"/>
                <w:numId w:val="6"/>
              </w:numPr>
              <w:ind w:left="284" w:hanging="227"/>
              <w:jc w:val="both"/>
              <w:rPr>
                <w:rFonts w:ascii="Calibri" w:hAnsi="Calibri" w:cs="Calibri"/>
                <w:bCs/>
                <w:sz w:val="18"/>
                <w:szCs w:val="18"/>
              </w:rPr>
            </w:pPr>
            <w:r w:rsidRPr="000E2B6C">
              <w:rPr>
                <w:rFonts w:ascii="Calibri" w:hAnsi="Calibri" w:cs="Calibri"/>
                <w:bCs/>
                <w:sz w:val="18"/>
                <w:szCs w:val="18"/>
              </w:rPr>
              <w:t>Certyfikat ISO 9001 dla producenta sprzętu (</w:t>
            </w:r>
            <w:r w:rsidRPr="000E2B6C">
              <w:rPr>
                <w:rFonts w:ascii="Calibri" w:hAnsi="Calibri" w:cs="Calibri"/>
                <w:bCs/>
                <w:color w:val="FF0000"/>
                <w:sz w:val="18"/>
                <w:szCs w:val="18"/>
              </w:rPr>
              <w:t>należy załączyć do oferty</w:t>
            </w:r>
            <w:r w:rsidRPr="000E2B6C">
              <w:rPr>
                <w:rFonts w:ascii="Calibri" w:hAnsi="Calibri" w:cs="Calibri"/>
                <w:bCs/>
                <w:sz w:val="18"/>
                <w:szCs w:val="18"/>
              </w:rPr>
              <w:t>).</w:t>
            </w:r>
          </w:p>
          <w:p w14:paraId="5377740D" w14:textId="77777777" w:rsidR="0043405F" w:rsidRPr="000E2B6C" w:rsidRDefault="0043405F" w:rsidP="00F84C40">
            <w:pPr>
              <w:pStyle w:val="Akapitzlist"/>
              <w:numPr>
                <w:ilvl w:val="0"/>
                <w:numId w:val="6"/>
              </w:numPr>
              <w:ind w:left="284" w:hanging="227"/>
              <w:jc w:val="both"/>
              <w:rPr>
                <w:rFonts w:ascii="Calibri" w:hAnsi="Calibri" w:cs="Calibri"/>
                <w:bCs/>
                <w:sz w:val="18"/>
                <w:szCs w:val="18"/>
              </w:rPr>
            </w:pPr>
            <w:r w:rsidRPr="000E2B6C">
              <w:rPr>
                <w:rFonts w:ascii="Calibri" w:hAnsi="Calibri" w:cs="Calibri"/>
                <w:bCs/>
                <w:sz w:val="18"/>
                <w:szCs w:val="18"/>
              </w:rPr>
              <w:t>Deklaracja zgodności CE (</w:t>
            </w:r>
            <w:r w:rsidRPr="000E2B6C">
              <w:rPr>
                <w:rFonts w:ascii="Calibri" w:hAnsi="Calibri" w:cs="Calibri"/>
                <w:bCs/>
                <w:color w:val="FF0000"/>
                <w:sz w:val="18"/>
                <w:szCs w:val="18"/>
              </w:rPr>
              <w:t>należy załączyć do oferty</w:t>
            </w:r>
            <w:r w:rsidRPr="000E2B6C">
              <w:rPr>
                <w:rFonts w:ascii="Calibri" w:hAnsi="Calibri" w:cs="Calibri"/>
                <w:bCs/>
                <w:sz w:val="18"/>
                <w:szCs w:val="18"/>
              </w:rPr>
              <w:t>).</w:t>
            </w:r>
          </w:p>
        </w:tc>
      </w:tr>
      <w:tr w:rsidR="0043405F" w:rsidRPr="000E2B6C" w14:paraId="2DE49A8C" w14:textId="77777777" w:rsidTr="0043405F">
        <w:tblPrEx>
          <w:jc w:val="left"/>
          <w:tblCellMar>
            <w:left w:w="108" w:type="dxa"/>
            <w:right w:w="108" w:type="dxa"/>
          </w:tblCellMar>
          <w:tblLook w:val="04A0" w:firstRow="1" w:lastRow="0" w:firstColumn="1" w:lastColumn="0" w:noHBand="0" w:noVBand="1"/>
        </w:tblPrEx>
        <w:tc>
          <w:tcPr>
            <w:tcW w:w="2830" w:type="dxa"/>
            <w:shd w:val="clear" w:color="auto" w:fill="auto"/>
            <w:vAlign w:val="center"/>
          </w:tcPr>
          <w:p w14:paraId="66BFDB6A" w14:textId="77777777" w:rsidR="0043405F" w:rsidRPr="000E2B6C" w:rsidRDefault="0043405F" w:rsidP="00F84C40">
            <w:pPr>
              <w:jc w:val="center"/>
              <w:rPr>
                <w:rFonts w:ascii="Calibri" w:hAnsi="Calibri" w:cs="Calibri"/>
                <w:bCs/>
                <w:sz w:val="20"/>
                <w:szCs w:val="20"/>
              </w:rPr>
            </w:pPr>
            <w:r w:rsidRPr="000E2B6C">
              <w:rPr>
                <w:rFonts w:ascii="Calibri" w:hAnsi="Calibri" w:cs="Calibri"/>
                <w:bCs/>
                <w:sz w:val="20"/>
                <w:szCs w:val="20"/>
              </w:rPr>
              <w:t>Wymagania dodatkowe</w:t>
            </w:r>
          </w:p>
        </w:tc>
        <w:tc>
          <w:tcPr>
            <w:tcW w:w="7801" w:type="dxa"/>
            <w:shd w:val="clear" w:color="auto" w:fill="auto"/>
            <w:vAlign w:val="center"/>
          </w:tcPr>
          <w:p w14:paraId="69515E87" w14:textId="77777777" w:rsidR="0043405F" w:rsidRPr="000E2B6C" w:rsidRDefault="0043405F" w:rsidP="00F84C40">
            <w:pPr>
              <w:rPr>
                <w:rFonts w:ascii="Calibri" w:hAnsi="Calibri" w:cs="Calibri"/>
                <w:bCs/>
                <w:color w:val="000000" w:themeColor="text1"/>
                <w:sz w:val="20"/>
                <w:szCs w:val="20"/>
              </w:rPr>
            </w:pPr>
            <w:r w:rsidRPr="000E2B6C">
              <w:rPr>
                <w:rFonts w:ascii="Calibri" w:hAnsi="Calibri" w:cs="Calibri"/>
                <w:bCs/>
                <w:color w:val="000000" w:themeColor="text1"/>
                <w:sz w:val="20"/>
                <w:szCs w:val="20"/>
              </w:rPr>
              <w:t xml:space="preserve">Dostępne porty: </w:t>
            </w:r>
          </w:p>
          <w:p w14:paraId="71A445E5" w14:textId="77777777" w:rsidR="0043405F" w:rsidRPr="00110144" w:rsidRDefault="0043405F" w:rsidP="00F84C40">
            <w:pPr>
              <w:numPr>
                <w:ilvl w:val="0"/>
                <w:numId w:val="5"/>
              </w:numPr>
              <w:rPr>
                <w:rFonts w:ascii="Calibri" w:hAnsi="Calibri" w:cs="Calibri"/>
                <w:bCs/>
                <w:color w:val="000000" w:themeColor="text1"/>
                <w:sz w:val="20"/>
                <w:szCs w:val="20"/>
                <w:lang w:val="en-GB"/>
              </w:rPr>
            </w:pPr>
            <w:r w:rsidRPr="00110144">
              <w:rPr>
                <w:rFonts w:ascii="Calibri" w:hAnsi="Calibri" w:cs="Calibri"/>
                <w:bCs/>
                <w:color w:val="000000" w:themeColor="text1"/>
                <w:sz w:val="20"/>
                <w:szCs w:val="20"/>
                <w:lang w:val="en-GB"/>
              </w:rPr>
              <w:t xml:space="preserve">Min. </w:t>
            </w:r>
            <w:r>
              <w:rPr>
                <w:rFonts w:ascii="Calibri" w:hAnsi="Calibri" w:cs="Calibri"/>
                <w:bCs/>
                <w:color w:val="000000" w:themeColor="text1"/>
                <w:sz w:val="20"/>
                <w:szCs w:val="20"/>
                <w:lang w:val="en-GB"/>
              </w:rPr>
              <w:t>2</w:t>
            </w:r>
            <w:r w:rsidRPr="00110144">
              <w:rPr>
                <w:rFonts w:ascii="Calibri" w:hAnsi="Calibri" w:cs="Calibri"/>
                <w:bCs/>
                <w:color w:val="000000" w:themeColor="text1"/>
                <w:sz w:val="20"/>
                <w:szCs w:val="20"/>
                <w:lang w:val="en-GB"/>
              </w:rPr>
              <w:t xml:space="preserve"> x HDMI 2.1, min. 4 x DisplayPort 1.4</w:t>
            </w:r>
          </w:p>
          <w:p w14:paraId="461A4EC3" w14:textId="77777777" w:rsidR="0043405F" w:rsidRPr="000E2B6C" w:rsidRDefault="0043405F" w:rsidP="00F84C40">
            <w:pPr>
              <w:numPr>
                <w:ilvl w:val="0"/>
                <w:numId w:val="5"/>
              </w:numPr>
              <w:rPr>
                <w:rFonts w:ascii="Calibri" w:hAnsi="Calibri" w:cs="Calibri"/>
                <w:bCs/>
                <w:color w:val="000000" w:themeColor="text1"/>
                <w:sz w:val="20"/>
                <w:szCs w:val="20"/>
              </w:rPr>
            </w:pPr>
            <w:r w:rsidRPr="000E2B6C">
              <w:rPr>
                <w:rFonts w:ascii="Calibri" w:hAnsi="Calibri" w:cs="Calibri"/>
                <w:bCs/>
                <w:color w:val="000000" w:themeColor="text1"/>
                <w:sz w:val="20"/>
                <w:szCs w:val="20"/>
              </w:rPr>
              <w:t xml:space="preserve">10 portów USB wyprowadzonych na zewnątrz obudowy, w układzie: </w:t>
            </w:r>
          </w:p>
          <w:p w14:paraId="7A4C7051" w14:textId="77777777" w:rsidR="0043405F" w:rsidRPr="000E2B6C" w:rsidRDefault="0043405F" w:rsidP="00F84C40">
            <w:pPr>
              <w:numPr>
                <w:ilvl w:val="1"/>
                <w:numId w:val="5"/>
              </w:numPr>
              <w:rPr>
                <w:rFonts w:ascii="Calibri" w:hAnsi="Calibri" w:cs="Calibri"/>
                <w:bCs/>
                <w:color w:val="000000" w:themeColor="text1"/>
                <w:sz w:val="20"/>
                <w:szCs w:val="20"/>
              </w:rPr>
            </w:pPr>
            <w:r w:rsidRPr="000E2B6C">
              <w:rPr>
                <w:rFonts w:ascii="Calibri" w:hAnsi="Calibri" w:cs="Calibri"/>
                <w:bCs/>
                <w:color w:val="000000" w:themeColor="text1"/>
                <w:sz w:val="20"/>
                <w:szCs w:val="20"/>
              </w:rPr>
              <w:t>Panel przedni: min. 2 x USB 2</w:t>
            </w:r>
            <w:r>
              <w:rPr>
                <w:rFonts w:ascii="Calibri" w:hAnsi="Calibri" w:cs="Calibri"/>
                <w:bCs/>
                <w:color w:val="000000" w:themeColor="text1"/>
                <w:sz w:val="20"/>
                <w:szCs w:val="20"/>
              </w:rPr>
              <w:t>.0</w:t>
            </w:r>
          </w:p>
          <w:p w14:paraId="617DDFB1" w14:textId="77777777" w:rsidR="0043405F" w:rsidRPr="00110144" w:rsidRDefault="0043405F" w:rsidP="00F84C40">
            <w:pPr>
              <w:numPr>
                <w:ilvl w:val="1"/>
                <w:numId w:val="5"/>
              </w:numPr>
              <w:rPr>
                <w:rFonts w:ascii="Calibri" w:hAnsi="Calibri" w:cs="Calibri"/>
                <w:bCs/>
                <w:color w:val="000000" w:themeColor="text1"/>
                <w:sz w:val="20"/>
                <w:szCs w:val="20"/>
                <w:lang w:val="en-GB"/>
              </w:rPr>
            </w:pPr>
            <w:r w:rsidRPr="00110144">
              <w:rPr>
                <w:rFonts w:ascii="Calibri" w:hAnsi="Calibri" w:cs="Calibri"/>
                <w:bCs/>
                <w:color w:val="000000" w:themeColor="text1"/>
                <w:sz w:val="20"/>
                <w:szCs w:val="20"/>
                <w:lang w:val="en-GB"/>
              </w:rPr>
              <w:t xml:space="preserve">Panel </w:t>
            </w:r>
            <w:proofErr w:type="spellStart"/>
            <w:r w:rsidRPr="00110144">
              <w:rPr>
                <w:rFonts w:ascii="Calibri" w:hAnsi="Calibri" w:cs="Calibri"/>
                <w:bCs/>
                <w:color w:val="000000" w:themeColor="text1"/>
                <w:sz w:val="20"/>
                <w:szCs w:val="20"/>
                <w:lang w:val="en-GB"/>
              </w:rPr>
              <w:t>tylny</w:t>
            </w:r>
            <w:proofErr w:type="spellEnd"/>
            <w:r w:rsidRPr="00110144">
              <w:rPr>
                <w:rFonts w:ascii="Calibri" w:hAnsi="Calibri" w:cs="Calibri"/>
                <w:bCs/>
                <w:color w:val="000000" w:themeColor="text1"/>
                <w:sz w:val="20"/>
                <w:szCs w:val="20"/>
                <w:lang w:val="en-GB"/>
              </w:rPr>
              <w:t>: 1 x USB 3.2 Type-C; 3 x USB 3.2; 4 x USB 2.0</w:t>
            </w:r>
          </w:p>
          <w:p w14:paraId="34FB6457" w14:textId="77777777" w:rsidR="0043405F" w:rsidRPr="000E2B6C" w:rsidRDefault="0043405F" w:rsidP="00F84C40">
            <w:pPr>
              <w:numPr>
                <w:ilvl w:val="0"/>
                <w:numId w:val="5"/>
              </w:numPr>
              <w:rPr>
                <w:rFonts w:ascii="Calibri" w:hAnsi="Calibri" w:cs="Calibri"/>
                <w:bCs/>
                <w:color w:val="000000" w:themeColor="text1"/>
                <w:sz w:val="20"/>
                <w:szCs w:val="20"/>
              </w:rPr>
            </w:pPr>
            <w:r w:rsidRPr="000E2B6C">
              <w:rPr>
                <w:rFonts w:ascii="Calibri" w:hAnsi="Calibri" w:cs="Calibri"/>
                <w:bCs/>
                <w:color w:val="000000" w:themeColor="text1"/>
                <w:sz w:val="20"/>
                <w:szCs w:val="20"/>
              </w:rPr>
              <w:t xml:space="preserve">Moduł </w:t>
            </w:r>
            <w:proofErr w:type="spellStart"/>
            <w:r w:rsidRPr="000E2B6C">
              <w:rPr>
                <w:rFonts w:ascii="Calibri" w:hAnsi="Calibri" w:cs="Calibri"/>
                <w:bCs/>
                <w:color w:val="000000" w:themeColor="text1"/>
                <w:sz w:val="20"/>
                <w:szCs w:val="20"/>
              </w:rPr>
              <w:t>WiFi</w:t>
            </w:r>
            <w:proofErr w:type="spellEnd"/>
          </w:p>
          <w:p w14:paraId="2B452BAF" w14:textId="77777777" w:rsidR="0043405F" w:rsidRPr="000E2B6C" w:rsidRDefault="0043405F" w:rsidP="00F84C40">
            <w:pPr>
              <w:numPr>
                <w:ilvl w:val="0"/>
                <w:numId w:val="5"/>
              </w:numPr>
              <w:rPr>
                <w:rFonts w:ascii="Calibri" w:hAnsi="Calibri" w:cs="Calibri"/>
                <w:bCs/>
                <w:color w:val="000000" w:themeColor="text1"/>
                <w:sz w:val="20"/>
                <w:szCs w:val="20"/>
              </w:rPr>
            </w:pPr>
            <w:r w:rsidRPr="000E2B6C">
              <w:rPr>
                <w:rFonts w:ascii="Calibri" w:hAnsi="Calibri" w:cs="Calibri"/>
                <w:bCs/>
                <w:color w:val="000000" w:themeColor="text1"/>
                <w:sz w:val="20"/>
                <w:szCs w:val="20"/>
              </w:rPr>
              <w:t>1 x RJ – 45 min. 2,5Gbit</w:t>
            </w:r>
          </w:p>
          <w:p w14:paraId="17A99665" w14:textId="77777777" w:rsidR="0043405F" w:rsidRPr="000E2B6C" w:rsidRDefault="0043405F" w:rsidP="00F84C40">
            <w:pPr>
              <w:numPr>
                <w:ilvl w:val="0"/>
                <w:numId w:val="5"/>
              </w:numPr>
              <w:rPr>
                <w:rFonts w:ascii="Calibri" w:hAnsi="Calibri" w:cs="Calibri"/>
                <w:bCs/>
                <w:color w:val="000000" w:themeColor="text1"/>
                <w:sz w:val="20"/>
                <w:szCs w:val="20"/>
              </w:rPr>
            </w:pPr>
            <w:r w:rsidRPr="000E2B6C">
              <w:rPr>
                <w:rFonts w:ascii="Calibri" w:hAnsi="Calibri" w:cs="Calibri"/>
                <w:bCs/>
                <w:color w:val="000000" w:themeColor="text1"/>
                <w:sz w:val="20"/>
                <w:szCs w:val="20"/>
              </w:rPr>
              <w:t>5 x Audio Jack</w:t>
            </w:r>
          </w:p>
          <w:p w14:paraId="5FFB4E8C" w14:textId="77777777" w:rsidR="0043405F" w:rsidRPr="000E2B6C" w:rsidRDefault="0043405F" w:rsidP="00F84C40">
            <w:pPr>
              <w:jc w:val="both"/>
              <w:rPr>
                <w:rFonts w:ascii="Calibri" w:hAnsi="Calibri" w:cs="Calibri"/>
                <w:bCs/>
                <w:color w:val="000000" w:themeColor="text1"/>
                <w:sz w:val="20"/>
                <w:szCs w:val="20"/>
              </w:rPr>
            </w:pPr>
            <w:r w:rsidRPr="000E2B6C">
              <w:rPr>
                <w:rFonts w:ascii="Calibri" w:hAnsi="Calibri" w:cs="Calibri"/>
                <w:bCs/>
                <w:color w:val="000000" w:themeColor="text1"/>
                <w:sz w:val="20"/>
                <w:szCs w:val="20"/>
              </w:rPr>
              <w:t xml:space="preserve">Wymagana ilość i rozmieszczenie (na zewnątrz obudowy komputera) wszystkich portów USB Typu A i Typu C nie może być osiągnięta w wyniku stosowania konwerterów, przejściówek lub </w:t>
            </w:r>
            <w:r w:rsidRPr="000E2B6C">
              <w:rPr>
                <w:rFonts w:ascii="Calibri" w:hAnsi="Calibri" w:cs="Calibri"/>
                <w:bCs/>
                <w:color w:val="000000" w:themeColor="text1"/>
                <w:sz w:val="20"/>
                <w:szCs w:val="20"/>
              </w:rPr>
              <w:lastRenderedPageBreak/>
              <w:t>przewodów połączeniowych itp. Zainstalowane porty nie mogą blokować instalacji kart rozszerzeń w złączach wymaganych w opisie płyty głównej.</w:t>
            </w:r>
          </w:p>
          <w:p w14:paraId="470130FE" w14:textId="77777777" w:rsidR="0043405F" w:rsidRPr="000E2B6C" w:rsidRDefault="0043405F" w:rsidP="00F84C40">
            <w:pPr>
              <w:jc w:val="both"/>
              <w:rPr>
                <w:rFonts w:ascii="Calibri" w:hAnsi="Calibri" w:cs="Calibri"/>
                <w:bCs/>
                <w:color w:val="000000" w:themeColor="text1"/>
                <w:sz w:val="20"/>
                <w:szCs w:val="20"/>
              </w:rPr>
            </w:pPr>
            <w:r w:rsidRPr="000E2B6C">
              <w:rPr>
                <w:rFonts w:ascii="Calibri" w:hAnsi="Calibri" w:cs="Calibri"/>
                <w:bCs/>
                <w:color w:val="000000" w:themeColor="text1"/>
                <w:sz w:val="20"/>
                <w:szCs w:val="20"/>
              </w:rPr>
              <w:t>Karta sieciowa 100/1000/2500 zintegrowana z płytą główną</w:t>
            </w:r>
          </w:p>
          <w:p w14:paraId="13C15BD7" w14:textId="77777777" w:rsidR="0043405F" w:rsidRPr="000E2B6C" w:rsidRDefault="0043405F" w:rsidP="00F84C40">
            <w:pPr>
              <w:jc w:val="both"/>
              <w:rPr>
                <w:rFonts w:ascii="Calibri" w:hAnsi="Calibri" w:cs="Calibri"/>
                <w:bCs/>
                <w:color w:val="000000" w:themeColor="text1"/>
                <w:sz w:val="20"/>
                <w:szCs w:val="20"/>
              </w:rPr>
            </w:pPr>
            <w:r w:rsidRPr="000E2B6C">
              <w:rPr>
                <w:rFonts w:ascii="Calibri" w:hAnsi="Calibri" w:cs="Calibri"/>
                <w:bCs/>
                <w:color w:val="000000" w:themeColor="text1"/>
                <w:sz w:val="20"/>
                <w:szCs w:val="20"/>
              </w:rPr>
              <w:t xml:space="preserve">Karta WIFI a, b, g, n, </w:t>
            </w:r>
            <w:proofErr w:type="spellStart"/>
            <w:r w:rsidRPr="000E2B6C">
              <w:rPr>
                <w:rFonts w:ascii="Calibri" w:hAnsi="Calibri" w:cs="Calibri"/>
                <w:bCs/>
                <w:color w:val="000000" w:themeColor="text1"/>
                <w:sz w:val="20"/>
                <w:szCs w:val="20"/>
              </w:rPr>
              <w:t>ac</w:t>
            </w:r>
            <w:proofErr w:type="spellEnd"/>
            <w:r w:rsidRPr="000E2B6C">
              <w:rPr>
                <w:rFonts w:ascii="Calibri" w:hAnsi="Calibri" w:cs="Calibri"/>
                <w:bCs/>
                <w:color w:val="000000" w:themeColor="text1"/>
                <w:sz w:val="20"/>
                <w:szCs w:val="20"/>
              </w:rPr>
              <w:t xml:space="preserve">, </w:t>
            </w:r>
            <w:proofErr w:type="spellStart"/>
            <w:r w:rsidRPr="000E2B6C">
              <w:rPr>
                <w:rFonts w:ascii="Calibri" w:hAnsi="Calibri" w:cs="Calibri"/>
                <w:bCs/>
                <w:color w:val="000000" w:themeColor="text1"/>
                <w:sz w:val="20"/>
                <w:szCs w:val="20"/>
              </w:rPr>
              <w:t>ax</w:t>
            </w:r>
            <w:proofErr w:type="spellEnd"/>
            <w:r w:rsidRPr="000E2B6C">
              <w:rPr>
                <w:rFonts w:ascii="Calibri" w:hAnsi="Calibri" w:cs="Calibri"/>
                <w:bCs/>
                <w:color w:val="000000" w:themeColor="text1"/>
                <w:sz w:val="20"/>
                <w:szCs w:val="20"/>
              </w:rPr>
              <w:t>, obsługa pasm 2.4/5 GHz, BLUETOOTH min. 5.2</w:t>
            </w:r>
          </w:p>
          <w:p w14:paraId="7BECF93B" w14:textId="77777777" w:rsidR="0043405F" w:rsidRPr="000E2B6C" w:rsidRDefault="0043405F" w:rsidP="00F84C40">
            <w:pPr>
              <w:jc w:val="both"/>
              <w:rPr>
                <w:rFonts w:ascii="Calibri" w:hAnsi="Calibri" w:cs="Calibri"/>
                <w:bCs/>
                <w:color w:val="000000" w:themeColor="text1"/>
                <w:sz w:val="20"/>
                <w:szCs w:val="20"/>
              </w:rPr>
            </w:pPr>
            <w:r w:rsidRPr="000E2B6C">
              <w:rPr>
                <w:rFonts w:ascii="Calibri" w:hAnsi="Calibri" w:cs="Calibri"/>
                <w:bCs/>
                <w:color w:val="000000" w:themeColor="text1"/>
                <w:sz w:val="20"/>
                <w:szCs w:val="20"/>
              </w:rPr>
              <w:t xml:space="preserve">Płyta główna dedykowana dla danego urządzenia, wyposażona w: </w:t>
            </w:r>
          </w:p>
          <w:p w14:paraId="4D223A21" w14:textId="77777777" w:rsidR="0043405F" w:rsidRPr="00110144" w:rsidRDefault="0043405F" w:rsidP="00F84C40">
            <w:pPr>
              <w:jc w:val="both"/>
              <w:rPr>
                <w:rFonts w:ascii="Calibri" w:hAnsi="Calibri" w:cs="Calibri"/>
                <w:bCs/>
                <w:color w:val="000000" w:themeColor="text1"/>
                <w:sz w:val="20"/>
                <w:szCs w:val="20"/>
                <w:lang w:val="en-GB"/>
              </w:rPr>
            </w:pPr>
            <w:r w:rsidRPr="00110144">
              <w:rPr>
                <w:rFonts w:ascii="Calibri" w:hAnsi="Calibri" w:cs="Calibri"/>
                <w:bCs/>
                <w:color w:val="000000" w:themeColor="text1"/>
                <w:sz w:val="20"/>
                <w:szCs w:val="20"/>
                <w:lang w:val="en-GB"/>
              </w:rPr>
              <w:t>1 x PCI Express x16 slot PCIe 4.0</w:t>
            </w:r>
          </w:p>
          <w:p w14:paraId="351CDAD5" w14:textId="77777777" w:rsidR="0043405F" w:rsidRPr="00110144" w:rsidRDefault="0043405F" w:rsidP="00F84C40">
            <w:pPr>
              <w:jc w:val="both"/>
              <w:rPr>
                <w:rFonts w:ascii="Calibri" w:hAnsi="Calibri" w:cs="Calibri"/>
                <w:bCs/>
                <w:color w:val="000000" w:themeColor="text1"/>
                <w:sz w:val="20"/>
                <w:szCs w:val="20"/>
                <w:lang w:val="en-GB"/>
              </w:rPr>
            </w:pPr>
            <w:r w:rsidRPr="00110144">
              <w:rPr>
                <w:rFonts w:ascii="Calibri" w:hAnsi="Calibri" w:cs="Calibri"/>
                <w:bCs/>
                <w:color w:val="000000" w:themeColor="text1"/>
                <w:sz w:val="20"/>
                <w:szCs w:val="20"/>
                <w:lang w:val="en-GB"/>
              </w:rPr>
              <w:t>1 x PCI Express x1 slot PCIe 4.0</w:t>
            </w:r>
          </w:p>
          <w:p w14:paraId="2F03E4DD" w14:textId="77777777" w:rsidR="0043405F" w:rsidRPr="000E2B6C" w:rsidRDefault="0043405F" w:rsidP="00F84C40">
            <w:pPr>
              <w:jc w:val="both"/>
              <w:rPr>
                <w:rFonts w:ascii="Calibri" w:hAnsi="Calibri" w:cs="Calibri"/>
                <w:bCs/>
                <w:color w:val="000000" w:themeColor="text1"/>
                <w:sz w:val="20"/>
                <w:szCs w:val="20"/>
              </w:rPr>
            </w:pPr>
            <w:r w:rsidRPr="000E2B6C">
              <w:rPr>
                <w:rFonts w:ascii="Calibri" w:hAnsi="Calibri" w:cs="Calibri"/>
                <w:bCs/>
                <w:color w:val="000000" w:themeColor="text1"/>
                <w:sz w:val="20"/>
                <w:szCs w:val="20"/>
              </w:rPr>
              <w:t xml:space="preserve">4 x DIMM z obsługą do 192 GB DDR5 RAM, </w:t>
            </w:r>
          </w:p>
          <w:p w14:paraId="436FB0B3" w14:textId="77777777" w:rsidR="0043405F" w:rsidRPr="000E2B6C" w:rsidRDefault="0043405F" w:rsidP="00F84C40">
            <w:pPr>
              <w:jc w:val="both"/>
              <w:rPr>
                <w:rFonts w:ascii="Calibri" w:hAnsi="Calibri" w:cs="Calibri"/>
                <w:bCs/>
                <w:color w:val="000000" w:themeColor="text1"/>
                <w:sz w:val="20"/>
                <w:szCs w:val="20"/>
              </w:rPr>
            </w:pPr>
            <w:r w:rsidRPr="000E2B6C">
              <w:rPr>
                <w:rFonts w:ascii="Calibri" w:hAnsi="Calibri" w:cs="Calibri"/>
                <w:bCs/>
                <w:color w:val="000000" w:themeColor="text1"/>
                <w:sz w:val="20"/>
                <w:szCs w:val="20"/>
              </w:rPr>
              <w:t>4 x SATA III,</w:t>
            </w:r>
          </w:p>
          <w:p w14:paraId="2EDAA8A2" w14:textId="77777777" w:rsidR="0043405F" w:rsidRPr="000E2B6C" w:rsidRDefault="0043405F" w:rsidP="00F84C40">
            <w:pPr>
              <w:rPr>
                <w:rFonts w:ascii="Calibri" w:hAnsi="Calibri" w:cs="Calibri"/>
                <w:bCs/>
                <w:color w:val="000000" w:themeColor="text1"/>
                <w:sz w:val="20"/>
                <w:szCs w:val="20"/>
              </w:rPr>
            </w:pPr>
            <w:r w:rsidRPr="000E2B6C">
              <w:rPr>
                <w:rFonts w:ascii="Calibri" w:hAnsi="Calibri" w:cs="Calibri"/>
                <w:bCs/>
                <w:color w:val="000000" w:themeColor="text1"/>
                <w:sz w:val="20"/>
                <w:szCs w:val="20"/>
              </w:rPr>
              <w:t xml:space="preserve">Min. 2 złącza M.2 dla dysków </w:t>
            </w:r>
            <w:proofErr w:type="spellStart"/>
            <w:r w:rsidRPr="000E2B6C">
              <w:rPr>
                <w:rFonts w:ascii="Calibri" w:hAnsi="Calibri" w:cs="Calibri"/>
                <w:bCs/>
                <w:color w:val="000000" w:themeColor="text1"/>
                <w:sz w:val="20"/>
                <w:szCs w:val="20"/>
              </w:rPr>
              <w:t>NVMe</w:t>
            </w:r>
            <w:proofErr w:type="spellEnd"/>
            <w:r w:rsidRPr="000E2B6C">
              <w:rPr>
                <w:rFonts w:ascii="Calibri" w:hAnsi="Calibri" w:cs="Calibri"/>
                <w:bCs/>
                <w:color w:val="000000" w:themeColor="text1"/>
                <w:sz w:val="20"/>
                <w:szCs w:val="20"/>
              </w:rPr>
              <w:t xml:space="preserve"> </w:t>
            </w:r>
            <w:proofErr w:type="spellStart"/>
            <w:r w:rsidRPr="000E2B6C">
              <w:rPr>
                <w:rFonts w:ascii="Calibri" w:hAnsi="Calibri" w:cs="Calibri"/>
                <w:bCs/>
                <w:color w:val="000000" w:themeColor="text1"/>
                <w:sz w:val="20"/>
                <w:szCs w:val="20"/>
              </w:rPr>
              <w:t>PCIe</w:t>
            </w:r>
            <w:proofErr w:type="spellEnd"/>
            <w:r w:rsidRPr="000E2B6C">
              <w:rPr>
                <w:rFonts w:ascii="Calibri" w:hAnsi="Calibri" w:cs="Calibri"/>
                <w:bCs/>
                <w:color w:val="000000" w:themeColor="text1"/>
                <w:sz w:val="20"/>
                <w:szCs w:val="20"/>
              </w:rPr>
              <w:t xml:space="preserve"> 5.0 x4 z obsługą RAID 0/1/10</w:t>
            </w:r>
          </w:p>
          <w:p w14:paraId="15840E05" w14:textId="77777777" w:rsidR="0043405F" w:rsidRPr="000E2B6C" w:rsidRDefault="0043405F" w:rsidP="00F84C40">
            <w:pPr>
              <w:jc w:val="both"/>
              <w:rPr>
                <w:rFonts w:ascii="Calibri" w:hAnsi="Calibri" w:cs="Calibri"/>
                <w:bCs/>
                <w:color w:val="000000" w:themeColor="text1"/>
                <w:sz w:val="20"/>
                <w:szCs w:val="20"/>
              </w:rPr>
            </w:pPr>
            <w:r w:rsidRPr="000E2B6C">
              <w:rPr>
                <w:rFonts w:ascii="Calibri" w:hAnsi="Calibri" w:cs="Calibri"/>
                <w:bCs/>
                <w:color w:val="000000" w:themeColor="text1"/>
                <w:sz w:val="20"/>
                <w:szCs w:val="20"/>
              </w:rPr>
              <w:t xml:space="preserve">Zintegrowany z płytą główną kontroler </w:t>
            </w:r>
            <w:r>
              <w:rPr>
                <w:rFonts w:ascii="Calibri" w:hAnsi="Calibri" w:cs="Calibri"/>
                <w:bCs/>
                <w:color w:val="000000" w:themeColor="text1"/>
                <w:sz w:val="20"/>
                <w:szCs w:val="20"/>
              </w:rPr>
              <w:t xml:space="preserve">SATA </w:t>
            </w:r>
            <w:r w:rsidRPr="000E2B6C">
              <w:rPr>
                <w:rFonts w:ascii="Calibri" w:hAnsi="Calibri" w:cs="Calibri"/>
                <w:bCs/>
                <w:color w:val="000000" w:themeColor="text1"/>
                <w:sz w:val="20"/>
                <w:szCs w:val="20"/>
              </w:rPr>
              <w:t>RAID 0/1/10</w:t>
            </w:r>
          </w:p>
          <w:p w14:paraId="061A8E04" w14:textId="77777777" w:rsidR="0043405F" w:rsidRPr="000E2B6C" w:rsidRDefault="0043405F" w:rsidP="00F84C40">
            <w:pPr>
              <w:jc w:val="both"/>
              <w:rPr>
                <w:rFonts w:ascii="Calibri" w:hAnsi="Calibri" w:cs="Calibri"/>
                <w:bCs/>
                <w:color w:val="000000" w:themeColor="text1"/>
                <w:sz w:val="20"/>
                <w:szCs w:val="20"/>
              </w:rPr>
            </w:pPr>
            <w:r w:rsidRPr="000E2B6C">
              <w:rPr>
                <w:rFonts w:ascii="Calibri" w:hAnsi="Calibri" w:cs="Calibri"/>
                <w:bCs/>
                <w:color w:val="000000" w:themeColor="text1"/>
                <w:sz w:val="20"/>
                <w:szCs w:val="20"/>
              </w:rPr>
              <w:t>Zestaw bezprzewodowy mysz + klawiatura: łączność 2.4 GHz, Bluetooth 5.0, zgodność z normą AES-128</w:t>
            </w:r>
          </w:p>
          <w:p w14:paraId="43C6EBC5" w14:textId="77777777" w:rsidR="0043405F" w:rsidRPr="000E2B6C" w:rsidRDefault="0043405F" w:rsidP="00F84C40">
            <w:pPr>
              <w:jc w:val="both"/>
              <w:rPr>
                <w:rFonts w:ascii="Calibri" w:hAnsi="Calibri" w:cs="Calibri"/>
                <w:bCs/>
                <w:sz w:val="20"/>
                <w:szCs w:val="20"/>
              </w:rPr>
            </w:pPr>
            <w:r w:rsidRPr="000E2B6C">
              <w:rPr>
                <w:rFonts w:ascii="Calibri" w:hAnsi="Calibri" w:cs="Calibri"/>
                <w:bCs/>
                <w:color w:val="000000" w:themeColor="text1"/>
                <w:sz w:val="20"/>
                <w:szCs w:val="20"/>
              </w:rPr>
              <w:t xml:space="preserve">Klawiatura w układzie QWERTY, przełącznik do zmiany sposobu łączności, wskaźnik niskiego poziomu baterii, wskaźniki rodzaju połączenia bezprzewodowego, min. 10 programowalnych </w:t>
            </w:r>
            <w:r w:rsidRPr="000E2B6C">
              <w:rPr>
                <w:rFonts w:ascii="Calibri" w:hAnsi="Calibri" w:cs="Calibri"/>
                <w:bCs/>
                <w:sz w:val="20"/>
                <w:szCs w:val="20"/>
              </w:rPr>
              <w:t>klawiszy, min. 4 klawisze specjalne</w:t>
            </w:r>
          </w:p>
          <w:p w14:paraId="414FC6DF" w14:textId="77777777" w:rsidR="0043405F" w:rsidRPr="000E2B6C" w:rsidRDefault="0043405F" w:rsidP="00F84C40">
            <w:pPr>
              <w:rPr>
                <w:rFonts w:ascii="Calibri" w:hAnsi="Calibri" w:cs="Calibri"/>
                <w:bCs/>
                <w:sz w:val="20"/>
                <w:szCs w:val="20"/>
              </w:rPr>
            </w:pPr>
            <w:r w:rsidRPr="000E2B6C">
              <w:rPr>
                <w:rFonts w:ascii="Calibri" w:hAnsi="Calibri" w:cs="Calibri"/>
                <w:bCs/>
                <w:sz w:val="20"/>
                <w:szCs w:val="20"/>
              </w:rPr>
              <w:t xml:space="preserve">Optyczna mysz z rolką, czułość do 4000 </w:t>
            </w:r>
            <w:proofErr w:type="spellStart"/>
            <w:r w:rsidRPr="000E2B6C">
              <w:rPr>
                <w:rFonts w:ascii="Calibri" w:hAnsi="Calibri" w:cs="Calibri"/>
                <w:bCs/>
                <w:sz w:val="20"/>
                <w:szCs w:val="20"/>
              </w:rPr>
              <w:t>dpi</w:t>
            </w:r>
            <w:proofErr w:type="spellEnd"/>
            <w:r w:rsidRPr="000E2B6C">
              <w:rPr>
                <w:rFonts w:ascii="Calibri" w:hAnsi="Calibri" w:cs="Calibri"/>
                <w:bCs/>
                <w:sz w:val="20"/>
                <w:szCs w:val="20"/>
              </w:rPr>
              <w:t>, min. 7 przycisków, przycisk zmiany czułości, wskaźniki sygnalizacji rodzaju połączenia bezprzewodowego, przełącznik do zmiany czułości</w:t>
            </w:r>
          </w:p>
          <w:p w14:paraId="2C8D3ED7" w14:textId="77777777" w:rsidR="0043405F" w:rsidRPr="000E2B6C" w:rsidRDefault="0043405F" w:rsidP="00F84C40">
            <w:pPr>
              <w:rPr>
                <w:rFonts w:ascii="Calibri" w:hAnsi="Calibri" w:cs="Calibri"/>
                <w:bCs/>
                <w:sz w:val="20"/>
                <w:szCs w:val="20"/>
              </w:rPr>
            </w:pPr>
            <w:r w:rsidRPr="000E2B6C">
              <w:rPr>
                <w:rFonts w:ascii="Calibri" w:hAnsi="Calibri" w:cs="Calibri"/>
                <w:bCs/>
                <w:sz w:val="20"/>
                <w:szCs w:val="20"/>
              </w:rPr>
              <w:t>Dołączony oprogramowanie</w:t>
            </w:r>
          </w:p>
          <w:p w14:paraId="41B0922D" w14:textId="77777777" w:rsidR="0043405F" w:rsidRPr="000E2B6C" w:rsidRDefault="0043405F" w:rsidP="00F84C40">
            <w:pPr>
              <w:rPr>
                <w:rFonts w:ascii="Calibri" w:hAnsi="Calibri" w:cs="Calibri"/>
                <w:bCs/>
                <w:color w:val="000000" w:themeColor="text1"/>
                <w:sz w:val="20"/>
                <w:szCs w:val="20"/>
              </w:rPr>
            </w:pPr>
            <w:r w:rsidRPr="000E2B6C">
              <w:rPr>
                <w:rFonts w:ascii="Calibri" w:hAnsi="Calibri" w:cs="Calibri"/>
                <w:bCs/>
                <w:color w:val="000000" w:themeColor="text1"/>
                <w:sz w:val="20"/>
                <w:szCs w:val="20"/>
              </w:rPr>
              <w:t>Opakowanie musi być wykonane z materiałów podlegających powtórnemu przetworzeniu.</w:t>
            </w:r>
          </w:p>
        </w:tc>
      </w:tr>
      <w:tr w:rsidR="0043405F" w:rsidRPr="000E2B6C" w14:paraId="7781F1DA" w14:textId="77777777" w:rsidTr="0043405F">
        <w:tblPrEx>
          <w:jc w:val="left"/>
          <w:tblCellMar>
            <w:left w:w="108" w:type="dxa"/>
            <w:right w:w="108" w:type="dxa"/>
          </w:tblCellMar>
          <w:tblLook w:val="04A0" w:firstRow="1" w:lastRow="0" w:firstColumn="1" w:lastColumn="0" w:noHBand="0" w:noVBand="1"/>
        </w:tblPrEx>
        <w:trPr>
          <w:trHeight w:val="631"/>
        </w:trPr>
        <w:tc>
          <w:tcPr>
            <w:tcW w:w="2830" w:type="dxa"/>
            <w:shd w:val="clear" w:color="auto" w:fill="auto"/>
            <w:vAlign w:val="center"/>
          </w:tcPr>
          <w:p w14:paraId="3609AA4D" w14:textId="77777777" w:rsidR="0043405F" w:rsidRPr="000E2B6C" w:rsidRDefault="0043405F" w:rsidP="00F84C40">
            <w:pPr>
              <w:jc w:val="center"/>
              <w:rPr>
                <w:rFonts w:ascii="Calibri" w:hAnsi="Calibri" w:cs="Calibri"/>
                <w:b/>
                <w:sz w:val="20"/>
                <w:szCs w:val="20"/>
              </w:rPr>
            </w:pPr>
            <w:r w:rsidRPr="000E2B6C">
              <w:rPr>
                <w:rFonts w:ascii="Calibri" w:hAnsi="Calibri" w:cs="Calibri"/>
                <w:b/>
                <w:sz w:val="20"/>
                <w:szCs w:val="20"/>
              </w:rPr>
              <w:lastRenderedPageBreak/>
              <w:t>Ergonomia</w:t>
            </w:r>
          </w:p>
        </w:tc>
        <w:tc>
          <w:tcPr>
            <w:tcW w:w="7801" w:type="dxa"/>
            <w:shd w:val="clear" w:color="auto" w:fill="auto"/>
            <w:vAlign w:val="center"/>
          </w:tcPr>
          <w:p w14:paraId="2BD723B7" w14:textId="77777777" w:rsidR="0043405F" w:rsidRPr="000E2B6C" w:rsidRDefault="0043405F" w:rsidP="00F84C40">
            <w:pPr>
              <w:rPr>
                <w:rFonts w:ascii="Calibri" w:hAnsi="Calibri" w:cs="Calibri"/>
                <w:bCs/>
                <w:color w:val="000000" w:themeColor="text1"/>
                <w:sz w:val="20"/>
                <w:szCs w:val="20"/>
              </w:rPr>
            </w:pPr>
            <w:r w:rsidRPr="000E2B6C">
              <w:rPr>
                <w:rFonts w:ascii="Calibri" w:hAnsi="Calibri" w:cs="Calibri"/>
                <w:bCs/>
                <w:color w:val="000000" w:themeColor="text1"/>
                <w:sz w:val="20"/>
                <w:szCs w:val="20"/>
              </w:rPr>
              <w:t>Głośność wentylatora procesora mierzona zgodnie z normami w pozycji obserwatora w trybie pracy na standardowych obrotach wynosząca maksymalnie 2</w:t>
            </w:r>
            <w:r>
              <w:rPr>
                <w:rFonts w:ascii="Calibri" w:hAnsi="Calibri" w:cs="Calibri"/>
                <w:bCs/>
                <w:color w:val="000000" w:themeColor="text1"/>
                <w:sz w:val="20"/>
                <w:szCs w:val="20"/>
              </w:rPr>
              <w:t>3</w:t>
            </w:r>
            <w:r w:rsidRPr="000E2B6C">
              <w:rPr>
                <w:rFonts w:ascii="Calibri" w:hAnsi="Calibri" w:cs="Calibri"/>
                <w:bCs/>
                <w:color w:val="000000" w:themeColor="text1"/>
                <w:sz w:val="20"/>
                <w:szCs w:val="20"/>
              </w:rPr>
              <w:t xml:space="preserve"> </w:t>
            </w:r>
            <w:proofErr w:type="spellStart"/>
            <w:r w:rsidRPr="000E2B6C">
              <w:rPr>
                <w:rFonts w:ascii="Calibri" w:hAnsi="Calibri" w:cs="Calibri"/>
                <w:bCs/>
                <w:color w:val="000000" w:themeColor="text1"/>
                <w:sz w:val="20"/>
                <w:szCs w:val="20"/>
              </w:rPr>
              <w:t>dB</w:t>
            </w:r>
            <w:proofErr w:type="spellEnd"/>
            <w:r w:rsidRPr="000E2B6C">
              <w:rPr>
                <w:rFonts w:ascii="Calibri" w:hAnsi="Calibri" w:cs="Calibri"/>
                <w:bCs/>
                <w:color w:val="000000" w:themeColor="text1"/>
                <w:sz w:val="20"/>
                <w:szCs w:val="20"/>
              </w:rPr>
              <w:t xml:space="preserve">. </w:t>
            </w:r>
          </w:p>
        </w:tc>
      </w:tr>
      <w:tr w:rsidR="0043405F" w:rsidRPr="000E2B6C" w14:paraId="3C50CE62" w14:textId="77777777" w:rsidTr="0043405F">
        <w:tblPrEx>
          <w:jc w:val="left"/>
          <w:tblCellMar>
            <w:left w:w="108" w:type="dxa"/>
            <w:right w:w="108" w:type="dxa"/>
          </w:tblCellMar>
          <w:tblLook w:val="04A0" w:firstRow="1" w:lastRow="0" w:firstColumn="1" w:lastColumn="0" w:noHBand="0" w:noVBand="1"/>
        </w:tblPrEx>
        <w:tc>
          <w:tcPr>
            <w:tcW w:w="2830" w:type="dxa"/>
            <w:shd w:val="clear" w:color="auto" w:fill="auto"/>
            <w:vAlign w:val="center"/>
          </w:tcPr>
          <w:p w14:paraId="4F28383F" w14:textId="77777777" w:rsidR="0043405F" w:rsidRPr="000E2B6C" w:rsidRDefault="0043405F" w:rsidP="00F84C40">
            <w:pPr>
              <w:jc w:val="center"/>
              <w:rPr>
                <w:rFonts w:ascii="Calibri" w:hAnsi="Calibri" w:cs="Calibri"/>
                <w:b/>
                <w:sz w:val="20"/>
                <w:szCs w:val="20"/>
              </w:rPr>
            </w:pPr>
            <w:r w:rsidRPr="000E2B6C">
              <w:rPr>
                <w:rFonts w:ascii="Calibri" w:hAnsi="Calibri" w:cs="Calibri"/>
                <w:b/>
                <w:sz w:val="20"/>
                <w:szCs w:val="20"/>
              </w:rPr>
              <w:t>Warunki gwarancji</w:t>
            </w:r>
          </w:p>
        </w:tc>
        <w:tc>
          <w:tcPr>
            <w:tcW w:w="7801" w:type="dxa"/>
            <w:shd w:val="clear" w:color="auto" w:fill="auto"/>
            <w:vAlign w:val="center"/>
          </w:tcPr>
          <w:p w14:paraId="5502B30F" w14:textId="77777777" w:rsidR="0043405F" w:rsidRPr="000E2B6C" w:rsidRDefault="0043405F" w:rsidP="00F84C40">
            <w:pPr>
              <w:jc w:val="both"/>
              <w:rPr>
                <w:rFonts w:ascii="Calibri" w:hAnsi="Calibri" w:cs="Calibri"/>
                <w:sz w:val="20"/>
                <w:szCs w:val="20"/>
              </w:rPr>
            </w:pPr>
            <w:r w:rsidRPr="000E2B6C">
              <w:rPr>
                <w:rFonts w:ascii="Calibri" w:hAnsi="Calibri" w:cs="Calibri"/>
                <w:sz w:val="20"/>
                <w:szCs w:val="20"/>
              </w:rPr>
              <w:t>Zamawiający wymaga narzędzia do zarządzania zgłoszeniami serwisowymi samodzielnie przez portal internetowy lub inne narzędzie niewymagające działań po stronie dostawcy. Narzędzie powinno umożliwiać:</w:t>
            </w:r>
          </w:p>
          <w:p w14:paraId="639C2F0C" w14:textId="77777777" w:rsidR="0043405F" w:rsidRPr="000E2B6C" w:rsidRDefault="0043405F" w:rsidP="00F84C40">
            <w:pPr>
              <w:jc w:val="both"/>
              <w:rPr>
                <w:rFonts w:ascii="Calibri" w:hAnsi="Calibri" w:cs="Calibri"/>
                <w:sz w:val="20"/>
                <w:szCs w:val="20"/>
              </w:rPr>
            </w:pPr>
            <w:r w:rsidRPr="000E2B6C">
              <w:rPr>
                <w:rFonts w:ascii="Calibri" w:hAnsi="Calibri" w:cs="Calibri"/>
                <w:sz w:val="20"/>
                <w:szCs w:val="20"/>
              </w:rPr>
              <w:t>- samodzielne wystawianie zgłoszeń serwisowych, śledzenie stanu zgłoszenia, komunikację z serwisem przez edycję zlecenia i stanu zlecenia</w:t>
            </w:r>
          </w:p>
          <w:p w14:paraId="79C5CF13" w14:textId="77777777" w:rsidR="0043405F" w:rsidRPr="000E2B6C" w:rsidRDefault="0043405F" w:rsidP="00F84C40">
            <w:pPr>
              <w:jc w:val="both"/>
              <w:rPr>
                <w:rFonts w:ascii="Calibri" w:hAnsi="Calibri" w:cs="Calibri"/>
                <w:sz w:val="20"/>
                <w:szCs w:val="20"/>
              </w:rPr>
            </w:pPr>
            <w:r w:rsidRPr="000E2B6C">
              <w:rPr>
                <w:rFonts w:ascii="Calibri" w:hAnsi="Calibri" w:cs="Calibri"/>
                <w:sz w:val="20"/>
                <w:szCs w:val="20"/>
              </w:rPr>
              <w:t>- dostęp do materiałów serwisowych</w:t>
            </w:r>
          </w:p>
          <w:p w14:paraId="34A60570" w14:textId="77777777" w:rsidR="0043405F" w:rsidRPr="000E2B6C" w:rsidRDefault="0043405F" w:rsidP="00F84C40">
            <w:pPr>
              <w:jc w:val="both"/>
              <w:rPr>
                <w:rFonts w:ascii="Calibri" w:hAnsi="Calibri" w:cs="Calibri"/>
                <w:sz w:val="20"/>
                <w:szCs w:val="20"/>
              </w:rPr>
            </w:pPr>
            <w:r w:rsidRPr="000E2B6C">
              <w:rPr>
                <w:rFonts w:ascii="Calibri" w:hAnsi="Calibri" w:cs="Calibri"/>
                <w:sz w:val="20"/>
                <w:szCs w:val="20"/>
              </w:rPr>
              <w:t>- dostęp do materiałów szkoleniowych</w:t>
            </w:r>
          </w:p>
          <w:p w14:paraId="602B6523" w14:textId="77777777" w:rsidR="0043405F" w:rsidRPr="000E2B6C" w:rsidRDefault="0043405F" w:rsidP="00F84C40">
            <w:pPr>
              <w:jc w:val="both"/>
              <w:rPr>
                <w:rFonts w:ascii="Calibri" w:hAnsi="Calibri" w:cs="Calibri"/>
                <w:sz w:val="20"/>
                <w:szCs w:val="20"/>
              </w:rPr>
            </w:pPr>
            <w:r w:rsidRPr="000E2B6C">
              <w:rPr>
                <w:rFonts w:ascii="Calibri" w:hAnsi="Calibri" w:cs="Calibri"/>
                <w:sz w:val="20"/>
                <w:szCs w:val="20"/>
              </w:rPr>
              <w:t xml:space="preserve">- możliwość dodawania plików do otwieranego lub otwartego zlecenia (zdjęcia uszkodzeń, opisy etc.) </w:t>
            </w:r>
          </w:p>
          <w:p w14:paraId="7BD3EC8B" w14:textId="77777777" w:rsidR="0043405F" w:rsidRPr="000E2B6C" w:rsidRDefault="0043405F" w:rsidP="00F84C40">
            <w:pPr>
              <w:jc w:val="both"/>
              <w:rPr>
                <w:rFonts w:ascii="Calibri" w:hAnsi="Calibri" w:cs="Calibri"/>
                <w:sz w:val="20"/>
                <w:szCs w:val="20"/>
              </w:rPr>
            </w:pPr>
            <w:r w:rsidRPr="000E2B6C">
              <w:rPr>
                <w:rFonts w:ascii="Calibri" w:hAnsi="Calibri" w:cs="Calibri"/>
                <w:sz w:val="20"/>
                <w:szCs w:val="20"/>
              </w:rPr>
              <w:t>- śledzenie historii zleceń - raporty ze zleceń, historia - dla poszczególnych zleceń lub dla poszczególnych komputerów</w:t>
            </w:r>
          </w:p>
          <w:p w14:paraId="0C2681DE" w14:textId="77777777" w:rsidR="0043405F" w:rsidRPr="000E2B6C" w:rsidRDefault="0043405F" w:rsidP="00F84C40">
            <w:pPr>
              <w:jc w:val="both"/>
              <w:rPr>
                <w:rFonts w:ascii="Calibri" w:hAnsi="Calibri" w:cs="Calibri"/>
                <w:sz w:val="20"/>
                <w:szCs w:val="20"/>
              </w:rPr>
            </w:pPr>
            <w:r w:rsidRPr="000E2B6C">
              <w:rPr>
                <w:rFonts w:ascii="Calibri" w:hAnsi="Calibri" w:cs="Calibri"/>
                <w:sz w:val="20"/>
                <w:szCs w:val="20"/>
              </w:rPr>
              <w:t xml:space="preserve">- możliwość udostępniania zleceń w portalu innym użytkownikom Zamawiającego </w:t>
            </w:r>
          </w:p>
        </w:tc>
      </w:tr>
      <w:tr w:rsidR="0043405F" w:rsidRPr="000E2B6C" w14:paraId="2ACE32FB" w14:textId="77777777" w:rsidTr="0043405F">
        <w:tblPrEx>
          <w:jc w:val="left"/>
          <w:tblCellMar>
            <w:left w:w="108" w:type="dxa"/>
            <w:right w:w="108" w:type="dxa"/>
          </w:tblCellMar>
          <w:tblLook w:val="04A0" w:firstRow="1" w:lastRow="0" w:firstColumn="1" w:lastColumn="0" w:noHBand="0" w:noVBand="1"/>
        </w:tblPrEx>
        <w:trPr>
          <w:trHeight w:val="328"/>
        </w:trPr>
        <w:tc>
          <w:tcPr>
            <w:tcW w:w="2830" w:type="dxa"/>
            <w:shd w:val="clear" w:color="auto" w:fill="auto"/>
            <w:vAlign w:val="center"/>
          </w:tcPr>
          <w:p w14:paraId="030A49F1" w14:textId="77777777" w:rsidR="0043405F" w:rsidRPr="000E2B6C" w:rsidRDefault="0043405F" w:rsidP="00F84C40">
            <w:pPr>
              <w:rPr>
                <w:rFonts w:ascii="Calibri" w:hAnsi="Calibri" w:cs="Calibri"/>
                <w:b/>
                <w:color w:val="000000" w:themeColor="text1"/>
                <w:sz w:val="20"/>
                <w:szCs w:val="20"/>
              </w:rPr>
            </w:pPr>
            <w:r w:rsidRPr="000E2B6C">
              <w:rPr>
                <w:rFonts w:ascii="Calibri" w:hAnsi="Calibri" w:cs="Calibri"/>
                <w:b/>
                <w:color w:val="000000" w:themeColor="text1"/>
                <w:sz w:val="20"/>
                <w:szCs w:val="20"/>
              </w:rPr>
              <w:t>Gwarancja</w:t>
            </w:r>
          </w:p>
        </w:tc>
        <w:tc>
          <w:tcPr>
            <w:tcW w:w="7801" w:type="dxa"/>
            <w:shd w:val="clear" w:color="auto" w:fill="auto"/>
            <w:vAlign w:val="center"/>
          </w:tcPr>
          <w:p w14:paraId="3CC348D7" w14:textId="77777777" w:rsidR="0043405F" w:rsidRPr="000E2B6C" w:rsidRDefault="0043405F" w:rsidP="00F84C40">
            <w:pPr>
              <w:jc w:val="both"/>
              <w:rPr>
                <w:rFonts w:ascii="Calibri" w:hAnsi="Calibri" w:cs="Calibri"/>
                <w:color w:val="000000" w:themeColor="text1"/>
                <w:sz w:val="20"/>
                <w:szCs w:val="20"/>
              </w:rPr>
            </w:pPr>
            <w:r w:rsidRPr="000E2B6C">
              <w:rPr>
                <w:rFonts w:ascii="Calibri" w:hAnsi="Calibri" w:cs="Calibri"/>
                <w:color w:val="000000" w:themeColor="text1"/>
                <w:sz w:val="20"/>
                <w:szCs w:val="20"/>
              </w:rPr>
              <w:t>Min. 36 miesięcy w miejscu instalacji</w:t>
            </w:r>
          </w:p>
        </w:tc>
      </w:tr>
    </w:tbl>
    <w:p w14:paraId="1AE0AB6D" w14:textId="77777777" w:rsidR="00EB22A9" w:rsidRPr="003A2EF9" w:rsidRDefault="00EB22A9" w:rsidP="00914B21">
      <w:pPr>
        <w:rPr>
          <w:rFonts w:ascii="Arial" w:hAnsi="Arial" w:cs="Arial"/>
        </w:rPr>
      </w:pPr>
    </w:p>
    <w:sectPr w:rsidR="00EB22A9" w:rsidRPr="003A2EF9" w:rsidSect="0000062B">
      <w:headerReference w:type="default" r:id="rId7"/>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365FE" w14:textId="77777777" w:rsidR="008A1680" w:rsidRDefault="008A1680">
      <w:r>
        <w:separator/>
      </w:r>
    </w:p>
  </w:endnote>
  <w:endnote w:type="continuationSeparator" w:id="0">
    <w:p w14:paraId="49EE635E" w14:textId="77777777" w:rsidR="008A1680" w:rsidRDefault="008A1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8495129"/>
      <w:docPartObj>
        <w:docPartGallery w:val="Page Numbers (Bottom of Page)"/>
        <w:docPartUnique/>
      </w:docPartObj>
    </w:sdtPr>
    <w:sdtEndPr/>
    <w:sdtContent>
      <w:sdt>
        <w:sdtPr>
          <w:id w:val="860082579"/>
          <w:docPartObj>
            <w:docPartGallery w:val="Page Numbers (Top of Page)"/>
            <w:docPartUnique/>
          </w:docPartObj>
        </w:sdtPr>
        <w:sdtEndPr/>
        <w:sdtContent>
          <w:p w14:paraId="455DA75A" w14:textId="77777777" w:rsidR="00005027" w:rsidRDefault="00005027">
            <w:pPr>
              <w:pStyle w:val="Stopka"/>
              <w:jc w:val="right"/>
            </w:pPr>
            <w:r>
              <w:t xml:space="preserve">Strona </w:t>
            </w:r>
            <w:r w:rsidR="0000062B">
              <w:rPr>
                <w:b/>
                <w:bCs/>
              </w:rPr>
              <w:fldChar w:fldCharType="begin"/>
            </w:r>
            <w:r>
              <w:rPr>
                <w:b/>
                <w:bCs/>
              </w:rPr>
              <w:instrText>PAGE</w:instrText>
            </w:r>
            <w:r w:rsidR="0000062B">
              <w:rPr>
                <w:b/>
                <w:bCs/>
              </w:rPr>
              <w:fldChar w:fldCharType="separate"/>
            </w:r>
            <w:r w:rsidR="000E4C06">
              <w:rPr>
                <w:b/>
                <w:bCs/>
                <w:noProof/>
              </w:rPr>
              <w:t>1</w:t>
            </w:r>
            <w:r w:rsidR="0000062B">
              <w:rPr>
                <w:b/>
                <w:bCs/>
              </w:rPr>
              <w:fldChar w:fldCharType="end"/>
            </w:r>
            <w:r>
              <w:t xml:space="preserve"> z </w:t>
            </w:r>
            <w:r w:rsidR="0000062B">
              <w:rPr>
                <w:b/>
                <w:bCs/>
              </w:rPr>
              <w:fldChar w:fldCharType="begin"/>
            </w:r>
            <w:r>
              <w:rPr>
                <w:b/>
                <w:bCs/>
              </w:rPr>
              <w:instrText>NUMPAGES</w:instrText>
            </w:r>
            <w:r w:rsidR="0000062B">
              <w:rPr>
                <w:b/>
                <w:bCs/>
              </w:rPr>
              <w:fldChar w:fldCharType="separate"/>
            </w:r>
            <w:r w:rsidR="000E4C06">
              <w:rPr>
                <w:b/>
                <w:bCs/>
                <w:noProof/>
              </w:rPr>
              <w:t>1</w:t>
            </w:r>
            <w:r w:rsidR="0000062B">
              <w:rPr>
                <w:b/>
                <w:bCs/>
              </w:rPr>
              <w:fldChar w:fldCharType="end"/>
            </w:r>
          </w:p>
        </w:sdtContent>
      </w:sdt>
    </w:sdtContent>
  </w:sdt>
  <w:p w14:paraId="34EA0BBA" w14:textId="77777777" w:rsidR="00005027" w:rsidRDefault="000050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D23F4" w14:textId="77777777" w:rsidR="008A1680" w:rsidRDefault="008A1680">
      <w:r>
        <w:separator/>
      </w:r>
    </w:p>
  </w:footnote>
  <w:footnote w:type="continuationSeparator" w:id="0">
    <w:p w14:paraId="7F5B4ACD" w14:textId="77777777" w:rsidR="008A1680" w:rsidRDefault="008A1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3C910" w14:textId="4E62C4A9" w:rsidR="00005027" w:rsidRDefault="00900625" w:rsidP="00005027">
    <w:pPr>
      <w:pStyle w:val="Nagwek"/>
      <w:jc w:val="right"/>
    </w:pPr>
    <w:r>
      <w:rPr>
        <w:noProof/>
      </w:rPr>
      <w:fldChar w:fldCharType="begin"/>
    </w:r>
    <w:r>
      <w:rPr>
        <w:noProof/>
      </w:rPr>
      <w:instrText xml:space="preserve"> FILENAME  \* FirstCap  \* MERGEFORMAT </w:instrText>
    </w:r>
    <w:r>
      <w:rPr>
        <w:noProof/>
      </w:rPr>
      <w:fldChar w:fldCharType="separate"/>
    </w:r>
    <w:r w:rsidR="001E34D7">
      <w:rPr>
        <w:noProof/>
      </w:rPr>
      <w:t>Załącznik nr A14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042C2"/>
    <w:multiLevelType w:val="hybridMultilevel"/>
    <w:tmpl w:val="A9E0989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917502"/>
    <w:multiLevelType w:val="hybridMultilevel"/>
    <w:tmpl w:val="1F987D2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 w15:restartNumberingAfterBreak="0">
    <w:nsid w:val="2F4E72A9"/>
    <w:multiLevelType w:val="hybridMultilevel"/>
    <w:tmpl w:val="3098AC90"/>
    <w:lvl w:ilvl="0" w:tplc="3EB87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6AB54B6"/>
    <w:multiLevelType w:val="hybridMultilevel"/>
    <w:tmpl w:val="0F080BD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15:restartNumberingAfterBreak="0">
    <w:nsid w:val="4BE9628B"/>
    <w:multiLevelType w:val="hybridMultilevel"/>
    <w:tmpl w:val="D2CEC156"/>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F96B43"/>
    <w:multiLevelType w:val="multilevel"/>
    <w:tmpl w:val="8E5E1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7943528">
    <w:abstractNumId w:val="0"/>
  </w:num>
  <w:num w:numId="2" w16cid:durableId="725181995">
    <w:abstractNumId w:val="5"/>
  </w:num>
  <w:num w:numId="3" w16cid:durableId="2121803515">
    <w:abstractNumId w:val="1"/>
  </w:num>
  <w:num w:numId="4" w16cid:durableId="1827699058">
    <w:abstractNumId w:val="3"/>
  </w:num>
  <w:num w:numId="5" w16cid:durableId="2129349832">
    <w:abstractNumId w:val="4"/>
  </w:num>
  <w:num w:numId="6" w16cid:durableId="272713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pl-PL" w:vendorID="12" w:dllVersion="512" w:checkStyle="1"/>
  <w:proofState w:spelling="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38A"/>
    <w:rsid w:val="0000062B"/>
    <w:rsid w:val="00001CAC"/>
    <w:rsid w:val="00005027"/>
    <w:rsid w:val="00041B1D"/>
    <w:rsid w:val="000E4C06"/>
    <w:rsid w:val="0010438A"/>
    <w:rsid w:val="00123579"/>
    <w:rsid w:val="00157180"/>
    <w:rsid w:val="00166164"/>
    <w:rsid w:val="001A2250"/>
    <w:rsid w:val="001B5397"/>
    <w:rsid w:val="001C2ED9"/>
    <w:rsid w:val="001E19CB"/>
    <w:rsid w:val="001E34D7"/>
    <w:rsid w:val="001E7315"/>
    <w:rsid w:val="001F060C"/>
    <w:rsid w:val="001F13F6"/>
    <w:rsid w:val="001F4F2D"/>
    <w:rsid w:val="00225369"/>
    <w:rsid w:val="00254D7D"/>
    <w:rsid w:val="003326FA"/>
    <w:rsid w:val="003472C2"/>
    <w:rsid w:val="00370B2C"/>
    <w:rsid w:val="0037258D"/>
    <w:rsid w:val="0037713B"/>
    <w:rsid w:val="003A2EF9"/>
    <w:rsid w:val="003B26AE"/>
    <w:rsid w:val="003C75AD"/>
    <w:rsid w:val="0043405F"/>
    <w:rsid w:val="00493660"/>
    <w:rsid w:val="004C627C"/>
    <w:rsid w:val="0058173E"/>
    <w:rsid w:val="005C32D0"/>
    <w:rsid w:val="005F59F7"/>
    <w:rsid w:val="00626BCD"/>
    <w:rsid w:val="006332B9"/>
    <w:rsid w:val="006529DC"/>
    <w:rsid w:val="00670EC5"/>
    <w:rsid w:val="00684B01"/>
    <w:rsid w:val="006B0799"/>
    <w:rsid w:val="006D4F26"/>
    <w:rsid w:val="006F06D5"/>
    <w:rsid w:val="00703F5C"/>
    <w:rsid w:val="007B1E1D"/>
    <w:rsid w:val="008963BB"/>
    <w:rsid w:val="008A1680"/>
    <w:rsid w:val="008A245E"/>
    <w:rsid w:val="008A701D"/>
    <w:rsid w:val="008C146E"/>
    <w:rsid w:val="00900625"/>
    <w:rsid w:val="00914B21"/>
    <w:rsid w:val="009159CA"/>
    <w:rsid w:val="00935D58"/>
    <w:rsid w:val="00985256"/>
    <w:rsid w:val="009B4FAA"/>
    <w:rsid w:val="00A170A3"/>
    <w:rsid w:val="00A82DB5"/>
    <w:rsid w:val="00B65BF0"/>
    <w:rsid w:val="00C276EC"/>
    <w:rsid w:val="00C329A2"/>
    <w:rsid w:val="00CF2AE0"/>
    <w:rsid w:val="00CF703C"/>
    <w:rsid w:val="00D3549C"/>
    <w:rsid w:val="00D5282E"/>
    <w:rsid w:val="00DA3CE2"/>
    <w:rsid w:val="00DB5AEC"/>
    <w:rsid w:val="00DF10C5"/>
    <w:rsid w:val="00DF74B3"/>
    <w:rsid w:val="00E152A6"/>
    <w:rsid w:val="00E20D8F"/>
    <w:rsid w:val="00E23BF8"/>
    <w:rsid w:val="00E63C02"/>
    <w:rsid w:val="00E64035"/>
    <w:rsid w:val="00E7299E"/>
    <w:rsid w:val="00EB22A9"/>
    <w:rsid w:val="00EC690E"/>
    <w:rsid w:val="00ED0F59"/>
    <w:rsid w:val="00FB53C3"/>
    <w:rsid w:val="00FE0D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45AC0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062B"/>
    <w:rPr>
      <w:sz w:val="24"/>
      <w:szCs w:val="24"/>
    </w:rPr>
  </w:style>
  <w:style w:type="paragraph" w:styleId="Nagwek1">
    <w:name w:val="heading 1"/>
    <w:basedOn w:val="Normalny"/>
    <w:next w:val="Normalny"/>
    <w:qFormat/>
    <w:rsid w:val="0000062B"/>
    <w:pPr>
      <w:keepNext/>
      <w:jc w:val="center"/>
      <w:outlineLvl w:val="0"/>
    </w:pPr>
    <w:rPr>
      <w:b/>
      <w:bCs/>
      <w:sz w:val="28"/>
    </w:rPr>
  </w:style>
  <w:style w:type="paragraph" w:styleId="Nagwek3">
    <w:name w:val="heading 3"/>
    <w:basedOn w:val="Normalny"/>
    <w:next w:val="Normalny"/>
    <w:link w:val="Nagwek3Znak"/>
    <w:uiPriority w:val="9"/>
    <w:semiHidden/>
    <w:unhideWhenUsed/>
    <w:qFormat/>
    <w:rsid w:val="008A245E"/>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00062B"/>
    <w:rPr>
      <w:rFonts w:ascii="Tahoma" w:hAnsi="Tahoma" w:cs="Tahoma"/>
      <w:sz w:val="16"/>
      <w:szCs w:val="16"/>
    </w:rPr>
  </w:style>
  <w:style w:type="character" w:customStyle="1" w:styleId="olttablecontentcfg">
    <w:name w:val="olt_table_content_cfg"/>
    <w:basedOn w:val="Domylnaczcionkaakapitu"/>
    <w:rsid w:val="0000062B"/>
  </w:style>
  <w:style w:type="paragraph" w:styleId="Tekstprzypisukocowego">
    <w:name w:val="endnote text"/>
    <w:basedOn w:val="Normalny"/>
    <w:semiHidden/>
    <w:rsid w:val="0000062B"/>
    <w:rPr>
      <w:sz w:val="20"/>
      <w:szCs w:val="20"/>
    </w:rPr>
  </w:style>
  <w:style w:type="character" w:customStyle="1" w:styleId="TekstprzypisukocowegoZnak">
    <w:name w:val="Tekst przypisu końcowego Znak"/>
    <w:basedOn w:val="Domylnaczcionkaakapitu"/>
    <w:rsid w:val="0000062B"/>
  </w:style>
  <w:style w:type="character" w:styleId="Odwoanieprzypisukocowego">
    <w:name w:val="endnote reference"/>
    <w:semiHidden/>
    <w:rsid w:val="0000062B"/>
    <w:rPr>
      <w:vertAlign w:val="superscript"/>
    </w:rPr>
  </w:style>
  <w:style w:type="paragraph" w:styleId="Nagwek">
    <w:name w:val="header"/>
    <w:basedOn w:val="Normalny"/>
    <w:link w:val="NagwekZnak"/>
    <w:uiPriority w:val="99"/>
    <w:unhideWhenUsed/>
    <w:rsid w:val="00005027"/>
    <w:pPr>
      <w:tabs>
        <w:tab w:val="center" w:pos="4536"/>
        <w:tab w:val="right" w:pos="9072"/>
      </w:tabs>
    </w:pPr>
  </w:style>
  <w:style w:type="character" w:customStyle="1" w:styleId="NagwekZnak">
    <w:name w:val="Nagłówek Znak"/>
    <w:basedOn w:val="Domylnaczcionkaakapitu"/>
    <w:link w:val="Nagwek"/>
    <w:uiPriority w:val="99"/>
    <w:rsid w:val="00005027"/>
    <w:rPr>
      <w:sz w:val="24"/>
      <w:szCs w:val="24"/>
    </w:rPr>
  </w:style>
  <w:style w:type="paragraph" w:styleId="Stopka">
    <w:name w:val="footer"/>
    <w:basedOn w:val="Normalny"/>
    <w:link w:val="StopkaZnak"/>
    <w:uiPriority w:val="99"/>
    <w:unhideWhenUsed/>
    <w:rsid w:val="00005027"/>
    <w:pPr>
      <w:tabs>
        <w:tab w:val="center" w:pos="4536"/>
        <w:tab w:val="right" w:pos="9072"/>
      </w:tabs>
    </w:pPr>
  </w:style>
  <w:style w:type="character" w:customStyle="1" w:styleId="StopkaZnak">
    <w:name w:val="Stopka Znak"/>
    <w:basedOn w:val="Domylnaczcionkaakapitu"/>
    <w:link w:val="Stopka"/>
    <w:uiPriority w:val="99"/>
    <w:rsid w:val="00005027"/>
    <w:rPr>
      <w:sz w:val="24"/>
      <w:szCs w:val="24"/>
    </w:rPr>
  </w:style>
  <w:style w:type="paragraph" w:styleId="Akapitzlist">
    <w:name w:val="List Paragraph"/>
    <w:basedOn w:val="Normalny"/>
    <w:uiPriority w:val="34"/>
    <w:qFormat/>
    <w:rsid w:val="00254D7D"/>
    <w:pPr>
      <w:ind w:left="720"/>
      <w:contextualSpacing/>
    </w:pPr>
  </w:style>
  <w:style w:type="character" w:customStyle="1" w:styleId="Nagwek3Znak">
    <w:name w:val="Nagłówek 3 Znak"/>
    <w:basedOn w:val="Domylnaczcionkaakapitu"/>
    <w:link w:val="Nagwek3"/>
    <w:uiPriority w:val="9"/>
    <w:semiHidden/>
    <w:rsid w:val="008A245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7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823</Words>
  <Characters>5281</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2024-10-22T09:09:00Z</dcterms:created>
  <dcterms:modified xsi:type="dcterms:W3CDTF">2025-01-31T11:21:00Z</dcterms:modified>
</cp:coreProperties>
</file>