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54" w:rsidRPr="00A43CB9" w:rsidRDefault="00246A01" w:rsidP="00246A01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A43CB9">
        <w:rPr>
          <w:rFonts w:ascii="Arial" w:hAnsi="Arial" w:cs="Arial"/>
          <w:sz w:val="20"/>
          <w:szCs w:val="20"/>
        </w:rPr>
        <w:t>Załącznik nr</w:t>
      </w:r>
      <w:r w:rsidR="00DC0D0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DC0D0C">
        <w:rPr>
          <w:rFonts w:ascii="Arial" w:hAnsi="Arial" w:cs="Arial"/>
          <w:sz w:val="20"/>
          <w:szCs w:val="20"/>
        </w:rPr>
        <w:t>4a</w:t>
      </w:r>
      <w:r w:rsidR="00CB1B54" w:rsidRPr="00A43CB9">
        <w:rPr>
          <w:rFonts w:ascii="Arial" w:hAnsi="Arial" w:cs="Arial"/>
          <w:sz w:val="20"/>
          <w:szCs w:val="20"/>
        </w:rPr>
        <w:t xml:space="preserve"> do SWZ</w:t>
      </w:r>
    </w:p>
    <w:p w:rsidR="009B2954" w:rsidRPr="00A43CB9" w:rsidRDefault="009B2954" w:rsidP="00246A01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246A01" w:rsidRPr="00A43CB9" w:rsidRDefault="00246A01" w:rsidP="00246A01">
      <w:pPr>
        <w:pStyle w:val="Zwykytekst1"/>
        <w:jc w:val="center"/>
        <w:rPr>
          <w:rFonts w:ascii="Arial" w:hAnsi="Arial" w:cs="Arial"/>
          <w:iCs/>
          <w:sz w:val="20"/>
          <w:szCs w:val="20"/>
        </w:rPr>
      </w:pPr>
      <w:r w:rsidRPr="00A43CB9">
        <w:rPr>
          <w:rFonts w:ascii="Arial" w:hAnsi="Arial" w:cs="Arial"/>
          <w:sz w:val="20"/>
          <w:szCs w:val="20"/>
        </w:rPr>
        <w:t>Formularz parametrów technicznych – an</w:t>
      </w:r>
      <w:r w:rsidRPr="00A43CB9">
        <w:rPr>
          <w:rFonts w:ascii="Arial" w:hAnsi="Arial" w:cs="Arial"/>
          <w:iCs/>
          <w:sz w:val="20"/>
          <w:szCs w:val="20"/>
        </w:rPr>
        <w:t>alizator parametrów krytycznych</w:t>
      </w:r>
    </w:p>
    <w:p w:rsidR="00246A01" w:rsidRPr="00A43CB9" w:rsidRDefault="00246A01" w:rsidP="00246A01">
      <w:pPr>
        <w:pStyle w:val="Zwykytekst1"/>
        <w:jc w:val="center"/>
        <w:rPr>
          <w:rFonts w:ascii="Arial" w:hAnsi="Arial" w:cs="Arial"/>
          <w:sz w:val="20"/>
          <w:szCs w:val="20"/>
        </w:rPr>
      </w:pPr>
    </w:p>
    <w:p w:rsidR="00246A01" w:rsidRPr="00A43CB9" w:rsidRDefault="00246A01" w:rsidP="00246A01">
      <w:pPr>
        <w:pStyle w:val="Stopka"/>
        <w:tabs>
          <w:tab w:val="clear" w:pos="4683"/>
          <w:tab w:val="clear" w:pos="936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A43CB9">
        <w:rPr>
          <w:rFonts w:ascii="Arial" w:hAnsi="Arial" w:cs="Arial"/>
          <w:sz w:val="20"/>
          <w:szCs w:val="20"/>
        </w:rPr>
        <w:t>(nazwa, model aparatu,</w:t>
      </w:r>
      <w:r w:rsidR="009B2954" w:rsidRPr="00A43CB9">
        <w:rPr>
          <w:rFonts w:ascii="Arial" w:hAnsi="Arial" w:cs="Arial"/>
          <w:sz w:val="20"/>
          <w:szCs w:val="20"/>
        </w:rPr>
        <w:t xml:space="preserve"> </w:t>
      </w:r>
      <w:r w:rsidRPr="00A43CB9">
        <w:rPr>
          <w:rFonts w:ascii="Arial" w:hAnsi="Arial" w:cs="Arial"/>
          <w:sz w:val="20"/>
          <w:szCs w:val="20"/>
        </w:rPr>
        <w:t>rok produkcji</w:t>
      </w:r>
      <w:r w:rsidR="009B2954" w:rsidRPr="00A43CB9">
        <w:rPr>
          <w:rFonts w:ascii="Arial" w:hAnsi="Arial" w:cs="Arial"/>
          <w:sz w:val="20"/>
          <w:szCs w:val="20"/>
        </w:rPr>
        <w:t>, producent</w:t>
      </w:r>
      <w:r w:rsidRPr="00A43CB9">
        <w:rPr>
          <w:rFonts w:ascii="Arial" w:hAnsi="Arial" w:cs="Arial"/>
          <w:sz w:val="20"/>
          <w:szCs w:val="20"/>
        </w:rPr>
        <w:t>)  .................</w:t>
      </w:r>
      <w:r w:rsidR="009B2954" w:rsidRPr="00A43CB9">
        <w:rPr>
          <w:rFonts w:ascii="Arial" w:hAnsi="Arial" w:cs="Arial"/>
          <w:sz w:val="20"/>
          <w:szCs w:val="20"/>
        </w:rPr>
        <w:t>..........................</w:t>
      </w:r>
    </w:p>
    <w:p w:rsidR="00246A01" w:rsidRPr="00A43CB9" w:rsidRDefault="00246A01" w:rsidP="00246A01">
      <w:pPr>
        <w:pStyle w:val="Bezodstpw"/>
        <w:rPr>
          <w:rFonts w:ascii="Arial" w:hAnsi="Arial" w:cs="Arial"/>
          <w:sz w:val="20"/>
          <w:szCs w:val="20"/>
        </w:rPr>
      </w:pPr>
    </w:p>
    <w:p w:rsidR="00246A01" w:rsidRPr="00A43CB9" w:rsidRDefault="00246A01" w:rsidP="00246A0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099" w:type="dxa"/>
        <w:tblInd w:w="-1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2"/>
        <w:gridCol w:w="6803"/>
        <w:gridCol w:w="1276"/>
        <w:gridCol w:w="1418"/>
      </w:tblGrid>
      <w:tr w:rsidR="00CB1B54" w:rsidRPr="00A43CB9" w:rsidTr="009B2954">
        <w:trPr>
          <w:cantSplit/>
          <w:trHeight w:val="71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1B54" w:rsidRPr="00A43CB9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1B54" w:rsidRPr="00A43CB9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Opis parametru/warunku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1B54" w:rsidRPr="00A43CB9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Wymaganie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1B54" w:rsidRPr="00A43CB9" w:rsidRDefault="009B29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Oferowane parametry i właściwości analizatora</w:t>
            </w:r>
          </w:p>
        </w:tc>
      </w:tr>
      <w:tr w:rsidR="00D355BE" w:rsidRPr="00A43CB9" w:rsidTr="009B2954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55BE" w:rsidRPr="00A43CB9" w:rsidRDefault="00D355BE" w:rsidP="00D355BE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>Zasilanie awaryjne urządzenia z wbudowanego akumulatora w wypadku zaniku zasilania sieciowego.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5BE" w:rsidRPr="00A43CB9" w:rsidTr="009B2954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55BE" w:rsidRPr="00A43CB9" w:rsidRDefault="00D355BE" w:rsidP="00D355BE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7E1D37">
            <w:pPr>
              <w:pStyle w:val="Standard"/>
              <w:snapToGrid w:val="0"/>
              <w:jc w:val="both"/>
              <w:rPr>
                <w:rFonts w:ascii="Arial" w:hAnsi="Arial" w:cs="Arial"/>
                <w:lang w:val="pl-PL"/>
              </w:rPr>
            </w:pPr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 xml:space="preserve">Automatyczny analizator parametrów krytycznych pracujący w systemie ciągłym, umożliwiający jednoczesne oznaczenie: </w:t>
            </w:r>
            <w:proofErr w:type="spellStart"/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>pH</w:t>
            </w:r>
            <w:proofErr w:type="spellEnd"/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 xml:space="preserve">, pCO2, pO2, </w:t>
            </w:r>
            <w:proofErr w:type="spellStart"/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>ctHb</w:t>
            </w:r>
            <w:proofErr w:type="spellEnd"/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>MetHb</w:t>
            </w:r>
            <w:proofErr w:type="spellEnd"/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 xml:space="preserve">, O2Hb, </w:t>
            </w:r>
            <w:proofErr w:type="spellStart"/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>HHb</w:t>
            </w:r>
            <w:proofErr w:type="spellEnd"/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>COHb</w:t>
            </w:r>
            <w:proofErr w:type="spellEnd"/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>HbF</w:t>
            </w:r>
            <w:proofErr w:type="spellEnd"/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 xml:space="preserve">, sO2, </w:t>
            </w:r>
            <w:proofErr w:type="spellStart"/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>cNa</w:t>
            </w:r>
            <w:proofErr w:type="spellEnd"/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 xml:space="preserve">+, </w:t>
            </w:r>
            <w:proofErr w:type="spellStart"/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>cK</w:t>
            </w:r>
            <w:proofErr w:type="spellEnd"/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 xml:space="preserve">+, </w:t>
            </w:r>
            <w:proofErr w:type="spellStart"/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>cCa</w:t>
            </w:r>
            <w:proofErr w:type="spellEnd"/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 xml:space="preserve">++ (zakres pomiarowy </w:t>
            </w:r>
            <w:proofErr w:type="spellStart"/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>cCa</w:t>
            </w:r>
            <w:proofErr w:type="spellEnd"/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 xml:space="preserve">++ od 0,1 </w:t>
            </w:r>
            <w:proofErr w:type="spellStart"/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>mmol</w:t>
            </w:r>
            <w:proofErr w:type="spellEnd"/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 xml:space="preserve">/L), </w:t>
            </w:r>
            <w:proofErr w:type="spellStart"/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>cCl</w:t>
            </w:r>
            <w:proofErr w:type="spellEnd"/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>-, glukoza, mleczany, bilirubina całkowita (wymagany zakres pomiarowy dla bilirubiny od 0,0 mg/dl do przynajmniej 50 mg/dl).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5BE" w:rsidRPr="00A43CB9" w:rsidTr="009B2954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55BE" w:rsidRPr="00A43CB9" w:rsidRDefault="00D355BE" w:rsidP="00D355BE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>Analizator pracujący w oparciu o maksymalnie dwa elementy zużywalne tj. wielotestowe sensorowe kasety pomiarowe oraz pakiety odczynnikowe zawierające  odczynniki, kalibratory i płyny kontroli jakości inne niż kalibratory.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5BE" w:rsidRPr="00A43CB9" w:rsidTr="009B2954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55BE" w:rsidRPr="00A43CB9" w:rsidRDefault="00D355BE" w:rsidP="00D355BE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WW-Tekstpodstawowy2"/>
              <w:snapToGrid w:val="0"/>
              <w:spacing w:line="360" w:lineRule="auto"/>
              <w:ind w:left="33"/>
              <w:rPr>
                <w:rFonts w:ascii="Arial" w:hAnsi="Arial" w:cs="Arial"/>
                <w:b w:val="0"/>
                <w:sz w:val="20"/>
                <w:szCs w:val="20"/>
                <w:highlight w:val="white"/>
                <w:lang w:val="pl-PL"/>
              </w:rPr>
            </w:pPr>
            <w:r w:rsidRPr="00A43CB9">
              <w:rPr>
                <w:rFonts w:ascii="Arial" w:hAnsi="Arial" w:cs="Arial"/>
                <w:b w:val="0"/>
                <w:sz w:val="20"/>
                <w:szCs w:val="20"/>
                <w:highlight w:val="white"/>
                <w:lang w:val="pl-PL"/>
              </w:rPr>
              <w:t>Możliwość aspiracji próbki bezpośrednio ze strzykawki i z kapilary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5BE" w:rsidRPr="00A43CB9" w:rsidTr="009B2954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55BE" w:rsidRPr="00A43CB9" w:rsidRDefault="00D355BE" w:rsidP="00D355BE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7E1D37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  <w:highlight w:val="white"/>
                <w:lang w:val="pl-PL"/>
              </w:rPr>
            </w:pPr>
            <w:r w:rsidRPr="00A43CB9">
              <w:rPr>
                <w:rFonts w:ascii="Arial" w:hAnsi="Arial" w:cs="Arial"/>
                <w:bCs/>
                <w:color w:val="000000"/>
                <w:sz w:val="20"/>
                <w:szCs w:val="20"/>
                <w:highlight w:val="white"/>
                <w:lang w:val="pl-PL"/>
              </w:rPr>
              <w:t>Możliwość wykonania pełnego panelu oznaczeń zarówno z kapilary jak i strzykawki (gazometria, oksymetria, metabolity, elektrolity) z próbki o objętości:</w:t>
            </w:r>
          </w:p>
          <w:p w:rsidR="00D355BE" w:rsidRPr="00A43CB9" w:rsidRDefault="00D355BE" w:rsidP="00D355BE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/>
                <w:sz w:val="20"/>
                <w:szCs w:val="20"/>
                <w:highlight w:val="white"/>
                <w:lang w:val="pl-PL"/>
              </w:rPr>
            </w:pPr>
            <w:r w:rsidRPr="00A43CB9">
              <w:rPr>
                <w:rFonts w:ascii="Arial" w:hAnsi="Arial" w:cs="Arial"/>
                <w:bCs/>
                <w:color w:val="000000"/>
                <w:sz w:val="20"/>
                <w:szCs w:val="20"/>
                <w:highlight w:val="white"/>
                <w:lang w:val="pl-PL"/>
              </w:rPr>
              <w:t>maksymalnie 45 µl – z kapilary</w:t>
            </w:r>
          </w:p>
          <w:p w:rsidR="00D355BE" w:rsidRPr="00A43CB9" w:rsidRDefault="00D355BE" w:rsidP="00D355BE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/>
                <w:sz w:val="20"/>
                <w:szCs w:val="20"/>
                <w:highlight w:val="white"/>
                <w:lang w:val="pl-PL"/>
              </w:rPr>
            </w:pPr>
            <w:r w:rsidRPr="00A43CB9">
              <w:rPr>
                <w:rFonts w:ascii="Arial" w:hAnsi="Arial" w:cs="Arial"/>
                <w:bCs/>
                <w:color w:val="000000"/>
                <w:sz w:val="20"/>
                <w:szCs w:val="20"/>
                <w:highlight w:val="white"/>
                <w:lang w:val="pl-PL"/>
              </w:rPr>
              <w:t>maksymalnie 65 µl – ze strzykawki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5BE" w:rsidRPr="00A43CB9" w:rsidTr="009B2954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55BE" w:rsidRPr="00A43CB9" w:rsidRDefault="00D355BE" w:rsidP="00D355BE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A43CB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Automatyczny system pobierania próbek z funkcją wykrywania i usuwania skrzepów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5BE" w:rsidRPr="00A43CB9" w:rsidTr="009B2954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55BE" w:rsidRPr="00A43CB9" w:rsidRDefault="00D355BE" w:rsidP="00D355BE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>Automatyczne mieszanie próbki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5BE" w:rsidRPr="00A43CB9" w:rsidTr="009B2954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55BE" w:rsidRPr="00A43CB9" w:rsidRDefault="00D355BE" w:rsidP="00D355BE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>Wbudowana codzienna automatyczna kontrola jakości na trzech poziomach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5BE" w:rsidRPr="00A43CB9" w:rsidTr="009B2954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55BE" w:rsidRPr="00A43CB9" w:rsidRDefault="00D355BE" w:rsidP="00D355BE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>Odczynniki zintegrowane z pojemnikiem ściekowym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5BE" w:rsidRPr="00A43CB9" w:rsidTr="009B2954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55BE" w:rsidRPr="00A43CB9" w:rsidRDefault="00D355BE" w:rsidP="00D355BE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>Trwałość kaset pomiarowych oraz pakietów odczynnikowych, liczona od dnia zainstalowania w aparacie, nie mniejsza niż 30 dni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D37" w:rsidRPr="00A43CB9" w:rsidTr="009B2954">
        <w:trPr>
          <w:trHeight w:val="355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D37" w:rsidRPr="00A43CB9" w:rsidRDefault="007E1D37" w:rsidP="007E1D37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D37" w:rsidRPr="00A43CB9" w:rsidRDefault="007E1D37" w:rsidP="007E1D37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A43CB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Pomiar wszystkich parametrów w jednym torze pomiarowym z jedną elektrodą referencyjną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D37" w:rsidRPr="00A43CB9" w:rsidRDefault="007E1D37" w:rsidP="007E1D37">
            <w:pPr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D37" w:rsidRPr="00A43CB9" w:rsidRDefault="007E1D37" w:rsidP="007E1D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D37" w:rsidRPr="00A43CB9" w:rsidTr="009B2954">
        <w:trPr>
          <w:trHeight w:val="355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D37" w:rsidRPr="00A43CB9" w:rsidRDefault="007E1D37" w:rsidP="007E1D37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D37" w:rsidRPr="00A43CB9" w:rsidRDefault="007E1D37" w:rsidP="007E1D37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 xml:space="preserve">Możliwość </w:t>
            </w:r>
            <w:proofErr w:type="spellStart"/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>reinstalacji</w:t>
            </w:r>
            <w:proofErr w:type="spellEnd"/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 xml:space="preserve"> pakietu odczynnikowego oraz kasety sensorowej bez utraty pozostałych testów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D37" w:rsidRPr="00A43CB9" w:rsidRDefault="007E1D37" w:rsidP="007E1D37">
            <w:pPr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D37" w:rsidRPr="00A43CB9" w:rsidRDefault="007E1D37" w:rsidP="007E1D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418" w:rsidRPr="00A43CB9" w:rsidTr="009B2954">
        <w:trPr>
          <w:trHeight w:val="355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31418" w:rsidRPr="00A43CB9" w:rsidRDefault="00C31418" w:rsidP="007E1D37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1418" w:rsidRPr="00A43CB9" w:rsidRDefault="00A43CB9" w:rsidP="007E1D37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>Możliwość wyłączania aparatu bez utraty oznaczeń pozostałych w kasecie testowej.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1418" w:rsidRPr="00A43CB9" w:rsidRDefault="00A43CB9" w:rsidP="00A43C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Tak – 1 pkt</w:t>
            </w:r>
          </w:p>
          <w:p w:rsidR="00A43CB9" w:rsidRPr="00A43CB9" w:rsidRDefault="00A43CB9" w:rsidP="00A43C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1418" w:rsidRPr="00A43CB9" w:rsidRDefault="00C31418" w:rsidP="007E1D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D37" w:rsidRPr="00A43CB9" w:rsidTr="009B2954">
        <w:trPr>
          <w:trHeight w:val="355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D37" w:rsidRPr="00A43CB9" w:rsidRDefault="007E1D37" w:rsidP="007E1D37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D37" w:rsidRPr="00A43CB9" w:rsidRDefault="007E1D37" w:rsidP="007E1D37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>Wbudowana drukarka oraz czytnik kodów kreskowych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D37" w:rsidRPr="00A43CB9" w:rsidRDefault="007E1D37" w:rsidP="007E1D37">
            <w:pPr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D37" w:rsidRPr="00A43CB9" w:rsidRDefault="007E1D37" w:rsidP="007E1D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D37" w:rsidRPr="00A43CB9" w:rsidTr="009B2954">
        <w:trPr>
          <w:trHeight w:val="355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D37" w:rsidRPr="00A43CB9" w:rsidRDefault="007E1D37" w:rsidP="007E1D37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D37" w:rsidRPr="00A43CB9" w:rsidRDefault="007E1D37" w:rsidP="007E1D37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>Możliwość przechowywania kaset odczynnikowych w temperaturze pokojowej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D37" w:rsidRPr="00A43CB9" w:rsidRDefault="007E1D37" w:rsidP="007E1D37">
            <w:pPr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D37" w:rsidRPr="00A43CB9" w:rsidRDefault="007E1D37" w:rsidP="007E1D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CB9" w:rsidRPr="00A43CB9" w:rsidTr="00A43CB9">
        <w:trPr>
          <w:trHeight w:val="465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3CB9" w:rsidRPr="00A43CB9" w:rsidRDefault="00A43CB9" w:rsidP="007E1D37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3CB9" w:rsidRPr="00A43CB9" w:rsidRDefault="00A43CB9" w:rsidP="00A43C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Automatyczne kalibracje bez użycia butli gazowych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3CB9" w:rsidRPr="00A43CB9" w:rsidRDefault="00A43CB9" w:rsidP="00A43C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Tak – 1 pkt</w:t>
            </w:r>
          </w:p>
          <w:p w:rsidR="00A43CB9" w:rsidRPr="00A43CB9" w:rsidRDefault="00A43CB9" w:rsidP="00A43C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3CB9" w:rsidRPr="00A43CB9" w:rsidRDefault="00A43CB9" w:rsidP="00A43C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D37" w:rsidRPr="00A43CB9" w:rsidTr="009B2954">
        <w:trPr>
          <w:trHeight w:val="355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D37" w:rsidRPr="00A43CB9" w:rsidRDefault="007E1D37" w:rsidP="007E1D37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D37" w:rsidRPr="00A43CB9" w:rsidRDefault="007E1D37" w:rsidP="007E1D37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>Brak konieczności kalibracji po każdym oznaczeniu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D37" w:rsidRPr="00A43CB9" w:rsidRDefault="007E1D37" w:rsidP="007E1D37">
            <w:pPr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D37" w:rsidRPr="00A43CB9" w:rsidRDefault="007E1D37" w:rsidP="007E1D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D37" w:rsidRPr="00A43CB9" w:rsidTr="009B2954">
        <w:trPr>
          <w:trHeight w:val="355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D37" w:rsidRPr="00A43CB9" w:rsidRDefault="007E1D37" w:rsidP="007E1D37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D37" w:rsidRPr="00A43CB9" w:rsidRDefault="007E1D37" w:rsidP="007E1D37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>Możliwość podania materiałów kontrolnych z zewnątrz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D37" w:rsidRPr="00A43CB9" w:rsidRDefault="007E1D37" w:rsidP="007E1D37">
            <w:pPr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D37" w:rsidRPr="00A43CB9" w:rsidRDefault="007E1D37" w:rsidP="007E1D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D37" w:rsidRPr="00A43CB9" w:rsidTr="009B2954">
        <w:trPr>
          <w:trHeight w:val="355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D37" w:rsidRPr="00A43CB9" w:rsidRDefault="007E1D37" w:rsidP="007E1D37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D37" w:rsidRPr="00A43CB9" w:rsidRDefault="007E1D37" w:rsidP="007E1D37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>Możliwość korekty wyniku do temperatury pacjenta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D37" w:rsidRPr="00A43CB9" w:rsidRDefault="007E1D37" w:rsidP="007E1D37">
            <w:pPr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D37" w:rsidRPr="00A43CB9" w:rsidRDefault="007E1D37" w:rsidP="007E1D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CB9" w:rsidRPr="00A43CB9" w:rsidTr="009B2954">
        <w:trPr>
          <w:trHeight w:val="355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3CB9" w:rsidRPr="00A43CB9" w:rsidRDefault="00A43CB9" w:rsidP="007E1D37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3CB9" w:rsidRPr="00A43CB9" w:rsidRDefault="00A43CB9" w:rsidP="00A43C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Możliwość podglądu mapy równowagi kwasowo-zasadowej zawierającej wykresy wyników pacjenta w odniesieniu do wyników standardowych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3CB9" w:rsidRPr="00A43CB9" w:rsidRDefault="00A43CB9" w:rsidP="00A43C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Tak – 1 pkt</w:t>
            </w:r>
          </w:p>
          <w:p w:rsidR="00A43CB9" w:rsidRPr="00A43CB9" w:rsidRDefault="00A43CB9" w:rsidP="00A43C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3CB9" w:rsidRPr="00A43CB9" w:rsidRDefault="00A43CB9" w:rsidP="007E1D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5BE" w:rsidRPr="00A43CB9" w:rsidTr="009B2954">
        <w:trPr>
          <w:trHeight w:val="355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55BE" w:rsidRPr="00A43CB9" w:rsidRDefault="00D355BE" w:rsidP="00D355BE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>Okres gwarancji: pełen okres trwania umowy dzierżawy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5BE" w:rsidRPr="00A43CB9" w:rsidTr="009B2954">
        <w:trPr>
          <w:trHeight w:val="355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55BE" w:rsidRPr="00A43CB9" w:rsidRDefault="00D355BE" w:rsidP="00D355BE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>Instrukcja obsługi w języku polskim (dostawa wraz z urządzeniem)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5BE" w:rsidRPr="00A43CB9" w:rsidTr="00F84795">
        <w:trPr>
          <w:trHeight w:val="36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55BE" w:rsidRPr="00A43CB9" w:rsidRDefault="00D355BE" w:rsidP="00D355BE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43CB9">
              <w:rPr>
                <w:rFonts w:ascii="Arial" w:hAnsi="Arial" w:cs="Arial"/>
                <w:sz w:val="20"/>
                <w:szCs w:val="20"/>
                <w:lang w:val="pl-PL"/>
              </w:rPr>
              <w:t>Oprogramowanie i komunikaty analizatora w języku polskim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5BE" w:rsidRPr="00A43CB9" w:rsidTr="007E1D37">
        <w:trPr>
          <w:trHeight w:val="123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55BE" w:rsidRPr="00A43CB9" w:rsidRDefault="00D355BE" w:rsidP="00D355BE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Stopka1"/>
              <w:snapToGrid w:val="0"/>
              <w:spacing w:line="360" w:lineRule="auto"/>
              <w:jc w:val="both"/>
              <w:rPr>
                <w:rFonts w:cs="Arial"/>
                <w:color w:val="000000"/>
                <w:sz w:val="20"/>
                <w:szCs w:val="20"/>
                <w:lang w:val="pl-PL"/>
              </w:rPr>
            </w:pPr>
            <w:r w:rsidRPr="00A43CB9">
              <w:rPr>
                <w:rFonts w:cs="Arial"/>
                <w:color w:val="000000"/>
                <w:sz w:val="20"/>
                <w:szCs w:val="20"/>
                <w:lang w:val="pl-PL"/>
              </w:rPr>
              <w:t>Szkolenie z obsługi analizatora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5BE" w:rsidRPr="00A43CB9" w:rsidTr="00F84795">
        <w:trPr>
          <w:trHeight w:val="7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55BE" w:rsidRPr="00A43CB9" w:rsidRDefault="00D355BE" w:rsidP="00D355BE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Stopka1"/>
              <w:snapToGrid w:val="0"/>
              <w:rPr>
                <w:rFonts w:cs="Arial"/>
                <w:color w:val="000000"/>
                <w:sz w:val="20"/>
                <w:szCs w:val="20"/>
                <w:lang w:val="pl-PL"/>
              </w:rPr>
            </w:pPr>
            <w:r w:rsidRPr="00A43CB9">
              <w:rPr>
                <w:rFonts w:cs="Arial"/>
                <w:color w:val="000000"/>
                <w:sz w:val="20"/>
                <w:szCs w:val="20"/>
                <w:lang w:val="pl-PL"/>
              </w:rPr>
              <w:t>Maksymalny czas dobowy kalibracji do 30 min (wyłączając pierwszą dobę po zainstalowaniu/wymianie nowej kasety)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5BE" w:rsidRPr="00A43CB9" w:rsidTr="00F84795">
        <w:trPr>
          <w:trHeight w:val="7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55BE" w:rsidRPr="00A43CB9" w:rsidRDefault="00D355BE" w:rsidP="00D355BE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Stopka1"/>
              <w:snapToGrid w:val="0"/>
              <w:jc w:val="both"/>
              <w:rPr>
                <w:rFonts w:cs="Arial"/>
                <w:color w:val="000000"/>
                <w:sz w:val="20"/>
                <w:szCs w:val="20"/>
                <w:highlight w:val="yellow"/>
                <w:lang w:val="pl-PL"/>
              </w:rPr>
            </w:pPr>
            <w:r w:rsidRPr="00A43CB9">
              <w:rPr>
                <w:rFonts w:cs="Arial"/>
                <w:color w:val="000000"/>
                <w:sz w:val="20"/>
                <w:szCs w:val="20"/>
                <w:lang w:val="pl-PL"/>
              </w:rPr>
              <w:t xml:space="preserve">Zdalny nadzór serwisowy on - </w:t>
            </w:r>
            <w:proofErr w:type="spellStart"/>
            <w:r w:rsidRPr="00A43CB9">
              <w:rPr>
                <w:rFonts w:cs="Arial"/>
                <w:color w:val="000000"/>
                <w:sz w:val="20"/>
                <w:szCs w:val="20"/>
                <w:lang w:val="pl-PL"/>
              </w:rPr>
              <w:t>line</w:t>
            </w:r>
            <w:proofErr w:type="spellEnd"/>
            <w:r w:rsidRPr="00A43CB9">
              <w:rPr>
                <w:rFonts w:cs="Arial"/>
                <w:color w:val="000000"/>
                <w:sz w:val="20"/>
                <w:szCs w:val="20"/>
                <w:lang w:val="pl-PL"/>
              </w:rPr>
              <w:t xml:space="preserve"> nad aparatem, poprzez łącze teleinformatyczne. Zdalny dostęp umożliwiający diagnozowanie,  usunięcie awarii aparatu i aktualizacje oprogramowania.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7E1D37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CB9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5BE" w:rsidRPr="00A43CB9" w:rsidTr="00F84795">
        <w:trPr>
          <w:trHeight w:val="7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55BE" w:rsidRPr="00A43CB9" w:rsidRDefault="00D355BE" w:rsidP="00D355BE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Stopka1"/>
              <w:snapToGrid w:val="0"/>
              <w:jc w:val="both"/>
              <w:rPr>
                <w:rFonts w:cs="Arial"/>
                <w:color w:val="000000"/>
                <w:sz w:val="20"/>
                <w:szCs w:val="20"/>
                <w:lang w:val="pl-PL"/>
              </w:rPr>
            </w:pPr>
            <w:r w:rsidRPr="00A43CB9">
              <w:rPr>
                <w:rFonts w:cs="Arial"/>
                <w:color w:val="000000"/>
                <w:sz w:val="20"/>
                <w:szCs w:val="20"/>
                <w:lang w:val="pl-PL"/>
              </w:rPr>
              <w:t>Integracja analizatora z systemem informatycznym Zamawiającego. Wykonawca zapewni niezbędny sprzęt i oprzyrządowanie do instalacji systemu integracyjnego.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5BE" w:rsidRPr="00A43CB9" w:rsidTr="00F84795">
        <w:trPr>
          <w:trHeight w:val="7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55BE" w:rsidRPr="00A43CB9" w:rsidRDefault="00D355BE" w:rsidP="00D355BE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Stopka1"/>
              <w:snapToGrid w:val="0"/>
              <w:jc w:val="both"/>
              <w:rPr>
                <w:rFonts w:cs="Arial"/>
                <w:color w:val="000000"/>
                <w:sz w:val="20"/>
                <w:szCs w:val="20"/>
                <w:lang w:val="pl-PL"/>
              </w:rPr>
            </w:pPr>
            <w:r w:rsidRPr="00A43CB9">
              <w:rPr>
                <w:rFonts w:cs="Arial"/>
                <w:color w:val="000000"/>
                <w:sz w:val="20"/>
                <w:szCs w:val="20"/>
                <w:lang w:val="pl-PL"/>
              </w:rPr>
              <w:t>Wykonawca zapewni indywidualne kody kreskowe dostępu dla operatorów analizatora.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5BE" w:rsidRPr="00A43CB9" w:rsidTr="00F84795">
        <w:trPr>
          <w:trHeight w:val="7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55BE" w:rsidRPr="00A43CB9" w:rsidRDefault="00D355BE" w:rsidP="00D355BE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Stopka1"/>
              <w:snapToGrid w:val="0"/>
              <w:jc w:val="both"/>
              <w:rPr>
                <w:rFonts w:cs="Arial"/>
                <w:color w:val="000000"/>
                <w:sz w:val="20"/>
                <w:szCs w:val="20"/>
                <w:lang w:val="pl-PL"/>
              </w:rPr>
            </w:pPr>
            <w:r w:rsidRPr="00A43CB9">
              <w:rPr>
                <w:rFonts w:cs="Arial"/>
                <w:color w:val="000000"/>
                <w:sz w:val="20"/>
                <w:szCs w:val="20"/>
                <w:lang w:val="pl-PL"/>
              </w:rPr>
              <w:t>Analizator wyprodukowany nie wcześniej niż w 2019 r.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55BE" w:rsidRPr="00A43CB9" w:rsidRDefault="00D355BE" w:rsidP="00D355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1B54" w:rsidRPr="00A43CB9" w:rsidRDefault="00CB1B54" w:rsidP="00246A01">
      <w:pPr>
        <w:pStyle w:val="Bezodstpw"/>
        <w:rPr>
          <w:rFonts w:ascii="Arial" w:hAnsi="Arial" w:cs="Arial"/>
          <w:sz w:val="20"/>
          <w:szCs w:val="20"/>
        </w:rPr>
      </w:pPr>
    </w:p>
    <w:p w:rsidR="00CB1B54" w:rsidRPr="00A43CB9" w:rsidRDefault="00CB1B54" w:rsidP="00246A01">
      <w:pPr>
        <w:pStyle w:val="Bezodstpw"/>
        <w:rPr>
          <w:rFonts w:ascii="Arial" w:hAnsi="Arial" w:cs="Arial"/>
          <w:sz w:val="20"/>
          <w:szCs w:val="20"/>
        </w:rPr>
      </w:pPr>
    </w:p>
    <w:p w:rsidR="00CB1B54" w:rsidRPr="00A43CB9" w:rsidRDefault="00CB1B54" w:rsidP="00246A01">
      <w:pPr>
        <w:pStyle w:val="Bezodstpw"/>
        <w:rPr>
          <w:rFonts w:ascii="Arial" w:hAnsi="Arial" w:cs="Arial"/>
          <w:sz w:val="20"/>
          <w:szCs w:val="20"/>
        </w:rPr>
      </w:pPr>
      <w:r w:rsidRPr="00A43CB9">
        <w:rPr>
          <w:rFonts w:ascii="Arial" w:hAnsi="Arial" w:cs="Arial"/>
          <w:sz w:val="20"/>
          <w:szCs w:val="20"/>
        </w:rPr>
        <w:t>___________________________</w:t>
      </w:r>
    </w:p>
    <w:p w:rsidR="00CB1B54" w:rsidRPr="00A43CB9" w:rsidRDefault="00CB1B54" w:rsidP="00246A01">
      <w:pPr>
        <w:pStyle w:val="Bezodstpw"/>
        <w:rPr>
          <w:rFonts w:ascii="Arial" w:hAnsi="Arial" w:cs="Arial"/>
          <w:sz w:val="20"/>
          <w:szCs w:val="20"/>
        </w:rPr>
      </w:pPr>
      <w:r w:rsidRPr="00A43CB9">
        <w:rPr>
          <w:rFonts w:ascii="Arial" w:hAnsi="Arial" w:cs="Arial"/>
          <w:sz w:val="20"/>
          <w:szCs w:val="20"/>
        </w:rPr>
        <w:t>podpis elektroniczny</w:t>
      </w:r>
    </w:p>
    <w:p w:rsidR="007A62CC" w:rsidRPr="00A43CB9" w:rsidRDefault="00DC0D0C" w:rsidP="00246A01">
      <w:pPr>
        <w:pStyle w:val="Bezodstpw"/>
        <w:rPr>
          <w:rFonts w:ascii="Arial" w:hAnsi="Arial" w:cs="Arial"/>
          <w:sz w:val="20"/>
          <w:szCs w:val="20"/>
        </w:rPr>
      </w:pPr>
    </w:p>
    <w:sectPr w:rsidR="007A62CC" w:rsidRPr="00A43CB9" w:rsidSect="009B29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3B2"/>
    <w:multiLevelType w:val="hybridMultilevel"/>
    <w:tmpl w:val="BE54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C7B6D"/>
    <w:multiLevelType w:val="multilevel"/>
    <w:tmpl w:val="B504E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688016E"/>
    <w:multiLevelType w:val="multilevel"/>
    <w:tmpl w:val="1F600E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884E2A"/>
    <w:multiLevelType w:val="hybridMultilevel"/>
    <w:tmpl w:val="D8B05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54"/>
    <w:rsid w:val="00246A01"/>
    <w:rsid w:val="0053720D"/>
    <w:rsid w:val="00775C82"/>
    <w:rsid w:val="007E1D37"/>
    <w:rsid w:val="007F45F5"/>
    <w:rsid w:val="009B2954"/>
    <w:rsid w:val="00A43CB9"/>
    <w:rsid w:val="00C31418"/>
    <w:rsid w:val="00CB1B54"/>
    <w:rsid w:val="00D355BE"/>
    <w:rsid w:val="00DC0D0C"/>
    <w:rsid w:val="00D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89AB"/>
  <w15:chartTrackingRefBased/>
  <w15:docId w15:val="{D82FD311-CD4E-4823-803D-A94F8993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B54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CB1B54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BezodstpwZnak">
    <w:name w:val="Bez odstępów Znak"/>
    <w:link w:val="Bezodstpw"/>
    <w:uiPriority w:val="99"/>
    <w:locked/>
    <w:rsid w:val="00CB1B54"/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6A01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246A01"/>
    <w:pPr>
      <w:tabs>
        <w:tab w:val="center" w:pos="4683"/>
        <w:tab w:val="right" w:pos="9361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246A01"/>
    <w:rPr>
      <w:rFonts w:asciiTheme="minorHAnsi" w:hAnsiTheme="minorHAnsi" w:cstheme="minorBidi"/>
    </w:rPr>
  </w:style>
  <w:style w:type="paragraph" w:customStyle="1" w:styleId="Zwykytekst1">
    <w:name w:val="Zwykły tekst1"/>
    <w:basedOn w:val="Normalny"/>
    <w:qFormat/>
    <w:rsid w:val="00246A01"/>
    <w:pPr>
      <w:widowControl w:val="0"/>
      <w:suppressAutoHyphens/>
      <w:spacing w:after="0" w:line="240" w:lineRule="auto"/>
    </w:pPr>
    <w:rPr>
      <w:rFonts w:ascii="Courier New" w:eastAsia="Andale Sans UI" w:hAnsi="Courier New" w:cs="Calibri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D355B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WW-Tekstpodstawowy2">
    <w:name w:val="WW-Tekst podstawowy 2"/>
    <w:basedOn w:val="Standard"/>
    <w:qFormat/>
    <w:rsid w:val="00D355BE"/>
    <w:rPr>
      <w:b/>
    </w:rPr>
  </w:style>
  <w:style w:type="paragraph" w:customStyle="1" w:styleId="Stopka1">
    <w:name w:val="Stopka1"/>
    <w:basedOn w:val="Standard"/>
    <w:qFormat/>
    <w:rsid w:val="00D355BE"/>
    <w:pPr>
      <w:suppressLineNumbers/>
      <w:tabs>
        <w:tab w:val="center" w:pos="4819"/>
        <w:tab w:val="right" w:pos="9638"/>
      </w:tabs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dc:description/>
  <cp:lastModifiedBy>Katarzyna Seweryn-Michalska</cp:lastModifiedBy>
  <cp:revision>4</cp:revision>
  <dcterms:created xsi:type="dcterms:W3CDTF">2024-05-07T09:26:00Z</dcterms:created>
  <dcterms:modified xsi:type="dcterms:W3CDTF">2024-05-09T06:48:00Z</dcterms:modified>
</cp:coreProperties>
</file>