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1798" w14:textId="7B9BB003" w:rsidR="00F435A1" w:rsidRDefault="00AE17F8" w:rsidP="00751B56">
      <w:pPr>
        <w:tabs>
          <w:tab w:val="center" w:pos="4536"/>
          <w:tab w:val="right" w:pos="9072"/>
        </w:tabs>
      </w:pPr>
      <w:r>
        <w:rPr>
          <w:rFonts w:asciiTheme="minorHAnsi" w:hAnsiTheme="minorHAnsi"/>
          <w:b/>
          <w:bCs/>
        </w:rPr>
        <w:t xml:space="preserve"> </w:t>
      </w:r>
      <w:r w:rsidR="00F435A1">
        <w:rPr>
          <w:rFonts w:ascii="Calibri" w:hAnsi="Calibri"/>
          <w:bCs/>
          <w:sz w:val="22"/>
          <w:szCs w:val="22"/>
        </w:rPr>
        <w:t xml:space="preserve">Projekt umowy                                                                                                                </w:t>
      </w:r>
      <w:r w:rsidR="009461C3">
        <w:rPr>
          <w:rFonts w:ascii="Calibri" w:hAnsi="Calibri"/>
          <w:bCs/>
          <w:sz w:val="22"/>
          <w:szCs w:val="22"/>
        </w:rPr>
        <w:t xml:space="preserve">                </w:t>
      </w:r>
      <w:r w:rsidR="00F435A1">
        <w:rPr>
          <w:rFonts w:ascii="Calibri" w:hAnsi="Calibri"/>
          <w:bCs/>
          <w:sz w:val="22"/>
          <w:szCs w:val="22"/>
        </w:rPr>
        <w:t xml:space="preserve"> </w:t>
      </w:r>
      <w:r w:rsidR="00F435A1">
        <w:rPr>
          <w:rFonts w:ascii="Calibri" w:eastAsia="SimSun" w:hAnsi="Calibri"/>
          <w:b/>
          <w:kern w:val="3"/>
          <w:sz w:val="22"/>
          <w:szCs w:val="22"/>
          <w:lang w:eastAsia="hi-IN" w:bidi="hi-IN"/>
        </w:rPr>
        <w:t xml:space="preserve">Załącznik nr </w:t>
      </w:r>
      <w:r w:rsidR="001448F3">
        <w:rPr>
          <w:rFonts w:ascii="Calibri" w:eastAsia="SimSun" w:hAnsi="Calibri"/>
          <w:b/>
          <w:kern w:val="3"/>
          <w:sz w:val="22"/>
          <w:szCs w:val="22"/>
          <w:lang w:eastAsia="hi-IN" w:bidi="hi-IN"/>
        </w:rPr>
        <w:t>4</w:t>
      </w:r>
      <w:r w:rsidR="00F435A1">
        <w:rPr>
          <w:rFonts w:ascii="Calibri" w:eastAsia="SimSun" w:hAnsi="Calibri"/>
          <w:b/>
          <w:kern w:val="3"/>
          <w:sz w:val="22"/>
          <w:szCs w:val="22"/>
          <w:lang w:eastAsia="hi-IN" w:bidi="hi-IN"/>
        </w:rPr>
        <w:t xml:space="preserve"> do SWZ</w:t>
      </w:r>
      <w:r w:rsidR="00F435A1">
        <w:rPr>
          <w:rFonts w:ascii="Calibri" w:hAnsi="Calibri"/>
          <w:bCs/>
          <w:sz w:val="22"/>
          <w:szCs w:val="22"/>
        </w:rPr>
        <w:t xml:space="preserve">                                                                             </w:t>
      </w:r>
    </w:p>
    <w:p w14:paraId="438F16DA" w14:textId="16FDF583"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 xml:space="preserve">UMOWA nr </w:t>
      </w:r>
      <w:r w:rsidR="00C62396">
        <w:rPr>
          <w:rFonts w:ascii="Calibri" w:hAnsi="Calibri" w:cs="Calibri"/>
          <w:b/>
          <w:bCs/>
        </w:rPr>
        <w:t>….</w:t>
      </w:r>
      <w:r w:rsidRPr="00337FAA">
        <w:rPr>
          <w:rFonts w:ascii="Calibri" w:hAnsi="Calibri" w:cs="Calibri"/>
          <w:b/>
          <w:bCs/>
        </w:rPr>
        <w:t>…/</w:t>
      </w:r>
      <w:r w:rsidR="006A49D3">
        <w:rPr>
          <w:rFonts w:ascii="Calibri" w:hAnsi="Calibri" w:cs="Calibri"/>
          <w:b/>
          <w:bCs/>
        </w:rPr>
        <w:t>76</w:t>
      </w:r>
      <w:r w:rsidRPr="00337FAA">
        <w:rPr>
          <w:rFonts w:ascii="Calibri" w:hAnsi="Calibri" w:cs="Calibri"/>
          <w:b/>
          <w:bCs/>
        </w:rPr>
        <w:t>/202</w:t>
      </w:r>
      <w:r w:rsidR="00640AF8">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0390AB80"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w Krajowym Rejestrze Sądowym – w rejestrze</w:t>
      </w:r>
      <w:r w:rsidR="006E1A75">
        <w:rPr>
          <w:rFonts w:ascii="Calibri" w:hAnsi="Calibri"/>
        </w:rPr>
        <w:t xml:space="preserve"> stowarzyszeń</w:t>
      </w:r>
      <w:r w:rsidRPr="00337FAA">
        <w:rPr>
          <w:rFonts w:ascii="Calibri" w:hAnsi="Calibri"/>
        </w:rPr>
        <w:t xml:space="preserv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20A127B6" w:rsidR="00337FAA" w:rsidRPr="00751B56"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006A49D3">
        <w:rPr>
          <w:rFonts w:ascii="Calibri" w:eastAsia="Calibri" w:hAnsi="Calibri" w:cs="Calibri"/>
          <w:b/>
          <w:lang w:eastAsia="en-US"/>
        </w:rPr>
        <w:t>24 miesiące</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r w:rsidR="00751B56">
        <w:rPr>
          <w:rFonts w:ascii="Calibri" w:eastAsia="Calibri" w:hAnsi="Calibri" w:cs="Calibri"/>
          <w:lang w:eastAsia="en-US"/>
        </w:rPr>
        <w:t xml:space="preserve"> </w:t>
      </w:r>
    </w:p>
    <w:p w14:paraId="676C1804" w14:textId="77777777" w:rsid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583C98D6" w14:textId="77777777" w:rsidR="00C62396" w:rsidRPr="00337FAA" w:rsidRDefault="00C62396" w:rsidP="00C62396">
      <w:pPr>
        <w:suppressAutoHyphens/>
        <w:autoSpaceDN w:val="0"/>
        <w:spacing w:after="0" w:line="240" w:lineRule="auto"/>
        <w:ind w:left="6"/>
        <w:contextualSpacing/>
        <w:jc w:val="both"/>
        <w:textAlignment w:val="baseline"/>
        <w:rPr>
          <w:rFonts w:ascii="Calibri" w:eastAsia="Calibri" w:hAnsi="Calibri" w:cs="Calibri"/>
          <w:lang w:eastAsia="en-US"/>
        </w:rPr>
      </w:pP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015165A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Zamawiający zapewnia niezbędne warunki organizacyjne umożliwiające dostęp pracownikom Wykonawcy </w:t>
      </w:r>
      <w:r w:rsidR="009D4036">
        <w:rPr>
          <w:rFonts w:ascii="Calibri" w:eastAsia="Calibri" w:hAnsi="Calibri" w:cs="Calibri"/>
          <w:lang w:eastAsia="en-US"/>
        </w:rPr>
        <w:br/>
      </w:r>
      <w:r w:rsidRPr="00337FAA">
        <w:rPr>
          <w:rFonts w:ascii="Calibri" w:eastAsia="Calibri" w:hAnsi="Calibri" w:cs="Calibri"/>
          <w:lang w:eastAsia="en-US"/>
        </w:rPr>
        <w:t>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0E0CD548" w:rsidR="00337FAA" w:rsidRPr="00B133A9"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 xml:space="preserve">Osobą odpowiedzialną za realizację umowy ze strony Zamawiającego jest </w:t>
      </w:r>
      <w:r w:rsidR="00062A12">
        <w:rPr>
          <w:rFonts w:ascii="Calibri" w:eastAsia="Calibri" w:hAnsi="Calibri" w:cs="Calibri"/>
          <w:lang w:eastAsia="en-US"/>
        </w:rPr>
        <w:t>………………………………………..</w:t>
      </w:r>
    </w:p>
    <w:p w14:paraId="1957B1B3" w14:textId="0FC0BB39" w:rsidR="00B133A9" w:rsidRPr="00751B56" w:rsidRDefault="00B133A9" w:rsidP="00062A12">
      <w:pPr>
        <w:numPr>
          <w:ilvl w:val="0"/>
          <w:numId w:val="40"/>
        </w:numPr>
        <w:suppressAutoHyphens/>
        <w:autoSpaceDN w:val="0"/>
        <w:spacing w:after="0" w:line="240" w:lineRule="auto"/>
        <w:ind w:hanging="284"/>
        <w:contextualSpacing/>
        <w:jc w:val="both"/>
        <w:textAlignment w:val="baseline"/>
      </w:pPr>
      <w:r>
        <w:rPr>
          <w:rFonts w:ascii="Calibri" w:eastAsia="Calibri" w:hAnsi="Calibri" w:cs="Calibri"/>
          <w:lang w:eastAsia="en-US"/>
        </w:rPr>
        <w:t>Osobą odpowiedzialną za realizację umowy ze strony Wykonawcy jest………………………………………………</w:t>
      </w:r>
    </w:p>
    <w:p w14:paraId="44658486" w14:textId="77777777" w:rsidR="00751B56" w:rsidRPr="00062A12" w:rsidRDefault="00751B56" w:rsidP="00751B56">
      <w:pPr>
        <w:suppressAutoHyphens/>
        <w:autoSpaceDN w:val="0"/>
        <w:spacing w:after="0" w:line="240" w:lineRule="auto"/>
        <w:ind w:left="720"/>
        <w:contextualSpacing/>
        <w:jc w:val="both"/>
        <w:textAlignment w:val="baseline"/>
      </w:pPr>
    </w:p>
    <w:p w14:paraId="5D366284" w14:textId="762E2F84" w:rsidR="00062A12" w:rsidRPr="00751B56" w:rsidRDefault="00751B56" w:rsidP="00062A12">
      <w:pPr>
        <w:suppressAutoHyphens/>
        <w:autoSpaceDN w:val="0"/>
        <w:spacing w:after="0" w:line="240" w:lineRule="auto"/>
        <w:ind w:left="720"/>
        <w:contextualSpacing/>
        <w:jc w:val="both"/>
        <w:textAlignment w:val="baseline"/>
        <w:rPr>
          <w:b/>
          <w:bCs/>
        </w:rPr>
      </w:pPr>
      <w:r w:rsidRPr="00751B56">
        <w:rPr>
          <w:b/>
          <w:bCs/>
        </w:rPr>
        <w:t xml:space="preserve">                                                                                     § </w:t>
      </w:r>
      <w:r>
        <w:rPr>
          <w:b/>
          <w:bCs/>
        </w:rPr>
        <w:t>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bookmarkStart w:id="0" w:name="_Hlk193101955"/>
      <w:r w:rsidRPr="00337FAA">
        <w:rPr>
          <w:rFonts w:ascii="Calibri" w:hAnsi="Calibri" w:cs="Calibri"/>
          <w:b/>
        </w:rPr>
        <w:t>§ 4</w:t>
      </w:r>
    </w:p>
    <w:bookmarkEnd w:id="0"/>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2AB6A279"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9D4036">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3B83C2C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9D4036">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144F5834"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2DE5FEE5"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51B04878"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09851CBE"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48454D30"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w:t>
      </w:r>
      <w:r w:rsidR="009D4036">
        <w:rPr>
          <w:rFonts w:ascii="Calibri" w:eastAsia="Calibri" w:hAnsi="Calibri" w:cs="Calibri"/>
          <w:lang w:eastAsia="en-US"/>
        </w:rPr>
        <w:br/>
      </w:r>
      <w:r w:rsidRPr="00337FAA">
        <w:rPr>
          <w:rFonts w:ascii="Calibri" w:eastAsia="Calibri" w:hAnsi="Calibri" w:cs="Calibri"/>
          <w:lang w:eastAsia="en-US"/>
        </w:rPr>
        <w:t>do bezpłatnej wymiany wadliwego towaru na wolny od wad w terminie do 10 dni roboczych od otrzymania reklamacji  złożonej telefonicznie, lub na adres e-mail</w:t>
      </w:r>
      <w:r w:rsidR="00B133A9">
        <w:rPr>
          <w:rFonts w:ascii="Calibri" w:eastAsia="Calibri" w:hAnsi="Calibri" w:cs="Calibri"/>
          <w:lang w:eastAsia="en-US"/>
        </w:rPr>
        <w:t xml:space="preserve"> wedle wyboru Zamawiającego.</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4336AA5D" w14:textId="11A728ED"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1C7A95">
        <w:rPr>
          <w:rFonts w:ascii="Calibri" w:eastAsia="Calibri" w:hAnsi="Calibri" w:cs="Calibri"/>
          <w:lang w:eastAsia="en-US"/>
        </w:rPr>
        <w:t xml:space="preserve"> </w:t>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1C7A95">
        <w:rPr>
          <w:rFonts w:ascii="Calibri" w:eastAsia="Calibri" w:hAnsi="Calibri" w:cs="Calibri"/>
          <w:lang w:eastAsia="en-US"/>
        </w:rPr>
        <w:t xml:space="preserve"> </w:t>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C3F31ED"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9D4036">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40D3995C" w:rsidR="00337FAA" w:rsidRPr="00337FAA" w:rsidRDefault="006E1A75" w:rsidP="00337FAA">
      <w:pPr>
        <w:widowControl w:val="0"/>
        <w:suppressAutoHyphens/>
        <w:autoSpaceDN w:val="0"/>
        <w:spacing w:after="0" w:line="240" w:lineRule="auto"/>
        <w:jc w:val="center"/>
      </w:pPr>
      <w:r>
        <w:rPr>
          <w:rFonts w:ascii="Calibri" w:hAnsi="Calibri" w:cs="Calibri"/>
          <w:b/>
        </w:rPr>
        <w:t xml:space="preserve">Odstąpienie od </w:t>
      </w:r>
      <w:r w:rsidRPr="00337FAA">
        <w:rPr>
          <w:rFonts w:ascii="Calibri" w:hAnsi="Calibri" w:cs="Calibri"/>
          <w:b/>
        </w:rPr>
        <w:t xml:space="preserve"> </w:t>
      </w:r>
      <w:r>
        <w:rPr>
          <w:rFonts w:ascii="Calibri" w:hAnsi="Calibri" w:cs="Calibri"/>
          <w:b/>
        </w:rPr>
        <w:t>u</w:t>
      </w:r>
      <w:r w:rsidRPr="00337FAA">
        <w:rPr>
          <w:rFonts w:ascii="Calibri" w:hAnsi="Calibri" w:cs="Calibri"/>
          <w:b/>
        </w:rPr>
        <w:t>mowy</w:t>
      </w:r>
    </w:p>
    <w:p w14:paraId="430CD231" w14:textId="10AF2E00" w:rsidR="00B13059" w:rsidRPr="006A49D3" w:rsidRDefault="00337FAA" w:rsidP="009B1239">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6A49D3">
        <w:rPr>
          <w:rFonts w:ascii="Calibri" w:eastAsia="Calibri" w:hAnsi="Calibri" w:cs="Calibri"/>
          <w:lang w:eastAsia="en-US"/>
        </w:rPr>
        <w:t xml:space="preserve">Oprócz przypadków wymienionych w ustawie Kodeks </w:t>
      </w:r>
      <w:r w:rsidR="006E1A75" w:rsidRPr="006A49D3">
        <w:rPr>
          <w:rFonts w:ascii="Calibri" w:eastAsia="Calibri" w:hAnsi="Calibri" w:cs="Calibri"/>
          <w:lang w:eastAsia="en-US"/>
        </w:rPr>
        <w:t xml:space="preserve">cywilny </w:t>
      </w:r>
      <w:r w:rsidRPr="006A49D3">
        <w:rPr>
          <w:rFonts w:ascii="Calibri" w:eastAsia="Calibri" w:hAnsi="Calibri" w:cs="Calibri"/>
          <w:lang w:eastAsia="en-US"/>
        </w:rPr>
        <w:t xml:space="preserve">oraz ustawie Prawo zamówień publicznych Zamawiającemu przysługuje prawo </w:t>
      </w:r>
      <w:r w:rsidR="00B13059" w:rsidRPr="006A49D3">
        <w:rPr>
          <w:rFonts w:ascii="Calibri" w:eastAsia="Calibri" w:hAnsi="Calibri" w:cs="Calibri"/>
          <w:lang w:eastAsia="en-US"/>
        </w:rPr>
        <w:t>odstąpieni</w:t>
      </w:r>
      <w:r w:rsidR="00F55F60" w:rsidRPr="006A49D3">
        <w:rPr>
          <w:rFonts w:ascii="Calibri" w:eastAsia="Calibri" w:hAnsi="Calibri" w:cs="Calibri"/>
          <w:lang w:eastAsia="en-US"/>
        </w:rPr>
        <w:t>a</w:t>
      </w:r>
      <w:r w:rsidR="00B13059" w:rsidRPr="006A49D3">
        <w:rPr>
          <w:rFonts w:ascii="Calibri" w:eastAsia="Calibri" w:hAnsi="Calibri" w:cs="Calibri"/>
          <w:lang w:eastAsia="en-US"/>
        </w:rPr>
        <w:t xml:space="preserve"> od umowy </w:t>
      </w:r>
      <w:r w:rsidR="0094516C" w:rsidRPr="006A49D3">
        <w:rPr>
          <w:rFonts w:ascii="Calibri" w:eastAsia="Calibri" w:hAnsi="Calibri" w:cs="Calibri"/>
          <w:bCs/>
          <w:lang w:eastAsia="en-US"/>
        </w:rPr>
        <w:t xml:space="preserve">bez ponoszenia kar umownych </w:t>
      </w:r>
      <w:r w:rsidR="00B13059" w:rsidRPr="006A49D3">
        <w:rPr>
          <w:rFonts w:ascii="Calibri" w:eastAsia="Calibri" w:hAnsi="Calibri" w:cs="Calibri"/>
          <w:lang w:eastAsia="en-US"/>
        </w:rPr>
        <w:t>jeżeli:</w:t>
      </w:r>
    </w:p>
    <w:p w14:paraId="0E1377D9" w14:textId="7EB470D9" w:rsidR="0094516C" w:rsidRPr="006A49D3" w:rsidRDefault="00B13059" w:rsidP="0043393B">
      <w:pPr>
        <w:pStyle w:val="Akapitzlist"/>
        <w:numPr>
          <w:ilvl w:val="1"/>
          <w:numId w:val="73"/>
        </w:numPr>
        <w:spacing w:line="240" w:lineRule="auto"/>
        <w:jc w:val="both"/>
        <w:rPr>
          <w:rFonts w:cs="Calibri"/>
          <w:sz w:val="20"/>
          <w:szCs w:val="20"/>
        </w:rPr>
      </w:pPr>
      <w:r w:rsidRPr="006A49D3">
        <w:rPr>
          <w:rFonts w:cs="Calibri"/>
          <w:sz w:val="20"/>
          <w:szCs w:val="20"/>
        </w:rPr>
        <w:t>Wykonawca</w:t>
      </w:r>
      <w:r w:rsidR="00F55F60" w:rsidRPr="006A49D3">
        <w:rPr>
          <w:rFonts w:cs="Calibri"/>
          <w:sz w:val="20"/>
          <w:szCs w:val="20"/>
        </w:rPr>
        <w:t xml:space="preserve"> </w:t>
      </w:r>
      <w:r w:rsidR="00337FAA" w:rsidRPr="006A49D3">
        <w:rPr>
          <w:sz w:val="20"/>
          <w:szCs w:val="20"/>
        </w:rPr>
        <w:t>narusza w sposób rażący istotne postanowienia niniejszej umowy, a w szczególności, gdy dostarcza towar niezgodny z umową lub specyfikacją,</w:t>
      </w:r>
      <w:r w:rsidRPr="006A49D3">
        <w:rPr>
          <w:sz w:val="20"/>
          <w:szCs w:val="20"/>
        </w:rPr>
        <w:t xml:space="preserve"> przy czym Zamawiający wzywa Wykonawcę w formie dokumentowej do zaprzestania naruszeń i usunięcia ich skutków, wyznaczając mu w tym celu odpowiedni termin nie krótszy niż 5 dni roboczych,</w:t>
      </w:r>
    </w:p>
    <w:p w14:paraId="3E7FE5A3" w14:textId="34980835" w:rsidR="00AA269D" w:rsidRPr="006A49D3" w:rsidRDefault="00AA269D" w:rsidP="0043393B">
      <w:pPr>
        <w:pStyle w:val="Akapitzlist"/>
        <w:numPr>
          <w:ilvl w:val="1"/>
          <w:numId w:val="73"/>
        </w:numPr>
        <w:spacing w:line="240" w:lineRule="auto"/>
        <w:jc w:val="both"/>
        <w:rPr>
          <w:sz w:val="20"/>
          <w:szCs w:val="20"/>
        </w:rPr>
      </w:pPr>
      <w:r w:rsidRPr="006A49D3">
        <w:rPr>
          <w:rFonts w:cs="Calibri"/>
          <w:sz w:val="20"/>
          <w:szCs w:val="20"/>
        </w:rPr>
        <w:t xml:space="preserve">Wykonawca </w:t>
      </w:r>
      <w:r w:rsidR="00337FAA" w:rsidRPr="006A49D3">
        <w:rPr>
          <w:rFonts w:cs="Calibri"/>
          <w:sz w:val="20"/>
          <w:szCs w:val="20"/>
        </w:rPr>
        <w:t>nie posiada ważnych, aktualnych dokumentów potwierdzających wymagania</w:t>
      </w:r>
      <w:r w:rsidR="009B1239" w:rsidRPr="006A49D3">
        <w:rPr>
          <w:rFonts w:cs="Calibri"/>
          <w:sz w:val="20"/>
          <w:szCs w:val="20"/>
        </w:rPr>
        <w:t xml:space="preserve">  </w:t>
      </w:r>
      <w:r w:rsidR="00337FAA" w:rsidRPr="006A49D3">
        <w:rPr>
          <w:rFonts w:cs="Calibri"/>
          <w:sz w:val="20"/>
          <w:szCs w:val="20"/>
        </w:rPr>
        <w:t>jakościowe opisane w § 3</w:t>
      </w:r>
      <w:r w:rsidR="0094516C" w:rsidRPr="006A49D3">
        <w:rPr>
          <w:rFonts w:cs="Calibri"/>
          <w:sz w:val="20"/>
          <w:szCs w:val="20"/>
        </w:rPr>
        <w:t>,</w:t>
      </w:r>
      <w:r w:rsidRPr="006A49D3">
        <w:rPr>
          <w:sz w:val="20"/>
          <w:szCs w:val="20"/>
        </w:rPr>
        <w:t xml:space="preserve"> </w:t>
      </w:r>
    </w:p>
    <w:p w14:paraId="454A17ED" w14:textId="21AB2A3B" w:rsidR="00AA269D" w:rsidRPr="006A49D3" w:rsidRDefault="00AA269D" w:rsidP="0043393B">
      <w:pPr>
        <w:pStyle w:val="Akapitzlist"/>
        <w:spacing w:line="240" w:lineRule="auto"/>
        <w:rPr>
          <w:sz w:val="20"/>
          <w:szCs w:val="20"/>
        </w:rPr>
      </w:pPr>
      <w:r w:rsidRPr="006A49D3">
        <w:rPr>
          <w:sz w:val="20"/>
          <w:szCs w:val="20"/>
        </w:rPr>
        <w:t>w terminie 14 dni od daty powzięcia przez Zamawiającego informacji o zaistnieniu przyczyny.</w:t>
      </w:r>
    </w:p>
    <w:p w14:paraId="3443BD59" w14:textId="7067D9A7" w:rsidR="0094516C" w:rsidRPr="006A49D3" w:rsidRDefault="00AA269D" w:rsidP="0043393B">
      <w:pPr>
        <w:numPr>
          <w:ilvl w:val="0"/>
          <w:numId w:val="47"/>
        </w:numPr>
        <w:suppressAutoHyphens/>
        <w:autoSpaceDN w:val="0"/>
        <w:spacing w:after="0" w:line="240" w:lineRule="auto"/>
        <w:ind w:hanging="357"/>
        <w:contextualSpacing/>
        <w:jc w:val="both"/>
        <w:textAlignment w:val="baseline"/>
      </w:pPr>
      <w:r w:rsidRPr="006A49D3">
        <w:rPr>
          <w:rFonts w:ascii="Calibri" w:eastAsia="Calibri" w:hAnsi="Calibri" w:cs="Calibri"/>
          <w:bCs/>
          <w:lang w:eastAsia="en-US"/>
        </w:rPr>
        <w:t xml:space="preserve">Zamawiający ma prawo do rozwiązania  umowy ze skutkiem natychmiastowych bez ponoszenia kar umownych  </w:t>
      </w:r>
      <w:r w:rsidRPr="006A49D3">
        <w:rPr>
          <w:rFonts w:ascii="Calibri" w:eastAsia="Calibri" w:hAnsi="Calibri" w:cs="Calibri"/>
          <w:bCs/>
          <w:lang w:eastAsia="en-US"/>
        </w:rPr>
        <w:br/>
        <w:t>w  następujących przypadkach:</w:t>
      </w:r>
    </w:p>
    <w:p w14:paraId="5A17991A" w14:textId="7CA22DA1" w:rsidR="00AA269D" w:rsidRPr="006A49D3" w:rsidRDefault="00AA269D" w:rsidP="0043393B">
      <w:pPr>
        <w:pStyle w:val="Akapitzlist"/>
        <w:numPr>
          <w:ilvl w:val="1"/>
          <w:numId w:val="73"/>
        </w:numPr>
        <w:spacing w:line="240" w:lineRule="auto"/>
        <w:rPr>
          <w:sz w:val="20"/>
          <w:szCs w:val="20"/>
        </w:rPr>
      </w:pPr>
      <w:r w:rsidRPr="006A49D3">
        <w:rPr>
          <w:rFonts w:cs="Calibri"/>
          <w:sz w:val="20"/>
          <w:szCs w:val="20"/>
        </w:rPr>
        <w:t xml:space="preserve">Wykonawca </w:t>
      </w:r>
      <w:r w:rsidR="0094516C" w:rsidRPr="006A49D3">
        <w:rPr>
          <w:rFonts w:cs="Calibri"/>
          <w:sz w:val="20"/>
          <w:szCs w:val="20"/>
        </w:rPr>
        <w:t>rozwiązał firmę lub utracił uprawnienia do prowadzenia działalność gospodarczej</w:t>
      </w:r>
      <w:r w:rsidR="009B1239" w:rsidRPr="006A49D3">
        <w:rPr>
          <w:rFonts w:cs="Calibri"/>
          <w:sz w:val="20"/>
          <w:szCs w:val="20"/>
        </w:rPr>
        <w:br/>
      </w:r>
      <w:r w:rsidR="0094516C" w:rsidRPr="006A49D3">
        <w:rPr>
          <w:rFonts w:cs="Calibri"/>
          <w:sz w:val="20"/>
          <w:szCs w:val="20"/>
        </w:rPr>
        <w:t>w zakresie objętym  zamówieniem,</w:t>
      </w:r>
    </w:p>
    <w:p w14:paraId="72C03088" w14:textId="477F9F3D" w:rsidR="00AA269D" w:rsidRPr="006A49D3" w:rsidRDefault="0094516C" w:rsidP="0043393B">
      <w:pPr>
        <w:pStyle w:val="Akapitzlist"/>
        <w:numPr>
          <w:ilvl w:val="1"/>
          <w:numId w:val="73"/>
        </w:numPr>
        <w:spacing w:line="240" w:lineRule="auto"/>
        <w:rPr>
          <w:sz w:val="20"/>
          <w:szCs w:val="20"/>
        </w:rPr>
      </w:pPr>
      <w:r w:rsidRPr="006A49D3">
        <w:rPr>
          <w:rFonts w:eastAsia="SimSun" w:cs="Calibri"/>
          <w:sz w:val="20"/>
          <w:szCs w:val="20"/>
          <w:lang w:eastAsia="hi-IN"/>
        </w:rPr>
        <w:t>zmiany cen z wyłączeniem odmiennych postanowień niniejszej umowy.</w:t>
      </w:r>
    </w:p>
    <w:p w14:paraId="32784CDA" w14:textId="2F5B84C7" w:rsidR="00337FAA" w:rsidRPr="006A49D3" w:rsidRDefault="00337FAA" w:rsidP="009B1239">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6A49D3">
        <w:rPr>
          <w:rFonts w:ascii="Calibri" w:eastAsia="Calibri" w:hAnsi="Calibri" w:cs="Calibri"/>
          <w:lang w:eastAsia="en-US"/>
        </w:rPr>
        <w:t>W razie zaistnienia istotnej zmiany okoliczności powodującej, że wykonanie umowy nie leży w interesie publicznym</w:t>
      </w:r>
      <w:r w:rsidRPr="006A49D3">
        <w:rPr>
          <w:rFonts w:ascii="Calibri" w:eastAsia="Calibri" w:hAnsi="Calibri" w:cs="Calibri"/>
          <w:strike/>
          <w:lang w:eastAsia="en-US"/>
        </w:rPr>
        <w:t xml:space="preserve">, </w:t>
      </w:r>
      <w:r w:rsidRPr="006A49D3">
        <w:rPr>
          <w:rFonts w:ascii="Calibri" w:eastAsia="Calibri" w:hAnsi="Calibri" w:cs="Calibri"/>
          <w:lang w:eastAsia="en-US"/>
        </w:rPr>
        <w:t>czego nie można było przewidzieć w chwili zawarcia umowy Zamawiający może odstąpić od umowy w terminie 30 dni od powzięcia wiadomości o tych okolicznościach zawiadamiając o tym Wykonawcę na</w:t>
      </w:r>
      <w:r w:rsidR="00E545D8" w:rsidRPr="006A49D3">
        <w:rPr>
          <w:rFonts w:ascii="Calibri" w:eastAsia="Calibri" w:hAnsi="Calibri" w:cs="Calibri"/>
          <w:lang w:eastAsia="en-US"/>
        </w:rPr>
        <w:t xml:space="preserve"> </w:t>
      </w:r>
      <w:r w:rsidRPr="006A49D3">
        <w:rPr>
          <w:rFonts w:ascii="Calibri" w:eastAsia="Calibri" w:hAnsi="Calibri" w:cs="Calibri"/>
          <w:lang w:eastAsia="en-US"/>
        </w:rPr>
        <w:t>piśmie</w:t>
      </w:r>
      <w:r w:rsidR="00E545D8" w:rsidRPr="006A49D3">
        <w:rPr>
          <w:rFonts w:ascii="Calibri" w:eastAsia="Calibri" w:hAnsi="Calibri" w:cs="Calibri"/>
          <w:lang w:eastAsia="en-US"/>
        </w:rPr>
        <w:t xml:space="preserve"> w </w:t>
      </w:r>
      <w:r w:rsidRPr="006A49D3">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5BF4A33" w14:textId="17A4C619" w:rsidR="001C7A95" w:rsidRPr="00337FAA" w:rsidRDefault="001C7A95" w:rsidP="0043393B">
      <w:pPr>
        <w:suppressAutoHyphens/>
        <w:autoSpaceDN w:val="0"/>
        <w:spacing w:after="0" w:line="240" w:lineRule="auto"/>
        <w:contextualSpacing/>
        <w:rPr>
          <w:rFonts w:ascii="Calibri" w:eastAsia="Calibri" w:hAnsi="Calibri" w:cs="Calibri"/>
          <w:b/>
          <w:lang w:eastAsia="en-US"/>
        </w:rPr>
      </w:pPr>
    </w:p>
    <w:p w14:paraId="60F0A76C" w14:textId="3B189264" w:rsidR="00337FAA" w:rsidRPr="00337FAA" w:rsidRDefault="00C62396" w:rsidP="00C62396">
      <w:pPr>
        <w:suppressAutoHyphens/>
        <w:autoSpaceDN w:val="0"/>
        <w:spacing w:after="0" w:line="240" w:lineRule="auto"/>
        <w:ind w:left="360"/>
        <w:contextualSpacing/>
        <w:rPr>
          <w:rFonts w:ascii="Calibri" w:eastAsia="Calibri" w:hAnsi="Calibri" w:cs="Calibri"/>
          <w:b/>
          <w:lang w:eastAsia="en-US"/>
        </w:rPr>
      </w:pPr>
      <w:r>
        <w:rPr>
          <w:rFonts w:ascii="Calibri" w:eastAsia="Calibri" w:hAnsi="Calibri" w:cs="Calibri"/>
          <w:b/>
          <w:lang w:eastAsia="en-US"/>
        </w:rPr>
        <w:t xml:space="preserve">                                                                                                      </w:t>
      </w:r>
      <w:r w:rsidR="00337FAA"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1F6B435E"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w:t>
      </w:r>
      <w:r w:rsidR="009D4036">
        <w:rPr>
          <w:rFonts w:ascii="Calibri" w:eastAsia="Calibri" w:hAnsi="Calibri" w:cs="Calibri"/>
          <w:bCs/>
          <w:lang w:eastAsia="en-US"/>
        </w:rPr>
        <w:br/>
      </w:r>
      <w:r w:rsidRPr="00337FAA">
        <w:rPr>
          <w:rFonts w:ascii="Calibri" w:eastAsia="Calibri" w:hAnsi="Calibri" w:cs="Calibri"/>
          <w:bCs/>
          <w:lang w:eastAsia="en-US"/>
        </w:rPr>
        <w:t xml:space="preserve">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94132E">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94132E">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Default="00337FAA" w:rsidP="00337FAA">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t xml:space="preserve">podpis </w:t>
            </w:r>
            <w:r w:rsidRPr="00337FAA">
              <w:rPr>
                <w:rFonts w:ascii="Calibri" w:hAnsi="Calibri" w:cs="Calibri"/>
                <w:b/>
                <w:lang w:eastAsia="en-US"/>
              </w:rPr>
              <w:t>Wykonawcy</w:t>
            </w:r>
          </w:p>
          <w:p w14:paraId="44FE8FAC" w14:textId="77777777" w:rsidR="008C79B3" w:rsidRDefault="008C79B3" w:rsidP="00337FAA">
            <w:pPr>
              <w:suppressAutoHyphens/>
              <w:autoSpaceDE w:val="0"/>
              <w:autoSpaceDN w:val="0"/>
              <w:spacing w:after="0" w:line="240" w:lineRule="auto"/>
              <w:jc w:val="center"/>
              <w:rPr>
                <w:rFonts w:ascii="Calibri" w:hAnsi="Calibri" w:cs="Calibri"/>
              </w:rPr>
            </w:pPr>
          </w:p>
          <w:p w14:paraId="7EBA7B2F" w14:textId="77777777" w:rsidR="008C79B3" w:rsidRDefault="008C79B3" w:rsidP="00337FAA">
            <w:pPr>
              <w:suppressAutoHyphens/>
              <w:autoSpaceDE w:val="0"/>
              <w:autoSpaceDN w:val="0"/>
              <w:spacing w:after="0" w:line="240" w:lineRule="auto"/>
              <w:jc w:val="center"/>
              <w:rPr>
                <w:rFonts w:ascii="Calibri" w:hAnsi="Calibri" w:cs="Calibri"/>
              </w:rPr>
            </w:pPr>
          </w:p>
          <w:p w14:paraId="5E9F7780" w14:textId="77777777" w:rsidR="008C79B3" w:rsidRDefault="008C79B3" w:rsidP="00337FAA">
            <w:pPr>
              <w:suppressAutoHyphens/>
              <w:autoSpaceDE w:val="0"/>
              <w:autoSpaceDN w:val="0"/>
              <w:spacing w:after="0" w:line="240" w:lineRule="auto"/>
              <w:jc w:val="center"/>
              <w:rPr>
                <w:rFonts w:ascii="Calibri" w:hAnsi="Calibri" w:cs="Calibri"/>
              </w:rPr>
            </w:pPr>
          </w:p>
          <w:p w14:paraId="0ADE9A06" w14:textId="77777777" w:rsidR="008C79B3" w:rsidRDefault="008C79B3" w:rsidP="00337FAA">
            <w:pPr>
              <w:suppressAutoHyphens/>
              <w:autoSpaceDE w:val="0"/>
              <w:autoSpaceDN w:val="0"/>
              <w:spacing w:after="0" w:line="240" w:lineRule="auto"/>
              <w:jc w:val="center"/>
              <w:rPr>
                <w:rFonts w:ascii="Calibri" w:hAnsi="Calibri" w:cs="Calibri"/>
              </w:rPr>
            </w:pPr>
          </w:p>
          <w:p w14:paraId="3BC3CC81" w14:textId="77777777" w:rsidR="008C79B3" w:rsidRDefault="008C79B3" w:rsidP="00337FAA">
            <w:pPr>
              <w:suppressAutoHyphens/>
              <w:autoSpaceDE w:val="0"/>
              <w:autoSpaceDN w:val="0"/>
              <w:spacing w:after="0" w:line="240" w:lineRule="auto"/>
              <w:jc w:val="center"/>
              <w:rPr>
                <w:rFonts w:ascii="Calibri" w:hAnsi="Calibri" w:cs="Calibri"/>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8"/>
      <w:footerReference w:type="even" r:id="rId9"/>
      <w:footerReference w:type="default" r:id="rId10"/>
      <w:footerReference w:type="first" r:id="rId1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1288" w14:textId="77777777" w:rsidR="009937F8" w:rsidRDefault="009937F8" w:rsidP="00AE2DEF">
      <w:pPr>
        <w:spacing w:after="24"/>
      </w:pPr>
      <w:r>
        <w:separator/>
      </w:r>
    </w:p>
  </w:endnote>
  <w:endnote w:type="continuationSeparator" w:id="0">
    <w:p w14:paraId="66BDCD3C" w14:textId="77777777" w:rsidR="009937F8" w:rsidRDefault="009937F8"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6AFE1" w14:textId="77777777" w:rsidR="009937F8" w:rsidRDefault="009937F8" w:rsidP="00AE2DEF">
      <w:pPr>
        <w:spacing w:after="24"/>
      </w:pPr>
      <w:r>
        <w:separator/>
      </w:r>
    </w:p>
  </w:footnote>
  <w:footnote w:type="continuationSeparator" w:id="0">
    <w:p w14:paraId="3F9C3F01" w14:textId="77777777" w:rsidR="009937F8" w:rsidRDefault="009937F8"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01D243B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5"/>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6"/>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lvlOverride w:ilvl="0">
      <w:lvl w:ilvl="0">
        <w:start w:val="1"/>
        <w:numFmt w:val="decimal"/>
        <w:lvlText w:val="%1."/>
        <w:lvlJc w:val="left"/>
        <w:pPr>
          <w:ind w:left="720" w:hanging="360"/>
        </w:pPr>
        <w:rPr>
          <w:rFonts w:asciiTheme="minorHAnsi" w:hAnsiTheme="minorHAnsi" w:cstheme="minorHAnsi" w:hint="default"/>
        </w:rPr>
      </w:lvl>
    </w:lvlOverride>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6"/>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 w:numId="99" w16cid:durableId="929311866">
    <w:abstractNumId w:val="33"/>
  </w:num>
  <w:num w:numId="100" w16cid:durableId="1308241139">
    <w:abstractNumId w:val="74"/>
  </w:num>
  <w:num w:numId="101" w16cid:durableId="629476515">
    <w:abstractNumId w:val="4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65F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1F59"/>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8F3"/>
    <w:rsid w:val="00144F06"/>
    <w:rsid w:val="00145BF7"/>
    <w:rsid w:val="0014634F"/>
    <w:rsid w:val="00146BA1"/>
    <w:rsid w:val="00146CF4"/>
    <w:rsid w:val="001470C0"/>
    <w:rsid w:val="00147A29"/>
    <w:rsid w:val="00150712"/>
    <w:rsid w:val="00151F2A"/>
    <w:rsid w:val="00152005"/>
    <w:rsid w:val="001524AF"/>
    <w:rsid w:val="00153365"/>
    <w:rsid w:val="001544F4"/>
    <w:rsid w:val="00157670"/>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C7A95"/>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4A3"/>
    <w:rsid w:val="003928E9"/>
    <w:rsid w:val="003942A2"/>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93B"/>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678"/>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174B"/>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399"/>
    <w:rsid w:val="005864FF"/>
    <w:rsid w:val="0058750B"/>
    <w:rsid w:val="00587D8F"/>
    <w:rsid w:val="00591B6F"/>
    <w:rsid w:val="00592292"/>
    <w:rsid w:val="00593597"/>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6DF"/>
    <w:rsid w:val="00674AA1"/>
    <w:rsid w:val="00677F91"/>
    <w:rsid w:val="006816C7"/>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49D3"/>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A75"/>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5B6B"/>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1B56"/>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02"/>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0558"/>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16C"/>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37F8"/>
    <w:rsid w:val="0099408B"/>
    <w:rsid w:val="00994167"/>
    <w:rsid w:val="009958B7"/>
    <w:rsid w:val="00996B77"/>
    <w:rsid w:val="009972CA"/>
    <w:rsid w:val="009A16D1"/>
    <w:rsid w:val="009A2479"/>
    <w:rsid w:val="009A3FE9"/>
    <w:rsid w:val="009A4CB2"/>
    <w:rsid w:val="009A6F61"/>
    <w:rsid w:val="009B0235"/>
    <w:rsid w:val="009B1239"/>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69D"/>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59"/>
    <w:rsid w:val="00B13097"/>
    <w:rsid w:val="00B133A9"/>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55AF4"/>
    <w:rsid w:val="00B613F4"/>
    <w:rsid w:val="00B6175F"/>
    <w:rsid w:val="00B61968"/>
    <w:rsid w:val="00B61F16"/>
    <w:rsid w:val="00B63437"/>
    <w:rsid w:val="00B641AC"/>
    <w:rsid w:val="00B64611"/>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2396"/>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166D5"/>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3C6B"/>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096C"/>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6005"/>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0678"/>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5F60"/>
    <w:rsid w:val="00F56E99"/>
    <w:rsid w:val="00F57BB7"/>
    <w:rsid w:val="00F57CFE"/>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367D"/>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3FC"/>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101"/>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3654</Words>
  <Characters>21927</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3</cp:revision>
  <cp:lastPrinted>2025-04-11T06:18:00Z</cp:lastPrinted>
  <dcterms:created xsi:type="dcterms:W3CDTF">2025-04-11T06:38:00Z</dcterms:created>
  <dcterms:modified xsi:type="dcterms:W3CDTF">2025-04-15T06:32:00Z</dcterms:modified>
</cp:coreProperties>
</file>