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1840F" w14:textId="77777777" w:rsidR="00BF3B1D" w:rsidRDefault="00BF3B1D" w:rsidP="00BF3B1D">
      <w:pPr>
        <w:autoSpaceDE w:val="0"/>
        <w:autoSpaceDN w:val="0"/>
        <w:adjustRightInd w:val="0"/>
        <w:jc w:val="right"/>
        <w:rPr>
          <w:rFonts w:ascii="Arial" w:hAnsi="Arial" w:cs="Arial"/>
          <w:color w:val="0070C0"/>
        </w:rPr>
      </w:pPr>
      <w:r w:rsidRPr="00BF3B1D">
        <w:rPr>
          <w:rFonts w:ascii="Arial" w:hAnsi="Arial" w:cs="Arial"/>
        </w:rPr>
        <w:t>załącznik nr 13 do SWZ</w:t>
      </w:r>
    </w:p>
    <w:p w14:paraId="7A227407" w14:textId="77777777" w:rsidR="00BF3B1D" w:rsidRDefault="00BF3B1D" w:rsidP="00BF3B1D">
      <w:pPr>
        <w:autoSpaceDE w:val="0"/>
        <w:autoSpaceDN w:val="0"/>
        <w:adjustRightInd w:val="0"/>
        <w:jc w:val="both"/>
        <w:rPr>
          <w:rFonts w:ascii="Arial" w:hAnsi="Arial" w:cs="Arial"/>
          <w:color w:val="0070C0"/>
        </w:rPr>
      </w:pPr>
    </w:p>
    <w:p w14:paraId="4EDD2A4D" w14:textId="77777777" w:rsidR="00BF3B1D" w:rsidRDefault="00BF3B1D" w:rsidP="00BF3B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BF3B1D">
        <w:rPr>
          <w:rFonts w:ascii="Arial" w:hAnsi="Arial" w:cs="Arial"/>
          <w:b/>
          <w:bCs/>
          <w:sz w:val="24"/>
          <w:szCs w:val="24"/>
        </w:rPr>
        <w:t xml:space="preserve">Informacje dodatkowe wraz z pozycjami przedmiarowymi, </w:t>
      </w:r>
    </w:p>
    <w:p w14:paraId="4BAA6BA9" w14:textId="77777777" w:rsidR="004503B7" w:rsidRDefault="00BF3B1D" w:rsidP="00BF3B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BF3B1D">
        <w:rPr>
          <w:rFonts w:ascii="Arial" w:hAnsi="Arial" w:cs="Arial"/>
          <w:b/>
          <w:bCs/>
          <w:sz w:val="24"/>
          <w:szCs w:val="24"/>
        </w:rPr>
        <w:t xml:space="preserve">o które należy skorygować </w:t>
      </w:r>
    </w:p>
    <w:p w14:paraId="02766C4D" w14:textId="63F0FDB2" w:rsidR="00BF3B1D" w:rsidRDefault="00BF3B1D" w:rsidP="004503B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BF3B1D">
        <w:rPr>
          <w:rFonts w:ascii="Arial" w:hAnsi="Arial" w:cs="Arial"/>
          <w:b/>
          <w:bCs/>
          <w:sz w:val="24"/>
          <w:szCs w:val="24"/>
        </w:rPr>
        <w:t>przedmiar robót – branża budowlana (załącznik nr 10 do SWZ)</w:t>
      </w:r>
    </w:p>
    <w:p w14:paraId="78B0BEDE" w14:textId="2F974B74" w:rsidR="00BF3B1D" w:rsidRDefault="00BF3B1D" w:rsidP="00BF3B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365DE8" w14:textId="72BD7308" w:rsidR="00BF3B1D" w:rsidRDefault="00BF3B1D" w:rsidP="00BF3B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8F2ED5E" w14:textId="2F41848F" w:rsidR="00BF3B1D" w:rsidRDefault="00BF3B1D" w:rsidP="00BF3B1D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Projektowane okna stałe o odporności ogniowej EI30 mają być wyposażone w nawiewniki </w:t>
      </w:r>
      <w:proofErr w:type="spellStart"/>
      <w:r>
        <w:rPr>
          <w:rFonts w:ascii="Arial" w:hAnsi="Arial" w:cs="Arial"/>
        </w:rPr>
        <w:t>higrosterowalne</w:t>
      </w:r>
      <w:proofErr w:type="spellEnd"/>
      <w:r>
        <w:rPr>
          <w:rFonts w:ascii="Arial" w:hAnsi="Arial" w:cs="Arial"/>
        </w:rPr>
        <w:t xml:space="preserve">, </w:t>
      </w:r>
      <w:r w:rsidRPr="000575C8">
        <w:rPr>
          <w:rFonts w:ascii="Arial" w:hAnsi="Arial" w:cs="Arial"/>
        </w:rPr>
        <w:t>przepływ 3-27m3/h, montaż zgodnie z zaleceniami producenta z zastosowaniem przeciwpożarowego przejścia ściennego o klasie odporności ogniowej przegrody. W przypadku montażu nawiewników w oknach należy zastosować systemowe rozwiązanie przeciwpożarowe takie jak uszczelki pęczniejące lub farby.</w:t>
      </w:r>
    </w:p>
    <w:p w14:paraId="7F873531" w14:textId="77777777" w:rsidR="004503B7" w:rsidRDefault="004503B7" w:rsidP="004503B7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F26DACD" w14:textId="6AD5A045" w:rsidR="00BF3B1D" w:rsidRDefault="00BF3B1D" w:rsidP="00BF3B1D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Projektowane daszki szklane mają mieć następujące wymiary:</w:t>
      </w:r>
    </w:p>
    <w:p w14:paraId="2072733A" w14:textId="01109171" w:rsidR="00A37DDA" w:rsidRDefault="00A37DDA" w:rsidP="00A37DDA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Szer. 120cm x głębokość 90cm x 3 sztuki.</w:t>
      </w:r>
    </w:p>
    <w:p w14:paraId="73A83A3E" w14:textId="77777777" w:rsidR="004503B7" w:rsidRDefault="004503B7" w:rsidP="00A37DDA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C61C4BC" w14:textId="0C9414C0" w:rsidR="00BF3B1D" w:rsidRDefault="00A37DDA" w:rsidP="00BF3B1D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Opis rolet, projektowanych osłon przeciwsłonecznych zewnętrznych:</w:t>
      </w:r>
    </w:p>
    <w:p w14:paraId="71406294" w14:textId="77777777" w:rsidR="00A37DDA" w:rsidRPr="00A37DDA" w:rsidRDefault="00A37DDA" w:rsidP="00A37DDA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Osłony przeciwsłoneczne zamontowane będą wyłącznie na piętrze budynku administracyjnego, na oknach zlokalizowanych od południowej stronie. Podobnie jak rolety zewnętrzne, osłony będą mocowane do muru, z kasetą ukrytą w ociepleniu. Kolorystyka srebrno-szara Kolorystykę należy dobrać ze wzornika wybranego producenta, tak aby jak najbardziej nawiązywała do tej projektowanej. Sterowanie ręczne.</w:t>
      </w:r>
    </w:p>
    <w:p w14:paraId="4E12C3EC" w14:textId="77777777" w:rsidR="00A37DDA" w:rsidRPr="00A37DDA" w:rsidRDefault="00A37DDA" w:rsidP="00A37DDA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Charakterystyka osłony:</w:t>
      </w:r>
    </w:p>
    <w:p w14:paraId="40F30DD3" w14:textId="77777777" w:rsidR="00A37DDA" w:rsidRPr="00A37DDA" w:rsidRDefault="00A37DDA" w:rsidP="00A37DDA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Proponuje się osłonę zewnętrzną samonośną.</w:t>
      </w:r>
    </w:p>
    <w:p w14:paraId="4766305E" w14:textId="77777777" w:rsidR="00A37DDA" w:rsidRPr="00A37DDA" w:rsidRDefault="00A37DDA" w:rsidP="00A37DDA">
      <w:pPr>
        <w:pStyle w:val="Akapitzlist"/>
        <w:jc w:val="both"/>
        <w:rPr>
          <w:rFonts w:ascii="Arial" w:hAnsi="Arial" w:cs="Arial"/>
          <w:b/>
          <w:bCs/>
        </w:rPr>
      </w:pPr>
      <w:r w:rsidRPr="00A37DDA">
        <w:rPr>
          <w:rFonts w:ascii="Arial" w:hAnsi="Arial" w:cs="Arial"/>
        </w:rPr>
        <w:t>Zewnętrzna osłona przeciwsłoneczna pomaga w zachowaniu stałej, komfortowej temperatury w pomieszczeniu narażonym na działanie promieni słonecznych. Jednoczesne zastosowanie osłon umożliwia ograniczenie użycia urządzeń klimatyzacyjnych, przyczyniając się do zmniejszenia kosztów eksploatacji budynków. Stosowane w roletach tkaniny dzięki swoim właściwościom, gwarantują skuteczną barierę optyczną dla wpadającego do pomieszczenia światła, tłumią kontrasty, zachowując dobrą widoczność na zewnątrz.</w:t>
      </w:r>
    </w:p>
    <w:p w14:paraId="365A6263" w14:textId="77777777" w:rsidR="00A37DDA" w:rsidRPr="00A37DDA" w:rsidRDefault="00A37DDA" w:rsidP="00A37DDA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  <w:b/>
          <w:bCs/>
        </w:rPr>
        <w:t>Roleta zewnętrzna antywłamaniowa:</w:t>
      </w:r>
    </w:p>
    <w:p w14:paraId="447D3A72" w14:textId="32522F31" w:rsidR="00A37DDA" w:rsidRPr="00A37DDA" w:rsidRDefault="00A37DDA" w:rsidP="00A37DDA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Rolety zewnętrzne antywłamaniowe będą zlokalizowane na parterze w budynku administracyjnym oraz w adaptowanej części budynku garażowego od strony południowej. Rolety będą zamontowane zarówno na oknach jak i na drzwiach zewnętrznych. Rolety będą mocowane do muru, z kasetą ukrytą w ociepleniu. Kolorystyka zgodna z rysunkiem nr P12.</w:t>
      </w:r>
    </w:p>
    <w:p w14:paraId="1337F006" w14:textId="77777777" w:rsidR="00A37DDA" w:rsidRPr="00A37DDA" w:rsidRDefault="00A37DDA" w:rsidP="00A37DDA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Kolorystykę należy dobrać ze wzornika wybranego producenta, tak aby jak najbardziej nawiązywała do tej projektowanej. Sterowanie ręczne.</w:t>
      </w:r>
    </w:p>
    <w:p w14:paraId="63FFCA07" w14:textId="77777777" w:rsidR="00A37DDA" w:rsidRPr="00A37DDA" w:rsidRDefault="00A37DDA" w:rsidP="00A37DDA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Charakterystyka rolety zewnętrznej:</w:t>
      </w:r>
    </w:p>
    <w:p w14:paraId="66F6630E" w14:textId="15E92BC4" w:rsidR="00A37DDA" w:rsidRPr="00A37DDA" w:rsidRDefault="00A37DDA" w:rsidP="00A37DDA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Proponowany system stanowi połączenie zalet rolety zewnętrznej z roletą nadstawną. Podstawową zaletą tego systemu jest fakt, że możemy ją zamontować bez powiększania otworów okiennych i jednocześnie zabudować skrzynkę, dzięki czemu osiągniemy efekt wizualny jak w przypadku rolet nadstawnych. W rolecie tego typu cała skrzynka pozostaje na zewnątrz budynku a dostęp serwisowy zapewnia nam klapa rewizyjna w dolnej części.</w:t>
      </w:r>
    </w:p>
    <w:p w14:paraId="27ECB07E" w14:textId="77777777" w:rsidR="00A37DDA" w:rsidRPr="00AF4CF0" w:rsidRDefault="00A37DDA" w:rsidP="00AF4CF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12F3F17" w14:textId="52F77661" w:rsidR="00A37DDA" w:rsidRDefault="00A37DDA" w:rsidP="00BF3B1D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Opis materiału z jakiego mają zostać wykonane panele kompozytowe:</w:t>
      </w:r>
    </w:p>
    <w:p w14:paraId="43D52E48" w14:textId="77777777" w:rsidR="00A37DDA" w:rsidRPr="00A37DDA" w:rsidRDefault="00A37DDA" w:rsidP="00A37DDA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 xml:space="preserve">Skład lameli w zależności od producenta może nieznacznie się różnic: </w:t>
      </w:r>
    </w:p>
    <w:p w14:paraId="645D4769" w14:textId="77777777" w:rsidR="00A37DDA" w:rsidRPr="00A37DDA" w:rsidRDefault="00A37DDA" w:rsidP="00A37DDA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 xml:space="preserve">- ok.55% - mączka drzewna </w:t>
      </w:r>
    </w:p>
    <w:p w14:paraId="69897D61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- ok.35% - polietylen wysokiej gęstości HDPE</w:t>
      </w:r>
    </w:p>
    <w:p w14:paraId="5A9BE434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- ok.10% - dodatki anty UV, stabilizatory, barwniki</w:t>
      </w:r>
    </w:p>
    <w:p w14:paraId="298E834C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 xml:space="preserve">Zastosowanie: </w:t>
      </w:r>
    </w:p>
    <w:p w14:paraId="5B4FBD5F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 xml:space="preserve">•elewacje </w:t>
      </w:r>
    </w:p>
    <w:p w14:paraId="1D20B949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 xml:space="preserve">•zabudowa ścian zewnętrznych i wewnętrznych </w:t>
      </w:r>
    </w:p>
    <w:p w14:paraId="0B70DBD9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•mała architektura ogrodowa.</w:t>
      </w:r>
    </w:p>
    <w:p w14:paraId="03AEBB66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Materiał stosowany na zewnątrz powinien spełnić warunki:</w:t>
      </w:r>
    </w:p>
    <w:p w14:paraId="6157E7EF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- zastosowanie w temperaturach -30*C / + 60*C</w:t>
      </w:r>
    </w:p>
    <w:p w14:paraId="0469984A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- niska absorpcja wody &lt;0,5% (mrozoodporna)</w:t>
      </w:r>
    </w:p>
    <w:p w14:paraId="620407E7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 xml:space="preserve">- wysoka odporność UV </w:t>
      </w:r>
    </w:p>
    <w:p w14:paraId="4FB00B86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- wysoka odporność na pękanie</w:t>
      </w:r>
    </w:p>
    <w:p w14:paraId="2FB6EF05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 xml:space="preserve">- wysoka odporność na gnicie oraz butwienie wynikające z bezpośredniego oddziaływania </w:t>
      </w:r>
      <w:r w:rsidRPr="00A37DDA">
        <w:rPr>
          <w:rFonts w:ascii="Arial" w:hAnsi="Arial" w:cs="Arial"/>
        </w:rPr>
        <w:lastRenderedPageBreak/>
        <w:t>grzybów i bakterii</w:t>
      </w:r>
    </w:p>
    <w:p w14:paraId="17FC5668" w14:textId="77777777" w:rsidR="00A37DDA" w:rsidRPr="00A37DDA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>- wysoka odporność na niszczenia spowodowane bezpośrednim oddziaływaniem owadów</w:t>
      </w:r>
    </w:p>
    <w:p w14:paraId="70E50B40" w14:textId="289FC6D4" w:rsidR="00A37DDA" w:rsidRPr="00AF4CF0" w:rsidRDefault="00A37DDA" w:rsidP="00AF4CF0">
      <w:pPr>
        <w:pStyle w:val="Akapitzlist"/>
        <w:jc w:val="both"/>
        <w:rPr>
          <w:rFonts w:ascii="Arial" w:hAnsi="Arial" w:cs="Arial"/>
        </w:rPr>
      </w:pPr>
      <w:r w:rsidRPr="00A37DDA">
        <w:rPr>
          <w:rFonts w:ascii="Arial" w:hAnsi="Arial" w:cs="Arial"/>
        </w:rPr>
        <w:t xml:space="preserve">Kolor: drewno </w:t>
      </w:r>
      <w:proofErr w:type="spellStart"/>
      <w:r w:rsidRPr="00A37DDA">
        <w:rPr>
          <w:rFonts w:ascii="Arial" w:hAnsi="Arial" w:cs="Arial"/>
        </w:rPr>
        <w:t>teak</w:t>
      </w:r>
      <w:proofErr w:type="spellEnd"/>
      <w:r w:rsidRPr="00A37DDA">
        <w:rPr>
          <w:rFonts w:ascii="Arial" w:hAnsi="Arial" w:cs="Arial"/>
        </w:rPr>
        <w:t xml:space="preserve"> lub zbliżony z palety kolorów producenta.</w:t>
      </w:r>
    </w:p>
    <w:p w14:paraId="7A854EDC" w14:textId="77777777" w:rsidR="00A37DDA" w:rsidRDefault="00A37DDA" w:rsidP="00A37DDA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0C94CE1" w14:textId="17CF6473" w:rsidR="00AF4CF0" w:rsidRDefault="00AF4CF0" w:rsidP="00AF4CF0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 w:rsidRPr="00AF4CF0">
        <w:rPr>
          <w:rFonts w:ascii="Arial" w:hAnsi="Arial" w:cs="Arial"/>
        </w:rPr>
        <w:t>Koncepcja rozmieszczenia paneli fotowoltaicznych została zamieszczona w załączniku nr 1 do załącznika nr 13. O</w:t>
      </w:r>
      <w:r w:rsidRPr="00AF4CF0">
        <w:rPr>
          <w:rFonts w:ascii="Arial" w:hAnsi="Arial" w:cs="Arial"/>
          <w:lang w:eastAsia="zh-CN"/>
        </w:rPr>
        <w:t xml:space="preserve"> lokalizacji paneli decyzję ostateczną podejmie Zamawiający na etapie realizacji zamówienia.</w:t>
      </w:r>
    </w:p>
    <w:p w14:paraId="0A4D3B77" w14:textId="77777777" w:rsidR="004503B7" w:rsidRDefault="004503B7" w:rsidP="004503B7">
      <w:pPr>
        <w:pStyle w:val="Akapitzlist"/>
        <w:jc w:val="both"/>
        <w:rPr>
          <w:rFonts w:ascii="Arial" w:hAnsi="Arial" w:cs="Arial"/>
        </w:rPr>
      </w:pPr>
    </w:p>
    <w:p w14:paraId="4B8DC2F5" w14:textId="7A65ED10" w:rsidR="00DE4B62" w:rsidRDefault="00DE4B62" w:rsidP="00DE4B62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5FB557" wp14:editId="36BFE2A0">
            <wp:extent cx="5760720" cy="18078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6FF5" w14:textId="6387C844" w:rsidR="00DE4B62" w:rsidRDefault="00DE4B62" w:rsidP="00DE4B62">
      <w:pPr>
        <w:jc w:val="both"/>
        <w:rPr>
          <w:rFonts w:ascii="Arial" w:hAnsi="Arial" w:cs="Arial"/>
        </w:rPr>
      </w:pPr>
    </w:p>
    <w:p w14:paraId="6B1AD6BB" w14:textId="74006F0F" w:rsidR="00DE4B62" w:rsidRDefault="00DE4B62" w:rsidP="00DE4B62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95A02A" wp14:editId="7608354D">
            <wp:extent cx="5760720" cy="45935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DE31" w14:textId="77777777" w:rsidR="00DE4B62" w:rsidRPr="00DE4B62" w:rsidRDefault="00DE4B62" w:rsidP="00DE4B62">
      <w:pPr>
        <w:jc w:val="both"/>
        <w:rPr>
          <w:rFonts w:ascii="Arial" w:hAnsi="Arial" w:cs="Arial"/>
        </w:rPr>
      </w:pPr>
    </w:p>
    <w:p w14:paraId="1EF5B397" w14:textId="36751853" w:rsidR="00A37DDA" w:rsidRDefault="00AF4CF0" w:rsidP="00BF3B1D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Odnośnie obmiaru rolet antywłamaniowych i przeciwsłonecznych należy skorygować w następujący sposób przedmiar </w:t>
      </w:r>
      <w:r w:rsidR="003A065D">
        <w:rPr>
          <w:rFonts w:ascii="Arial" w:hAnsi="Arial" w:cs="Arial"/>
        </w:rPr>
        <w:t>robót – branża budowlana – załącznik nr 10 do SWZ:</w:t>
      </w:r>
    </w:p>
    <w:p w14:paraId="6F7FF024" w14:textId="77777777" w:rsidR="003A065D" w:rsidRPr="000575C8" w:rsidRDefault="003A065D" w:rsidP="003A065D">
      <w:pPr>
        <w:ind w:left="1843" w:hanging="1134"/>
        <w:rPr>
          <w:rFonts w:ascii="Arial" w:hAnsi="Arial" w:cs="Arial"/>
        </w:rPr>
      </w:pPr>
      <w:r w:rsidRPr="000575C8">
        <w:rPr>
          <w:rFonts w:ascii="Arial" w:hAnsi="Arial" w:cs="Arial"/>
        </w:rPr>
        <w:t>Poz. 2.1.14 – ilość 0,00 wykreślić</w:t>
      </w:r>
    </w:p>
    <w:p w14:paraId="7D354462" w14:textId="77777777" w:rsidR="003A065D" w:rsidRPr="003A065D" w:rsidRDefault="003A065D" w:rsidP="003A065D">
      <w:pPr>
        <w:widowControl/>
        <w:ind w:left="1843" w:hanging="1134"/>
        <w:jc w:val="both"/>
        <w:rPr>
          <w:rFonts w:ascii="Arial" w:hAnsi="Arial" w:cs="Arial"/>
          <w:lang w:eastAsia="zh-CN"/>
        </w:rPr>
      </w:pPr>
      <w:r w:rsidRPr="003A065D">
        <w:rPr>
          <w:rFonts w:ascii="Arial" w:hAnsi="Arial" w:cs="Arial"/>
          <w:lang w:eastAsia="zh-CN"/>
        </w:rPr>
        <w:t xml:space="preserve">Poz. 2.1.15 - Montaż rolet antywłamaniowych </w:t>
      </w:r>
      <w:proofErr w:type="spellStart"/>
      <w:r w:rsidRPr="003A065D">
        <w:rPr>
          <w:rFonts w:ascii="Arial" w:hAnsi="Arial" w:cs="Arial"/>
          <w:lang w:eastAsia="zh-CN"/>
        </w:rPr>
        <w:t>np</w:t>
      </w:r>
      <w:proofErr w:type="spellEnd"/>
      <w:r w:rsidRPr="003A065D">
        <w:rPr>
          <w:rFonts w:ascii="Arial" w:hAnsi="Arial" w:cs="Arial"/>
          <w:lang w:eastAsia="zh-CN"/>
        </w:rPr>
        <w:t xml:space="preserve"> PORTOS IT 2000 na parterze budynku wg projektu technicznego - 42,719 m2 (16 szt.)</w:t>
      </w:r>
    </w:p>
    <w:p w14:paraId="7F8D51F8" w14:textId="77777777" w:rsidR="003A065D" w:rsidRPr="003A065D" w:rsidRDefault="003A065D" w:rsidP="003A065D">
      <w:pPr>
        <w:widowControl/>
        <w:ind w:left="1843"/>
        <w:jc w:val="both"/>
        <w:rPr>
          <w:rFonts w:ascii="Arial" w:hAnsi="Arial" w:cs="Arial"/>
          <w:lang w:eastAsia="zh-CN"/>
        </w:rPr>
      </w:pPr>
      <w:r w:rsidRPr="003A065D">
        <w:rPr>
          <w:rFonts w:ascii="Arial" w:hAnsi="Arial" w:cs="Arial"/>
          <w:lang w:eastAsia="zh-CN"/>
        </w:rPr>
        <w:t>(2,35 * 0,88 + 1,18 * 1,51 * 4 + 2,33 * 1,15 + 2,38 * 2,13 * 2 + 2,38 * 1,10 + 2,035 * 1,75 * 3 + 1,40 * 2,10 + 0,90 * 2,10 + 0,70 * 1,65 + 0,86 * 1,65)</w:t>
      </w:r>
    </w:p>
    <w:p w14:paraId="01CABFDA" w14:textId="77777777" w:rsidR="003A065D" w:rsidRPr="003A065D" w:rsidRDefault="003A065D" w:rsidP="003A065D">
      <w:pPr>
        <w:widowControl/>
        <w:ind w:left="1843" w:hanging="1134"/>
        <w:jc w:val="both"/>
        <w:rPr>
          <w:rFonts w:ascii="Arial" w:hAnsi="Arial" w:cs="Arial"/>
          <w:lang w:eastAsia="zh-CN"/>
        </w:rPr>
      </w:pPr>
      <w:r w:rsidRPr="003A065D">
        <w:rPr>
          <w:rFonts w:ascii="Arial" w:hAnsi="Arial" w:cs="Arial"/>
          <w:lang w:eastAsia="zh-CN"/>
        </w:rPr>
        <w:lastRenderedPageBreak/>
        <w:t xml:space="preserve">Poz. 2.1.16 – Dostawa i montaż rolet przeciwsłonecznych ściana południowa budynku wg opisu technicznego - </w:t>
      </w:r>
      <w:proofErr w:type="spellStart"/>
      <w:r w:rsidRPr="003A065D">
        <w:rPr>
          <w:rFonts w:ascii="Arial" w:hAnsi="Arial" w:cs="Arial"/>
          <w:lang w:eastAsia="zh-CN"/>
        </w:rPr>
        <w:t>kpl</w:t>
      </w:r>
      <w:proofErr w:type="spellEnd"/>
      <w:r w:rsidRPr="003A065D">
        <w:rPr>
          <w:rFonts w:ascii="Arial" w:hAnsi="Arial" w:cs="Arial"/>
          <w:lang w:eastAsia="zh-CN"/>
        </w:rPr>
        <w:t xml:space="preserve">- 3 </w:t>
      </w:r>
      <w:proofErr w:type="spellStart"/>
      <w:r w:rsidRPr="003A065D">
        <w:rPr>
          <w:rFonts w:ascii="Arial" w:hAnsi="Arial" w:cs="Arial"/>
          <w:lang w:eastAsia="zh-CN"/>
        </w:rPr>
        <w:t>kpl</w:t>
      </w:r>
      <w:proofErr w:type="spellEnd"/>
      <w:r w:rsidRPr="003A065D">
        <w:rPr>
          <w:rFonts w:ascii="Arial" w:hAnsi="Arial" w:cs="Arial"/>
          <w:lang w:eastAsia="zh-CN"/>
        </w:rPr>
        <w:t xml:space="preserve"> 3,000</w:t>
      </w:r>
    </w:p>
    <w:p w14:paraId="5A2EB887" w14:textId="77777777" w:rsidR="003A065D" w:rsidRPr="003A065D" w:rsidRDefault="003A065D" w:rsidP="003A065D">
      <w:pPr>
        <w:widowControl/>
        <w:ind w:left="2977" w:hanging="1134"/>
        <w:jc w:val="both"/>
        <w:rPr>
          <w:rFonts w:ascii="Arial" w:hAnsi="Arial" w:cs="Arial"/>
          <w:lang w:eastAsia="zh-CN"/>
        </w:rPr>
      </w:pPr>
      <w:r w:rsidRPr="003A065D">
        <w:rPr>
          <w:rFonts w:ascii="Arial" w:hAnsi="Arial" w:cs="Arial"/>
          <w:lang w:eastAsia="zh-CN"/>
        </w:rPr>
        <w:t>(2,35mx1,44m*3) = 10,152 m2</w:t>
      </w:r>
    </w:p>
    <w:p w14:paraId="4532F674" w14:textId="77777777" w:rsidR="003A065D" w:rsidRDefault="003A065D" w:rsidP="003A065D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DBE8CB5" w14:textId="4FEEF3BC" w:rsidR="00AF4CF0" w:rsidRDefault="003A065D" w:rsidP="00BF3B1D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Kratki ścienne ze skrzynką rozprężną należy zamontować w pomieszczeniach transferu powietrza pomiędzy strefami.</w:t>
      </w:r>
    </w:p>
    <w:p w14:paraId="1D095348" w14:textId="77777777" w:rsidR="004503B7" w:rsidRDefault="004503B7" w:rsidP="004503B7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D412297" w14:textId="0745517F" w:rsidR="003A065D" w:rsidRPr="00BF3B1D" w:rsidRDefault="003A065D" w:rsidP="00BF3B1D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Do instalacji wentylacji należy uwzględnić nawiewniki okienne.</w:t>
      </w:r>
    </w:p>
    <w:p w14:paraId="4BC725F3" w14:textId="21991E9E" w:rsidR="001B5DCC" w:rsidRDefault="001B5DCC" w:rsidP="00BF3B1D">
      <w:pPr>
        <w:jc w:val="center"/>
        <w:rPr>
          <w:b/>
          <w:bCs/>
          <w:sz w:val="24"/>
          <w:szCs w:val="24"/>
        </w:rPr>
      </w:pPr>
    </w:p>
    <w:p w14:paraId="0A38611A" w14:textId="2FF1E3C9" w:rsidR="00BF3B1D" w:rsidRDefault="00BF3B1D" w:rsidP="00BF3B1D">
      <w:pPr>
        <w:jc w:val="center"/>
        <w:rPr>
          <w:b/>
          <w:bCs/>
          <w:sz w:val="24"/>
          <w:szCs w:val="24"/>
        </w:rPr>
      </w:pPr>
    </w:p>
    <w:p w14:paraId="6DBC587A" w14:textId="77777777" w:rsidR="00BF3B1D" w:rsidRPr="00BF3B1D" w:rsidRDefault="00BF3B1D" w:rsidP="00BF3B1D">
      <w:pPr>
        <w:jc w:val="center"/>
        <w:rPr>
          <w:b/>
          <w:bCs/>
          <w:sz w:val="24"/>
          <w:szCs w:val="24"/>
        </w:rPr>
      </w:pPr>
    </w:p>
    <w:sectPr w:rsidR="00BF3B1D" w:rsidRPr="00BF3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966FB"/>
    <w:multiLevelType w:val="hybridMultilevel"/>
    <w:tmpl w:val="F1EC77EC"/>
    <w:lvl w:ilvl="0" w:tplc="43546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33980"/>
    <w:multiLevelType w:val="hybridMultilevel"/>
    <w:tmpl w:val="788AD82E"/>
    <w:lvl w:ilvl="0" w:tplc="F7088D10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338000701">
    <w:abstractNumId w:val="1"/>
  </w:num>
  <w:num w:numId="2" w16cid:durableId="252737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B2B"/>
    <w:rsid w:val="00076B2B"/>
    <w:rsid w:val="001B5DCC"/>
    <w:rsid w:val="003A065D"/>
    <w:rsid w:val="004503B7"/>
    <w:rsid w:val="006176E7"/>
    <w:rsid w:val="00A37DDA"/>
    <w:rsid w:val="00AF4CF0"/>
    <w:rsid w:val="00BF3B1D"/>
    <w:rsid w:val="00DE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F9F46"/>
  <w15:chartTrackingRefBased/>
  <w15:docId w15:val="{9BF78D72-132C-4769-8DDA-592C9F13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3B1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3B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639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nr572</dc:creator>
  <cp:keywords/>
  <dc:description/>
  <cp:lastModifiedBy>nr572</cp:lastModifiedBy>
  <cp:revision>2</cp:revision>
  <dcterms:created xsi:type="dcterms:W3CDTF">2022-06-24T05:30:00Z</dcterms:created>
  <dcterms:modified xsi:type="dcterms:W3CDTF">2022-06-24T05:30:00Z</dcterms:modified>
</cp:coreProperties>
</file>