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7764387" w14:textId="77777777" w:rsidR="00735798" w:rsidRPr="003527D2" w:rsidRDefault="002F5851" w:rsidP="00A10869">
      <w:pPr>
        <w:pStyle w:val="Tytu"/>
        <w:tabs>
          <w:tab w:val="center" w:pos="4819"/>
          <w:tab w:val="right" w:pos="9355"/>
        </w:tabs>
        <w:spacing w:line="360" w:lineRule="auto"/>
        <w:rPr>
          <w:color w:val="000000" w:themeColor="text1"/>
        </w:rPr>
      </w:pPr>
      <w:r w:rsidRPr="003527D2">
        <w:rPr>
          <w:rFonts w:ascii="Arial" w:hAnsi="Arial" w:cs="Arial"/>
          <w:color w:val="000000" w:themeColor="text1"/>
          <w:szCs w:val="28"/>
        </w:rPr>
        <w:t>SPIS SPECYFIKACJI TECHNICZNYCH</w:t>
      </w:r>
    </w:p>
    <w:p w14:paraId="5F09564D" w14:textId="3905BD78" w:rsidR="00BC14D9" w:rsidRDefault="008B60B4">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4D7D23">
        <w:rPr>
          <w:color w:val="FF0000"/>
        </w:rPr>
        <w:fldChar w:fldCharType="begin"/>
      </w:r>
      <w:r w:rsidRPr="004D7D23">
        <w:rPr>
          <w:color w:val="FF0000"/>
        </w:rPr>
        <w:instrText xml:space="preserve"> TOC \o "1-1" </w:instrText>
      </w:r>
      <w:r w:rsidRPr="004D7D23">
        <w:rPr>
          <w:color w:val="FF0000"/>
        </w:rPr>
        <w:fldChar w:fldCharType="separate"/>
      </w:r>
      <w:r w:rsidR="00BC14D9" w:rsidRPr="00EA2DC5">
        <w:rPr>
          <w:noProof/>
          <w:color w:val="000000" w:themeColor="text1"/>
        </w:rPr>
        <w:t>ST-00.00. WYMAGANIA OGÓLNE</w:t>
      </w:r>
      <w:r w:rsidR="00BC14D9">
        <w:rPr>
          <w:noProof/>
        </w:rPr>
        <w:tab/>
      </w:r>
      <w:r w:rsidR="00BC14D9">
        <w:rPr>
          <w:noProof/>
        </w:rPr>
        <w:fldChar w:fldCharType="begin"/>
      </w:r>
      <w:r w:rsidR="00BC14D9">
        <w:rPr>
          <w:noProof/>
        </w:rPr>
        <w:instrText xml:space="preserve"> PAGEREF _Toc163481036 \h </w:instrText>
      </w:r>
      <w:r w:rsidR="00BC14D9">
        <w:rPr>
          <w:noProof/>
        </w:rPr>
      </w:r>
      <w:r w:rsidR="00BC14D9">
        <w:rPr>
          <w:noProof/>
        </w:rPr>
        <w:fldChar w:fldCharType="separate"/>
      </w:r>
      <w:r w:rsidR="00460177">
        <w:rPr>
          <w:noProof/>
        </w:rPr>
        <w:t>2</w:t>
      </w:r>
      <w:r w:rsidR="00BC14D9">
        <w:rPr>
          <w:noProof/>
        </w:rPr>
        <w:fldChar w:fldCharType="end"/>
      </w:r>
    </w:p>
    <w:p w14:paraId="0440B406" w14:textId="0A364553"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ST-00.01. WYZNACZENIE TRASY I PUNKTÓW WYSOKOŚCIOWYCH</w:t>
      </w:r>
      <w:r>
        <w:rPr>
          <w:noProof/>
        </w:rPr>
        <w:tab/>
      </w:r>
      <w:r>
        <w:rPr>
          <w:noProof/>
        </w:rPr>
        <w:fldChar w:fldCharType="begin"/>
      </w:r>
      <w:r>
        <w:rPr>
          <w:noProof/>
        </w:rPr>
        <w:instrText xml:space="preserve"> PAGEREF _Toc163481037 \h </w:instrText>
      </w:r>
      <w:r>
        <w:rPr>
          <w:noProof/>
        </w:rPr>
      </w:r>
      <w:r>
        <w:rPr>
          <w:noProof/>
        </w:rPr>
        <w:fldChar w:fldCharType="separate"/>
      </w:r>
      <w:r w:rsidR="00460177">
        <w:rPr>
          <w:noProof/>
        </w:rPr>
        <w:t>17</w:t>
      </w:r>
      <w:r>
        <w:rPr>
          <w:noProof/>
        </w:rPr>
        <w:fldChar w:fldCharType="end"/>
      </w:r>
    </w:p>
    <w:p w14:paraId="4146FACF" w14:textId="3EE077D7"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ST-00.02. ROBOTY ZIEMNE</w:t>
      </w:r>
      <w:r>
        <w:rPr>
          <w:noProof/>
        </w:rPr>
        <w:tab/>
      </w:r>
      <w:r>
        <w:rPr>
          <w:noProof/>
        </w:rPr>
        <w:fldChar w:fldCharType="begin"/>
      </w:r>
      <w:r>
        <w:rPr>
          <w:noProof/>
        </w:rPr>
        <w:instrText xml:space="preserve"> PAGEREF _Toc163481038 \h </w:instrText>
      </w:r>
      <w:r>
        <w:rPr>
          <w:noProof/>
        </w:rPr>
      </w:r>
      <w:r>
        <w:rPr>
          <w:noProof/>
        </w:rPr>
        <w:fldChar w:fldCharType="separate"/>
      </w:r>
      <w:r w:rsidR="00460177">
        <w:rPr>
          <w:noProof/>
        </w:rPr>
        <w:t>19</w:t>
      </w:r>
      <w:r>
        <w:rPr>
          <w:noProof/>
        </w:rPr>
        <w:fldChar w:fldCharType="end"/>
      </w:r>
    </w:p>
    <w:p w14:paraId="5B10AC9E" w14:textId="0C64F81D"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ST-00.03. ROBOTY PRZYGOTOWAWCZE, ROBOTY POMIAROWE, PRACE PORZĄDKOWE TERENU PO BUDOWIE</w:t>
      </w:r>
      <w:r>
        <w:rPr>
          <w:noProof/>
        </w:rPr>
        <w:tab/>
      </w:r>
      <w:r>
        <w:rPr>
          <w:noProof/>
        </w:rPr>
        <w:fldChar w:fldCharType="begin"/>
      </w:r>
      <w:r>
        <w:rPr>
          <w:noProof/>
        </w:rPr>
        <w:instrText xml:space="preserve"> PAGEREF _Toc163481039 \h </w:instrText>
      </w:r>
      <w:r>
        <w:rPr>
          <w:noProof/>
        </w:rPr>
      </w:r>
      <w:r>
        <w:rPr>
          <w:noProof/>
        </w:rPr>
        <w:fldChar w:fldCharType="separate"/>
      </w:r>
      <w:r w:rsidR="00460177">
        <w:rPr>
          <w:noProof/>
        </w:rPr>
        <w:t>23</w:t>
      </w:r>
      <w:r>
        <w:rPr>
          <w:noProof/>
        </w:rPr>
        <w:fldChar w:fldCharType="end"/>
      </w:r>
    </w:p>
    <w:p w14:paraId="29BB05F0" w14:textId="45658446"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ST-00.04 GOSPODARKA DRZEWOSTANEM</w:t>
      </w:r>
      <w:r>
        <w:rPr>
          <w:noProof/>
        </w:rPr>
        <w:tab/>
      </w:r>
      <w:r>
        <w:rPr>
          <w:noProof/>
        </w:rPr>
        <w:fldChar w:fldCharType="begin"/>
      </w:r>
      <w:r>
        <w:rPr>
          <w:noProof/>
        </w:rPr>
        <w:instrText xml:space="preserve"> PAGEREF _Toc163481040 \h </w:instrText>
      </w:r>
      <w:r>
        <w:rPr>
          <w:noProof/>
        </w:rPr>
      </w:r>
      <w:r>
        <w:rPr>
          <w:noProof/>
        </w:rPr>
        <w:fldChar w:fldCharType="separate"/>
      </w:r>
      <w:r w:rsidR="00460177">
        <w:rPr>
          <w:noProof/>
        </w:rPr>
        <w:t>27</w:t>
      </w:r>
      <w:r>
        <w:rPr>
          <w:noProof/>
        </w:rPr>
        <w:fldChar w:fldCharType="end"/>
      </w:r>
    </w:p>
    <w:p w14:paraId="06DF882E" w14:textId="520C659D"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ST-00.05. ROBOTY MONTAŻOWE NA SIECI WODOCIĄGOWEJ</w:t>
      </w:r>
      <w:r>
        <w:rPr>
          <w:noProof/>
        </w:rPr>
        <w:tab/>
      </w:r>
      <w:r>
        <w:rPr>
          <w:noProof/>
        </w:rPr>
        <w:fldChar w:fldCharType="begin"/>
      </w:r>
      <w:r>
        <w:rPr>
          <w:noProof/>
        </w:rPr>
        <w:instrText xml:space="preserve"> PAGEREF _Toc163481041 \h </w:instrText>
      </w:r>
      <w:r>
        <w:rPr>
          <w:noProof/>
        </w:rPr>
      </w:r>
      <w:r>
        <w:rPr>
          <w:noProof/>
        </w:rPr>
        <w:fldChar w:fldCharType="separate"/>
      </w:r>
      <w:r w:rsidR="00460177">
        <w:rPr>
          <w:noProof/>
        </w:rPr>
        <w:t>30</w:t>
      </w:r>
      <w:r>
        <w:rPr>
          <w:noProof/>
        </w:rPr>
        <w:fldChar w:fldCharType="end"/>
      </w:r>
    </w:p>
    <w:p w14:paraId="487804D5" w14:textId="49CF3D1C"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ST-00.06. ROBOTY ROZBIÓRKOWE DLA ROBÓT SIECIOWYCH</w:t>
      </w:r>
      <w:r>
        <w:rPr>
          <w:noProof/>
        </w:rPr>
        <w:tab/>
      </w:r>
      <w:r>
        <w:rPr>
          <w:noProof/>
        </w:rPr>
        <w:fldChar w:fldCharType="begin"/>
      </w:r>
      <w:r>
        <w:rPr>
          <w:noProof/>
        </w:rPr>
        <w:instrText xml:space="preserve"> PAGEREF _Toc163481042 \h </w:instrText>
      </w:r>
      <w:r>
        <w:rPr>
          <w:noProof/>
        </w:rPr>
      </w:r>
      <w:r>
        <w:rPr>
          <w:noProof/>
        </w:rPr>
        <w:fldChar w:fldCharType="separate"/>
      </w:r>
      <w:r w:rsidR="00460177">
        <w:rPr>
          <w:noProof/>
        </w:rPr>
        <w:t>37</w:t>
      </w:r>
      <w:r>
        <w:rPr>
          <w:noProof/>
        </w:rPr>
        <w:fldChar w:fldCharType="end"/>
      </w:r>
    </w:p>
    <w:p w14:paraId="3F5E3B17" w14:textId="6DD7F07E"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ST-00.07. ODTWORZENIE NAWIERZCHNI</w:t>
      </w:r>
      <w:r>
        <w:rPr>
          <w:noProof/>
        </w:rPr>
        <w:tab/>
      </w:r>
      <w:r>
        <w:rPr>
          <w:noProof/>
        </w:rPr>
        <w:fldChar w:fldCharType="begin"/>
      </w:r>
      <w:r>
        <w:rPr>
          <w:noProof/>
        </w:rPr>
        <w:instrText xml:space="preserve"> PAGEREF _Toc163481043 \h </w:instrText>
      </w:r>
      <w:r>
        <w:rPr>
          <w:noProof/>
        </w:rPr>
      </w:r>
      <w:r>
        <w:rPr>
          <w:noProof/>
        </w:rPr>
        <w:fldChar w:fldCharType="separate"/>
      </w:r>
      <w:r w:rsidR="00460177">
        <w:rPr>
          <w:noProof/>
        </w:rPr>
        <w:t>39</w:t>
      </w:r>
      <w:r>
        <w:rPr>
          <w:noProof/>
        </w:rPr>
        <w:fldChar w:fldCharType="end"/>
      </w:r>
    </w:p>
    <w:p w14:paraId="1D0DC7C9" w14:textId="6B5B9BFA"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D-00.00.00 WYMAGANIA OGÓLNE</w:t>
      </w:r>
      <w:r>
        <w:rPr>
          <w:noProof/>
        </w:rPr>
        <w:tab/>
      </w:r>
      <w:r>
        <w:rPr>
          <w:noProof/>
        </w:rPr>
        <w:fldChar w:fldCharType="begin"/>
      </w:r>
      <w:r>
        <w:rPr>
          <w:noProof/>
        </w:rPr>
        <w:instrText xml:space="preserve"> PAGEREF _Toc163481044 \h </w:instrText>
      </w:r>
      <w:r>
        <w:rPr>
          <w:noProof/>
        </w:rPr>
      </w:r>
      <w:r>
        <w:rPr>
          <w:noProof/>
        </w:rPr>
        <w:fldChar w:fldCharType="separate"/>
      </w:r>
      <w:r w:rsidR="00460177">
        <w:rPr>
          <w:noProof/>
        </w:rPr>
        <w:t>39</w:t>
      </w:r>
      <w:r>
        <w:rPr>
          <w:noProof/>
        </w:rPr>
        <w:fldChar w:fldCharType="end"/>
      </w:r>
    </w:p>
    <w:p w14:paraId="34B6291C" w14:textId="09325F7B"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D-01.00.00 ROBOTY PRZYGOTOWAWCZE</w:t>
      </w:r>
      <w:r>
        <w:rPr>
          <w:noProof/>
        </w:rPr>
        <w:tab/>
      </w:r>
      <w:r>
        <w:rPr>
          <w:noProof/>
        </w:rPr>
        <w:fldChar w:fldCharType="begin"/>
      </w:r>
      <w:r>
        <w:rPr>
          <w:noProof/>
        </w:rPr>
        <w:instrText xml:space="preserve"> PAGEREF _Toc163481045 \h </w:instrText>
      </w:r>
      <w:r>
        <w:rPr>
          <w:noProof/>
        </w:rPr>
      </w:r>
      <w:r>
        <w:rPr>
          <w:noProof/>
        </w:rPr>
        <w:fldChar w:fldCharType="separate"/>
      </w:r>
      <w:r w:rsidR="00460177">
        <w:rPr>
          <w:noProof/>
        </w:rPr>
        <w:t>49</w:t>
      </w:r>
      <w:r>
        <w:rPr>
          <w:noProof/>
        </w:rPr>
        <w:fldChar w:fldCharType="end"/>
      </w:r>
    </w:p>
    <w:p w14:paraId="4B53EEC3" w14:textId="6111E58D"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D-01.01.01a ODTWORZENIE  TRASY  I  PUNKTÓW WYSOKOŚCIOWYCH  ORAZ  SPORZĄDZENIE INWENTARYZACJI  POWYKONAWCZEJ  DROGI</w:t>
      </w:r>
      <w:r>
        <w:rPr>
          <w:noProof/>
        </w:rPr>
        <w:tab/>
      </w:r>
      <w:r>
        <w:rPr>
          <w:noProof/>
        </w:rPr>
        <w:fldChar w:fldCharType="begin"/>
      </w:r>
      <w:r>
        <w:rPr>
          <w:noProof/>
        </w:rPr>
        <w:instrText xml:space="preserve"> PAGEREF _Toc163481046 \h </w:instrText>
      </w:r>
      <w:r>
        <w:rPr>
          <w:noProof/>
        </w:rPr>
      </w:r>
      <w:r>
        <w:rPr>
          <w:noProof/>
        </w:rPr>
        <w:fldChar w:fldCharType="separate"/>
      </w:r>
      <w:r w:rsidR="00460177">
        <w:rPr>
          <w:noProof/>
        </w:rPr>
        <w:t>49</w:t>
      </w:r>
      <w:r>
        <w:rPr>
          <w:noProof/>
        </w:rPr>
        <w:fldChar w:fldCharType="end"/>
      </w:r>
    </w:p>
    <w:p w14:paraId="6DFB95A4" w14:textId="4E05C299"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D-01.02.01a OCHRONA  ISTNIEJĄCYCH  DRZEW W  OKRESIE  BUDOWY  DROGI</w:t>
      </w:r>
      <w:r>
        <w:rPr>
          <w:noProof/>
        </w:rPr>
        <w:tab/>
      </w:r>
      <w:r>
        <w:rPr>
          <w:noProof/>
        </w:rPr>
        <w:fldChar w:fldCharType="begin"/>
      </w:r>
      <w:r>
        <w:rPr>
          <w:noProof/>
        </w:rPr>
        <w:instrText xml:space="preserve"> PAGEREF _Toc163481047 \h </w:instrText>
      </w:r>
      <w:r>
        <w:rPr>
          <w:noProof/>
        </w:rPr>
      </w:r>
      <w:r>
        <w:rPr>
          <w:noProof/>
        </w:rPr>
        <w:fldChar w:fldCharType="separate"/>
      </w:r>
      <w:r w:rsidR="00460177">
        <w:rPr>
          <w:noProof/>
        </w:rPr>
        <w:t>54</w:t>
      </w:r>
      <w:r>
        <w:rPr>
          <w:noProof/>
        </w:rPr>
        <w:fldChar w:fldCharType="end"/>
      </w:r>
    </w:p>
    <w:p w14:paraId="67A89682" w14:textId="09990490"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D-01.02.04 ROZBIÓRKA ELEMENTÓW DRÓG</w:t>
      </w:r>
      <w:r>
        <w:rPr>
          <w:noProof/>
        </w:rPr>
        <w:tab/>
      </w:r>
      <w:r>
        <w:rPr>
          <w:noProof/>
        </w:rPr>
        <w:fldChar w:fldCharType="begin"/>
      </w:r>
      <w:r>
        <w:rPr>
          <w:noProof/>
        </w:rPr>
        <w:instrText xml:space="preserve"> PAGEREF _Toc163481048 \h </w:instrText>
      </w:r>
      <w:r>
        <w:rPr>
          <w:noProof/>
        </w:rPr>
      </w:r>
      <w:r>
        <w:rPr>
          <w:noProof/>
        </w:rPr>
        <w:fldChar w:fldCharType="separate"/>
      </w:r>
      <w:r w:rsidR="00460177">
        <w:rPr>
          <w:noProof/>
        </w:rPr>
        <w:t>58</w:t>
      </w:r>
      <w:r>
        <w:rPr>
          <w:noProof/>
        </w:rPr>
        <w:fldChar w:fldCharType="end"/>
      </w:r>
    </w:p>
    <w:p w14:paraId="49A2E2A7" w14:textId="09DF4A75"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D-01.02.05 FREZOWANIE NAWIERZCHNI ASFALTOWEJ NA ZIMNO</w:t>
      </w:r>
      <w:r>
        <w:rPr>
          <w:noProof/>
        </w:rPr>
        <w:tab/>
      </w:r>
      <w:r>
        <w:rPr>
          <w:noProof/>
        </w:rPr>
        <w:fldChar w:fldCharType="begin"/>
      </w:r>
      <w:r>
        <w:rPr>
          <w:noProof/>
        </w:rPr>
        <w:instrText xml:space="preserve"> PAGEREF _Toc163481049 \h </w:instrText>
      </w:r>
      <w:r>
        <w:rPr>
          <w:noProof/>
        </w:rPr>
      </w:r>
      <w:r>
        <w:rPr>
          <w:noProof/>
        </w:rPr>
        <w:fldChar w:fldCharType="separate"/>
      </w:r>
      <w:r w:rsidR="00460177">
        <w:rPr>
          <w:noProof/>
        </w:rPr>
        <w:t>60</w:t>
      </w:r>
      <w:r>
        <w:rPr>
          <w:noProof/>
        </w:rPr>
        <w:fldChar w:fldCharType="end"/>
      </w:r>
    </w:p>
    <w:p w14:paraId="08DDE9F4" w14:textId="3FD20FA7"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D-04.00.00 PODBUDOWY</w:t>
      </w:r>
      <w:r>
        <w:rPr>
          <w:noProof/>
        </w:rPr>
        <w:tab/>
      </w:r>
      <w:r>
        <w:rPr>
          <w:noProof/>
        </w:rPr>
        <w:fldChar w:fldCharType="begin"/>
      </w:r>
      <w:r>
        <w:rPr>
          <w:noProof/>
        </w:rPr>
        <w:instrText xml:space="preserve"> PAGEREF _Toc163481050 \h </w:instrText>
      </w:r>
      <w:r>
        <w:rPr>
          <w:noProof/>
        </w:rPr>
      </w:r>
      <w:r>
        <w:rPr>
          <w:noProof/>
        </w:rPr>
        <w:fldChar w:fldCharType="separate"/>
      </w:r>
      <w:r w:rsidR="00460177">
        <w:rPr>
          <w:noProof/>
        </w:rPr>
        <w:t>62</w:t>
      </w:r>
      <w:r>
        <w:rPr>
          <w:noProof/>
        </w:rPr>
        <w:fldChar w:fldCharType="end"/>
      </w:r>
    </w:p>
    <w:p w14:paraId="4464DB7B" w14:textId="77B94431"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D-04.01.01 KORYTO WRAZ Z PROFILOWANIEM I ZAGĘSZCZANIEM PODŁOŻA</w:t>
      </w:r>
      <w:r>
        <w:rPr>
          <w:noProof/>
        </w:rPr>
        <w:tab/>
      </w:r>
      <w:r>
        <w:rPr>
          <w:noProof/>
        </w:rPr>
        <w:fldChar w:fldCharType="begin"/>
      </w:r>
      <w:r>
        <w:rPr>
          <w:noProof/>
        </w:rPr>
        <w:instrText xml:space="preserve"> PAGEREF _Toc163481051 \h </w:instrText>
      </w:r>
      <w:r>
        <w:rPr>
          <w:noProof/>
        </w:rPr>
      </w:r>
      <w:r>
        <w:rPr>
          <w:noProof/>
        </w:rPr>
        <w:fldChar w:fldCharType="separate"/>
      </w:r>
      <w:r w:rsidR="00460177">
        <w:rPr>
          <w:noProof/>
        </w:rPr>
        <w:t>62</w:t>
      </w:r>
      <w:r>
        <w:rPr>
          <w:noProof/>
        </w:rPr>
        <w:fldChar w:fldCharType="end"/>
      </w:r>
    </w:p>
    <w:p w14:paraId="6C44CD1B" w14:textId="776DF3AA"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D-04.03.01a POŁĄCZENIE  MIĘDZYWARSTWOWE  NAWIERZCHNI  DROGOWEJ  EMULSJĄ  ASFALTOWĄ</w:t>
      </w:r>
      <w:r>
        <w:rPr>
          <w:noProof/>
        </w:rPr>
        <w:tab/>
      </w:r>
      <w:r>
        <w:rPr>
          <w:noProof/>
        </w:rPr>
        <w:fldChar w:fldCharType="begin"/>
      </w:r>
      <w:r>
        <w:rPr>
          <w:noProof/>
        </w:rPr>
        <w:instrText xml:space="preserve"> PAGEREF _Toc163481052 \h </w:instrText>
      </w:r>
      <w:r>
        <w:rPr>
          <w:noProof/>
        </w:rPr>
      </w:r>
      <w:r>
        <w:rPr>
          <w:noProof/>
        </w:rPr>
        <w:fldChar w:fldCharType="separate"/>
      </w:r>
      <w:r w:rsidR="00460177">
        <w:rPr>
          <w:noProof/>
        </w:rPr>
        <w:t>65</w:t>
      </w:r>
      <w:r>
        <w:rPr>
          <w:noProof/>
        </w:rPr>
        <w:fldChar w:fldCharType="end"/>
      </w:r>
    </w:p>
    <w:p w14:paraId="267D7354" w14:textId="694D382F"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D-04.04.00a PODŁOŻE  ULEPSZONE Z  MIESZANKI  KRUSZYWA  NIEZWIĄZANEGO</w:t>
      </w:r>
      <w:r>
        <w:rPr>
          <w:noProof/>
        </w:rPr>
        <w:tab/>
      </w:r>
      <w:r>
        <w:rPr>
          <w:noProof/>
        </w:rPr>
        <w:fldChar w:fldCharType="begin"/>
      </w:r>
      <w:r>
        <w:rPr>
          <w:noProof/>
        </w:rPr>
        <w:instrText xml:space="preserve"> PAGEREF _Toc163481053 \h </w:instrText>
      </w:r>
      <w:r>
        <w:rPr>
          <w:noProof/>
        </w:rPr>
      </w:r>
      <w:r>
        <w:rPr>
          <w:noProof/>
        </w:rPr>
        <w:fldChar w:fldCharType="separate"/>
      </w:r>
      <w:r w:rsidR="00460177">
        <w:rPr>
          <w:noProof/>
        </w:rPr>
        <w:t>74</w:t>
      </w:r>
      <w:r>
        <w:rPr>
          <w:noProof/>
        </w:rPr>
        <w:fldChar w:fldCharType="end"/>
      </w:r>
    </w:p>
    <w:p w14:paraId="35BE345C" w14:textId="5F8DB3E8"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D-04.04.02b PODBUDOWA ZASADNICZA Z MIESZANKI KRUSZYWA NIEZWIĄZANEGO</w:t>
      </w:r>
      <w:r>
        <w:rPr>
          <w:noProof/>
        </w:rPr>
        <w:tab/>
      </w:r>
      <w:r>
        <w:rPr>
          <w:noProof/>
        </w:rPr>
        <w:fldChar w:fldCharType="begin"/>
      </w:r>
      <w:r>
        <w:rPr>
          <w:noProof/>
        </w:rPr>
        <w:instrText xml:space="preserve"> PAGEREF _Toc163481054 \h </w:instrText>
      </w:r>
      <w:r>
        <w:rPr>
          <w:noProof/>
        </w:rPr>
      </w:r>
      <w:r>
        <w:rPr>
          <w:noProof/>
        </w:rPr>
        <w:fldChar w:fldCharType="separate"/>
      </w:r>
      <w:r w:rsidR="00460177">
        <w:rPr>
          <w:noProof/>
        </w:rPr>
        <w:t>88</w:t>
      </w:r>
      <w:r>
        <w:rPr>
          <w:noProof/>
        </w:rPr>
        <w:fldChar w:fldCharType="end"/>
      </w:r>
    </w:p>
    <w:p w14:paraId="5CEB74E7" w14:textId="418D1625"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D-04.05.01a PODBUDOWA Z MIESZANKI KRUSZYWA ZWIĄZANEGO HYDRAULICZNIE CEMENTEM</w:t>
      </w:r>
      <w:r>
        <w:rPr>
          <w:noProof/>
        </w:rPr>
        <w:tab/>
      </w:r>
      <w:r>
        <w:rPr>
          <w:noProof/>
        </w:rPr>
        <w:fldChar w:fldCharType="begin"/>
      </w:r>
      <w:r>
        <w:rPr>
          <w:noProof/>
        </w:rPr>
        <w:instrText xml:space="preserve"> PAGEREF _Toc163481055 \h </w:instrText>
      </w:r>
      <w:r>
        <w:rPr>
          <w:noProof/>
        </w:rPr>
      </w:r>
      <w:r>
        <w:rPr>
          <w:noProof/>
        </w:rPr>
        <w:fldChar w:fldCharType="separate"/>
      </w:r>
      <w:r w:rsidR="00460177">
        <w:rPr>
          <w:noProof/>
        </w:rPr>
        <w:t>97</w:t>
      </w:r>
      <w:r>
        <w:rPr>
          <w:noProof/>
        </w:rPr>
        <w:fldChar w:fldCharType="end"/>
      </w:r>
    </w:p>
    <w:p w14:paraId="4FF0A6B2" w14:textId="34A94B46"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D-04.07.01a PODBUDOWA Z BETONU ASFALTOWEGO</w:t>
      </w:r>
      <w:r>
        <w:rPr>
          <w:noProof/>
        </w:rPr>
        <w:tab/>
      </w:r>
      <w:r>
        <w:rPr>
          <w:noProof/>
        </w:rPr>
        <w:fldChar w:fldCharType="begin"/>
      </w:r>
      <w:r>
        <w:rPr>
          <w:noProof/>
        </w:rPr>
        <w:instrText xml:space="preserve"> PAGEREF _Toc163481056 \h </w:instrText>
      </w:r>
      <w:r>
        <w:rPr>
          <w:noProof/>
        </w:rPr>
      </w:r>
      <w:r>
        <w:rPr>
          <w:noProof/>
        </w:rPr>
        <w:fldChar w:fldCharType="separate"/>
      </w:r>
      <w:r w:rsidR="00460177">
        <w:rPr>
          <w:noProof/>
        </w:rPr>
        <w:t>110</w:t>
      </w:r>
      <w:r>
        <w:rPr>
          <w:noProof/>
        </w:rPr>
        <w:fldChar w:fldCharType="end"/>
      </w:r>
    </w:p>
    <w:p w14:paraId="5E37E044" w14:textId="2FB335AF"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D-05.03.05a NAWIERZCHNIA  Z  BETONU ASFALTOWEGO. WARSTWA ŚCIERALNA</w:t>
      </w:r>
      <w:r>
        <w:rPr>
          <w:noProof/>
        </w:rPr>
        <w:tab/>
      </w:r>
      <w:r>
        <w:rPr>
          <w:noProof/>
        </w:rPr>
        <w:fldChar w:fldCharType="begin"/>
      </w:r>
      <w:r>
        <w:rPr>
          <w:noProof/>
        </w:rPr>
        <w:instrText xml:space="preserve"> PAGEREF _Toc163481057 \h </w:instrText>
      </w:r>
      <w:r>
        <w:rPr>
          <w:noProof/>
        </w:rPr>
      </w:r>
      <w:r>
        <w:rPr>
          <w:noProof/>
        </w:rPr>
        <w:fldChar w:fldCharType="separate"/>
      </w:r>
      <w:r w:rsidR="00460177">
        <w:rPr>
          <w:noProof/>
        </w:rPr>
        <w:t>135</w:t>
      </w:r>
      <w:r>
        <w:rPr>
          <w:noProof/>
        </w:rPr>
        <w:fldChar w:fldCharType="end"/>
      </w:r>
    </w:p>
    <w:p w14:paraId="20A3763C" w14:textId="11DC5959"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D-05.03.23a NAWIERZCHNIA Z BETONOWEJ KOSTKI BRUKOWEJ</w:t>
      </w:r>
      <w:r>
        <w:rPr>
          <w:noProof/>
        </w:rPr>
        <w:tab/>
      </w:r>
      <w:r>
        <w:rPr>
          <w:noProof/>
        </w:rPr>
        <w:fldChar w:fldCharType="begin"/>
      </w:r>
      <w:r>
        <w:rPr>
          <w:noProof/>
        </w:rPr>
        <w:instrText xml:space="preserve"> PAGEREF _Toc163481058 \h </w:instrText>
      </w:r>
      <w:r>
        <w:rPr>
          <w:noProof/>
        </w:rPr>
      </w:r>
      <w:r>
        <w:rPr>
          <w:noProof/>
        </w:rPr>
        <w:fldChar w:fldCharType="separate"/>
      </w:r>
      <w:r w:rsidR="00460177">
        <w:rPr>
          <w:noProof/>
        </w:rPr>
        <w:t>157</w:t>
      </w:r>
      <w:r>
        <w:rPr>
          <w:noProof/>
        </w:rPr>
        <w:fldChar w:fldCharType="end"/>
      </w:r>
    </w:p>
    <w:p w14:paraId="39FB93FE" w14:textId="6B6BDFD8"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D-05.03.27a ZABEZPIECZENIE NAWIERZCHNI BITUMICZNEJ PRZED SPĘKANIAMI SIATKĄ ZBROJENIOWĄ Z WŁÓKIEN SZKLANYCH I WĘGLOWYCH</w:t>
      </w:r>
      <w:r>
        <w:rPr>
          <w:noProof/>
        </w:rPr>
        <w:tab/>
      </w:r>
      <w:r>
        <w:rPr>
          <w:noProof/>
        </w:rPr>
        <w:fldChar w:fldCharType="begin"/>
      </w:r>
      <w:r>
        <w:rPr>
          <w:noProof/>
        </w:rPr>
        <w:instrText xml:space="preserve"> PAGEREF _Toc163481059 \h </w:instrText>
      </w:r>
      <w:r>
        <w:rPr>
          <w:noProof/>
        </w:rPr>
      </w:r>
      <w:r>
        <w:rPr>
          <w:noProof/>
        </w:rPr>
        <w:fldChar w:fldCharType="separate"/>
      </w:r>
      <w:r w:rsidR="00460177">
        <w:rPr>
          <w:noProof/>
        </w:rPr>
        <w:t>164</w:t>
      </w:r>
      <w:r>
        <w:rPr>
          <w:noProof/>
        </w:rPr>
        <w:fldChar w:fldCharType="end"/>
      </w:r>
    </w:p>
    <w:p w14:paraId="036959F5" w14:textId="0FCE9922"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D-07.00.00 URZĄDZENIA BEZPIECZEŃSTWA RUCHU</w:t>
      </w:r>
      <w:r>
        <w:rPr>
          <w:noProof/>
        </w:rPr>
        <w:tab/>
      </w:r>
      <w:r>
        <w:rPr>
          <w:noProof/>
        </w:rPr>
        <w:fldChar w:fldCharType="begin"/>
      </w:r>
      <w:r>
        <w:rPr>
          <w:noProof/>
        </w:rPr>
        <w:instrText xml:space="preserve"> PAGEREF _Toc163481060 \h </w:instrText>
      </w:r>
      <w:r>
        <w:rPr>
          <w:noProof/>
        </w:rPr>
      </w:r>
      <w:r>
        <w:rPr>
          <w:noProof/>
        </w:rPr>
        <w:fldChar w:fldCharType="separate"/>
      </w:r>
      <w:r w:rsidR="00460177">
        <w:rPr>
          <w:noProof/>
        </w:rPr>
        <w:t>168</w:t>
      </w:r>
      <w:r>
        <w:rPr>
          <w:noProof/>
        </w:rPr>
        <w:fldChar w:fldCharType="end"/>
      </w:r>
    </w:p>
    <w:p w14:paraId="7BACC7F1" w14:textId="2C8E8F93"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D-07.01.01 OZNAKOWANIE  POZIOME</w:t>
      </w:r>
      <w:r>
        <w:rPr>
          <w:noProof/>
        </w:rPr>
        <w:tab/>
      </w:r>
      <w:r>
        <w:rPr>
          <w:noProof/>
        </w:rPr>
        <w:fldChar w:fldCharType="begin"/>
      </w:r>
      <w:r>
        <w:rPr>
          <w:noProof/>
        </w:rPr>
        <w:instrText xml:space="preserve"> PAGEREF _Toc163481061 \h </w:instrText>
      </w:r>
      <w:r>
        <w:rPr>
          <w:noProof/>
        </w:rPr>
      </w:r>
      <w:r>
        <w:rPr>
          <w:noProof/>
        </w:rPr>
        <w:fldChar w:fldCharType="separate"/>
      </w:r>
      <w:r w:rsidR="00460177">
        <w:rPr>
          <w:noProof/>
        </w:rPr>
        <w:t>168</w:t>
      </w:r>
      <w:r>
        <w:rPr>
          <w:noProof/>
        </w:rPr>
        <w:fldChar w:fldCharType="end"/>
      </w:r>
    </w:p>
    <w:p w14:paraId="2E7F74BE" w14:textId="111EFAE5"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D-07.06.02 URZĄDZENIE ZABEZPIECZAJĄCE RUCH PIESZYCH</w:t>
      </w:r>
      <w:r>
        <w:rPr>
          <w:noProof/>
        </w:rPr>
        <w:tab/>
      </w:r>
      <w:r>
        <w:rPr>
          <w:noProof/>
        </w:rPr>
        <w:fldChar w:fldCharType="begin"/>
      </w:r>
      <w:r>
        <w:rPr>
          <w:noProof/>
        </w:rPr>
        <w:instrText xml:space="preserve"> PAGEREF _Toc163481062 \h </w:instrText>
      </w:r>
      <w:r>
        <w:rPr>
          <w:noProof/>
        </w:rPr>
      </w:r>
      <w:r>
        <w:rPr>
          <w:noProof/>
        </w:rPr>
        <w:fldChar w:fldCharType="separate"/>
      </w:r>
      <w:r w:rsidR="00460177">
        <w:rPr>
          <w:noProof/>
        </w:rPr>
        <w:t>179</w:t>
      </w:r>
      <w:r>
        <w:rPr>
          <w:noProof/>
        </w:rPr>
        <w:fldChar w:fldCharType="end"/>
      </w:r>
    </w:p>
    <w:p w14:paraId="6AAE712A" w14:textId="4F1588FF"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D-08.00.00 ELEMENTY ULIC</w:t>
      </w:r>
      <w:r>
        <w:rPr>
          <w:noProof/>
        </w:rPr>
        <w:tab/>
      </w:r>
      <w:r>
        <w:rPr>
          <w:noProof/>
        </w:rPr>
        <w:fldChar w:fldCharType="begin"/>
      </w:r>
      <w:r>
        <w:rPr>
          <w:noProof/>
        </w:rPr>
        <w:instrText xml:space="preserve"> PAGEREF _Toc163481063 \h </w:instrText>
      </w:r>
      <w:r>
        <w:rPr>
          <w:noProof/>
        </w:rPr>
      </w:r>
      <w:r>
        <w:rPr>
          <w:noProof/>
        </w:rPr>
        <w:fldChar w:fldCharType="separate"/>
      </w:r>
      <w:r w:rsidR="00460177">
        <w:rPr>
          <w:noProof/>
        </w:rPr>
        <w:t>186</w:t>
      </w:r>
      <w:r>
        <w:rPr>
          <w:noProof/>
        </w:rPr>
        <w:fldChar w:fldCharType="end"/>
      </w:r>
    </w:p>
    <w:p w14:paraId="413857C9" w14:textId="0502C184" w:rsidR="00BC14D9" w:rsidRPr="00751302" w:rsidRDefault="00BC14D9">
      <w:pPr>
        <w:pStyle w:val="Spistreci1"/>
        <w:tabs>
          <w:tab w:val="right" w:leader="dot" w:pos="9288"/>
        </w:tabs>
        <w:rPr>
          <w:rFonts w:asciiTheme="minorHAnsi" w:eastAsiaTheme="minorEastAsia" w:hAnsiTheme="minorHAnsi" w:cstheme="minorBidi"/>
          <w:b w:val="0"/>
          <w:bCs w:val="0"/>
          <w:caps w:val="0"/>
          <w:noProof/>
          <w:color w:val="000000" w:themeColor="text1"/>
          <w:sz w:val="22"/>
          <w:szCs w:val="22"/>
          <w:lang w:eastAsia="pl-PL"/>
        </w:rPr>
      </w:pPr>
      <w:r w:rsidRPr="00EA2DC5">
        <w:rPr>
          <w:noProof/>
          <w:color w:val="000000" w:themeColor="text1"/>
        </w:rPr>
        <w:t>D-08.01.01b USTAWIENIE</w:t>
      </w:r>
      <w:r w:rsidRPr="00751302">
        <w:rPr>
          <w:noProof/>
          <w:color w:val="000000" w:themeColor="text1"/>
        </w:rPr>
        <w:t xml:space="preserve">  KRAWĘŻNIKÓW  BETONOWYCH</w:t>
      </w:r>
      <w:r w:rsidRPr="00751302">
        <w:rPr>
          <w:noProof/>
          <w:color w:val="000000" w:themeColor="text1"/>
        </w:rPr>
        <w:tab/>
      </w:r>
      <w:r w:rsidRPr="00751302">
        <w:rPr>
          <w:noProof/>
          <w:color w:val="000000" w:themeColor="text1"/>
        </w:rPr>
        <w:fldChar w:fldCharType="begin"/>
      </w:r>
      <w:r w:rsidRPr="00751302">
        <w:rPr>
          <w:noProof/>
          <w:color w:val="000000" w:themeColor="text1"/>
        </w:rPr>
        <w:instrText xml:space="preserve"> PAGEREF _Toc163481064 \h </w:instrText>
      </w:r>
      <w:r w:rsidRPr="00751302">
        <w:rPr>
          <w:noProof/>
          <w:color w:val="000000" w:themeColor="text1"/>
        </w:rPr>
      </w:r>
      <w:r w:rsidRPr="00751302">
        <w:rPr>
          <w:noProof/>
          <w:color w:val="000000" w:themeColor="text1"/>
        </w:rPr>
        <w:fldChar w:fldCharType="separate"/>
      </w:r>
      <w:r w:rsidR="00460177">
        <w:rPr>
          <w:noProof/>
          <w:color w:val="000000" w:themeColor="text1"/>
        </w:rPr>
        <w:t>186</w:t>
      </w:r>
      <w:r w:rsidRPr="00751302">
        <w:rPr>
          <w:noProof/>
          <w:color w:val="000000" w:themeColor="text1"/>
        </w:rPr>
        <w:fldChar w:fldCharType="end"/>
      </w:r>
    </w:p>
    <w:p w14:paraId="298C99B4" w14:textId="3E204DA7" w:rsidR="00BC14D9" w:rsidRPr="00751302" w:rsidRDefault="00BC14D9">
      <w:pPr>
        <w:pStyle w:val="Spistreci1"/>
        <w:tabs>
          <w:tab w:val="right" w:leader="dot" w:pos="9288"/>
        </w:tabs>
        <w:rPr>
          <w:rFonts w:asciiTheme="minorHAnsi" w:eastAsiaTheme="minorEastAsia" w:hAnsiTheme="minorHAnsi" w:cstheme="minorBidi"/>
          <w:b w:val="0"/>
          <w:bCs w:val="0"/>
          <w:caps w:val="0"/>
          <w:noProof/>
          <w:color w:val="000000" w:themeColor="text1"/>
          <w:sz w:val="22"/>
          <w:szCs w:val="22"/>
          <w:lang w:eastAsia="pl-PL"/>
        </w:rPr>
      </w:pPr>
      <w:r w:rsidRPr="00751302">
        <w:rPr>
          <w:noProof/>
          <w:color w:val="000000" w:themeColor="text1"/>
        </w:rPr>
        <w:t>D-08.02.01 CHODNIK Z PŁYT CHODNIKOWYCH BETONOWYCH</w:t>
      </w:r>
      <w:r w:rsidRPr="00751302">
        <w:rPr>
          <w:noProof/>
          <w:color w:val="000000" w:themeColor="text1"/>
        </w:rPr>
        <w:tab/>
      </w:r>
      <w:r w:rsidRPr="00751302">
        <w:rPr>
          <w:noProof/>
          <w:color w:val="000000" w:themeColor="text1"/>
        </w:rPr>
        <w:fldChar w:fldCharType="begin"/>
      </w:r>
      <w:r w:rsidRPr="00751302">
        <w:rPr>
          <w:noProof/>
          <w:color w:val="000000" w:themeColor="text1"/>
        </w:rPr>
        <w:instrText xml:space="preserve"> PAGEREF _Toc163481065 \h </w:instrText>
      </w:r>
      <w:r w:rsidRPr="00751302">
        <w:rPr>
          <w:noProof/>
          <w:color w:val="000000" w:themeColor="text1"/>
        </w:rPr>
      </w:r>
      <w:r w:rsidRPr="00751302">
        <w:rPr>
          <w:noProof/>
          <w:color w:val="000000" w:themeColor="text1"/>
        </w:rPr>
        <w:fldChar w:fldCharType="separate"/>
      </w:r>
      <w:r w:rsidR="00460177">
        <w:rPr>
          <w:noProof/>
          <w:color w:val="000000" w:themeColor="text1"/>
        </w:rPr>
        <w:t>194</w:t>
      </w:r>
      <w:r w:rsidRPr="00751302">
        <w:rPr>
          <w:noProof/>
          <w:color w:val="000000" w:themeColor="text1"/>
        </w:rPr>
        <w:fldChar w:fldCharType="end"/>
      </w:r>
    </w:p>
    <w:p w14:paraId="11F16682" w14:textId="2852B92E" w:rsidR="00BC14D9" w:rsidRPr="00751302" w:rsidRDefault="00BC14D9">
      <w:pPr>
        <w:pStyle w:val="Spistreci1"/>
        <w:tabs>
          <w:tab w:val="right" w:leader="dot" w:pos="9288"/>
        </w:tabs>
        <w:rPr>
          <w:rFonts w:asciiTheme="minorHAnsi" w:eastAsiaTheme="minorEastAsia" w:hAnsiTheme="minorHAnsi" w:cstheme="minorBidi"/>
          <w:b w:val="0"/>
          <w:bCs w:val="0"/>
          <w:caps w:val="0"/>
          <w:noProof/>
          <w:color w:val="000000" w:themeColor="text1"/>
          <w:sz w:val="22"/>
          <w:szCs w:val="22"/>
          <w:lang w:eastAsia="pl-PL"/>
        </w:rPr>
      </w:pPr>
      <w:r w:rsidRPr="00751302">
        <w:rPr>
          <w:noProof/>
          <w:color w:val="000000" w:themeColor="text1"/>
        </w:rPr>
        <w:t>D-08.02.0</w:t>
      </w:r>
      <w:r w:rsidR="00751302" w:rsidRPr="00751302">
        <w:rPr>
          <w:noProof/>
          <w:color w:val="000000" w:themeColor="text1"/>
        </w:rPr>
        <w:t>3</w:t>
      </w:r>
      <w:r w:rsidRPr="00751302">
        <w:rPr>
          <w:noProof/>
          <w:color w:val="000000" w:themeColor="text1"/>
        </w:rPr>
        <w:t xml:space="preserve"> CHODNIK Z </w:t>
      </w:r>
      <w:r w:rsidR="00751302" w:rsidRPr="00751302">
        <w:rPr>
          <w:noProof/>
          <w:color w:val="000000" w:themeColor="text1"/>
        </w:rPr>
        <w:t>PŁYT</w:t>
      </w:r>
      <w:r w:rsidRPr="00751302">
        <w:rPr>
          <w:noProof/>
          <w:color w:val="000000" w:themeColor="text1"/>
        </w:rPr>
        <w:t xml:space="preserve"> KAMIENN</w:t>
      </w:r>
      <w:r w:rsidR="00751302" w:rsidRPr="00751302">
        <w:rPr>
          <w:noProof/>
          <w:color w:val="000000" w:themeColor="text1"/>
        </w:rPr>
        <w:t>YCH</w:t>
      </w:r>
      <w:r w:rsidRPr="00751302">
        <w:rPr>
          <w:noProof/>
          <w:color w:val="000000" w:themeColor="text1"/>
        </w:rPr>
        <w:tab/>
      </w:r>
      <w:r w:rsidRPr="00751302">
        <w:rPr>
          <w:noProof/>
          <w:color w:val="000000" w:themeColor="text1"/>
        </w:rPr>
        <w:fldChar w:fldCharType="begin"/>
      </w:r>
      <w:r w:rsidRPr="00751302">
        <w:rPr>
          <w:noProof/>
          <w:color w:val="000000" w:themeColor="text1"/>
        </w:rPr>
        <w:instrText xml:space="preserve"> PAGEREF _Toc163481066 \h </w:instrText>
      </w:r>
      <w:r w:rsidRPr="00751302">
        <w:rPr>
          <w:noProof/>
          <w:color w:val="000000" w:themeColor="text1"/>
        </w:rPr>
      </w:r>
      <w:r w:rsidRPr="00751302">
        <w:rPr>
          <w:noProof/>
          <w:color w:val="000000" w:themeColor="text1"/>
        </w:rPr>
        <w:fldChar w:fldCharType="separate"/>
      </w:r>
      <w:r w:rsidR="00460177">
        <w:rPr>
          <w:noProof/>
          <w:color w:val="000000" w:themeColor="text1"/>
        </w:rPr>
        <w:t>198</w:t>
      </w:r>
      <w:r w:rsidRPr="00751302">
        <w:rPr>
          <w:noProof/>
          <w:color w:val="000000" w:themeColor="text1"/>
        </w:rPr>
        <w:fldChar w:fldCharType="end"/>
      </w:r>
    </w:p>
    <w:p w14:paraId="74F65414" w14:textId="1E2D6663"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751302">
        <w:rPr>
          <w:noProof/>
          <w:color w:val="000000" w:themeColor="text1"/>
        </w:rPr>
        <w:t>D-08.03.01 BETONOWE  OBR</w:t>
      </w:r>
      <w:r w:rsidRPr="00EA2DC5">
        <w:rPr>
          <w:noProof/>
          <w:color w:val="000000" w:themeColor="text1"/>
        </w:rPr>
        <w:t>ZEŻA  CHODNIKOWE</w:t>
      </w:r>
      <w:r>
        <w:rPr>
          <w:noProof/>
        </w:rPr>
        <w:tab/>
      </w:r>
      <w:r>
        <w:rPr>
          <w:noProof/>
        </w:rPr>
        <w:fldChar w:fldCharType="begin"/>
      </w:r>
      <w:r>
        <w:rPr>
          <w:noProof/>
        </w:rPr>
        <w:instrText xml:space="preserve"> PAGEREF _Toc163481067 \h </w:instrText>
      </w:r>
      <w:r>
        <w:rPr>
          <w:noProof/>
        </w:rPr>
      </w:r>
      <w:r>
        <w:rPr>
          <w:noProof/>
        </w:rPr>
        <w:fldChar w:fldCharType="separate"/>
      </w:r>
      <w:r w:rsidR="00460177">
        <w:rPr>
          <w:noProof/>
        </w:rPr>
        <w:t>202</w:t>
      </w:r>
      <w:r>
        <w:rPr>
          <w:noProof/>
        </w:rPr>
        <w:fldChar w:fldCharType="end"/>
      </w:r>
    </w:p>
    <w:p w14:paraId="29046EB7" w14:textId="5A115F9A" w:rsidR="00BC14D9" w:rsidRDefault="00BC14D9">
      <w:pPr>
        <w:pStyle w:val="Spistreci1"/>
        <w:tabs>
          <w:tab w:val="right" w:leader="dot" w:pos="9288"/>
        </w:tabs>
        <w:rPr>
          <w:rFonts w:asciiTheme="minorHAnsi" w:eastAsiaTheme="minorEastAsia" w:hAnsiTheme="minorHAnsi" w:cstheme="minorBidi"/>
          <w:b w:val="0"/>
          <w:bCs w:val="0"/>
          <w:caps w:val="0"/>
          <w:noProof/>
          <w:sz w:val="22"/>
          <w:szCs w:val="22"/>
          <w:lang w:eastAsia="pl-PL"/>
        </w:rPr>
      </w:pPr>
      <w:r w:rsidRPr="00EA2DC5">
        <w:rPr>
          <w:noProof/>
          <w:color w:val="000000" w:themeColor="text1"/>
        </w:rPr>
        <w:t>D-10.03.01a NAWIERZCHNIE Z ELEMENTÓW PREFABRYKOWANYCH</w:t>
      </w:r>
      <w:r>
        <w:rPr>
          <w:noProof/>
        </w:rPr>
        <w:tab/>
      </w:r>
      <w:r>
        <w:rPr>
          <w:noProof/>
        </w:rPr>
        <w:fldChar w:fldCharType="begin"/>
      </w:r>
      <w:r>
        <w:rPr>
          <w:noProof/>
        </w:rPr>
        <w:instrText xml:space="preserve"> PAGEREF _Toc163481068 \h </w:instrText>
      </w:r>
      <w:r>
        <w:rPr>
          <w:noProof/>
        </w:rPr>
      </w:r>
      <w:r>
        <w:rPr>
          <w:noProof/>
        </w:rPr>
        <w:fldChar w:fldCharType="separate"/>
      </w:r>
      <w:r w:rsidR="00460177">
        <w:rPr>
          <w:noProof/>
        </w:rPr>
        <w:t>206</w:t>
      </w:r>
      <w:r>
        <w:rPr>
          <w:noProof/>
        </w:rPr>
        <w:fldChar w:fldCharType="end"/>
      </w:r>
    </w:p>
    <w:p w14:paraId="2A18283E" w14:textId="77777777" w:rsidR="00333660" w:rsidRPr="004D7D23" w:rsidRDefault="008B60B4" w:rsidP="00333660">
      <w:pPr>
        <w:pStyle w:val="Spistreci1"/>
        <w:tabs>
          <w:tab w:val="right" w:leader="dot" w:pos="9288"/>
        </w:tabs>
        <w:rPr>
          <w:noProof/>
          <w:color w:val="FF0000"/>
        </w:rPr>
      </w:pPr>
      <w:r w:rsidRPr="004D7D23">
        <w:rPr>
          <w:color w:val="FF0000"/>
        </w:rPr>
        <w:fldChar w:fldCharType="end"/>
      </w:r>
      <w:r w:rsidR="00333660" w:rsidRPr="004D7D23">
        <w:rPr>
          <w:noProof/>
          <w:color w:val="FF0000"/>
        </w:rPr>
        <w:t xml:space="preserve"> </w:t>
      </w:r>
    </w:p>
    <w:p w14:paraId="7BCC8A1E" w14:textId="77777777" w:rsidR="00DC0A45" w:rsidRPr="004D7D23" w:rsidRDefault="00DC0A45" w:rsidP="003E0CE5">
      <w:pPr>
        <w:pStyle w:val="Spistreci1"/>
        <w:tabs>
          <w:tab w:val="right" w:leader="dot" w:pos="9354"/>
        </w:tabs>
        <w:rPr>
          <w:color w:val="FF0000"/>
        </w:rPr>
      </w:pPr>
    </w:p>
    <w:p w14:paraId="70DB988E" w14:textId="77777777" w:rsidR="00DC0A45" w:rsidRPr="004D7D23" w:rsidRDefault="00DC0A45" w:rsidP="00DC0A45">
      <w:pPr>
        <w:pStyle w:val="00Tekst"/>
        <w:ind w:left="0"/>
        <w:rPr>
          <w:color w:val="FF0000"/>
        </w:rPr>
      </w:pPr>
    </w:p>
    <w:p w14:paraId="337882F0" w14:textId="77777777" w:rsidR="00DC0A45" w:rsidRPr="004D7D23" w:rsidRDefault="00DC0A45" w:rsidP="00DC0A45">
      <w:pPr>
        <w:pStyle w:val="00Tekst"/>
        <w:ind w:left="0"/>
        <w:rPr>
          <w:color w:val="FF0000"/>
        </w:rPr>
      </w:pPr>
    </w:p>
    <w:p w14:paraId="3143F4B3" w14:textId="77777777" w:rsidR="00DC0A45" w:rsidRPr="004D7D23" w:rsidRDefault="00DC0A45" w:rsidP="00DC0A45">
      <w:pPr>
        <w:pStyle w:val="00Tekst"/>
        <w:ind w:left="0"/>
        <w:rPr>
          <w:color w:val="FF0000"/>
        </w:rPr>
      </w:pPr>
    </w:p>
    <w:p w14:paraId="170F43C2" w14:textId="77777777" w:rsidR="00DC0A45" w:rsidRPr="004D7D23" w:rsidRDefault="00DC0A45" w:rsidP="00DC0A45">
      <w:pPr>
        <w:pStyle w:val="00Tekst"/>
        <w:ind w:left="0"/>
        <w:rPr>
          <w:color w:val="FF0000"/>
        </w:rPr>
      </w:pPr>
    </w:p>
    <w:p w14:paraId="3FA71CF4" w14:textId="77777777" w:rsidR="00DC0A45" w:rsidRPr="004D7D23" w:rsidRDefault="00DC0A45" w:rsidP="00DC0A45">
      <w:pPr>
        <w:pStyle w:val="00Tekst"/>
        <w:ind w:left="0"/>
        <w:rPr>
          <w:color w:val="FF0000"/>
        </w:rPr>
      </w:pPr>
    </w:p>
    <w:p w14:paraId="090E8E51" w14:textId="77777777" w:rsidR="00DC0A45" w:rsidRPr="00D13ED1" w:rsidRDefault="00DC0A45" w:rsidP="003E0CE5">
      <w:pPr>
        <w:pStyle w:val="Nagwek1"/>
        <w:jc w:val="center"/>
        <w:rPr>
          <w:color w:val="000000" w:themeColor="text1"/>
          <w:sz w:val="40"/>
          <w:szCs w:val="40"/>
        </w:rPr>
      </w:pPr>
      <w:bookmarkStart w:id="0" w:name="_Toc163481036"/>
      <w:r w:rsidRPr="00D13ED1">
        <w:rPr>
          <w:color w:val="000000" w:themeColor="text1"/>
          <w:sz w:val="40"/>
          <w:szCs w:val="40"/>
        </w:rPr>
        <w:lastRenderedPageBreak/>
        <w:t>ST-00.00</w:t>
      </w:r>
      <w:r w:rsidR="003E0CE5" w:rsidRPr="00D13ED1">
        <w:rPr>
          <w:color w:val="000000" w:themeColor="text1"/>
          <w:sz w:val="40"/>
          <w:szCs w:val="40"/>
        </w:rPr>
        <w:t xml:space="preserve">. </w:t>
      </w:r>
      <w:r w:rsidRPr="00D13ED1">
        <w:rPr>
          <w:color w:val="000000" w:themeColor="text1"/>
          <w:sz w:val="40"/>
          <w:szCs w:val="40"/>
        </w:rPr>
        <w:t>WYMAGANIA OGÓLNE</w:t>
      </w:r>
      <w:bookmarkEnd w:id="0"/>
    </w:p>
    <w:p w14:paraId="0E766C75" w14:textId="77777777" w:rsidR="00735798" w:rsidRPr="00D13ED1" w:rsidRDefault="00E11A34" w:rsidP="00AC05BB">
      <w:pPr>
        <w:pStyle w:val="Nagwek2"/>
        <w:rPr>
          <w:i w:val="0"/>
          <w:color w:val="000000" w:themeColor="text1"/>
        </w:rPr>
      </w:pPr>
      <w:r w:rsidRPr="00D13ED1">
        <w:rPr>
          <w:i w:val="0"/>
          <w:color w:val="000000" w:themeColor="text1"/>
        </w:rPr>
        <w:t xml:space="preserve">1. </w:t>
      </w:r>
      <w:r w:rsidR="00DC0A45" w:rsidRPr="00D13ED1">
        <w:rPr>
          <w:i w:val="0"/>
          <w:color w:val="000000" w:themeColor="text1"/>
        </w:rPr>
        <w:t>WSTĘP</w:t>
      </w:r>
      <w:r w:rsidRPr="00D13ED1">
        <w:rPr>
          <w:i w:val="0"/>
          <w:color w:val="000000" w:themeColor="text1"/>
        </w:rPr>
        <w:t>.</w:t>
      </w:r>
    </w:p>
    <w:p w14:paraId="702B6C5D" w14:textId="77777777" w:rsidR="00735798" w:rsidRPr="00D13ED1" w:rsidRDefault="00E11A34" w:rsidP="00AC05BB">
      <w:pPr>
        <w:pStyle w:val="Nagwek3"/>
        <w:spacing w:before="60"/>
        <w:rPr>
          <w:color w:val="000000" w:themeColor="text1"/>
        </w:rPr>
      </w:pPr>
      <w:r w:rsidRPr="00D13ED1">
        <w:rPr>
          <w:color w:val="000000" w:themeColor="text1"/>
          <w:sz w:val="22"/>
        </w:rPr>
        <w:t xml:space="preserve">1.1. </w:t>
      </w:r>
      <w:bookmarkStart w:id="1" w:name="_Toc315352915"/>
      <w:bookmarkStart w:id="2" w:name="_Toc315353131"/>
      <w:bookmarkStart w:id="3" w:name="_Toc466465024"/>
      <w:r w:rsidR="00DC0A45" w:rsidRPr="00D13ED1">
        <w:rPr>
          <w:color w:val="000000" w:themeColor="text1"/>
          <w:sz w:val="22"/>
        </w:rPr>
        <w:t xml:space="preserve">Przedmiot </w:t>
      </w:r>
      <w:bookmarkEnd w:id="1"/>
      <w:bookmarkEnd w:id="2"/>
      <w:r w:rsidR="00DC0A45" w:rsidRPr="00D13ED1">
        <w:rPr>
          <w:color w:val="000000" w:themeColor="text1"/>
          <w:sz w:val="22"/>
        </w:rPr>
        <w:t>ST</w:t>
      </w:r>
      <w:bookmarkEnd w:id="3"/>
      <w:r w:rsidRPr="00D13ED1">
        <w:rPr>
          <w:color w:val="000000" w:themeColor="text1"/>
          <w:sz w:val="22"/>
        </w:rPr>
        <w:t>.</w:t>
      </w:r>
    </w:p>
    <w:p w14:paraId="4CE91DE7" w14:textId="77777777" w:rsidR="00DC0A45" w:rsidRPr="00D13ED1" w:rsidRDefault="00DC0A45" w:rsidP="00DC0A45">
      <w:pPr>
        <w:pStyle w:val="Specyfikacje"/>
        <w:ind w:left="0"/>
        <w:rPr>
          <w:rFonts w:ascii="Arial" w:hAnsi="Arial" w:cs="Arial"/>
          <w:color w:val="000000" w:themeColor="text1"/>
          <w:sz w:val="18"/>
        </w:rPr>
      </w:pPr>
      <w:r w:rsidRPr="00D13ED1">
        <w:rPr>
          <w:rFonts w:ascii="Arial" w:hAnsi="Arial" w:cs="Arial"/>
          <w:color w:val="000000" w:themeColor="text1"/>
          <w:sz w:val="18"/>
        </w:rPr>
        <w:t>Specyfikacja Technicz</w:t>
      </w:r>
      <w:r w:rsidRPr="00D13ED1">
        <w:rPr>
          <w:rFonts w:ascii="Arial" w:hAnsi="Arial" w:cs="Arial"/>
          <w:color w:val="000000" w:themeColor="text1"/>
          <w:sz w:val="18"/>
        </w:rPr>
        <w:softHyphen/>
        <w:t>na ST-00.00 - Wymagania Ogólne odnosi się do wymagań wspólnych dla poszczególnych wymagań technicznych dotyczących wykonania i odbioru Robót przedsięwzięcia pn. „</w:t>
      </w:r>
      <w:r w:rsidR="00DC6F95" w:rsidRPr="00D13ED1">
        <w:rPr>
          <w:rFonts w:ascii="Arial" w:hAnsi="Arial" w:cs="Arial"/>
          <w:b/>
          <w:color w:val="000000" w:themeColor="text1"/>
          <w:sz w:val="18"/>
        </w:rPr>
        <w:t>Prze</w:t>
      </w:r>
      <w:r w:rsidR="009A1FAF" w:rsidRPr="00D13ED1">
        <w:rPr>
          <w:rFonts w:ascii="Arial" w:hAnsi="Arial" w:cs="Arial"/>
          <w:b/>
          <w:color w:val="000000" w:themeColor="text1"/>
          <w:sz w:val="18"/>
        </w:rPr>
        <w:t>b</w:t>
      </w:r>
      <w:r w:rsidR="0001152D" w:rsidRPr="00D13ED1">
        <w:rPr>
          <w:rFonts w:ascii="Arial" w:hAnsi="Arial" w:cs="Arial"/>
          <w:b/>
          <w:color w:val="000000" w:themeColor="text1"/>
          <w:sz w:val="18"/>
        </w:rPr>
        <w:t xml:space="preserve">udowa sieci wodociągowej </w:t>
      </w:r>
      <w:r w:rsidR="009A1FAF" w:rsidRPr="00D13ED1">
        <w:rPr>
          <w:rFonts w:ascii="Arial" w:hAnsi="Arial" w:cs="Arial"/>
          <w:b/>
          <w:color w:val="000000" w:themeColor="text1"/>
          <w:sz w:val="18"/>
        </w:rPr>
        <w:t xml:space="preserve">w ul. </w:t>
      </w:r>
      <w:r w:rsidR="00DC6F95" w:rsidRPr="00D13ED1">
        <w:rPr>
          <w:rFonts w:ascii="Arial" w:hAnsi="Arial" w:cs="Arial"/>
          <w:b/>
          <w:color w:val="000000" w:themeColor="text1"/>
          <w:sz w:val="18"/>
        </w:rPr>
        <w:t xml:space="preserve">Wincentego </w:t>
      </w:r>
      <w:r w:rsidR="009A1FAF" w:rsidRPr="00D13ED1">
        <w:rPr>
          <w:rFonts w:ascii="Arial" w:hAnsi="Arial" w:cs="Arial"/>
          <w:b/>
          <w:color w:val="000000" w:themeColor="text1"/>
          <w:sz w:val="18"/>
        </w:rPr>
        <w:t>Ka</w:t>
      </w:r>
      <w:r w:rsidR="00DC6F95" w:rsidRPr="00D13ED1">
        <w:rPr>
          <w:rFonts w:ascii="Arial" w:hAnsi="Arial" w:cs="Arial"/>
          <w:b/>
          <w:color w:val="000000" w:themeColor="text1"/>
          <w:sz w:val="18"/>
        </w:rPr>
        <w:t>dłubka w</w:t>
      </w:r>
      <w:r w:rsidR="0001152D" w:rsidRPr="00D13ED1">
        <w:rPr>
          <w:rFonts w:ascii="Arial" w:hAnsi="Arial" w:cs="Arial"/>
          <w:color w:val="000000" w:themeColor="text1"/>
          <w:sz w:val="18"/>
        </w:rPr>
        <w:t xml:space="preserve"> </w:t>
      </w:r>
      <w:r w:rsidR="00977409" w:rsidRPr="00D13ED1">
        <w:rPr>
          <w:rFonts w:ascii="Arial" w:hAnsi="Arial" w:cs="Arial"/>
          <w:b/>
          <w:color w:val="000000" w:themeColor="text1"/>
          <w:sz w:val="18"/>
        </w:rPr>
        <w:t>Sz</w:t>
      </w:r>
      <w:r w:rsidRPr="00D13ED1">
        <w:rPr>
          <w:rFonts w:ascii="Arial" w:hAnsi="Arial" w:cs="Arial"/>
          <w:b/>
          <w:color w:val="000000" w:themeColor="text1"/>
          <w:sz w:val="18"/>
        </w:rPr>
        <w:t>czecinie</w:t>
      </w:r>
      <w:r w:rsidRPr="00D13ED1">
        <w:rPr>
          <w:rFonts w:ascii="Arial" w:hAnsi="Arial" w:cs="Arial"/>
          <w:color w:val="000000" w:themeColor="text1"/>
          <w:sz w:val="18"/>
        </w:rPr>
        <w:t>”.</w:t>
      </w:r>
    </w:p>
    <w:p w14:paraId="262CF2F9" w14:textId="77777777" w:rsidR="00716CB5" w:rsidRPr="00D13ED1" w:rsidRDefault="00716CB5" w:rsidP="00AC05BB">
      <w:pPr>
        <w:pStyle w:val="Nagwek3"/>
        <w:spacing w:before="60"/>
        <w:rPr>
          <w:color w:val="000000" w:themeColor="text1"/>
          <w:sz w:val="22"/>
        </w:rPr>
      </w:pPr>
      <w:r w:rsidRPr="00D13ED1">
        <w:rPr>
          <w:color w:val="000000" w:themeColor="text1"/>
          <w:sz w:val="22"/>
        </w:rPr>
        <w:t xml:space="preserve">1.2. </w:t>
      </w:r>
      <w:bookmarkStart w:id="4" w:name="_Toc315352916"/>
      <w:bookmarkStart w:id="5" w:name="_Toc315353132"/>
      <w:bookmarkStart w:id="6" w:name="_Toc466465025"/>
      <w:r w:rsidRPr="00D13ED1">
        <w:rPr>
          <w:color w:val="000000" w:themeColor="text1"/>
          <w:sz w:val="22"/>
        </w:rPr>
        <w:t xml:space="preserve">Zakres stosowania </w:t>
      </w:r>
      <w:bookmarkEnd w:id="4"/>
      <w:bookmarkEnd w:id="5"/>
      <w:bookmarkEnd w:id="6"/>
      <w:r w:rsidRPr="00D13ED1">
        <w:rPr>
          <w:color w:val="000000" w:themeColor="text1"/>
          <w:sz w:val="22"/>
        </w:rPr>
        <w:t>ST.</w:t>
      </w:r>
    </w:p>
    <w:p w14:paraId="2571FBF2" w14:textId="77777777" w:rsidR="00716CB5" w:rsidRPr="00D13ED1" w:rsidRDefault="00716CB5" w:rsidP="00716CB5">
      <w:pPr>
        <w:pStyle w:val="Specyfikacje"/>
        <w:ind w:left="0"/>
        <w:rPr>
          <w:rFonts w:ascii="Arial" w:hAnsi="Arial" w:cs="Arial"/>
          <w:color w:val="000000" w:themeColor="text1"/>
          <w:sz w:val="18"/>
        </w:rPr>
      </w:pPr>
      <w:r w:rsidRPr="00D13ED1">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20DB4350" w14:textId="77777777" w:rsidR="00716CB5" w:rsidRPr="00D13ED1" w:rsidRDefault="00716CB5" w:rsidP="00AC05BB">
      <w:pPr>
        <w:pStyle w:val="Nagwek3"/>
        <w:spacing w:before="60"/>
        <w:rPr>
          <w:color w:val="000000" w:themeColor="text1"/>
          <w:sz w:val="22"/>
        </w:rPr>
      </w:pPr>
      <w:r w:rsidRPr="00D13ED1">
        <w:rPr>
          <w:color w:val="000000" w:themeColor="text1"/>
          <w:sz w:val="22"/>
        </w:rPr>
        <w:t>1.3. Zakres robót objętych ST.</w:t>
      </w:r>
    </w:p>
    <w:p w14:paraId="16B22A15" w14:textId="77777777" w:rsidR="00716CB5" w:rsidRPr="00D13ED1" w:rsidRDefault="00716CB5" w:rsidP="002872CC">
      <w:pPr>
        <w:pStyle w:val="Specyfikacje"/>
        <w:spacing w:after="0"/>
        <w:ind w:left="0"/>
        <w:rPr>
          <w:rFonts w:ascii="Arial" w:hAnsi="Arial" w:cs="Arial"/>
          <w:color w:val="000000" w:themeColor="text1"/>
          <w:sz w:val="18"/>
        </w:rPr>
      </w:pPr>
      <w:r w:rsidRPr="00D13ED1">
        <w:rPr>
          <w:rFonts w:ascii="Arial" w:hAnsi="Arial" w:cs="Arial"/>
          <w:color w:val="000000" w:themeColor="text1"/>
          <w:sz w:val="18"/>
        </w:rPr>
        <w:t>Wymagania ogólne należy rozumieć i stosować w powiązaniu z niżej wymienionymi Specyfikacjami Technicznymi:</w:t>
      </w:r>
    </w:p>
    <w:p w14:paraId="4C052F2F" w14:textId="77777777" w:rsidR="00716CB5" w:rsidRPr="00D13ED1" w:rsidRDefault="00716CB5" w:rsidP="002872CC">
      <w:pPr>
        <w:pStyle w:val="Specyfikacje"/>
        <w:spacing w:after="0"/>
        <w:ind w:left="0"/>
        <w:rPr>
          <w:rFonts w:ascii="Arial" w:hAnsi="Arial" w:cs="Arial"/>
          <w:color w:val="000000" w:themeColor="text1"/>
          <w:sz w:val="18"/>
        </w:rPr>
      </w:pPr>
      <w:r w:rsidRPr="00D13ED1">
        <w:rPr>
          <w:rFonts w:ascii="Arial" w:hAnsi="Arial" w:cs="Arial"/>
          <w:color w:val="000000" w:themeColor="text1"/>
          <w:sz w:val="18"/>
        </w:rPr>
        <w:t>ST-00.01</w:t>
      </w:r>
      <w:r w:rsidRPr="00D13ED1">
        <w:rPr>
          <w:rFonts w:ascii="Arial" w:hAnsi="Arial" w:cs="Arial"/>
          <w:color w:val="000000" w:themeColor="text1"/>
          <w:sz w:val="18"/>
        </w:rPr>
        <w:tab/>
      </w:r>
      <w:r w:rsidRPr="00D13ED1">
        <w:rPr>
          <w:rFonts w:ascii="Arial" w:hAnsi="Arial" w:cs="Arial"/>
          <w:color w:val="000000" w:themeColor="text1"/>
          <w:sz w:val="18"/>
        </w:rPr>
        <w:tab/>
        <w:t>Wyznaczenie trasy i punktów wysokościowych</w:t>
      </w:r>
    </w:p>
    <w:p w14:paraId="7DF009D1" w14:textId="77777777" w:rsidR="00716CB5" w:rsidRPr="008A1FD5" w:rsidRDefault="00716CB5" w:rsidP="002872CC">
      <w:pPr>
        <w:pStyle w:val="Specyfikacje"/>
        <w:spacing w:after="0"/>
        <w:ind w:left="0"/>
        <w:rPr>
          <w:rFonts w:ascii="Arial" w:hAnsi="Arial" w:cs="Arial"/>
          <w:color w:val="000000" w:themeColor="text1"/>
          <w:sz w:val="18"/>
        </w:rPr>
      </w:pPr>
      <w:r w:rsidRPr="00D13ED1">
        <w:rPr>
          <w:rFonts w:ascii="Arial" w:hAnsi="Arial" w:cs="Arial"/>
          <w:color w:val="000000" w:themeColor="text1"/>
          <w:sz w:val="18"/>
        </w:rPr>
        <w:t>ST-00.02</w:t>
      </w:r>
      <w:r w:rsidRPr="00D13ED1">
        <w:rPr>
          <w:rFonts w:ascii="Arial" w:hAnsi="Arial" w:cs="Arial"/>
          <w:color w:val="000000" w:themeColor="text1"/>
          <w:sz w:val="18"/>
        </w:rPr>
        <w:tab/>
      </w:r>
      <w:r w:rsidRPr="00D13ED1">
        <w:rPr>
          <w:rFonts w:ascii="Arial" w:hAnsi="Arial" w:cs="Arial"/>
          <w:color w:val="000000" w:themeColor="text1"/>
          <w:sz w:val="18"/>
        </w:rPr>
        <w:tab/>
      </w:r>
      <w:r w:rsidRPr="008A1FD5">
        <w:rPr>
          <w:rFonts w:ascii="Arial" w:hAnsi="Arial" w:cs="Arial"/>
          <w:color w:val="000000" w:themeColor="text1"/>
          <w:sz w:val="18"/>
        </w:rPr>
        <w:t>Roboty ziemne</w:t>
      </w:r>
    </w:p>
    <w:p w14:paraId="7CB59EC4" w14:textId="77777777" w:rsidR="008A1FD5" w:rsidRPr="008A1FD5" w:rsidRDefault="008A1FD5" w:rsidP="008A1FD5">
      <w:pPr>
        <w:pStyle w:val="Specyfikacje"/>
        <w:spacing w:after="0"/>
        <w:ind w:left="0"/>
        <w:rPr>
          <w:rFonts w:ascii="Arial" w:hAnsi="Arial" w:cs="Arial"/>
          <w:color w:val="000000" w:themeColor="text1"/>
          <w:sz w:val="18"/>
        </w:rPr>
      </w:pPr>
      <w:r w:rsidRPr="008A1FD5">
        <w:rPr>
          <w:rFonts w:ascii="Arial" w:hAnsi="Arial" w:cs="Arial"/>
          <w:color w:val="000000" w:themeColor="text1"/>
          <w:sz w:val="18"/>
        </w:rPr>
        <w:t>ST-00.03 Roboty przygotowawcze, roboty pomiarowe, prace porządkowe terenu po budowie</w:t>
      </w:r>
    </w:p>
    <w:p w14:paraId="5E98D18B" w14:textId="77777777" w:rsidR="008A1FD5" w:rsidRPr="008A1FD5" w:rsidRDefault="008A1FD5" w:rsidP="008A1FD5">
      <w:pPr>
        <w:pStyle w:val="Specyfikacje"/>
        <w:spacing w:after="0"/>
        <w:ind w:left="0"/>
        <w:rPr>
          <w:rFonts w:ascii="Arial" w:hAnsi="Arial" w:cs="Arial"/>
          <w:color w:val="000000" w:themeColor="text1"/>
          <w:sz w:val="18"/>
        </w:rPr>
      </w:pPr>
      <w:r w:rsidRPr="008A1FD5">
        <w:rPr>
          <w:rFonts w:ascii="Arial" w:hAnsi="Arial" w:cs="Arial"/>
          <w:color w:val="000000" w:themeColor="text1"/>
          <w:sz w:val="18"/>
        </w:rPr>
        <w:t>ST-00.04 Gospodarka drzewostanem</w:t>
      </w:r>
    </w:p>
    <w:p w14:paraId="27ABA394" w14:textId="77777777" w:rsidR="00716CB5" w:rsidRPr="008A1FD5" w:rsidRDefault="00716CB5" w:rsidP="002872CC">
      <w:pPr>
        <w:pStyle w:val="Specyfikacje"/>
        <w:spacing w:after="0"/>
        <w:ind w:left="0"/>
        <w:rPr>
          <w:rFonts w:ascii="Arial" w:hAnsi="Arial" w:cs="Arial"/>
          <w:color w:val="000000" w:themeColor="text1"/>
          <w:sz w:val="18"/>
        </w:rPr>
      </w:pPr>
      <w:r w:rsidRPr="008A1FD5">
        <w:rPr>
          <w:rFonts w:ascii="Arial" w:hAnsi="Arial" w:cs="Arial"/>
          <w:color w:val="000000" w:themeColor="text1"/>
          <w:sz w:val="18"/>
        </w:rPr>
        <w:t>ST-00.0</w:t>
      </w:r>
      <w:r w:rsidR="008A1FD5" w:rsidRPr="008A1FD5">
        <w:rPr>
          <w:rFonts w:ascii="Arial" w:hAnsi="Arial" w:cs="Arial"/>
          <w:color w:val="000000" w:themeColor="text1"/>
          <w:sz w:val="18"/>
        </w:rPr>
        <w:t>5</w:t>
      </w:r>
      <w:r w:rsidRPr="008A1FD5">
        <w:rPr>
          <w:rFonts w:ascii="Arial" w:hAnsi="Arial" w:cs="Arial"/>
          <w:color w:val="000000" w:themeColor="text1"/>
          <w:sz w:val="18"/>
        </w:rPr>
        <w:tab/>
      </w:r>
      <w:r w:rsidRPr="008A1FD5">
        <w:rPr>
          <w:rFonts w:ascii="Arial" w:hAnsi="Arial" w:cs="Arial"/>
          <w:color w:val="000000" w:themeColor="text1"/>
          <w:sz w:val="18"/>
        </w:rPr>
        <w:tab/>
        <w:t>Roboty montażowe na sieci wodociągowej</w:t>
      </w:r>
    </w:p>
    <w:p w14:paraId="7EAF35AF" w14:textId="77777777" w:rsidR="00716CB5" w:rsidRPr="008A1FD5" w:rsidRDefault="00716CB5" w:rsidP="002872CC">
      <w:pPr>
        <w:pStyle w:val="Specyfikacje"/>
        <w:spacing w:after="0"/>
        <w:ind w:left="0"/>
        <w:rPr>
          <w:rFonts w:ascii="Arial" w:hAnsi="Arial" w:cs="Arial"/>
          <w:color w:val="000000" w:themeColor="text1"/>
          <w:sz w:val="18"/>
        </w:rPr>
      </w:pPr>
      <w:r w:rsidRPr="008A1FD5">
        <w:rPr>
          <w:rFonts w:ascii="Arial" w:hAnsi="Arial" w:cs="Arial"/>
          <w:color w:val="000000" w:themeColor="text1"/>
          <w:sz w:val="18"/>
        </w:rPr>
        <w:t>ST-00.0</w:t>
      </w:r>
      <w:r w:rsidR="008A1FD5" w:rsidRPr="008A1FD5">
        <w:rPr>
          <w:rFonts w:ascii="Arial" w:hAnsi="Arial" w:cs="Arial"/>
          <w:color w:val="000000" w:themeColor="text1"/>
          <w:sz w:val="18"/>
        </w:rPr>
        <w:t xml:space="preserve">6 </w:t>
      </w:r>
      <w:r w:rsidRPr="008A1FD5">
        <w:rPr>
          <w:rFonts w:ascii="Arial" w:hAnsi="Arial" w:cs="Arial"/>
          <w:color w:val="000000" w:themeColor="text1"/>
          <w:sz w:val="18"/>
        </w:rPr>
        <w:tab/>
        <w:t>Roboty rozbiórkowe dla robót sieciowych</w:t>
      </w:r>
    </w:p>
    <w:p w14:paraId="22AB815F" w14:textId="77777777" w:rsidR="00DC0A45" w:rsidRPr="008A1FD5" w:rsidRDefault="00716CB5" w:rsidP="002872CC">
      <w:pPr>
        <w:pStyle w:val="00Tekst"/>
        <w:spacing w:line="240" w:lineRule="auto"/>
        <w:ind w:left="0"/>
        <w:rPr>
          <w:rFonts w:cs="Arial"/>
          <w:color w:val="000000" w:themeColor="text1"/>
          <w:sz w:val="18"/>
        </w:rPr>
      </w:pPr>
      <w:r w:rsidRPr="008A1FD5">
        <w:rPr>
          <w:rFonts w:cs="Arial"/>
          <w:color w:val="000000" w:themeColor="text1"/>
          <w:sz w:val="18"/>
        </w:rPr>
        <w:t>ST-00.0</w:t>
      </w:r>
      <w:r w:rsidR="008A1FD5" w:rsidRPr="008A1FD5">
        <w:rPr>
          <w:rFonts w:cs="Arial"/>
          <w:color w:val="000000" w:themeColor="text1"/>
          <w:sz w:val="18"/>
        </w:rPr>
        <w:t>7</w:t>
      </w:r>
      <w:r w:rsidRPr="008A1FD5">
        <w:rPr>
          <w:rFonts w:cs="Arial"/>
          <w:color w:val="000000" w:themeColor="text1"/>
          <w:sz w:val="18"/>
        </w:rPr>
        <w:tab/>
      </w:r>
      <w:r w:rsidRPr="008A1FD5">
        <w:rPr>
          <w:rFonts w:cs="Arial"/>
          <w:color w:val="000000" w:themeColor="text1"/>
          <w:sz w:val="18"/>
        </w:rPr>
        <w:tab/>
        <w:t>Odtworzenie nawierzchni</w:t>
      </w:r>
    </w:p>
    <w:p w14:paraId="288EEAA9" w14:textId="77777777" w:rsidR="005C1362" w:rsidRPr="00A03FFD" w:rsidRDefault="005C1362" w:rsidP="00AC05BB">
      <w:pPr>
        <w:pStyle w:val="Nagwek4"/>
        <w:spacing w:line="240" w:lineRule="auto"/>
        <w:jc w:val="both"/>
        <w:rPr>
          <w:b/>
          <w:color w:val="000000" w:themeColor="text1"/>
          <w:u w:val="none"/>
        </w:rPr>
      </w:pPr>
      <w:r w:rsidRPr="00A03FFD">
        <w:rPr>
          <w:b/>
          <w:color w:val="000000" w:themeColor="text1"/>
          <w:sz w:val="20"/>
          <w:u w:val="none"/>
        </w:rPr>
        <w:t>1.3.1. Normy państwowe, instrukcje i przepisy wymienione w ST będą stosowane przez Wykonawcę w języku polskim.</w:t>
      </w:r>
    </w:p>
    <w:p w14:paraId="0DCD245F" w14:textId="77777777" w:rsidR="005C1362" w:rsidRPr="00A03FFD" w:rsidRDefault="005C1362" w:rsidP="005C136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Normy te winny być uważane za integralną część tychże i odczytywane w powiązaniu z Rysunkami i ST jak gdyby były w nich powielone. Uważa się Wykonawcę za w pełni zaznajomionego z ich treścią i wymaganiami. Najnowsze wydanie norm, które ukaże się nie później niż na 28 dni przed datą zamknięcia przetargu będzie mieć zastosowanie, o ile nie wskazano inaczej.</w:t>
      </w:r>
    </w:p>
    <w:p w14:paraId="11F91539" w14:textId="77777777" w:rsidR="005C1362" w:rsidRPr="00A03FFD" w:rsidRDefault="005C1362" w:rsidP="005C136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Gdziekolwiek w Dokumentacji Projektowej pojawia się termin Specyfikacje Techniczne (ST) należy przez to rozumieć Specyfikacje Techniczne Wykonania i Odbioru Robót Budowlanych zgodnie z Rozporządzeniem Ministra </w:t>
      </w:r>
      <w:r w:rsidR="00F22548" w:rsidRPr="00A03FFD">
        <w:rPr>
          <w:rFonts w:ascii="Arial" w:hAnsi="Arial" w:cs="Arial"/>
          <w:color w:val="000000" w:themeColor="text1"/>
          <w:sz w:val="18"/>
        </w:rPr>
        <w:t xml:space="preserve">Rozwoju i Technologii </w:t>
      </w:r>
      <w:r w:rsidRPr="00A03FFD">
        <w:rPr>
          <w:rFonts w:ascii="Arial" w:hAnsi="Arial" w:cs="Arial"/>
          <w:color w:val="000000" w:themeColor="text1"/>
          <w:sz w:val="18"/>
        </w:rPr>
        <w:t>z dnia 2</w:t>
      </w:r>
      <w:r w:rsidR="00F22548" w:rsidRPr="00A03FFD">
        <w:rPr>
          <w:rFonts w:ascii="Arial" w:hAnsi="Arial" w:cs="Arial"/>
          <w:color w:val="000000" w:themeColor="text1"/>
          <w:sz w:val="18"/>
        </w:rPr>
        <w:t>9</w:t>
      </w:r>
      <w:r w:rsidRPr="00A03FFD">
        <w:rPr>
          <w:rFonts w:ascii="Arial" w:hAnsi="Arial" w:cs="Arial"/>
          <w:color w:val="000000" w:themeColor="text1"/>
          <w:sz w:val="18"/>
        </w:rPr>
        <w:t>.</w:t>
      </w:r>
      <w:r w:rsidR="00F22548" w:rsidRPr="00A03FFD">
        <w:rPr>
          <w:rFonts w:ascii="Arial" w:hAnsi="Arial" w:cs="Arial"/>
          <w:color w:val="000000" w:themeColor="text1"/>
          <w:sz w:val="18"/>
        </w:rPr>
        <w:t>12</w:t>
      </w:r>
      <w:r w:rsidRPr="00A03FFD">
        <w:rPr>
          <w:rFonts w:ascii="Arial" w:hAnsi="Arial" w:cs="Arial"/>
          <w:color w:val="000000" w:themeColor="text1"/>
          <w:sz w:val="18"/>
        </w:rPr>
        <w:t>.2</w:t>
      </w:r>
      <w:r w:rsidR="00F22548" w:rsidRPr="00A03FFD">
        <w:rPr>
          <w:rFonts w:ascii="Arial" w:hAnsi="Arial" w:cs="Arial"/>
          <w:color w:val="000000" w:themeColor="text1"/>
          <w:sz w:val="18"/>
        </w:rPr>
        <w:t>021</w:t>
      </w:r>
      <w:r w:rsidRPr="00A03FFD">
        <w:rPr>
          <w:rFonts w:ascii="Arial" w:hAnsi="Arial" w:cs="Arial"/>
          <w:color w:val="000000" w:themeColor="text1"/>
          <w:sz w:val="18"/>
        </w:rPr>
        <w:t xml:space="preserve"> (Dz. U. Nr 202</w:t>
      </w:r>
      <w:r w:rsidR="00F22548" w:rsidRPr="00A03FFD">
        <w:rPr>
          <w:rFonts w:ascii="Arial" w:hAnsi="Arial" w:cs="Arial"/>
          <w:color w:val="000000" w:themeColor="text1"/>
          <w:sz w:val="18"/>
        </w:rPr>
        <w:t>1</w:t>
      </w:r>
      <w:r w:rsidRPr="00A03FFD">
        <w:rPr>
          <w:rFonts w:ascii="Arial" w:hAnsi="Arial" w:cs="Arial"/>
          <w:color w:val="000000" w:themeColor="text1"/>
          <w:sz w:val="18"/>
        </w:rPr>
        <w:t xml:space="preserve"> poz. 2</w:t>
      </w:r>
      <w:r w:rsidR="00F22548" w:rsidRPr="00A03FFD">
        <w:rPr>
          <w:rFonts w:ascii="Arial" w:hAnsi="Arial" w:cs="Arial"/>
          <w:color w:val="000000" w:themeColor="text1"/>
          <w:sz w:val="18"/>
        </w:rPr>
        <w:t>454</w:t>
      </w:r>
      <w:r w:rsidRPr="00A03FFD">
        <w:rPr>
          <w:rFonts w:ascii="Arial" w:hAnsi="Arial" w:cs="Arial"/>
          <w:color w:val="000000" w:themeColor="text1"/>
          <w:sz w:val="18"/>
        </w:rPr>
        <w:t>).</w:t>
      </w:r>
    </w:p>
    <w:p w14:paraId="1BAFF4D7" w14:textId="77777777" w:rsidR="005C1362" w:rsidRPr="00A03FFD" w:rsidRDefault="005C1362" w:rsidP="00AC05BB">
      <w:pPr>
        <w:pStyle w:val="Nagwek3"/>
        <w:spacing w:before="60"/>
        <w:rPr>
          <w:bCs w:val="0"/>
          <w:color w:val="000000" w:themeColor="text1"/>
          <w:sz w:val="22"/>
          <w:szCs w:val="24"/>
        </w:rPr>
      </w:pPr>
      <w:r w:rsidRPr="00A03FFD">
        <w:rPr>
          <w:color w:val="000000" w:themeColor="text1"/>
          <w:sz w:val="22"/>
        </w:rPr>
        <w:t>1.4. Określenia podstawowe.</w:t>
      </w:r>
    </w:p>
    <w:p w14:paraId="48509A5F" w14:textId="77777777" w:rsidR="00716CB5" w:rsidRPr="00A03FFD" w:rsidRDefault="005C1362" w:rsidP="005C1362">
      <w:pPr>
        <w:pStyle w:val="Specyfikacje"/>
        <w:ind w:left="0"/>
        <w:rPr>
          <w:rFonts w:ascii="Arial" w:hAnsi="Arial" w:cs="Arial"/>
          <w:color w:val="000000" w:themeColor="text1"/>
          <w:sz w:val="18"/>
        </w:rPr>
      </w:pPr>
      <w:r w:rsidRPr="00A03FFD">
        <w:rPr>
          <w:rFonts w:ascii="Arial" w:hAnsi="Arial" w:cs="Arial"/>
          <w:color w:val="000000" w:themeColor="text1"/>
          <w:sz w:val="18"/>
        </w:rPr>
        <w:t>Użyte w ST wymienione poniżej określenia należy rozumieć w każdym przypadku następująco:</w:t>
      </w:r>
    </w:p>
    <w:p w14:paraId="573F062D"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Dziennik budowy – dziennik, wydany zgodnie z obowiązującymi przepisami, stanowiący urzędowy dokument przebiegu robót budowlanych oraz  zdarzeń i okoliczności zachodzących w toku wykonywania robót.</w:t>
      </w:r>
    </w:p>
    <w:p w14:paraId="27DCDA1F"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Kierownik budowy – osoba wyznaczona przez Wykonawcę, upoważniona do kierowania robotami i do występowania w jego imieniu w sprawach realizacji kontraktu.</w:t>
      </w:r>
    </w:p>
    <w:p w14:paraId="5EA88EB5"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Odpowiednia (bliska) zgodność – zgodność wykonywanych robót z dopuszczonymi tolerancjami, a jeśli przedział tolerancji nie został określony – z przeciętnymi tolerancjami, przyjmowanymi zwyczajowo dla danego rodzaju robót budowlanych.</w:t>
      </w:r>
    </w:p>
    <w:p w14:paraId="03779F7B"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Pas drogowy –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w:t>
      </w:r>
    </w:p>
    <w:p w14:paraId="1F2DF07A"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Kanał – przewód lub konstrukcja zaprojektowana w celu odprowadzenia ścieków.</w:t>
      </w:r>
    </w:p>
    <w:p w14:paraId="406F340A"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System grawitacyjny - system kanalizacyjny w którym przepływ odbywa się pod wpływem siły ciężkości.</w:t>
      </w:r>
    </w:p>
    <w:p w14:paraId="052C348F"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Woda gruntowa - woda znajdująca się w podpowierzchniowej warstwie terenu</w:t>
      </w:r>
    </w:p>
    <w:p w14:paraId="0BE90C06"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Prefabrykowany wyrób betonowy - wyrób formowany i dojrzewający w miejscu innym niż miejsce jego zastosowania.</w:t>
      </w:r>
    </w:p>
    <w:p w14:paraId="067EECE5"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Pobocze – część korony drogi przeznaczona do chwilowego zatrzymywania się pojazdów, umieszczenia urządzeń bezpieczeństwa ruchu i wykorzystywana do ruchu pieszych, służąca jednocześnie do bocznego oparcia konstrukcji nawierzchni.</w:t>
      </w:r>
    </w:p>
    <w:p w14:paraId="4E52AED5"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Projektant – uprawniona osoba prawna lub fizyczna będąca autorem dokumentacji projektowej.</w:t>
      </w:r>
    </w:p>
    <w:p w14:paraId="550A1092"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Zbiornik wodny – obiekt wybudowany w gruncie w formie otwartej, służący do gromadzenia wody.</w:t>
      </w:r>
    </w:p>
    <w:p w14:paraId="7E2AA027"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Przeszkoda naturalna – element środowiska naturalnego, stanowiący utrudnienie w realizacji zadania budowlanego, na przykład dolina, bagno, rzeka itp.</w:t>
      </w:r>
    </w:p>
    <w:p w14:paraId="444F06AF"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Przeszkoda sztuczna – dzieło ludzkie, stanowiące utrudnienie w realizacji zadania budowlanego, na przykład droga, kolej, rurociąg itp.</w:t>
      </w:r>
    </w:p>
    <w:p w14:paraId="26C02DA2"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Zadanie budowlane –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lub jej elementu. </w:t>
      </w:r>
    </w:p>
    <w:p w14:paraId="35A37353"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Przepust - obiekty wybudowane w formie zamknię</w:t>
      </w:r>
      <w:r w:rsidRPr="00A03FFD">
        <w:rPr>
          <w:color w:val="000000" w:themeColor="text1"/>
          <w:sz w:val="18"/>
        </w:rPr>
        <w:softHyphen/>
        <w:t>tej obu</w:t>
      </w:r>
      <w:r w:rsidRPr="00A03FFD">
        <w:rPr>
          <w:color w:val="000000" w:themeColor="text1"/>
          <w:sz w:val="18"/>
        </w:rPr>
        <w:softHyphen/>
        <w:t>dowy kon</w:t>
      </w:r>
      <w:r w:rsidRPr="00A03FFD">
        <w:rPr>
          <w:color w:val="000000" w:themeColor="text1"/>
          <w:sz w:val="18"/>
        </w:rPr>
        <w:softHyphen/>
        <w:t>strukcyjnej, służące do przepływu małych cieków wod</w:t>
      </w:r>
      <w:r w:rsidRPr="00A03FFD">
        <w:rPr>
          <w:color w:val="000000" w:themeColor="text1"/>
          <w:sz w:val="18"/>
        </w:rPr>
        <w:softHyphen/>
        <w:t>nych pod nasypami korpusu drogowego lub dla ruchu kołowego, pie</w:t>
      </w:r>
      <w:r w:rsidRPr="00A03FFD">
        <w:rPr>
          <w:color w:val="000000" w:themeColor="text1"/>
          <w:sz w:val="18"/>
        </w:rPr>
        <w:softHyphen/>
        <w:t>szego.</w:t>
      </w:r>
    </w:p>
    <w:p w14:paraId="5A8BF7F7"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Przeszkoda naturalna - element środowiska naturalnego, sta</w:t>
      </w:r>
      <w:r w:rsidRPr="00A03FFD">
        <w:rPr>
          <w:color w:val="000000" w:themeColor="text1"/>
          <w:sz w:val="18"/>
        </w:rPr>
        <w:softHyphen/>
        <w:t>no</w:t>
      </w:r>
      <w:r w:rsidRPr="00A03FFD">
        <w:rPr>
          <w:color w:val="000000" w:themeColor="text1"/>
          <w:sz w:val="18"/>
        </w:rPr>
        <w:softHyphen/>
        <w:t>wiący utrudnienie w realizacji zadania budowla</w:t>
      </w:r>
      <w:r w:rsidRPr="00A03FFD">
        <w:rPr>
          <w:color w:val="000000" w:themeColor="text1"/>
          <w:sz w:val="18"/>
        </w:rPr>
        <w:softHyphen/>
        <w:t>nego, na przykład dolina, bagno, rzeka itp.</w:t>
      </w:r>
    </w:p>
    <w:p w14:paraId="46B49D24"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lastRenderedPageBreak/>
        <w:t>Przeszkoda sztuczna - dzieło ludzkie, stanowiące utrud</w:t>
      </w:r>
      <w:r w:rsidRPr="00A03FFD">
        <w:rPr>
          <w:color w:val="000000" w:themeColor="text1"/>
          <w:sz w:val="18"/>
        </w:rPr>
        <w:softHyphen/>
        <w:t>nie</w:t>
      </w:r>
      <w:r w:rsidRPr="00A03FFD">
        <w:rPr>
          <w:color w:val="000000" w:themeColor="text1"/>
          <w:sz w:val="18"/>
        </w:rPr>
        <w:softHyphen/>
        <w:t>nie w realizacji zadania budowlanego, na przykład droga, kolej, rurociąg itp.</w:t>
      </w:r>
    </w:p>
    <w:p w14:paraId="19FD42D3"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Przetargowa Dokumentacja Projektowa – Kompletna Dokumentacja Projektowa (Projekty Budowlane z BIOZ, Projekty Wykonawcze i Przedmiary Robót), która wskazu</w:t>
      </w:r>
      <w:r w:rsidRPr="00A03FFD">
        <w:rPr>
          <w:color w:val="000000" w:themeColor="text1"/>
          <w:sz w:val="18"/>
        </w:rPr>
        <w:softHyphen/>
        <w:t>je loka</w:t>
      </w:r>
      <w:r w:rsidRPr="00A03FFD">
        <w:rPr>
          <w:color w:val="000000" w:themeColor="text1"/>
          <w:sz w:val="18"/>
        </w:rPr>
        <w:softHyphen/>
        <w:t>lizację, charakterystykę i wymiary obiektów będących przedmiotem Robót.</w:t>
      </w:r>
    </w:p>
    <w:p w14:paraId="23F95CD7"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Rekultywacja - Roboty mające na celu uporządkowanie i przy</w:t>
      </w:r>
      <w:r w:rsidRPr="00A03FFD">
        <w:rPr>
          <w:color w:val="000000" w:themeColor="text1"/>
          <w:sz w:val="18"/>
        </w:rPr>
        <w:softHyphen/>
        <w:t>wró</w:t>
      </w:r>
      <w:r w:rsidRPr="00A03FFD">
        <w:rPr>
          <w:color w:val="000000" w:themeColor="text1"/>
          <w:sz w:val="18"/>
        </w:rPr>
        <w:softHyphen/>
        <w:t>cenie pierwotnych funkcji terenom naruszonym w czasie realizacji zadania budowlanego.</w:t>
      </w:r>
    </w:p>
    <w:p w14:paraId="306B62D2" w14:textId="77777777" w:rsidR="005C1362" w:rsidRPr="00A03FFD" w:rsidRDefault="005C1362" w:rsidP="00FB79B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Przedmiar Robót - wykaz robót z podaniem ich ilości.</w:t>
      </w:r>
    </w:p>
    <w:p w14:paraId="22BAED67" w14:textId="77777777" w:rsidR="00FB79BF" w:rsidRPr="00A03FFD" w:rsidRDefault="00FB79BF" w:rsidP="00AC05BB">
      <w:pPr>
        <w:pStyle w:val="Nagwek3"/>
        <w:spacing w:before="60"/>
        <w:rPr>
          <w:color w:val="000000" w:themeColor="text1"/>
          <w:sz w:val="22"/>
        </w:rPr>
      </w:pPr>
      <w:r w:rsidRPr="00A03FFD">
        <w:rPr>
          <w:color w:val="000000" w:themeColor="text1"/>
          <w:sz w:val="22"/>
        </w:rPr>
        <w:t>1.</w:t>
      </w:r>
      <w:r w:rsidR="00E37018" w:rsidRPr="00A03FFD">
        <w:rPr>
          <w:color w:val="000000" w:themeColor="text1"/>
          <w:sz w:val="22"/>
        </w:rPr>
        <w:t>5</w:t>
      </w:r>
      <w:r w:rsidRPr="00A03FFD">
        <w:rPr>
          <w:color w:val="000000" w:themeColor="text1"/>
          <w:sz w:val="22"/>
        </w:rPr>
        <w:t xml:space="preserve">. </w:t>
      </w:r>
      <w:bookmarkStart w:id="7" w:name="_Toc315352919"/>
      <w:bookmarkStart w:id="8" w:name="_Toc315353135"/>
      <w:bookmarkStart w:id="9" w:name="_Toc466465028"/>
      <w:r w:rsidRPr="00A03FFD">
        <w:rPr>
          <w:color w:val="000000" w:themeColor="text1"/>
          <w:sz w:val="22"/>
        </w:rPr>
        <w:t>Ogólne wymagania dotyczące Robót</w:t>
      </w:r>
      <w:bookmarkEnd w:id="7"/>
      <w:bookmarkEnd w:id="8"/>
      <w:bookmarkEnd w:id="9"/>
      <w:r w:rsidRPr="00A03FFD">
        <w:rPr>
          <w:color w:val="000000" w:themeColor="text1"/>
          <w:sz w:val="22"/>
        </w:rPr>
        <w:t>.</w:t>
      </w:r>
    </w:p>
    <w:p w14:paraId="78325D75" w14:textId="77777777" w:rsidR="00FB79BF" w:rsidRPr="00A03FFD" w:rsidRDefault="00FB79BF" w:rsidP="00FB79B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Robót jest odpowiedzialny za jakość wykona</w:t>
      </w:r>
      <w:r w:rsidRPr="00A03FFD">
        <w:rPr>
          <w:rFonts w:ascii="Arial" w:hAnsi="Arial" w:cs="Arial"/>
          <w:color w:val="000000" w:themeColor="text1"/>
          <w:sz w:val="18"/>
        </w:rPr>
        <w:softHyphen/>
        <w:t>nia robót oraz za ich zgodność z Dokumentacją Projektową, ST i polece</w:t>
      </w:r>
      <w:r w:rsidRPr="00A03FFD">
        <w:rPr>
          <w:rFonts w:ascii="Arial" w:hAnsi="Arial" w:cs="Arial"/>
          <w:color w:val="000000" w:themeColor="text1"/>
          <w:sz w:val="18"/>
        </w:rPr>
        <w:softHyphen/>
        <w:t xml:space="preserve">niami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3F3857ED" w14:textId="77777777" w:rsidR="00FB79BF" w:rsidRPr="00A03FFD" w:rsidRDefault="00FB79BF" w:rsidP="00FB79B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odpowiedzialny za jakość wykonywanych robót i bezpieczeństwo wszelkich czynności na terenie budowy i terenie przyległym do budowy oraz bezpieczeństwo terenów, na których mogą wystąpić zagrożenia dla ludzi i mienia w związku z prowadzonymi robotami. Metody użyte przy budowie wyrażające się rodzajem zastosowanej technologii, maszyn, urządzeń i sprzętu muszą zapewniać skuteczną ochronę ludzi, środowiska budynków i budowli na tych obszarach w szczególności przed:</w:t>
      </w:r>
    </w:p>
    <w:p w14:paraId="6F91F3D7" w14:textId="77777777" w:rsidR="00FB79BF"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hałasem</w:t>
      </w:r>
    </w:p>
    <w:p w14:paraId="4D4469A7" w14:textId="77777777" w:rsidR="00FB79BF"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wibracją</w:t>
      </w:r>
    </w:p>
    <w:p w14:paraId="549610E5" w14:textId="77777777" w:rsidR="00FB79BF"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drganiami i wstrząsami</w:t>
      </w:r>
    </w:p>
    <w:p w14:paraId="1C130A3E" w14:textId="77777777" w:rsidR="00FB79BF"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zanieczyszczeniem odpadami poprodukcyjnymi i komunalnymi gleb wód i powietrza</w:t>
      </w:r>
    </w:p>
    <w:p w14:paraId="217CB954" w14:textId="77777777" w:rsidR="00FB79BF"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zanieczyszczeniem powietrza emisją gazów, pyłów i dymów</w:t>
      </w:r>
    </w:p>
    <w:p w14:paraId="48DE85F6" w14:textId="77777777" w:rsidR="00FB79BF"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zanieczyszczeniem środowiska przetrwalnikami zarazków chorobotwórczych i metalami ciężkimi</w:t>
      </w:r>
    </w:p>
    <w:p w14:paraId="1BC5FBEC" w14:textId="77777777" w:rsidR="005C1362" w:rsidRPr="00A03FFD" w:rsidRDefault="00FB79BF" w:rsidP="00FB79BF">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znaczącymi lub gwałtownymi zmianami poziomu wód gruntowych.</w:t>
      </w:r>
    </w:p>
    <w:p w14:paraId="155E4023" w14:textId="77777777" w:rsidR="00E37018" w:rsidRPr="00A03FFD" w:rsidRDefault="00E37018" w:rsidP="00AC05BB">
      <w:pPr>
        <w:pStyle w:val="Nagwek4"/>
        <w:spacing w:line="240" w:lineRule="auto"/>
        <w:jc w:val="both"/>
        <w:rPr>
          <w:b/>
          <w:color w:val="000000" w:themeColor="text1"/>
          <w:sz w:val="20"/>
          <w:u w:val="none"/>
        </w:rPr>
      </w:pPr>
      <w:r w:rsidRPr="00A03FFD">
        <w:rPr>
          <w:b/>
          <w:color w:val="000000" w:themeColor="text1"/>
          <w:sz w:val="20"/>
          <w:u w:val="none"/>
        </w:rPr>
        <w:t>1.5.1. Przekazanie Terenu Budowy</w:t>
      </w:r>
    </w:p>
    <w:p w14:paraId="5BCF496B" w14:textId="77777777" w:rsidR="00E37018" w:rsidRPr="00A03FFD" w:rsidRDefault="00E37018" w:rsidP="00E3701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Zamawiający w terminie określonym w Umowie przekaże Wykonawcy Teren Budowy wraz ze wszyst</w:t>
      </w:r>
      <w:r w:rsidRPr="00A03FFD">
        <w:rPr>
          <w:rFonts w:ascii="Arial" w:hAnsi="Arial" w:cs="Arial"/>
          <w:color w:val="000000" w:themeColor="text1"/>
          <w:sz w:val="18"/>
        </w:rPr>
        <w:softHyphen/>
        <w:t>kimi wymaganymi uzgodnieniami prawnymi i administracyjnymi, Dziennik Budowy oraz dwa egzemplarze Dokumenta</w:t>
      </w:r>
      <w:r w:rsidRPr="00A03FFD">
        <w:rPr>
          <w:rFonts w:ascii="Arial" w:hAnsi="Arial" w:cs="Arial"/>
          <w:color w:val="000000" w:themeColor="text1"/>
          <w:sz w:val="18"/>
        </w:rPr>
        <w:softHyphen/>
        <w:t>cji Projektowej i dwa komplety ST.</w:t>
      </w:r>
    </w:p>
    <w:p w14:paraId="3A406B62" w14:textId="77777777" w:rsidR="00E37018" w:rsidRPr="00A03FFD" w:rsidRDefault="00E37018" w:rsidP="00E3701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Na Wykonawcy spoczywa pozyskanie we własnym zakresie lokalizacji punktów głównych trasy wraz ze współrzędnymi i reperów oraz ich ochrona do chwili odbioru ostatecznego Robót. Uszkodzone lub zniszczone znaki geodezyjne Wykonawca odtworzy i utrwali na własny koszt.</w:t>
      </w:r>
    </w:p>
    <w:p w14:paraId="54645C73" w14:textId="77777777" w:rsidR="00E37018" w:rsidRPr="00A03FFD" w:rsidRDefault="00E37018" w:rsidP="00AC05BB">
      <w:pPr>
        <w:pStyle w:val="Nagwek4"/>
        <w:spacing w:line="240" w:lineRule="auto"/>
        <w:jc w:val="both"/>
        <w:rPr>
          <w:rFonts w:cs="Times New Roman"/>
          <w:color w:val="000000" w:themeColor="text1"/>
          <w:sz w:val="20"/>
          <w:szCs w:val="22"/>
        </w:rPr>
      </w:pPr>
      <w:r w:rsidRPr="00A03FFD">
        <w:rPr>
          <w:b/>
          <w:color w:val="000000" w:themeColor="text1"/>
          <w:sz w:val="20"/>
          <w:u w:val="none"/>
        </w:rPr>
        <w:t>1.5.2. Dokumentacja Projektowa</w:t>
      </w:r>
    </w:p>
    <w:p w14:paraId="293B9D6B" w14:textId="77777777" w:rsidR="00E37018" w:rsidRPr="00A03FFD" w:rsidRDefault="00E37018" w:rsidP="006A155D">
      <w:pPr>
        <w:pStyle w:val="Poziom4"/>
        <w:numPr>
          <w:ilvl w:val="3"/>
          <w:numId w:val="11"/>
        </w:numPr>
        <w:tabs>
          <w:tab w:val="clear" w:pos="567"/>
        </w:tabs>
        <w:autoSpaceDN w:val="0"/>
        <w:contextualSpacing/>
        <w:rPr>
          <w:rFonts w:ascii="Arial" w:hAnsi="Arial" w:cs="Arial"/>
          <w:color w:val="000000" w:themeColor="text1"/>
          <w:sz w:val="20"/>
        </w:rPr>
      </w:pPr>
      <w:r w:rsidRPr="00A03FFD">
        <w:rPr>
          <w:rFonts w:ascii="Arial" w:hAnsi="Arial" w:cs="Arial"/>
          <w:color w:val="000000" w:themeColor="text1"/>
          <w:sz w:val="20"/>
        </w:rPr>
        <w:t>Dokumentacja Projektowa, która zostanie przekazana Wykonawcy po zawarciu umowy:</w:t>
      </w:r>
    </w:p>
    <w:p w14:paraId="6F12CC16"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Projekt budowlany pn. „</w:t>
      </w:r>
      <w:r w:rsidR="00A03FFD" w:rsidRPr="00A03FFD">
        <w:rPr>
          <w:rFonts w:ascii="Arial" w:hAnsi="Arial" w:cs="Arial"/>
          <w:b/>
          <w:color w:val="000000" w:themeColor="text1"/>
          <w:sz w:val="18"/>
        </w:rPr>
        <w:t>Przebudowa sieci wodociągowej w ul. Wincentego Kadłubka w</w:t>
      </w:r>
      <w:r w:rsidR="00A03FFD" w:rsidRPr="00A03FFD">
        <w:rPr>
          <w:rFonts w:ascii="Arial" w:hAnsi="Arial" w:cs="Arial"/>
          <w:color w:val="000000" w:themeColor="text1"/>
          <w:sz w:val="18"/>
        </w:rPr>
        <w:t xml:space="preserve"> </w:t>
      </w:r>
      <w:r w:rsidR="00A03FFD" w:rsidRPr="00A03FFD">
        <w:rPr>
          <w:rFonts w:ascii="Arial" w:hAnsi="Arial" w:cs="Arial"/>
          <w:b/>
          <w:color w:val="000000" w:themeColor="text1"/>
          <w:sz w:val="18"/>
        </w:rPr>
        <w:t>Szczecinie</w:t>
      </w:r>
      <w:r w:rsidRPr="00A03FFD">
        <w:rPr>
          <w:rFonts w:ascii="Arial" w:hAnsi="Arial" w:cs="Arial"/>
          <w:color w:val="000000" w:themeColor="text1"/>
          <w:sz w:val="18"/>
        </w:rPr>
        <w:t>”,</w:t>
      </w:r>
    </w:p>
    <w:p w14:paraId="3F2C6D5D"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Projekt techniczny pn. „</w:t>
      </w:r>
      <w:r w:rsidR="00A03FFD" w:rsidRPr="00A03FFD">
        <w:rPr>
          <w:rFonts w:ascii="Arial" w:hAnsi="Arial" w:cs="Arial"/>
          <w:b/>
          <w:color w:val="000000" w:themeColor="text1"/>
          <w:sz w:val="18"/>
        </w:rPr>
        <w:t>Przebudowa sieci wodociągowej w ul. Wincentego Kadłubka w</w:t>
      </w:r>
      <w:r w:rsidR="00A03FFD" w:rsidRPr="00A03FFD">
        <w:rPr>
          <w:rFonts w:ascii="Arial" w:hAnsi="Arial" w:cs="Arial"/>
          <w:color w:val="000000" w:themeColor="text1"/>
          <w:sz w:val="18"/>
        </w:rPr>
        <w:t xml:space="preserve"> </w:t>
      </w:r>
      <w:r w:rsidR="00A03FFD" w:rsidRPr="00A03FFD">
        <w:rPr>
          <w:rFonts w:ascii="Arial" w:hAnsi="Arial" w:cs="Arial"/>
          <w:b/>
          <w:color w:val="000000" w:themeColor="text1"/>
          <w:sz w:val="18"/>
        </w:rPr>
        <w:t>Szczecinie</w:t>
      </w:r>
      <w:r w:rsidRPr="00A03FFD">
        <w:rPr>
          <w:rFonts w:ascii="Arial" w:hAnsi="Arial" w:cs="Arial"/>
          <w:color w:val="000000" w:themeColor="text1"/>
          <w:sz w:val="18"/>
        </w:rPr>
        <w:t>”,</w:t>
      </w:r>
    </w:p>
    <w:p w14:paraId="266C6EEA"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Projekt odtworzenia nawierzchni,</w:t>
      </w:r>
    </w:p>
    <w:p w14:paraId="28E7D097"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Przedmiary robót,</w:t>
      </w:r>
    </w:p>
    <w:p w14:paraId="6039F291"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Specyfikacje techniczne wykonania i odbioru robót budowlanych.</w:t>
      </w:r>
    </w:p>
    <w:p w14:paraId="2A1B89FB" w14:textId="77777777" w:rsidR="00E37018" w:rsidRPr="00A03FFD"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03FFD">
        <w:rPr>
          <w:rFonts w:ascii="Arial" w:hAnsi="Arial" w:cs="Arial"/>
          <w:color w:val="000000" w:themeColor="text1"/>
          <w:sz w:val="20"/>
        </w:rPr>
        <w:t>Dokumentacja projektowa, którą opracuje Wykonawca:</w:t>
      </w:r>
    </w:p>
    <w:p w14:paraId="7D892BD6"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Projekt zaplecza Wykonawcy, zasilania placu budowy w energię elektryczną oraz w wodę, projekt zagospodarowania placu budowy, projekt przyłączenia urządzeń (telefon i fax.) do sieci telekomunikacyjnej,</w:t>
      </w:r>
    </w:p>
    <w:p w14:paraId="12639FCA"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 xml:space="preserve">Projekty i opracowania technologiczne ujęte w szczegółowych ST wymaganych do zatwierdzenia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12F5C35B"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Powykonawcza Inwentaryzacja Geodezyjna,</w:t>
      </w:r>
    </w:p>
    <w:p w14:paraId="79542BA8" w14:textId="77777777" w:rsidR="00E37018" w:rsidRPr="00A03FFD" w:rsidRDefault="00E37018" w:rsidP="00EF4A6A">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Dokumentacja Powykonawcza.</w:t>
      </w:r>
    </w:p>
    <w:p w14:paraId="2D1BD5AD"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Wszystkie w/w projekty winny zawierać rysunki, opisy, obliczenie, wszelkie uzgodnienia oraz być uzgodnione z Projektantem i zatwierdzone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1FE11B40"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Jeżeli w trakcie wykonywania Robót okaże się koniecznym uzupełnienie lub zmiana Dokumentacji Projektowej przekazanej przez Zamawia</w:t>
      </w:r>
      <w:r w:rsidRPr="00A03FFD">
        <w:rPr>
          <w:rFonts w:ascii="Arial" w:hAnsi="Arial" w:cs="Arial"/>
          <w:color w:val="000000" w:themeColor="text1"/>
          <w:sz w:val="18"/>
        </w:rPr>
        <w:softHyphen/>
        <w:t>ją</w:t>
      </w:r>
      <w:r w:rsidRPr="00A03FFD">
        <w:rPr>
          <w:rFonts w:ascii="Arial" w:hAnsi="Arial" w:cs="Arial"/>
          <w:color w:val="000000" w:themeColor="text1"/>
          <w:sz w:val="18"/>
        </w:rPr>
        <w:softHyphen/>
        <w:t xml:space="preserve">cego, Wykonawca sporządzi brakujące lub zamienne rysunki i ST na własny koszt w 5 egzemplarzach i przedłoży je </w:t>
      </w:r>
      <w:r w:rsidR="007E0A79" w:rsidRPr="00A03FFD">
        <w:rPr>
          <w:rFonts w:ascii="Arial" w:hAnsi="Arial" w:cs="Arial"/>
          <w:color w:val="000000" w:themeColor="text1"/>
          <w:sz w:val="18"/>
        </w:rPr>
        <w:t>Przedstawicielowi Inwestora</w:t>
      </w:r>
      <w:r w:rsidRPr="00A03FFD">
        <w:rPr>
          <w:rFonts w:ascii="Arial" w:hAnsi="Arial" w:cs="Arial"/>
          <w:color w:val="000000" w:themeColor="text1"/>
          <w:sz w:val="18"/>
        </w:rPr>
        <w:t xml:space="preserve"> do zatwierdze</w:t>
      </w:r>
      <w:r w:rsidRPr="00A03FFD">
        <w:rPr>
          <w:rFonts w:ascii="Arial" w:hAnsi="Arial" w:cs="Arial"/>
          <w:color w:val="000000" w:themeColor="text1"/>
          <w:sz w:val="18"/>
        </w:rPr>
        <w:softHyphen/>
        <w:t>nia. W przypadku zmian Dokumentacji Projektowej bezwzględnie wymagana jest akceptacja Projektanta.</w:t>
      </w:r>
    </w:p>
    <w:p w14:paraId="19DF3215"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Koszty opracowania dokumentacji projektowej przez Wykonawcę nie podlegają odrębnej za</w:t>
      </w:r>
      <w:r w:rsidRPr="00A03FFD">
        <w:rPr>
          <w:rFonts w:ascii="Arial" w:hAnsi="Arial" w:cs="Arial"/>
          <w:color w:val="000000" w:themeColor="text1"/>
          <w:sz w:val="18"/>
        </w:rPr>
        <w:softHyphen/>
        <w:t>płacie i przyjmuje się, że są włączone w ceny jednostkowe.</w:t>
      </w:r>
    </w:p>
    <w:p w14:paraId="2290FC37" w14:textId="77777777" w:rsidR="00E37018" w:rsidRPr="00A03FFD"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03FFD">
        <w:rPr>
          <w:rFonts w:ascii="Arial" w:hAnsi="Arial" w:cs="Arial"/>
          <w:color w:val="000000" w:themeColor="text1"/>
          <w:sz w:val="20"/>
        </w:rPr>
        <w:t xml:space="preserve">Rysunki przedstawione przez Wykonawcę </w:t>
      </w:r>
    </w:p>
    <w:p w14:paraId="2F288061"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Dodatkowo poza projektami, specyfikacjami i innymi informacjami zawartymi w Kontrakcie, Wykonawca powinien dostarczyć wszystkie rysunki, dokumenty, zezwolenia związane i inne dane potrzebne do wykonania robót oraz osiągnięcia parametrów technicznych wymaganych w Kontrakcie. Wykonawca może składać te informacje kolejno w częściach, ale każda przedłożona część musi być w dostatecznym stopniu kompletna by mogła być sprawdzona i zatwierdzona przez upoważnione jednostki niezależnie od całości projektu. </w:t>
      </w:r>
    </w:p>
    <w:p w14:paraId="3FD1DE22"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powiadomi Inżyniera na piśmie o wszelkich zauważonych błędach lub nieścisłościach w projektach i specyfikacjach oraz o konieczności opracowania dodatkowych rysunków i specyfikacji niezbędnych do realizacji Kontraktu.</w:t>
      </w:r>
    </w:p>
    <w:p w14:paraId="71439078"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Uważa się, że składając ofertę, Wykonawca uznał zakres informacji przekazanych mu w Dokumentacji Projektowej za w pełni wystarczający do zrealizowania robót objętych kontraktem.</w:t>
      </w:r>
    </w:p>
    <w:p w14:paraId="480A4ECB" w14:textId="77777777" w:rsidR="00E37018" w:rsidRPr="00A03FFD"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03FFD">
        <w:rPr>
          <w:rFonts w:ascii="Arial" w:hAnsi="Arial" w:cs="Arial"/>
          <w:color w:val="000000" w:themeColor="text1"/>
          <w:sz w:val="20"/>
        </w:rPr>
        <w:t>Rysunki przyjęte przez Inżyniera</w:t>
      </w:r>
    </w:p>
    <w:p w14:paraId="4E7D9DAF"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lastRenderedPageBreak/>
        <w:t>Inżynier powinien sformułować komentarz i/lub zastrzeżenia dotyczące rysunków, dokumentacji i danych przedstawionych przez Wykonawcę, w ciągu 28 dni od daty ich otrzymania. Te komentarze lub zastrzeżenia należy uważać za przyjęte przez Wykonawcę jeśli w ciągu 7 dni od daty otrzymania nie zgłosi zastrzeżeń na piśmie. Wykonawca przed złożeniem rysunków, dokumentacji i danych powinien skonsultować się z Inżynierem.</w:t>
      </w:r>
    </w:p>
    <w:p w14:paraId="4417178B"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Notatka dotycząca konsultacji powinna być dostarczona co najmniej 7 dni przed datą konsultacji oraz, jeśli wymagane przez Inżyniera, Wykonawca powinien dostarczyć rysunki w wymaganej ilości kopii co najmniej 7 dni przed datą konsultacji. </w:t>
      </w:r>
    </w:p>
    <w:p w14:paraId="44EF0896" w14:textId="77777777" w:rsidR="00E37018" w:rsidRPr="00A03FFD" w:rsidRDefault="00E37018" w:rsidP="006A155D">
      <w:pPr>
        <w:pStyle w:val="Poziom4"/>
        <w:numPr>
          <w:ilvl w:val="3"/>
          <w:numId w:val="11"/>
        </w:numPr>
        <w:tabs>
          <w:tab w:val="clear" w:pos="567"/>
        </w:tabs>
        <w:autoSpaceDN w:val="0"/>
        <w:spacing w:before="120"/>
        <w:contextualSpacing/>
        <w:rPr>
          <w:rFonts w:ascii="Arial" w:hAnsi="Arial" w:cs="Arial"/>
          <w:color w:val="000000" w:themeColor="text1"/>
          <w:sz w:val="20"/>
        </w:rPr>
      </w:pPr>
      <w:r w:rsidRPr="00A03FFD">
        <w:rPr>
          <w:rFonts w:ascii="Arial" w:hAnsi="Arial" w:cs="Arial"/>
          <w:color w:val="000000" w:themeColor="text1"/>
          <w:sz w:val="20"/>
        </w:rPr>
        <w:t xml:space="preserve">Rysunki powykonawcze </w:t>
      </w:r>
    </w:p>
    <w:p w14:paraId="21293B36" w14:textId="77777777" w:rsidR="00E37018" w:rsidRPr="00A03FFD" w:rsidRDefault="00E37018" w:rsidP="00EF4A6A">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powinien bezzwłocznie uzupełnić dokumentację oraz rysunki dostarczone Inżynierowi w zakresie zmian wprowadzonych w czasie wykonania robót. Wykonawca powinien dostarczyć Inżynierowi Rysunki powykonawcze w przejrzystej, prostej formie w trzech egzemplarzach dla każdego ukończonego odcinka robót, który będzie przekazany do użycia lub będzie wykorzystany przez specjalistyczną firmę lub Zamawiającego, zgodnie z polskim ustawodawstwem, nie później niż 14 przed datą przekazania. Opóźnienia w przekazaniu dokumentacji powykonawczej będą traktowane jako opóźnienia w terminowym wykonaniu robót.</w:t>
      </w:r>
    </w:p>
    <w:p w14:paraId="45D13C7E" w14:textId="77777777" w:rsidR="00E37018" w:rsidRPr="00A03FFD" w:rsidRDefault="00EF4A6A" w:rsidP="00AC05BB">
      <w:pPr>
        <w:pStyle w:val="Nagwek4"/>
        <w:spacing w:line="240" w:lineRule="auto"/>
        <w:jc w:val="both"/>
        <w:rPr>
          <w:rFonts w:cs="Times New Roman"/>
          <w:color w:val="000000" w:themeColor="text1"/>
          <w:sz w:val="20"/>
          <w:szCs w:val="22"/>
        </w:rPr>
      </w:pPr>
      <w:r w:rsidRPr="00A03FFD">
        <w:rPr>
          <w:b/>
          <w:color w:val="000000" w:themeColor="text1"/>
          <w:sz w:val="20"/>
          <w:u w:val="none"/>
        </w:rPr>
        <w:t xml:space="preserve">1.5.3. </w:t>
      </w:r>
      <w:r w:rsidR="00E37018" w:rsidRPr="00A03FFD">
        <w:rPr>
          <w:b/>
          <w:color w:val="000000" w:themeColor="text1"/>
          <w:sz w:val="20"/>
          <w:u w:val="none"/>
        </w:rPr>
        <w:t>Zgodność Robót z Dokumentacją Projektową i ST</w:t>
      </w:r>
    </w:p>
    <w:p w14:paraId="070A7842"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Dokumentacja Projektowa,  Specyfikacje Techniczne oraz dodatkowe dokumenty przekazane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Wykonawcy stanowią część Umowy, a wymagania wyszczególnione w choćby jednym z nich są obowiązujące dla Wykonawcy tak jakby zawarte były w całej dokumentacji.</w:t>
      </w:r>
    </w:p>
    <w:p w14:paraId="37B41E38"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winien na etapie przygotowania oferty zapoznać się z całą dokumentacją i ująć wszystkie wynikające z niej wymagania i roboty w cenie kontraktowej poszczególnych pozycji.</w:t>
      </w:r>
    </w:p>
    <w:p w14:paraId="13F8248F"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rozbieżności w ustaleniach poszczególnych dokumentów obowiązuje kolejność ich ważności wymieniona w Umowie.</w:t>
      </w:r>
    </w:p>
    <w:p w14:paraId="319F501A"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nie może wykorzystywać błędów lub </w:t>
      </w:r>
      <w:proofErr w:type="spellStart"/>
      <w:r w:rsidRPr="00A03FFD">
        <w:rPr>
          <w:rFonts w:ascii="Arial" w:hAnsi="Arial" w:cs="Arial"/>
          <w:color w:val="000000" w:themeColor="text1"/>
          <w:sz w:val="18"/>
        </w:rPr>
        <w:t>opuszczeń</w:t>
      </w:r>
      <w:proofErr w:type="spellEnd"/>
      <w:r w:rsidRPr="00A03FFD">
        <w:rPr>
          <w:rFonts w:ascii="Arial" w:hAnsi="Arial" w:cs="Arial"/>
          <w:color w:val="000000" w:themeColor="text1"/>
          <w:sz w:val="18"/>
        </w:rPr>
        <w:t xml:space="preserve"> w Warunkach Umownych, a o ich wykryciu winien natychmiast powiadomić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który dokona odpowiednich zmian lub poprawek.</w:t>
      </w:r>
    </w:p>
    <w:p w14:paraId="47D0BA3B"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ma obowiązek sprawdzić przekazane Dokumentacje Projektowe i ST oraz zgłosić wszystkie uwagi do ich zawartości w terminie 4 tygodni od otrzymania tych dokumentów. Wszystkie zgłoszenia braków, ewentualnych błędów, nieścisłości itp. po tym terminie nie mogą skutkować opóźnieniami lub wstrzymaniem Robót. Działania takie będą uznawane za występujące z winy Wykonawcy.</w:t>
      </w:r>
    </w:p>
    <w:p w14:paraId="2D853989"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rozbieżności w dokumentacji należy uzyskać opinię Projektanta, co do poprawności.</w:t>
      </w:r>
    </w:p>
    <w:p w14:paraId="6AFCF6E9"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Wszystkie wykonane Roboty i dostarczone materiały będą zgodne z Dokumentacją Projektową i ST.</w:t>
      </w:r>
    </w:p>
    <w:p w14:paraId="0599470D"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Dane określone w Dokumentacji Projektowej i w ST będą uważane za wartości docelowe, od których dopusz</w:t>
      </w:r>
      <w:r w:rsidRPr="00A03FFD">
        <w:rPr>
          <w:rFonts w:ascii="Arial" w:hAnsi="Arial" w:cs="Arial"/>
          <w:color w:val="000000" w:themeColor="text1"/>
          <w:sz w:val="18"/>
        </w:rPr>
        <w:softHyphen/>
        <w:t>czalne są odchy</w:t>
      </w:r>
      <w:r w:rsidRPr="00A03FFD">
        <w:rPr>
          <w:rFonts w:ascii="Arial" w:hAnsi="Arial" w:cs="Arial"/>
          <w:color w:val="000000" w:themeColor="text1"/>
          <w:sz w:val="18"/>
        </w:rPr>
        <w:softHyphen/>
        <w:t>lenia w ramach określonego przedziału toleran</w:t>
      </w:r>
      <w:r w:rsidRPr="00A03FFD">
        <w:rPr>
          <w:rFonts w:ascii="Arial" w:hAnsi="Arial" w:cs="Arial"/>
          <w:color w:val="000000" w:themeColor="text1"/>
          <w:sz w:val="18"/>
        </w:rPr>
        <w:softHyphen/>
        <w:t>cji. Cechy materiałów i elementów budowli muszą być jednorod</w:t>
      </w:r>
      <w:r w:rsidRPr="00A03FFD">
        <w:rPr>
          <w:rFonts w:ascii="Arial" w:hAnsi="Arial" w:cs="Arial"/>
          <w:color w:val="000000" w:themeColor="text1"/>
          <w:sz w:val="18"/>
        </w:rPr>
        <w:softHyphen/>
        <w:t>ne i wykazy</w:t>
      </w:r>
      <w:r w:rsidRPr="00A03FFD">
        <w:rPr>
          <w:rFonts w:ascii="Arial" w:hAnsi="Arial" w:cs="Arial"/>
          <w:color w:val="000000" w:themeColor="text1"/>
          <w:sz w:val="18"/>
        </w:rPr>
        <w:softHyphen/>
        <w:t>wać bliską zgod</w:t>
      </w:r>
      <w:r w:rsidRPr="00A03FFD">
        <w:rPr>
          <w:rFonts w:ascii="Arial" w:hAnsi="Arial" w:cs="Arial"/>
          <w:color w:val="000000" w:themeColor="text1"/>
          <w:sz w:val="18"/>
        </w:rPr>
        <w:softHyphen/>
        <w:t>ność z określonymi wymaganiami, a rozrzuty tych cech nie mogą przekraczać dopuszczalnego przedziału toleran</w:t>
      </w:r>
      <w:r w:rsidRPr="00A03FFD">
        <w:rPr>
          <w:rFonts w:ascii="Arial" w:hAnsi="Arial" w:cs="Arial"/>
          <w:color w:val="000000" w:themeColor="text1"/>
          <w:sz w:val="18"/>
        </w:rPr>
        <w:softHyphen/>
        <w:t xml:space="preserve">cji. </w:t>
      </w:r>
    </w:p>
    <w:p w14:paraId="644781AE"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gdy materiały lub Roboty nie będą w pełni zgodne z Dokumentacją Projektową lub ST, i wpłynie to na niezadowalającą jakość elementu budowli, to takie materiały będą niezwłocznie zastąpione innymi, a Roboty rozebrane na koszt Wykonawcy.</w:t>
      </w:r>
    </w:p>
    <w:p w14:paraId="2646E6C0" w14:textId="77777777" w:rsidR="00E37018" w:rsidRPr="00A03FFD" w:rsidRDefault="00151A34" w:rsidP="00AC05BB">
      <w:pPr>
        <w:pStyle w:val="Nagwek4"/>
        <w:spacing w:line="240" w:lineRule="auto"/>
        <w:jc w:val="both"/>
        <w:rPr>
          <w:rFonts w:cs="Times New Roman"/>
          <w:color w:val="000000" w:themeColor="text1"/>
          <w:sz w:val="20"/>
          <w:szCs w:val="22"/>
        </w:rPr>
      </w:pPr>
      <w:r w:rsidRPr="00A03FFD">
        <w:rPr>
          <w:b/>
          <w:color w:val="000000" w:themeColor="text1"/>
          <w:sz w:val="20"/>
          <w:u w:val="none"/>
        </w:rPr>
        <w:t xml:space="preserve">1.5.4. </w:t>
      </w:r>
      <w:r w:rsidR="00E37018" w:rsidRPr="00A03FFD">
        <w:rPr>
          <w:b/>
          <w:color w:val="000000" w:themeColor="text1"/>
          <w:sz w:val="20"/>
          <w:u w:val="none"/>
        </w:rPr>
        <w:t>Zabezpieczenie Terenu Budowy</w:t>
      </w:r>
    </w:p>
    <w:p w14:paraId="090F14DE"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zobowiązany do utrzymania ruchu publicz</w:t>
      </w:r>
      <w:r w:rsidRPr="00A03FFD">
        <w:rPr>
          <w:rFonts w:ascii="Arial" w:hAnsi="Arial" w:cs="Arial"/>
          <w:color w:val="000000" w:themeColor="text1"/>
          <w:sz w:val="18"/>
        </w:rPr>
        <w:softHyphen/>
        <w:t>nego, na terenie budowy i na objazdach poza nim, zgodnie z zakresem zatwierdzonego projektem tymczasowej organizacji ruchu na czas budowy, w okresie trwania realizacji Umowy aż do zakończenia i odbioru ostatecznego Robót.</w:t>
      </w:r>
    </w:p>
    <w:p w14:paraId="22A03635"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zależnoś</w:t>
      </w:r>
      <w:r w:rsidRPr="00A03FFD">
        <w:rPr>
          <w:rFonts w:ascii="Arial" w:hAnsi="Arial" w:cs="Arial"/>
          <w:color w:val="000000" w:themeColor="text1"/>
          <w:sz w:val="18"/>
        </w:rPr>
        <w:softHyphen/>
        <w:t>ci od potrzeb i postępu Robót projekt organizacji ruchu powinien być aktualizowany przez Wykonawcę na bieżąco.</w:t>
      </w:r>
    </w:p>
    <w:p w14:paraId="774C5383"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czasie wykonywania Robót Wykonawca dostarczy, zainsta</w:t>
      </w:r>
      <w:r w:rsidRPr="00A03FFD">
        <w:rPr>
          <w:rFonts w:ascii="Arial" w:hAnsi="Arial" w:cs="Arial"/>
          <w:color w:val="000000" w:themeColor="text1"/>
          <w:sz w:val="18"/>
        </w:rPr>
        <w:softHyphen/>
        <w:t>luje i będzie obsługiwał wszystkie tymczasowe urządzenia zabezpieczające takie jak: zapory, światła ostrzegawcze, sygnały itp., zapewniając w ten sposób bezpieczeństwo pojazdów i pieszych.</w:t>
      </w:r>
    </w:p>
    <w:p w14:paraId="462CB4A3"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zapewni stałe warunki widoczności w dzień i w nocy tych zapór i znaków, dla których jest to nieodzowne ze względów bezpieczeństwa.</w:t>
      </w:r>
    </w:p>
    <w:p w14:paraId="3C1AA85B"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Wszystkie znaki, zapory i inne urządzenia zabezpiecza</w:t>
      </w:r>
      <w:r w:rsidRPr="00A03FFD">
        <w:rPr>
          <w:rFonts w:ascii="Arial" w:hAnsi="Arial" w:cs="Arial"/>
          <w:color w:val="000000" w:themeColor="text1"/>
          <w:sz w:val="18"/>
        </w:rPr>
        <w:softHyphen/>
        <w:t xml:space="preserve">jące będą akceptowane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65B98E69"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Fakt przystąpienia do Robót Wykonawca obwieści publicz</w:t>
      </w:r>
      <w:r w:rsidRPr="00A03FFD">
        <w:rPr>
          <w:rFonts w:ascii="Arial" w:hAnsi="Arial" w:cs="Arial"/>
          <w:color w:val="000000" w:themeColor="text1"/>
          <w:sz w:val="18"/>
        </w:rPr>
        <w:softHyphen/>
        <w:t xml:space="preserve">nie przed ich rozpoczęciem w sposób uzgodniony z Inżynierem Kontraktu oraz przez umieszczenie, w miejscach i ilościach określonych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tablic informacyjnych, których treść będzie za</w:t>
      </w:r>
      <w:r w:rsidRPr="00A03FFD">
        <w:rPr>
          <w:rFonts w:ascii="Arial" w:hAnsi="Arial" w:cs="Arial"/>
          <w:color w:val="000000" w:themeColor="text1"/>
          <w:sz w:val="18"/>
        </w:rPr>
        <w:softHyphen/>
        <w:t xml:space="preserve">twierdzona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Tablice informa</w:t>
      </w:r>
      <w:r w:rsidRPr="00A03FFD">
        <w:rPr>
          <w:rFonts w:ascii="Arial" w:hAnsi="Arial" w:cs="Arial"/>
          <w:color w:val="000000" w:themeColor="text1"/>
          <w:sz w:val="18"/>
        </w:rPr>
        <w:softHyphen/>
        <w:t>cyjne będą utrzymywane przez Wykonawcę w dobrym stanie przez cały okres realizacji Robót.</w:t>
      </w:r>
    </w:p>
    <w:p w14:paraId="1A994CCE"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zobowiązany do zabezpieczenia również Terenu Budowy w okresie trwania realizacji Umowy aż do zakończenia i odbioru końcowego Robót.</w:t>
      </w:r>
    </w:p>
    <w:p w14:paraId="06243B94"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Dojazdy do posesji zlokalizowanych w pobliżu placu budowy winny być utrzymywane przez Wykonawcę na jego koszt przez cały czas budowy.</w:t>
      </w:r>
    </w:p>
    <w:p w14:paraId="370E4DD8"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Wjazdy i wyjazdy z Terenu Budowy przeznaczone dla pojazdów i maszyn pracujących przy realizacji Robót, Wykonawca odpowiednio oznakuje w sposób uzgodniony z Inżynierem Kontraktu.</w:t>
      </w:r>
    </w:p>
    <w:p w14:paraId="3ACD3056"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Koszt zabezpieczenia terenu budowy nie podlega odrębnej zapłacie i przyjmuje się, że jest włączony w cenę kontraktową w ramach poszczególnych pozycji kosztorysu.</w:t>
      </w:r>
    </w:p>
    <w:p w14:paraId="6CC4170D" w14:textId="77777777" w:rsidR="00E37018" w:rsidRPr="00A03FFD" w:rsidRDefault="00E37018" w:rsidP="00151A3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dostarczy, zainstaluje i będzie utrzymywać tymczasowe urządzenia zabezpieczające w tym: ogrodzenia, poręcze, oświetlenie, sygnały i znaki ostrzegawcze, dozorców, wszelkie inne środki niezbędne do ochrony Robót, wygody społeczności i innych.</w:t>
      </w:r>
    </w:p>
    <w:p w14:paraId="39B53653" w14:textId="77777777" w:rsidR="00E37018" w:rsidRPr="00A03FFD" w:rsidRDefault="00C95983" w:rsidP="00AC05BB">
      <w:pPr>
        <w:pStyle w:val="Nagwek4"/>
        <w:spacing w:line="240" w:lineRule="auto"/>
        <w:jc w:val="both"/>
        <w:rPr>
          <w:rFonts w:cs="Times New Roman"/>
          <w:color w:val="000000" w:themeColor="text1"/>
          <w:sz w:val="20"/>
          <w:szCs w:val="22"/>
        </w:rPr>
      </w:pPr>
      <w:r w:rsidRPr="00A03FFD">
        <w:rPr>
          <w:b/>
          <w:color w:val="000000" w:themeColor="text1"/>
          <w:sz w:val="20"/>
          <w:u w:val="none"/>
        </w:rPr>
        <w:t xml:space="preserve">1.5.5. </w:t>
      </w:r>
      <w:r w:rsidR="00E37018" w:rsidRPr="00A03FFD">
        <w:rPr>
          <w:b/>
          <w:color w:val="000000" w:themeColor="text1"/>
          <w:sz w:val="20"/>
          <w:u w:val="none"/>
        </w:rPr>
        <w:t>Ochrona środowiska w czasie wykonywania Robót</w:t>
      </w:r>
    </w:p>
    <w:p w14:paraId="77F1D781"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ma obowiązek znać i stosować w czasie prowa</w:t>
      </w:r>
      <w:r w:rsidRPr="00A03FFD">
        <w:rPr>
          <w:rFonts w:ascii="Arial" w:hAnsi="Arial" w:cs="Arial"/>
          <w:color w:val="000000" w:themeColor="text1"/>
          <w:sz w:val="18"/>
        </w:rPr>
        <w:softHyphen/>
        <w:t>dzenia Robót wszelkie przepisy dotyczące ochrony środowiska natural</w:t>
      </w:r>
      <w:r w:rsidRPr="00A03FFD">
        <w:rPr>
          <w:rFonts w:ascii="Arial" w:hAnsi="Arial" w:cs="Arial"/>
          <w:color w:val="000000" w:themeColor="text1"/>
          <w:sz w:val="18"/>
        </w:rPr>
        <w:softHyphen/>
        <w:t>ne</w:t>
      </w:r>
      <w:r w:rsidRPr="00A03FFD">
        <w:rPr>
          <w:rFonts w:ascii="Arial" w:hAnsi="Arial" w:cs="Arial"/>
          <w:color w:val="000000" w:themeColor="text1"/>
          <w:sz w:val="18"/>
        </w:rPr>
        <w:softHyphen/>
        <w:t xml:space="preserve">go. </w:t>
      </w:r>
    </w:p>
    <w:p w14:paraId="13E56966"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 związku z wykonywaniem inwestycji niezbędne jest przygotowanie placu budowy oraz zaplecza tej budowy. Inwestycję rozpoczyna się od rozbiórki elementów istniejących, nie wykorzystywanych w dalszych etapach realizacji robót rozbiórkowych. Działania powyższe wraz z fazą realizacji inwestycji generują odpady, które muszą być </w:t>
      </w:r>
      <w:r w:rsidRPr="00A03FFD">
        <w:rPr>
          <w:rFonts w:ascii="Arial" w:hAnsi="Arial" w:cs="Arial"/>
          <w:color w:val="000000" w:themeColor="text1"/>
          <w:sz w:val="18"/>
        </w:rPr>
        <w:lastRenderedPageBreak/>
        <w:t>usunięte z rejonu inwestycji, posegregowane i właściwie dla określonych grup i rodzajów składowane oraz zutylizowane.</w:t>
      </w:r>
    </w:p>
    <w:p w14:paraId="63093981"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robót w trakcie podjętych działań powodujących lub mogących powodować powstawanie odpadów, powinien takie działania planować, projektować i prowadzić, tak aby:</w:t>
      </w:r>
    </w:p>
    <w:p w14:paraId="73F006B1"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zapobiegać powstawaniu odpadów lub ograniczać ilość odpadów i ich negatywne oddziaływanie na środowisko przy wytwarzaniu produktów, podczas i po zakończeniu ich użytkowania,</w:t>
      </w:r>
    </w:p>
    <w:p w14:paraId="5A3DA5AB"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zapewniać zgodny z zasadami ochrony środowiska odzysk, jeżeli nie udało się zapobiec powstawaniu odpadów,</w:t>
      </w:r>
    </w:p>
    <w:p w14:paraId="0A096438"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zapewniać zgodne z zasadami ochrony środowiska unieszkodliwianie odpadów, których powstaniu nie udało się zapobiec lub których nie udało się poddać odzyskowi.</w:t>
      </w:r>
    </w:p>
    <w:p w14:paraId="25567CAE"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gdy już powstaną odpady należy z nimi postępować w sposób zgodny z zasadami gospodarowania odpadami, wymaganiami ochrony środowiska oraz planami gospodarki odpadami. W pierwszej kolejności należy poddać je odzyskowi, a jeżeli z przyczyn technologicznych jest on niemożliwy lub nie jest uzasadniony z przyczyn ekologicznych lub ekonomicznych, to odpady te należy unieszkodliwiać w sposób zgodny z wymaganiami ochrony środowiska oraz planami gospodarki odpadami.</w:t>
      </w:r>
    </w:p>
    <w:p w14:paraId="01F9EBDE"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Odpady, których nie udało się poddać odzyskowi, powinny być tak unieszkodliwiane, aby składowane były wyłącznie te odpady, których unieszkodliwienie w inny sposób było niemożliwe z przyczyn technologicznych lub nieuzasadnione z przyczyn ekologicznych lub ekonomicznych.</w:t>
      </w:r>
    </w:p>
    <w:p w14:paraId="6BDA5027"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Zabronione jest postępowanie z odpadami w sposób sprzeczny z przepisami ustawy oraz przepisami o ochronie środowiska.</w:t>
      </w:r>
    </w:p>
    <w:p w14:paraId="3141E454"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Odpady powinny być w pierwszej kolejności poddawane odzyskowi lub unieszkodliwiane w miejscu ich powstawania.</w:t>
      </w:r>
    </w:p>
    <w:p w14:paraId="47E1342C"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Odpady, które nie mogą być poddane odzyskowi lub unieszkodliwiane w miejscu ich powstawania, powinny być, uwzględniając najlepszą dostępną technikę lub technologię, o której mowa w art. 143 ustawy z dnia 27 kwietnia 2001 r. - Prawo ochrony środowiska, przekazywane do najbliżej położonych miejsc, w których mogą być poddane odzyskowi lub unieszkodliwione.</w:t>
      </w:r>
    </w:p>
    <w:p w14:paraId="259B44AB"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Odpady należy zbierać w sposób selektywny.</w:t>
      </w:r>
    </w:p>
    <w:p w14:paraId="50A60EF0"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Zabronione jest mieszanie odpadów niebezpiecznych różnych rodzajów oraz mieszania odpadów niebezpiecznych z odpadami innymi niż niebezpieczne.</w:t>
      </w:r>
    </w:p>
    <w:p w14:paraId="0D97FD95"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Dopuszczalne jest mieszanie odpadów niebezpiecznych różnych rodzajów oraz mieszanie odpadów niebezpiecznych z odpadami innymi niż niebezpieczne, w celu poprawy bezpieczeństwa procesów odzysku lub unieszkodliwiania odpadów powstałych po zmieszaniu, jeżeli w wyniku prowadzenia tych procesów nie nastąpi wzrost zagrożenia dla życia i zdrowia ludzi lub środowiska.</w:t>
      </w:r>
    </w:p>
    <w:p w14:paraId="1AE8024A"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gdy odpady niebezpieczne uległy zmieszaniu z innymi odpadami, substancjami lub przedmiotami, to powinny być one rozdzielone, jeżeli zostaną spełnione łącznie następujące warunki:</w:t>
      </w:r>
    </w:p>
    <w:p w14:paraId="51AC9D75"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 procesie odzysku lub unieszkodliwiania odpadów powstałych po rozdzieleniu nastąpi ograniczenie zagrożenia dla życia i zdrowia ludzi lub środowiska,</w:t>
      </w:r>
    </w:p>
    <w:p w14:paraId="662183C4"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jest to technicznie możliwe i ekonomicznie uzasadnione.</w:t>
      </w:r>
    </w:p>
    <w:p w14:paraId="2EC8F67B"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Transport odpadów niebezpiecznych z miejsc ich powstawania do miejsc odzysku lub unieszkodliwiania odpadów należy prowadzić z zachowaniem przepisów obowiązujących przy transporcie towarów niebezpiecznych.</w:t>
      </w:r>
    </w:p>
    <w:p w14:paraId="6EA4A552"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Unieszkodliwianiu poddane zostaną te odpady, z których uprzednio wysegregowano odpady nadające się do odzysku.</w:t>
      </w:r>
    </w:p>
    <w:p w14:paraId="3D67366C"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Odzysk lub unieszkodliwianie odpadów może odbywać się tylko w miejscu wyznaczonym w trybie przepisów o zagospodarowaniu przestrzennym w instalacjach lub urządzeniach, które spełniają określone wymagania.</w:t>
      </w:r>
    </w:p>
    <w:p w14:paraId="3B9F9BFC"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Instalacje oraz urządzenia do odzysku lub unieszkodliwiania odpadów mogą być eksploatowane tylko wówczas, gdy:</w:t>
      </w:r>
    </w:p>
    <w:p w14:paraId="752FE8B6"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nie zostaną przekroczone standardy emisyjne, określone na podstawie odrębnych przepisów,</w:t>
      </w:r>
    </w:p>
    <w:p w14:paraId="49FF89F9"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pozostałości powstające w wyniku działalności związanej z odzyskiem lub unieszkodliwianiem będą poddawane odzyskowi lub unieszkodliwiane z zachowaniem wymagań określonych w ustawie.</w:t>
      </w:r>
    </w:p>
    <w:p w14:paraId="6B5CF909"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Spalanie odpadów wymaga wydania zgody w formie decyzji.</w:t>
      </w:r>
    </w:p>
    <w:p w14:paraId="68CAB777"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 okresie budowy wszystkie odpady muszą być gromadzone w pojemnikach lub w wydzielonym miejscu z łatwym dostępem dla specjalistycznych służb komunalnych i wywozowych, z którymi wykonawcy prac będą mieli zawarte stosowne umowy. Odbiorcy odpadów muszą legitymować się właściwymi zezwoleniami organów administracyjnych na prowadzenie działalności w zakresie gospodarki odpadami. </w:t>
      </w:r>
    </w:p>
    <w:p w14:paraId="43ED5155"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okresie trwania budowy i wykańczania Robót Wykonawca będzie:</w:t>
      </w:r>
    </w:p>
    <w:p w14:paraId="02560273" w14:textId="77777777" w:rsidR="00E37018" w:rsidRPr="00A03FFD" w:rsidRDefault="00E37018" w:rsidP="006A155D">
      <w:pPr>
        <w:pStyle w:val="Specyfikacje"/>
        <w:numPr>
          <w:ilvl w:val="0"/>
          <w:numId w:val="12"/>
        </w:numPr>
        <w:spacing w:after="0"/>
        <w:rPr>
          <w:rFonts w:ascii="Arial" w:hAnsi="Arial" w:cs="Arial"/>
          <w:color w:val="000000" w:themeColor="text1"/>
          <w:sz w:val="18"/>
        </w:rPr>
      </w:pPr>
      <w:r w:rsidRPr="00A03FFD">
        <w:rPr>
          <w:rFonts w:ascii="Arial" w:hAnsi="Arial" w:cs="Arial"/>
          <w:color w:val="000000" w:themeColor="text1"/>
          <w:sz w:val="18"/>
        </w:rPr>
        <w:t>utrzymywać Teren Budowy i wykopy w stanie bez wody stojącej,</w:t>
      </w:r>
    </w:p>
    <w:p w14:paraId="38A89DB7" w14:textId="77777777" w:rsidR="00E37018" w:rsidRPr="00A03FFD" w:rsidRDefault="00E37018" w:rsidP="006A155D">
      <w:pPr>
        <w:pStyle w:val="Specyfikacje"/>
        <w:numPr>
          <w:ilvl w:val="0"/>
          <w:numId w:val="12"/>
        </w:numPr>
        <w:spacing w:after="0"/>
        <w:rPr>
          <w:rFonts w:ascii="Arial" w:hAnsi="Arial" w:cs="Arial"/>
          <w:color w:val="000000" w:themeColor="text1"/>
          <w:sz w:val="18"/>
        </w:rPr>
      </w:pPr>
      <w:r w:rsidRPr="00A03FFD">
        <w:rPr>
          <w:rFonts w:ascii="Arial" w:hAnsi="Arial" w:cs="Arial"/>
          <w:color w:val="000000" w:themeColor="text1"/>
          <w:sz w:val="18"/>
        </w:rPr>
        <w:t>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 Stosując się do tych wymagań będzie miał szczególny wzgląd na:</w:t>
      </w:r>
    </w:p>
    <w:p w14:paraId="37B74834"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Lokalizację baz, warsztatów, magazynów, składowisk, ukopów i dróg dojazdowych</w:t>
      </w:r>
    </w:p>
    <w:p w14:paraId="0D59D1C1"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Środki ostrożności i zabezpieczenia przed:</w:t>
      </w:r>
    </w:p>
    <w:p w14:paraId="49D08AF1" w14:textId="77777777" w:rsidR="00E37018" w:rsidRPr="00A03FFD" w:rsidRDefault="00E37018" w:rsidP="006A155D">
      <w:pPr>
        <w:pStyle w:val="Specyfikacje"/>
        <w:numPr>
          <w:ilvl w:val="0"/>
          <w:numId w:val="13"/>
        </w:numPr>
        <w:spacing w:after="0"/>
        <w:rPr>
          <w:rFonts w:ascii="Arial" w:hAnsi="Arial" w:cs="Arial"/>
          <w:color w:val="000000" w:themeColor="text1"/>
          <w:sz w:val="18"/>
        </w:rPr>
      </w:pPr>
      <w:r w:rsidRPr="00A03FFD">
        <w:rPr>
          <w:rFonts w:ascii="Arial" w:hAnsi="Arial" w:cs="Arial"/>
          <w:color w:val="000000" w:themeColor="text1"/>
          <w:sz w:val="18"/>
        </w:rPr>
        <w:t>zanieczyszczeniem zbiorników i cieków wodnych pyłami lub substancjami toksycznymi,</w:t>
      </w:r>
    </w:p>
    <w:p w14:paraId="606F115F" w14:textId="77777777" w:rsidR="00E37018" w:rsidRPr="00A03FFD" w:rsidRDefault="00E37018" w:rsidP="006A155D">
      <w:pPr>
        <w:pStyle w:val="Specyfikacje"/>
        <w:numPr>
          <w:ilvl w:val="0"/>
          <w:numId w:val="13"/>
        </w:numPr>
        <w:spacing w:after="0"/>
        <w:rPr>
          <w:rFonts w:ascii="Arial" w:hAnsi="Arial" w:cs="Arial"/>
          <w:color w:val="000000" w:themeColor="text1"/>
          <w:sz w:val="18"/>
        </w:rPr>
      </w:pPr>
      <w:r w:rsidRPr="00A03FFD">
        <w:rPr>
          <w:rFonts w:ascii="Arial" w:hAnsi="Arial" w:cs="Arial"/>
          <w:color w:val="000000" w:themeColor="text1"/>
          <w:sz w:val="18"/>
        </w:rPr>
        <w:t>zanieczyszczeniem powietrza pyłami i gazami,</w:t>
      </w:r>
    </w:p>
    <w:p w14:paraId="1FFA50D7" w14:textId="77777777" w:rsidR="00E37018" w:rsidRPr="00A03FFD" w:rsidRDefault="00E37018" w:rsidP="006A155D">
      <w:pPr>
        <w:pStyle w:val="Specyfikacje"/>
        <w:numPr>
          <w:ilvl w:val="0"/>
          <w:numId w:val="13"/>
        </w:numPr>
        <w:spacing w:after="0"/>
        <w:rPr>
          <w:rFonts w:ascii="Arial" w:hAnsi="Arial" w:cs="Arial"/>
          <w:color w:val="000000" w:themeColor="text1"/>
          <w:sz w:val="18"/>
        </w:rPr>
      </w:pPr>
      <w:r w:rsidRPr="00A03FFD">
        <w:rPr>
          <w:rFonts w:ascii="Arial" w:hAnsi="Arial" w:cs="Arial"/>
          <w:color w:val="000000" w:themeColor="text1"/>
          <w:sz w:val="18"/>
        </w:rPr>
        <w:t>możliwością powstania pożaru.</w:t>
      </w:r>
    </w:p>
    <w:p w14:paraId="60FC0E16" w14:textId="77777777" w:rsidR="00E37018" w:rsidRPr="00A03FFD" w:rsidRDefault="00E37018" w:rsidP="00C95983">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Hałas emitowany podczas budowy nie podlega normom określającym dopuszczalny poziom hałasu w środowisku, nie mniej jednak Wykonawca zobowiązany jest zminimalizować negatywny wpływ hałasu na środowisko. Ograniczenia emisji hałasu polegać będzie głównie na właściwej organizacji budowy, tj.:</w:t>
      </w:r>
    </w:p>
    <w:p w14:paraId="40B554DC"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ogrodzenie terenu budowy głównie podpór obiektów za pomocą przegród z materiałów zabezpieczających przed przenikaniem hałasu z placu budowy</w:t>
      </w:r>
    </w:p>
    <w:p w14:paraId="078540DC"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zastosowanie sprzętu wysokiej jakości, charakteryzującego się stosunkowo niskim poziomem emitowanego hałasu</w:t>
      </w:r>
    </w:p>
    <w:p w14:paraId="1E15EF99"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wyłączenia maszyn i urządzeń podczas przerw w pracy (unikanie pracy urządzeń na tzw. biegu jałowym)</w:t>
      </w:r>
    </w:p>
    <w:p w14:paraId="4A95727C" w14:textId="77777777" w:rsidR="00E37018" w:rsidRPr="00A03FFD" w:rsidRDefault="00E37018" w:rsidP="00C95983">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zakazie wykonywania prac hałaśliwych w porze nocnej tj. pomiędzy godzinami 22.00÷6.00</w:t>
      </w:r>
    </w:p>
    <w:p w14:paraId="6255D7D6" w14:textId="77777777" w:rsidR="00E37018" w:rsidRPr="00A03FFD" w:rsidRDefault="00624B11" w:rsidP="00AC05BB">
      <w:pPr>
        <w:pStyle w:val="Nagwek4"/>
        <w:spacing w:line="240" w:lineRule="auto"/>
        <w:jc w:val="both"/>
        <w:rPr>
          <w:b/>
          <w:color w:val="000000" w:themeColor="text1"/>
          <w:sz w:val="20"/>
          <w:u w:val="none"/>
        </w:rPr>
      </w:pPr>
      <w:r w:rsidRPr="00A03FFD">
        <w:rPr>
          <w:b/>
          <w:color w:val="000000" w:themeColor="text1"/>
          <w:sz w:val="20"/>
          <w:u w:val="none"/>
        </w:rPr>
        <w:lastRenderedPageBreak/>
        <w:t xml:space="preserve">1.5.6. </w:t>
      </w:r>
      <w:r w:rsidR="00E37018" w:rsidRPr="00A03FFD">
        <w:rPr>
          <w:b/>
          <w:color w:val="000000" w:themeColor="text1"/>
          <w:sz w:val="20"/>
          <w:u w:val="none"/>
        </w:rPr>
        <w:t>Ochrona przeciwpożarowa</w:t>
      </w:r>
    </w:p>
    <w:p w14:paraId="12460FF3"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będzie przestrzegać przepisów ochrony przeciw</w:t>
      </w:r>
      <w:r w:rsidRPr="00A03FFD">
        <w:rPr>
          <w:rFonts w:ascii="Arial" w:hAnsi="Arial" w:cs="Arial"/>
          <w:color w:val="000000" w:themeColor="text1"/>
          <w:sz w:val="18"/>
        </w:rPr>
        <w:softHyphen/>
        <w:t>po</w:t>
      </w:r>
      <w:r w:rsidRPr="00A03FFD">
        <w:rPr>
          <w:rFonts w:ascii="Arial" w:hAnsi="Arial" w:cs="Arial"/>
          <w:color w:val="000000" w:themeColor="text1"/>
          <w:sz w:val="18"/>
        </w:rPr>
        <w:softHyphen/>
        <w:t>żarowej.</w:t>
      </w:r>
    </w:p>
    <w:p w14:paraId="24DEA3A3"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będzie utrzymywać sprawny sprzęt przeciwpo</w:t>
      </w:r>
      <w:r w:rsidRPr="00A03FFD">
        <w:rPr>
          <w:rFonts w:ascii="Arial" w:hAnsi="Arial" w:cs="Arial"/>
          <w:color w:val="000000" w:themeColor="text1"/>
          <w:sz w:val="18"/>
        </w:rPr>
        <w:softHyphen/>
        <w:t>żaro</w:t>
      </w:r>
      <w:r w:rsidRPr="00A03FFD">
        <w:rPr>
          <w:rFonts w:ascii="Arial" w:hAnsi="Arial" w:cs="Arial"/>
          <w:color w:val="000000" w:themeColor="text1"/>
          <w:sz w:val="18"/>
        </w:rPr>
        <w:softHyphen/>
        <w:t>wy, wymagany przez odpowiednie przepisy, na terenie baz produkcyj</w:t>
      </w:r>
      <w:r w:rsidRPr="00A03FFD">
        <w:rPr>
          <w:rFonts w:ascii="Arial" w:hAnsi="Arial" w:cs="Arial"/>
          <w:color w:val="000000" w:themeColor="text1"/>
          <w:sz w:val="18"/>
        </w:rPr>
        <w:softHyphen/>
        <w:t>nych, w pomieszczeniach biurowych, mieszkalnych i magazynach oraz w maszynach i pojazdach.</w:t>
      </w:r>
    </w:p>
    <w:p w14:paraId="0C386D33"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Materiały łatwopalne będą składowane w sposób zgodny z odpowiednimi przepisami i zabezpieczone przed dostępem osób trze</w:t>
      </w:r>
      <w:r w:rsidRPr="00A03FFD">
        <w:rPr>
          <w:rFonts w:ascii="Arial" w:hAnsi="Arial" w:cs="Arial"/>
          <w:color w:val="000000" w:themeColor="text1"/>
          <w:sz w:val="18"/>
        </w:rPr>
        <w:softHyphen/>
        <w:t>cich.</w:t>
      </w:r>
    </w:p>
    <w:p w14:paraId="6BC1EDDB"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będzie odpowiedzialny za wszelkie straty spowodowane pożarem wywołanym jako rezultat realizacji Robót albo przez personel Wykonawcy.</w:t>
      </w:r>
    </w:p>
    <w:p w14:paraId="09CECA78" w14:textId="77777777" w:rsidR="00E37018" w:rsidRPr="00A03FFD" w:rsidRDefault="00624B11" w:rsidP="00AC05BB">
      <w:pPr>
        <w:pStyle w:val="Nagwek4"/>
        <w:spacing w:line="240" w:lineRule="auto"/>
        <w:jc w:val="both"/>
        <w:rPr>
          <w:b/>
          <w:color w:val="000000" w:themeColor="text1"/>
          <w:sz w:val="20"/>
          <w:u w:val="none"/>
        </w:rPr>
      </w:pPr>
      <w:r w:rsidRPr="00A03FFD">
        <w:rPr>
          <w:b/>
          <w:color w:val="000000" w:themeColor="text1"/>
          <w:sz w:val="20"/>
          <w:u w:val="none"/>
        </w:rPr>
        <w:t xml:space="preserve">1.5.7. </w:t>
      </w:r>
      <w:r w:rsidR="00E37018" w:rsidRPr="00A03FFD">
        <w:rPr>
          <w:b/>
          <w:color w:val="000000" w:themeColor="text1"/>
          <w:sz w:val="20"/>
          <w:u w:val="none"/>
        </w:rPr>
        <w:t>Materiały szkodliwe dla otoczenia</w:t>
      </w:r>
    </w:p>
    <w:p w14:paraId="5D3A2440"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Materiały, które w sposób trwały są szkodliwe dla otocze</w:t>
      </w:r>
      <w:r w:rsidRPr="00A03FFD">
        <w:rPr>
          <w:rFonts w:ascii="Arial" w:hAnsi="Arial" w:cs="Arial"/>
          <w:color w:val="000000" w:themeColor="text1"/>
          <w:sz w:val="18"/>
        </w:rPr>
        <w:softHyphen/>
        <w:t>nia, nie będą dopuszczone do użycia.</w:t>
      </w:r>
    </w:p>
    <w:p w14:paraId="1A8D901B"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Nie dopuszcza się użycia materiałów wywołujących szkodliwe promieniowanie o stężeniu większym od dopuszczalnego, określonego odpowiednimi przepisami.</w:t>
      </w:r>
    </w:p>
    <w:p w14:paraId="43DE2204"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Wszelkie materiały odpadowe użyte do Robót będą miały Aprobatę Techniczną </w:t>
      </w:r>
      <w:proofErr w:type="spellStart"/>
      <w:r w:rsidRPr="00A03FFD">
        <w:rPr>
          <w:rFonts w:ascii="Arial" w:hAnsi="Arial" w:cs="Arial"/>
          <w:color w:val="000000" w:themeColor="text1"/>
          <w:sz w:val="18"/>
        </w:rPr>
        <w:t>IBDiM</w:t>
      </w:r>
      <w:proofErr w:type="spellEnd"/>
      <w:r w:rsidRPr="00A03FFD">
        <w:rPr>
          <w:rFonts w:ascii="Arial" w:hAnsi="Arial" w:cs="Arial"/>
          <w:color w:val="000000" w:themeColor="text1"/>
          <w:sz w:val="18"/>
        </w:rPr>
        <w:t>, jedno</w:t>
      </w:r>
      <w:r w:rsidRPr="00A03FFD">
        <w:rPr>
          <w:rFonts w:ascii="Arial" w:hAnsi="Arial" w:cs="Arial"/>
          <w:color w:val="000000" w:themeColor="text1"/>
          <w:sz w:val="18"/>
        </w:rPr>
        <w:softHyphen/>
        <w:t>znacznie określające brak szkodliwego oddziaływania tych materiałów na środowisko.</w:t>
      </w:r>
    </w:p>
    <w:p w14:paraId="3BCBD4DC"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Materiały, które są szkodliwe dla otoczenia tylko w czasie Robót, a po zakończeniu Robót ich szkodliwość zanika (np. materiały pylaste) mogą być użyte pod warunkiem przestrzegania wymagań tech</w:t>
      </w:r>
      <w:r w:rsidRPr="00A03FFD">
        <w:rPr>
          <w:rFonts w:ascii="Arial" w:hAnsi="Arial" w:cs="Arial"/>
          <w:color w:val="000000" w:themeColor="text1"/>
          <w:sz w:val="18"/>
        </w:rPr>
        <w:softHyphen/>
        <w:t>nologicznych wbudowania. Jeżeli wymagają tego odpowiednie przepisy Zamawiający powinien otrzymać zgodę na użycie tych materiałów od właściwych organów administracji państwowej.</w:t>
      </w:r>
    </w:p>
    <w:p w14:paraId="15B1DADC" w14:textId="77777777" w:rsidR="00E37018" w:rsidRPr="00A03FFD" w:rsidRDefault="00E37018" w:rsidP="00624B11">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Jeżeli Wykonawca użył materiałów szkodliwych dla otoczenia zgodnie ze Specyfikac</w:t>
      </w:r>
      <w:r w:rsidRPr="00A03FFD">
        <w:rPr>
          <w:rFonts w:ascii="Arial" w:hAnsi="Arial" w:cs="Arial"/>
          <w:color w:val="000000" w:themeColor="text1"/>
          <w:sz w:val="18"/>
        </w:rPr>
        <w:softHyphen/>
        <w:t>ja</w:t>
      </w:r>
      <w:r w:rsidRPr="00A03FFD">
        <w:rPr>
          <w:rFonts w:ascii="Arial" w:hAnsi="Arial" w:cs="Arial"/>
          <w:color w:val="000000" w:themeColor="text1"/>
          <w:sz w:val="18"/>
        </w:rPr>
        <w:softHyphen/>
        <w:t>mi Technicznymi, a ich użycie spowodowało jakiekolwiek zagroże</w:t>
      </w:r>
      <w:r w:rsidRPr="00A03FFD">
        <w:rPr>
          <w:rFonts w:ascii="Arial" w:hAnsi="Arial" w:cs="Arial"/>
          <w:color w:val="000000" w:themeColor="text1"/>
          <w:sz w:val="18"/>
        </w:rPr>
        <w:softHyphen/>
        <w:t>nie środowis</w:t>
      </w:r>
      <w:r w:rsidRPr="00A03FFD">
        <w:rPr>
          <w:rFonts w:ascii="Arial" w:hAnsi="Arial" w:cs="Arial"/>
          <w:color w:val="000000" w:themeColor="text1"/>
          <w:sz w:val="18"/>
        </w:rPr>
        <w:softHyphen/>
        <w:t>ka, to konsekwencje tego poniesie Zamawiający.</w:t>
      </w:r>
    </w:p>
    <w:p w14:paraId="6325E2B7" w14:textId="77777777" w:rsidR="00E37018" w:rsidRPr="00A03FFD" w:rsidRDefault="005E16FC" w:rsidP="00AC05BB">
      <w:pPr>
        <w:pStyle w:val="Nagwek4"/>
        <w:spacing w:line="240" w:lineRule="auto"/>
        <w:jc w:val="both"/>
        <w:rPr>
          <w:b/>
          <w:color w:val="000000" w:themeColor="text1"/>
          <w:sz w:val="20"/>
          <w:u w:val="none"/>
        </w:rPr>
      </w:pPr>
      <w:r w:rsidRPr="00A03FFD">
        <w:rPr>
          <w:b/>
          <w:color w:val="000000" w:themeColor="text1"/>
          <w:sz w:val="20"/>
          <w:u w:val="none"/>
        </w:rPr>
        <w:t xml:space="preserve">1.5.8. </w:t>
      </w:r>
      <w:r w:rsidR="00E37018" w:rsidRPr="00A03FFD">
        <w:rPr>
          <w:b/>
          <w:color w:val="000000" w:themeColor="text1"/>
          <w:sz w:val="20"/>
          <w:u w:val="none"/>
        </w:rPr>
        <w:t>Ochrona własności publicznej i prywatnej</w:t>
      </w:r>
    </w:p>
    <w:p w14:paraId="3F777A8B"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odpowiada za ochronę instalacji na powierzchni ziemi i za urządzenia podziemne, takie jak rurociągi, kable itp. oraz uzyska od odpowiednich władz będących właścicielami tych urządzeń potwierdzenie informacji dostarczo</w:t>
      </w:r>
      <w:r w:rsidRPr="00A03FFD">
        <w:rPr>
          <w:rFonts w:ascii="Arial" w:hAnsi="Arial" w:cs="Arial"/>
          <w:color w:val="000000" w:themeColor="text1"/>
          <w:sz w:val="18"/>
        </w:rPr>
        <w:softHyphen/>
        <w:t xml:space="preserve">nych mu przez Zamawiającego w ramach planu ich lokalizacji. Wykonawca zapewni właściwe oznaczenie i zabezpieczenie przed uszkodzeniem tych instalacji i urządzeń w czasie trwania budowy. </w:t>
      </w:r>
    </w:p>
    <w:p w14:paraId="65A50E32"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zobowiązany jest umieścić w swoim harmonogra</w:t>
      </w:r>
      <w:r w:rsidRPr="00A03FFD">
        <w:rPr>
          <w:rFonts w:ascii="Arial" w:hAnsi="Arial" w:cs="Arial"/>
          <w:color w:val="000000" w:themeColor="text1"/>
          <w:sz w:val="18"/>
        </w:rPr>
        <w:softHyphen/>
        <w:t>mie rezerwę czasową dla wszelkiego rodzaju Robót, które mają być wykonane w zakresie przełożenia instalacji i urządzeń podziem</w:t>
      </w:r>
      <w:r w:rsidRPr="00A03FFD">
        <w:rPr>
          <w:rFonts w:ascii="Arial" w:hAnsi="Arial" w:cs="Arial"/>
          <w:color w:val="000000" w:themeColor="text1"/>
          <w:sz w:val="18"/>
        </w:rPr>
        <w:softHyphen/>
        <w:t xml:space="preserve">nych na Terenie Budowy i powiadomić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 xml:space="preserve">i władze lokalne o zamiarze rozpoczęcia Robót. </w:t>
      </w:r>
    </w:p>
    <w:p w14:paraId="081E7CFE"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 fakcie przypadkowego uszkodze</w:t>
      </w:r>
      <w:r w:rsidRPr="00A03FFD">
        <w:rPr>
          <w:rFonts w:ascii="Arial" w:hAnsi="Arial" w:cs="Arial"/>
          <w:color w:val="000000" w:themeColor="text1"/>
          <w:sz w:val="18"/>
        </w:rPr>
        <w:softHyphen/>
        <w:t xml:space="preserve">nia tych instalacji Wykonawca bezzwłocznie powiadomi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i zainteresowane władze oraz będzie z nimi współpra</w:t>
      </w:r>
      <w:r w:rsidRPr="00A03FFD">
        <w:rPr>
          <w:rFonts w:ascii="Arial" w:hAnsi="Arial" w:cs="Arial"/>
          <w:color w:val="000000" w:themeColor="text1"/>
          <w:sz w:val="18"/>
        </w:rPr>
        <w:softHyphen/>
        <w:t>cował dostarczając wszelkiej pomocy potrzebnej przy dokonywaniu napraw. Wykonawca będzie odpowiadać za wszelkie spowodo</w:t>
      </w:r>
      <w:r w:rsidRPr="00A03FFD">
        <w:rPr>
          <w:rFonts w:ascii="Arial" w:hAnsi="Arial" w:cs="Arial"/>
          <w:color w:val="000000" w:themeColor="text1"/>
          <w:sz w:val="18"/>
        </w:rPr>
        <w:softHyphen/>
        <w:t>wane przez jego działania uszkodzenia instalacji na powierzchni ziemi i urządzeń podziemnych wykazanych w dokumentach dostar</w:t>
      </w:r>
      <w:r w:rsidRPr="00A03FFD">
        <w:rPr>
          <w:rFonts w:ascii="Arial" w:hAnsi="Arial" w:cs="Arial"/>
          <w:color w:val="000000" w:themeColor="text1"/>
          <w:sz w:val="18"/>
        </w:rPr>
        <w:softHyphen/>
        <w:t>czonych mu przez Zamawiają</w:t>
      </w:r>
      <w:r w:rsidRPr="00A03FFD">
        <w:rPr>
          <w:rFonts w:ascii="Arial" w:hAnsi="Arial" w:cs="Arial"/>
          <w:color w:val="000000" w:themeColor="text1"/>
          <w:sz w:val="18"/>
        </w:rPr>
        <w:softHyphen/>
        <w:t>cego.</w:t>
      </w:r>
    </w:p>
    <w:p w14:paraId="14ADD42C"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 każde nieuzgodnione wejście w teren odpowiedzialność ponosi Wykonawca. Wykonawca winien powiadomić na 7 dni przed wejściem w teren - właściciela nieruchomości na którym będą prowadzone prace związane z czasowym zajęciem terenu. Po zakończeniu robót  - winien  uporządkować teren,  naprawić zaistniałe szkody i wypłacić właścicielom stosowne , uzgodnione odszkodowania za niemożność użytkowania, bądź inne trwałe szkody. Na koniec należy spisać protokół stwierdzający, iż właściciel terenu nie rości sobie żadnych pretensji do Wykonawcy. Koszty tych odszkodowań należy wliczyć w koszt wybudowania infrastruktury.</w:t>
      </w:r>
    </w:p>
    <w:p w14:paraId="6BB162CA"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uszkodzeń układów drenarskich na działkach właścicieli nieruchomości Wykonawca jest zobowiązany do ich naprawy.</w:t>
      </w:r>
    </w:p>
    <w:p w14:paraId="0F27D22D"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 wszystkie ewentualne szkody związane z czasowym zajęciem działek leżących poza projektowanym pasem drogowym, związane np. z przebudową infrastruktury technicznej, magazynowaniem materiałów itp. odpowiedzialność ponosi Wykonawca. Wykonawca ma obowiązek do przywrócenia działki do stanu pierwotnego bądź do naprawy lub zadośćuczynienia w wysokości ustalonej w trakcie negocjacji lub przed właściwym sądem.</w:t>
      </w:r>
    </w:p>
    <w:p w14:paraId="05B6C651" w14:textId="77777777" w:rsidR="00E37018" w:rsidRPr="00A03FFD" w:rsidRDefault="005E16FC" w:rsidP="00AC05BB">
      <w:pPr>
        <w:pStyle w:val="Nagwek4"/>
        <w:spacing w:line="240" w:lineRule="auto"/>
        <w:jc w:val="both"/>
        <w:rPr>
          <w:b/>
          <w:color w:val="000000" w:themeColor="text1"/>
          <w:sz w:val="20"/>
          <w:u w:val="none"/>
        </w:rPr>
      </w:pPr>
      <w:r w:rsidRPr="00A03FFD">
        <w:rPr>
          <w:b/>
          <w:color w:val="000000" w:themeColor="text1"/>
          <w:sz w:val="20"/>
          <w:u w:val="none"/>
        </w:rPr>
        <w:t xml:space="preserve">1.5.9. </w:t>
      </w:r>
      <w:r w:rsidR="00E37018" w:rsidRPr="00A03FFD">
        <w:rPr>
          <w:b/>
          <w:color w:val="000000" w:themeColor="text1"/>
          <w:sz w:val="20"/>
          <w:u w:val="none"/>
        </w:rPr>
        <w:t>Ograniczenie obciążeń osi pojazdów</w:t>
      </w:r>
    </w:p>
    <w:p w14:paraId="4FE2CD38"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będzie stosować się do ustawowych ograniczeń nacisków osi na drogach publicznych przy transporcie materiałów i wyposażenia na i z terenu budowy. Wykonawca uzyska wszelkie niezbędne zezwolenia i uzgodnienia od właściwych władz co do przewozu nietypowych wagowo ładunków (ponadnormatywnych) i o każdym takim przewozie będzie powiadamiał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w:t>
      </w:r>
      <w:r w:rsidR="007E0A79" w:rsidRPr="00A03FFD">
        <w:rPr>
          <w:rFonts w:ascii="Arial" w:hAnsi="Arial" w:cs="Arial"/>
          <w:color w:val="000000" w:themeColor="text1"/>
          <w:sz w:val="18"/>
        </w:rPr>
        <w:t>Przedstawiciel Inwestora</w:t>
      </w:r>
      <w:r w:rsidRPr="00A03FFD">
        <w:rPr>
          <w:rFonts w:ascii="Arial" w:hAnsi="Arial" w:cs="Arial"/>
          <w:color w:val="000000" w:themeColor="text1"/>
          <w:sz w:val="18"/>
        </w:rPr>
        <w:t xml:space="preserve"> może polecić, aby pojazdy nie spełniające tych warunków zostały usunięte z terenu budowy. </w:t>
      </w:r>
    </w:p>
    <w:p w14:paraId="4AE7B53C"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Pojazdy lub ładunki powodujące nadmierne obciążenie osiowe nie będą dopuszczone na świeżo ukończony fragment budowy i Wykonawca będzie odpowiedzialny za naprawę wszel</w:t>
      </w:r>
      <w:r w:rsidRPr="00A03FFD">
        <w:rPr>
          <w:rFonts w:ascii="Arial" w:hAnsi="Arial" w:cs="Arial"/>
          <w:color w:val="000000" w:themeColor="text1"/>
          <w:sz w:val="18"/>
        </w:rPr>
        <w:softHyphen/>
        <w:t xml:space="preserve">kich Robót w ten sposób uszkodzonych, zgodnie z poleceniami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36209B1C" w14:textId="77777777" w:rsidR="00E37018" w:rsidRPr="00A03FFD" w:rsidRDefault="005E16FC" w:rsidP="00AC05BB">
      <w:pPr>
        <w:pStyle w:val="Nagwek4"/>
        <w:spacing w:line="240" w:lineRule="auto"/>
        <w:jc w:val="both"/>
        <w:rPr>
          <w:b/>
          <w:color w:val="000000" w:themeColor="text1"/>
          <w:sz w:val="20"/>
          <w:u w:val="none"/>
        </w:rPr>
      </w:pPr>
      <w:r w:rsidRPr="00A03FFD">
        <w:rPr>
          <w:b/>
          <w:color w:val="000000" w:themeColor="text1"/>
          <w:sz w:val="20"/>
          <w:u w:val="none"/>
        </w:rPr>
        <w:t xml:space="preserve">1.5.10. </w:t>
      </w:r>
      <w:r w:rsidR="00E37018" w:rsidRPr="00A03FFD">
        <w:rPr>
          <w:b/>
          <w:color w:val="000000" w:themeColor="text1"/>
          <w:sz w:val="20"/>
          <w:u w:val="none"/>
        </w:rPr>
        <w:t>Bezpieczeństwo i higiena pracy</w:t>
      </w:r>
    </w:p>
    <w:p w14:paraId="1BEB529F"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Podczas realizacji Robót Wykonawca będzie przestrzegać przepisów dotyczących bezpieczeństwa i higieny pracy oraz opracuje Plan Bezpieczeństwa i Ochrony Zdrowia („Plan </w:t>
      </w:r>
      <w:proofErr w:type="spellStart"/>
      <w:r w:rsidRPr="00A03FFD">
        <w:rPr>
          <w:rFonts w:ascii="Arial" w:hAnsi="Arial" w:cs="Arial"/>
          <w:color w:val="000000" w:themeColor="text1"/>
          <w:sz w:val="18"/>
        </w:rPr>
        <w:t>BiOZ</w:t>
      </w:r>
      <w:proofErr w:type="spellEnd"/>
      <w:r w:rsidRPr="00A03FFD">
        <w:rPr>
          <w:rFonts w:ascii="Arial" w:hAnsi="Arial" w:cs="Arial"/>
          <w:color w:val="000000" w:themeColor="text1"/>
          <w:sz w:val="18"/>
        </w:rPr>
        <w:t xml:space="preserve">”) wynikający z Art. 21a Prawa Budowlanego w szczególnym zakresie zgodnym z Rozporządzeniem Ministra Infrastruktury z </w:t>
      </w:r>
      <w:proofErr w:type="spellStart"/>
      <w:r w:rsidRPr="00A03FFD">
        <w:rPr>
          <w:rFonts w:ascii="Arial" w:hAnsi="Arial" w:cs="Arial"/>
          <w:color w:val="000000" w:themeColor="text1"/>
          <w:sz w:val="18"/>
        </w:rPr>
        <w:t>dn</w:t>
      </w:r>
      <w:proofErr w:type="spellEnd"/>
      <w:r w:rsidRPr="00A03FFD">
        <w:rPr>
          <w:rFonts w:ascii="Arial" w:hAnsi="Arial" w:cs="Arial"/>
          <w:color w:val="000000" w:themeColor="text1"/>
          <w:sz w:val="18"/>
        </w:rPr>
        <w:t xml:space="preserve"> 27. 08 2002 DZ. U Nr 151 i uzgodni go z Inżynierem. </w:t>
      </w:r>
    </w:p>
    <w:p w14:paraId="2DCD623F"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Podczas realizacji Robót Wykonawca będzie przestrze</w:t>
      </w:r>
      <w:r w:rsidRPr="00A03FFD">
        <w:rPr>
          <w:rFonts w:ascii="Arial" w:hAnsi="Arial" w:cs="Arial"/>
          <w:color w:val="000000" w:themeColor="text1"/>
          <w:sz w:val="18"/>
        </w:rPr>
        <w:softHyphen/>
        <w:t>gać przepisów dotyczących bezpieczeństwa i higieny pracy.</w:t>
      </w:r>
    </w:p>
    <w:p w14:paraId="3B3EE57A"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szczególności Wykonawca ma obowiązek zadbać, aby personel nie wyko</w:t>
      </w:r>
      <w:r w:rsidRPr="00A03FFD">
        <w:rPr>
          <w:rFonts w:ascii="Arial" w:hAnsi="Arial" w:cs="Arial"/>
          <w:color w:val="000000" w:themeColor="text1"/>
          <w:sz w:val="18"/>
        </w:rPr>
        <w:softHyphen/>
        <w:t>nywał pracy w warunkach niebezpiecznych, szkodliwych dla zdrowia oraz nie spełniających odpowiednich wymagań sanitar</w:t>
      </w:r>
      <w:r w:rsidRPr="00A03FFD">
        <w:rPr>
          <w:rFonts w:ascii="Arial" w:hAnsi="Arial" w:cs="Arial"/>
          <w:color w:val="000000" w:themeColor="text1"/>
          <w:sz w:val="18"/>
        </w:rPr>
        <w:softHyphen/>
        <w:t>nych.</w:t>
      </w:r>
    </w:p>
    <w:p w14:paraId="76F643F2"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zapewni i będzie utrzymywał wszelkie urządze</w:t>
      </w:r>
      <w:r w:rsidRPr="00A03FFD">
        <w:rPr>
          <w:rFonts w:ascii="Arial" w:hAnsi="Arial" w:cs="Arial"/>
          <w:color w:val="000000" w:themeColor="text1"/>
          <w:sz w:val="18"/>
        </w:rPr>
        <w:softHyphen/>
        <w:t>nia zabezpie</w:t>
      </w:r>
      <w:r w:rsidRPr="00A03FFD">
        <w:rPr>
          <w:rFonts w:ascii="Arial" w:hAnsi="Arial" w:cs="Arial"/>
          <w:color w:val="000000" w:themeColor="text1"/>
          <w:sz w:val="18"/>
        </w:rPr>
        <w:softHyphen/>
        <w:t>czające, socjalne oraz sprzęt i odpowiednią odzież dla ochrony życia i zdro</w:t>
      </w:r>
      <w:r w:rsidRPr="00A03FFD">
        <w:rPr>
          <w:rFonts w:ascii="Arial" w:hAnsi="Arial" w:cs="Arial"/>
          <w:color w:val="000000" w:themeColor="text1"/>
          <w:sz w:val="18"/>
        </w:rPr>
        <w:softHyphen/>
        <w:t>wia osób zatrudnionych na budowie oraz dla zapew</w:t>
      </w:r>
      <w:r w:rsidRPr="00A03FFD">
        <w:rPr>
          <w:rFonts w:ascii="Arial" w:hAnsi="Arial" w:cs="Arial"/>
          <w:color w:val="000000" w:themeColor="text1"/>
          <w:sz w:val="18"/>
        </w:rPr>
        <w:softHyphen/>
        <w:t>nienia bezpieczeń</w:t>
      </w:r>
      <w:r w:rsidRPr="00A03FFD">
        <w:rPr>
          <w:rFonts w:ascii="Arial" w:hAnsi="Arial" w:cs="Arial"/>
          <w:color w:val="000000" w:themeColor="text1"/>
          <w:sz w:val="18"/>
        </w:rPr>
        <w:softHyphen/>
        <w:t>stwa publicznego.</w:t>
      </w:r>
    </w:p>
    <w:p w14:paraId="609997D1" w14:textId="77777777" w:rsidR="00E37018" w:rsidRPr="00A03FFD" w:rsidRDefault="00E37018" w:rsidP="005E16F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Uznaje się, że wszelkie koszty związane z wypełnieniem wymagań określonych powyżej nie podlegają odrębnej zapłacie i są włączone w ceny jednostkowe.</w:t>
      </w:r>
    </w:p>
    <w:p w14:paraId="7F622555" w14:textId="77777777" w:rsidR="00E37018" w:rsidRPr="00A03FFD" w:rsidRDefault="009C185D" w:rsidP="00AC05BB">
      <w:pPr>
        <w:pStyle w:val="Nagwek4"/>
        <w:spacing w:line="240" w:lineRule="auto"/>
        <w:jc w:val="both"/>
        <w:rPr>
          <w:b/>
          <w:color w:val="000000" w:themeColor="text1"/>
          <w:sz w:val="20"/>
          <w:u w:val="none"/>
        </w:rPr>
      </w:pPr>
      <w:r w:rsidRPr="00A03FFD">
        <w:rPr>
          <w:b/>
          <w:color w:val="000000" w:themeColor="text1"/>
          <w:sz w:val="20"/>
          <w:u w:val="none"/>
        </w:rPr>
        <w:t xml:space="preserve">1.5.11. </w:t>
      </w:r>
      <w:r w:rsidR="00E37018" w:rsidRPr="00A03FFD">
        <w:rPr>
          <w:b/>
          <w:color w:val="000000" w:themeColor="text1"/>
          <w:sz w:val="20"/>
          <w:u w:val="none"/>
        </w:rPr>
        <w:t>Ochrona i utrzymanie Robót</w:t>
      </w:r>
    </w:p>
    <w:p w14:paraId="733F2A1B"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będzie odpowiedzialny za ochronę Robót i za wszelkie materiały i urządzenia używane do Robót od Daty Rozpoczęcia do daty wydania Potwierdzenia Zakończenia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593F544E"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lastRenderedPageBreak/>
        <w:t>Wykonawca będzie utrzymywać Roboty do czasu odbioru końcowego. Utrzymanie powinno być prowadzone w taki sposób, aby budowla dro</w:t>
      </w:r>
      <w:r w:rsidRPr="00A03FFD">
        <w:rPr>
          <w:rFonts w:ascii="Arial" w:hAnsi="Arial" w:cs="Arial"/>
          <w:color w:val="000000" w:themeColor="text1"/>
          <w:sz w:val="18"/>
        </w:rPr>
        <w:softHyphen/>
        <w:t>gowa lub jej elementy były w zadowalającym stanie przez cały czas, do momentu odbioru końcowego.</w:t>
      </w:r>
    </w:p>
    <w:p w14:paraId="6D920FF9"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Jeśli Wykonawca w jakimkolwiek czasie zaniedba utrzyma</w:t>
      </w:r>
      <w:r w:rsidRPr="00A03FFD">
        <w:rPr>
          <w:rFonts w:ascii="Arial" w:hAnsi="Arial" w:cs="Arial"/>
          <w:color w:val="000000" w:themeColor="text1"/>
          <w:sz w:val="18"/>
        </w:rPr>
        <w:softHyphen/>
        <w:t xml:space="preserve">nie, to na polecenie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powinien rozpocząć Roboty utrzymaniowe nie później niż w 24 godziny po otrzymaniu tego polecenia.</w:t>
      </w:r>
    </w:p>
    <w:p w14:paraId="177BA2EB" w14:textId="77777777" w:rsidR="00E37018" w:rsidRPr="00A03FFD" w:rsidRDefault="009C185D" w:rsidP="00AC05BB">
      <w:pPr>
        <w:pStyle w:val="Nagwek4"/>
        <w:spacing w:line="240" w:lineRule="auto"/>
        <w:jc w:val="both"/>
        <w:rPr>
          <w:b/>
          <w:color w:val="000000" w:themeColor="text1"/>
          <w:sz w:val="20"/>
          <w:u w:val="none"/>
        </w:rPr>
      </w:pPr>
      <w:r w:rsidRPr="00A03FFD">
        <w:rPr>
          <w:b/>
          <w:color w:val="000000" w:themeColor="text1"/>
          <w:sz w:val="20"/>
          <w:u w:val="none"/>
        </w:rPr>
        <w:t xml:space="preserve">1.5.12. </w:t>
      </w:r>
      <w:r w:rsidR="00E37018" w:rsidRPr="00A03FFD">
        <w:rPr>
          <w:b/>
          <w:color w:val="000000" w:themeColor="text1"/>
          <w:sz w:val="20"/>
          <w:u w:val="none"/>
        </w:rPr>
        <w:t>Stosowanie się do prawa i innych przepisów</w:t>
      </w:r>
    </w:p>
    <w:p w14:paraId="7D25D4BA"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w:t>
      </w:r>
    </w:p>
    <w:p w14:paraId="2F5EEF17"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będzie przestrzegać praw patentowych i będzie w pełni odpowiedzialny za wypełnienie wszelkich wymagań prawnych odnośnie wykorzystania opatentowanych urządzeń lub metod i w sposób ciągły będzie informować Inżyniera o swoich działaniach, przedstawiając kopie zezwoleń i inne odnośne dokumenty.</w:t>
      </w:r>
    </w:p>
    <w:p w14:paraId="68070139"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Wszelkie straty, koszty postępowania, obciążenia i wydatki wynikłe z lub związane z naruszeniem jakichkolwiek praw patentowych pokryje Wykonawca.</w:t>
      </w:r>
    </w:p>
    <w:p w14:paraId="6FC6C690" w14:textId="77777777" w:rsidR="00E37018" w:rsidRPr="00A03FFD" w:rsidRDefault="009C185D" w:rsidP="00AC05BB">
      <w:pPr>
        <w:pStyle w:val="Nagwek4"/>
        <w:spacing w:line="240" w:lineRule="auto"/>
        <w:jc w:val="both"/>
        <w:rPr>
          <w:b/>
          <w:color w:val="000000" w:themeColor="text1"/>
          <w:sz w:val="20"/>
          <w:u w:val="none"/>
        </w:rPr>
      </w:pPr>
      <w:r w:rsidRPr="00A03FFD">
        <w:rPr>
          <w:b/>
          <w:color w:val="000000" w:themeColor="text1"/>
          <w:sz w:val="20"/>
          <w:u w:val="none"/>
        </w:rPr>
        <w:t xml:space="preserve">1.5.13. </w:t>
      </w:r>
      <w:r w:rsidR="00E37018" w:rsidRPr="00A03FFD">
        <w:rPr>
          <w:b/>
          <w:color w:val="000000" w:themeColor="text1"/>
          <w:sz w:val="20"/>
          <w:u w:val="none"/>
        </w:rPr>
        <w:t>Równoważność norm i przepisów prawnych</w:t>
      </w:r>
    </w:p>
    <w:p w14:paraId="37BC80DE"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Gdziekolwiek w Umowie powoływane są konkretne normy lub zbiory przepisów, które spełniać mają materiały, wytwórnie i inne zapasy będące przedmiotem dostaw, oraz Roboty do wykonania i zbadania, stosować się będą obowiązujące przepisy najnowszego wydania lub wydania poprawione odnośnych norm i zbiorów przepisów, chyba że w kontrakcie stwierdza się wyraźnie co innego. Tam, gdzie te normy i zbiory przepisów mają charakter ogólnokrajowy, lub odnoszą się do konkretnego regionu, zostaną przyjęte inne obowiązujące normy, które zapewniają wykonanie na zasadniczo równym lub większym poziomie niż wymagany przez wcześniej wyszczególnione normy i zbiory przepisów pod warunkiem ich uprzedniego sprawdzenia i zatwierdzenia na piśmie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Różnice pomiędzy wyszczególnionymi normami a ich proponowanymi zamiennikami muszą być dokładnie odnotowane na piśmie przez Wykonawcę i przedłożone </w:t>
      </w:r>
      <w:r w:rsidR="007E0A79" w:rsidRPr="00A03FFD">
        <w:rPr>
          <w:rFonts w:ascii="Arial" w:hAnsi="Arial" w:cs="Arial"/>
          <w:color w:val="000000" w:themeColor="text1"/>
          <w:sz w:val="18"/>
        </w:rPr>
        <w:t xml:space="preserve">Przedstawicielowi Inwestora </w:t>
      </w:r>
      <w:r w:rsidRPr="00A03FFD">
        <w:rPr>
          <w:rFonts w:ascii="Arial" w:hAnsi="Arial" w:cs="Arial"/>
          <w:color w:val="000000" w:themeColor="text1"/>
          <w:sz w:val="18"/>
        </w:rPr>
        <w:t xml:space="preserve">co najmniej na 28 dni przed datę oczekiwanego przez Wykonawcę zatwierdzenia ich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W przypadku, gdy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 xml:space="preserve">stwierdzi, że zaproponowane zamienniki nie zapewniają wykonania na zasadniczo równym poziomie, Wykonawca zastosuje się do norm wyszczególnionych we wcześniej wspomnianych dokumentach. </w:t>
      </w:r>
    </w:p>
    <w:p w14:paraId="55A8968B" w14:textId="77777777" w:rsidR="00E37018" w:rsidRPr="00A03FFD" w:rsidRDefault="009C185D" w:rsidP="00AC05BB">
      <w:pPr>
        <w:pStyle w:val="Nagwek4"/>
        <w:spacing w:line="240" w:lineRule="auto"/>
        <w:jc w:val="both"/>
        <w:rPr>
          <w:b/>
          <w:color w:val="000000" w:themeColor="text1"/>
          <w:sz w:val="20"/>
          <w:u w:val="none"/>
        </w:rPr>
      </w:pPr>
      <w:r w:rsidRPr="00A03FFD">
        <w:rPr>
          <w:b/>
          <w:color w:val="000000" w:themeColor="text1"/>
          <w:sz w:val="20"/>
          <w:u w:val="none"/>
        </w:rPr>
        <w:t xml:space="preserve">1.5.14. </w:t>
      </w:r>
      <w:r w:rsidR="00E37018" w:rsidRPr="00A03FFD">
        <w:rPr>
          <w:b/>
          <w:color w:val="000000" w:themeColor="text1"/>
          <w:sz w:val="20"/>
          <w:u w:val="none"/>
        </w:rPr>
        <w:t>Prace archeologiczne</w:t>
      </w:r>
    </w:p>
    <w:p w14:paraId="3FA440CA"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Wszelkie wykopaliska, monety, przedmioty wartościowe, budowle oraz inne pozostałości o znaczeniu geologicznym lub archeologicznym odkryte na terenie budowy będą uważane za własność Zamawiającego. Wykonawca zobowiązany jest powiadomić Inżyniera i postępować zgodnie z jego poleceniami. Jeżeli w wyniku tych poleceń Wykonawca poniesie koszty i/lub wystąpią opóźnienia w robotach, Inżynier po uzgodnieniu z Zamawiającym i Wykonawcą ustali wydłużenie czasu wykonania robót i/lub wysokość kwoty, o którą należy zwiększyć cenę kontraktową.</w:t>
      </w:r>
    </w:p>
    <w:p w14:paraId="1B566D9C" w14:textId="77777777" w:rsidR="00E37018" w:rsidRPr="00A03FFD" w:rsidRDefault="00E37018" w:rsidP="009C185D">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Nad całością prac ziemnych w ramach budowy musi zostać zapewniony nadzór archeologiczny, umożliwiający prawidłową weryfikację i dokumentację prowadzonych prac ziemnych pod względem archeologicznym, dostosowaną jednocześnie do warunków inwestycji. Wykonawca nadzoru archeologicznego przed przystąpieniem do prac winien uzyskać pozwolenie na prowadzenie nadzoru od Wojewódzkiego Konserwatora Zabytków, w którym zostaną szczegółowo zapisane wszystkie warunki realizacji i zakres prac archeologicznych przy przedmiotowej inwestycji. Przed przystąpieniem do realizacji budowy Inwestor zobowiązany jest powiadomić odpowiedni Urząd Ochrony Zabytków o terminie rozpoczęcia tych robót oraz podać nazwisko archeologa sprawującego nadzór nad przedmiotową inwestycją. Forma nadzoru powinna sprowadzić się do obserwacji nawarstwień kulturowych oraz prowadzenia przez archeologa dziennika naukowego prac archeologicznych prowadzonych w terenie zgodnie z postępem robót ziemnych. W przypadku odsłonięcia reliktów zabudowy, obiektów zabudowy, nawarstwień kulturowych itp. archeolog winien przeprowadzić badania ratownicze tzn. wyeksplorować je i zadokumentować w sposób opisowy, kartograficzny (lokalizacja na planie), rysunkowy i fotograficzny.</w:t>
      </w:r>
    </w:p>
    <w:p w14:paraId="5DB7C68C" w14:textId="77777777" w:rsidR="00E37018" w:rsidRPr="00A03FFD" w:rsidRDefault="009C185D" w:rsidP="00AC05BB">
      <w:pPr>
        <w:pStyle w:val="Nagwek4"/>
        <w:spacing w:line="240" w:lineRule="auto"/>
        <w:jc w:val="both"/>
        <w:rPr>
          <w:b/>
          <w:color w:val="000000" w:themeColor="text1"/>
          <w:sz w:val="20"/>
          <w:u w:val="none"/>
        </w:rPr>
      </w:pPr>
      <w:r w:rsidRPr="00A03FFD">
        <w:rPr>
          <w:b/>
          <w:color w:val="000000" w:themeColor="text1"/>
          <w:sz w:val="20"/>
          <w:u w:val="none"/>
        </w:rPr>
        <w:t xml:space="preserve">1.5.15. </w:t>
      </w:r>
      <w:r w:rsidR="00E37018" w:rsidRPr="00A03FFD">
        <w:rPr>
          <w:b/>
          <w:color w:val="000000" w:themeColor="text1"/>
          <w:sz w:val="20"/>
          <w:u w:val="none"/>
        </w:rPr>
        <w:t>Niewypały, niewybuchy</w:t>
      </w:r>
    </w:p>
    <w:p w14:paraId="6E48D0A2" w14:textId="77777777" w:rsidR="00E37018" w:rsidRPr="00A03FFD" w:rsidRDefault="00E37018" w:rsidP="00E3701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Przed rozpoczęciem Robót budowlanych Wykonawca zobowiązany jest sprawdzić teren budowy pod kątem występowania niewybuchów. W razie natrafienia w czasie prowadzenia prac na niewypały/niewybuchy Wykonawca zobowiązany jest do niezwłocznego przerwania robót, zabezpieczenia terenu oraz wezwania odpowiednich służb (policja, straż pożarna, pogotowie saperskie) i niezwłocznego powiadomienia Inżyniera. Koszty zabezpieczenia terenu oraz akcji usunięcia niewypałów/niewybuchów poniesie Wykonawca.</w:t>
      </w:r>
    </w:p>
    <w:p w14:paraId="7A78C6A4" w14:textId="77777777" w:rsidR="00735798" w:rsidRPr="00A03FFD" w:rsidRDefault="00FA703F" w:rsidP="00ED3EFE">
      <w:pPr>
        <w:pStyle w:val="Nagwek2"/>
        <w:rPr>
          <w:i w:val="0"/>
          <w:color w:val="000000" w:themeColor="text1"/>
        </w:rPr>
      </w:pPr>
      <w:r w:rsidRPr="00A03FFD">
        <w:rPr>
          <w:i w:val="0"/>
          <w:color w:val="000000" w:themeColor="text1"/>
        </w:rPr>
        <w:t>2. MATERIAŁY</w:t>
      </w:r>
      <w:r w:rsidR="00E11A34" w:rsidRPr="00A03FFD">
        <w:rPr>
          <w:i w:val="0"/>
          <w:color w:val="000000" w:themeColor="text1"/>
        </w:rPr>
        <w:t>.</w:t>
      </w:r>
    </w:p>
    <w:p w14:paraId="06698216"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Przy wykonywaniu Robót należy stosować Materiały zgodne z Dokumentacją Projektową i </w:t>
      </w:r>
      <w:proofErr w:type="spellStart"/>
      <w:r w:rsidRPr="00A03FFD">
        <w:rPr>
          <w:rFonts w:ascii="Arial" w:hAnsi="Arial" w:cs="Arial"/>
          <w:color w:val="000000" w:themeColor="text1"/>
          <w:sz w:val="18"/>
        </w:rPr>
        <w:t>STWiOR</w:t>
      </w:r>
      <w:proofErr w:type="spellEnd"/>
      <w:r w:rsidRPr="00A03FFD">
        <w:rPr>
          <w:rFonts w:ascii="Arial" w:hAnsi="Arial" w:cs="Arial"/>
          <w:color w:val="000000" w:themeColor="text1"/>
          <w:sz w:val="18"/>
        </w:rPr>
        <w:t>, zaakceptowane przez Inżyniera i Zamawiającego.</w:t>
      </w:r>
    </w:p>
    <w:p w14:paraId="18B026E3"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Materiały i wyroby stosowane do budowy muszą być zgodne z Prawem Budowlanym.</w:t>
      </w:r>
    </w:p>
    <w:p w14:paraId="38D0A257"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Dla Materiałów mających kontakt z wodą konieczny jest atest PZH.</w:t>
      </w:r>
    </w:p>
    <w:p w14:paraId="36F0AF36"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Jakakolwiek nazwa handlowa użyta w ST lub Dokumentacji Technicznej oznaczać będzie definicję standardu a nie specyficzny produkt do zastosowania w projekcie.</w:t>
      </w:r>
    </w:p>
    <w:p w14:paraId="4A7E68A8" w14:textId="77777777" w:rsidR="00747F3F" w:rsidRPr="00A03FFD" w:rsidRDefault="00747F3F" w:rsidP="00ED3EFE">
      <w:pPr>
        <w:pStyle w:val="Nagwek3"/>
        <w:spacing w:before="60"/>
        <w:rPr>
          <w:rFonts w:cs="Tahoma"/>
          <w:b w:val="0"/>
          <w:color w:val="000000" w:themeColor="text1"/>
          <w:kern w:val="1"/>
          <w:sz w:val="22"/>
          <w:szCs w:val="24"/>
        </w:rPr>
      </w:pPr>
      <w:bookmarkStart w:id="10" w:name="_Toc469054103"/>
      <w:bookmarkStart w:id="11" w:name="_Toc447695703"/>
      <w:r w:rsidRPr="00A03FFD">
        <w:rPr>
          <w:color w:val="000000" w:themeColor="text1"/>
          <w:sz w:val="22"/>
        </w:rPr>
        <w:t>2.</w:t>
      </w:r>
      <w:r w:rsidR="00DD2C1C" w:rsidRPr="00A03FFD">
        <w:rPr>
          <w:color w:val="000000" w:themeColor="text1"/>
          <w:sz w:val="22"/>
        </w:rPr>
        <w:t>1</w:t>
      </w:r>
      <w:r w:rsidRPr="00A03FFD">
        <w:rPr>
          <w:color w:val="000000" w:themeColor="text1"/>
          <w:sz w:val="22"/>
        </w:rPr>
        <w:t xml:space="preserve">. </w:t>
      </w:r>
      <w:bookmarkEnd w:id="10"/>
      <w:r w:rsidR="00FA703F" w:rsidRPr="00A03FFD">
        <w:rPr>
          <w:color w:val="000000" w:themeColor="text1"/>
          <w:sz w:val="22"/>
        </w:rPr>
        <w:t>Źródła uzyskania materiałów</w:t>
      </w:r>
    </w:p>
    <w:p w14:paraId="6E81DE27"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Co najmniej na trzy tygodnie przed zaplanowanym wykorzy</w:t>
      </w:r>
      <w:r w:rsidRPr="00A03FFD">
        <w:rPr>
          <w:rFonts w:ascii="Arial" w:hAnsi="Arial" w:cs="Arial"/>
          <w:color w:val="000000" w:themeColor="text1"/>
          <w:sz w:val="18"/>
        </w:rPr>
        <w:softHyphen/>
        <w:t>staniem jakichkolwiek materiałów przeznaczonych do Robót Wykonawca przedstawi szczegółowe informacje dotyczące propono</w:t>
      </w:r>
      <w:r w:rsidRPr="00A03FFD">
        <w:rPr>
          <w:rFonts w:ascii="Arial" w:hAnsi="Arial" w:cs="Arial"/>
          <w:color w:val="000000" w:themeColor="text1"/>
          <w:sz w:val="18"/>
        </w:rPr>
        <w:softHyphen/>
        <w:t xml:space="preserve">wanego źródła wytwarzania, zamawiania lub wydobywania tych materiałów i odpowiednie świadectwa badań laboratoryjnych oraz próbki do zatwierdzenia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0734784E"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Zatwierdzenie partii (części) materiałów z danego źródła nie oznacza automatycznie, że wszelkie materiały z danego źródła uzyskają zatwierdzenie.</w:t>
      </w:r>
    </w:p>
    <w:p w14:paraId="02F7FED0" w14:textId="77777777" w:rsidR="00747F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lastRenderedPageBreak/>
        <w:t>Wykonawca zobowiązany jest do prowadzenia badań w celu udokumentowania, że materiały uzyskane z dopuszczonego źródła w sposób ciągły spełniają wymagania Specyfikacji Technicz</w:t>
      </w:r>
      <w:r w:rsidRPr="00A03FFD">
        <w:rPr>
          <w:rFonts w:ascii="Arial" w:hAnsi="Arial" w:cs="Arial"/>
          <w:color w:val="000000" w:themeColor="text1"/>
          <w:sz w:val="18"/>
        </w:rPr>
        <w:softHyphen/>
        <w:t>nych w czasie postępu Robót.</w:t>
      </w:r>
      <w:r w:rsidR="00DD2C1C" w:rsidRPr="00A03FFD">
        <w:rPr>
          <w:rFonts w:ascii="Arial" w:hAnsi="Arial" w:cs="Arial"/>
          <w:color w:val="000000" w:themeColor="text1"/>
          <w:sz w:val="18"/>
        </w:rPr>
        <w:t xml:space="preserve"> </w:t>
      </w:r>
    </w:p>
    <w:p w14:paraId="7EF7270F" w14:textId="77777777" w:rsidR="00FA703F" w:rsidRPr="00A03FFD" w:rsidRDefault="00FA703F" w:rsidP="00ED3EFE">
      <w:pPr>
        <w:pStyle w:val="Nagwek3"/>
        <w:spacing w:before="60"/>
        <w:rPr>
          <w:rFonts w:cs="Tahoma"/>
          <w:b w:val="0"/>
          <w:color w:val="000000" w:themeColor="text1"/>
          <w:kern w:val="1"/>
          <w:sz w:val="22"/>
          <w:szCs w:val="24"/>
        </w:rPr>
      </w:pPr>
      <w:r w:rsidRPr="00A03FFD">
        <w:rPr>
          <w:color w:val="000000" w:themeColor="text1"/>
          <w:sz w:val="22"/>
        </w:rPr>
        <w:t xml:space="preserve">2.2. </w:t>
      </w:r>
      <w:bookmarkStart w:id="12" w:name="_Toc315352922"/>
      <w:bookmarkStart w:id="13" w:name="_Toc315353138"/>
      <w:bookmarkStart w:id="14" w:name="_Toc466465031"/>
      <w:r w:rsidRPr="00A03FFD">
        <w:rPr>
          <w:color w:val="000000" w:themeColor="text1"/>
          <w:sz w:val="22"/>
        </w:rPr>
        <w:t>Pozyskiwanie materiałów miejscowych</w:t>
      </w:r>
      <w:bookmarkEnd w:id="12"/>
      <w:bookmarkEnd w:id="13"/>
      <w:bookmarkEnd w:id="14"/>
    </w:p>
    <w:p w14:paraId="6AA25ED0"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odpowiada za uzyskanie pozwoleń od właścicieli i odnośnych władz na pozyskanie materiałów z jakichkolwiek źródeł miejscowych włączając w to źródła wskazane przez Zamawiającego i jest zobowiązany dostarczyć Inżynierowi wymagane dokumenty przed rozpoczęciem eksploatacji źródła.</w:t>
      </w:r>
    </w:p>
    <w:p w14:paraId="721C45C6"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przedstawi dokumentację zawierającą raporty z badań terenowych i laboratoryjnych oraz proponowaną przez siebie metodę wydobycia i selekcji do zatwierdzenia Inżynierowi.</w:t>
      </w:r>
    </w:p>
    <w:p w14:paraId="41ADB291"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ponosi odpowiedzialność za spełnienie wymagań ilościowych i jakościowych materiałów z jakiegokolwiek źródła.</w:t>
      </w:r>
    </w:p>
    <w:p w14:paraId="3FA84569"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poniesie wszystkie koszty, a w tym: opłaty, wynagrodzenia i jakiekolwiek inne koszty związane z dostarcze</w:t>
      </w:r>
      <w:r w:rsidRPr="00A03FFD">
        <w:rPr>
          <w:rFonts w:ascii="Arial" w:hAnsi="Arial" w:cs="Arial"/>
          <w:color w:val="000000" w:themeColor="text1"/>
          <w:sz w:val="18"/>
        </w:rPr>
        <w:softHyphen/>
        <w:t>niem materiałów do Robót.</w:t>
      </w:r>
    </w:p>
    <w:p w14:paraId="357B93BA"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Humus i nadkład czasowo zdjęte z terenu wykopów, </w:t>
      </w:r>
      <w:proofErr w:type="spellStart"/>
      <w:r w:rsidRPr="00A03FFD">
        <w:rPr>
          <w:rFonts w:ascii="Arial" w:hAnsi="Arial" w:cs="Arial"/>
          <w:color w:val="000000" w:themeColor="text1"/>
          <w:sz w:val="18"/>
        </w:rPr>
        <w:t>dokopów</w:t>
      </w:r>
      <w:proofErr w:type="spellEnd"/>
      <w:r w:rsidRPr="00A03FFD">
        <w:rPr>
          <w:rFonts w:ascii="Arial" w:hAnsi="Arial" w:cs="Arial"/>
          <w:color w:val="000000" w:themeColor="text1"/>
          <w:sz w:val="18"/>
        </w:rPr>
        <w:t xml:space="preserve"> i miejsc pozyskania materiałów miejscowych będą formowane w hałdy i wykorzystane przy zasypce i rekultywacji terenu po ukończeniu robót.</w:t>
      </w:r>
    </w:p>
    <w:p w14:paraId="60DF2474"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Wszystkie odpowiednie materiały pozyskane z wykopów na Terenie Budowy lub z innych miejsc wskazanych w Kontrakcie będą wykorzystane do Robót lub odwiezione na odkład odpowiednio do wymagań Kontraktu lub wskazań Inżyniera.</w:t>
      </w:r>
    </w:p>
    <w:p w14:paraId="6B8666D5"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 wyjątkiem uzyskania na to pisemnej zgody Inżyniera, Wykonawca nie będzie prowadzić żadnych wykopów w obrębie Terenu Budowy poza tymi, które zostały wyszczególnione w Kontrakcie.</w:t>
      </w:r>
    </w:p>
    <w:p w14:paraId="1E23DA6A" w14:textId="77777777" w:rsidR="00FA703F" w:rsidRPr="00A03FFD" w:rsidRDefault="00FA703F"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Eksploatacja źródeł materiałów będzie zgodna z wszel</w:t>
      </w:r>
      <w:r w:rsidRPr="00A03FFD">
        <w:rPr>
          <w:rFonts w:ascii="Arial" w:hAnsi="Arial" w:cs="Arial"/>
          <w:color w:val="000000" w:themeColor="text1"/>
          <w:sz w:val="18"/>
        </w:rPr>
        <w:softHyphen/>
        <w:t>kimi regulacjami prawnymi obowiązującymi na danym obsza</w:t>
      </w:r>
      <w:r w:rsidRPr="00A03FFD">
        <w:rPr>
          <w:rFonts w:ascii="Arial" w:hAnsi="Arial" w:cs="Arial"/>
          <w:color w:val="000000" w:themeColor="text1"/>
          <w:sz w:val="18"/>
        </w:rPr>
        <w:softHyphen/>
        <w:t>rze.</w:t>
      </w:r>
    </w:p>
    <w:p w14:paraId="607ED0AC" w14:textId="77777777" w:rsidR="00F43000" w:rsidRPr="00A03FFD" w:rsidRDefault="00F43000" w:rsidP="00ED3EFE">
      <w:pPr>
        <w:pStyle w:val="Nagwek3"/>
        <w:spacing w:before="60"/>
        <w:rPr>
          <w:rFonts w:cs="Tahoma"/>
          <w:b w:val="0"/>
          <w:color w:val="000000" w:themeColor="text1"/>
          <w:kern w:val="1"/>
          <w:sz w:val="22"/>
          <w:szCs w:val="24"/>
        </w:rPr>
      </w:pPr>
      <w:r w:rsidRPr="00A03FFD">
        <w:rPr>
          <w:color w:val="000000" w:themeColor="text1"/>
          <w:sz w:val="22"/>
        </w:rPr>
        <w:t xml:space="preserve">2.3. </w:t>
      </w:r>
      <w:bookmarkStart w:id="15" w:name="_Toc466465032"/>
      <w:r w:rsidRPr="00A03FFD">
        <w:rPr>
          <w:color w:val="000000" w:themeColor="text1"/>
          <w:sz w:val="22"/>
        </w:rPr>
        <w:t>Inspekcja wytwórni materiałów</w:t>
      </w:r>
      <w:bookmarkEnd w:id="15"/>
    </w:p>
    <w:p w14:paraId="7C185137" w14:textId="77777777" w:rsidR="00F43000" w:rsidRPr="00A03FFD" w:rsidRDefault="00F43000" w:rsidP="00F43000">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Wytwórnie materiałów mogą być okresowo kontrolowane przez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w celu sprawdzenia zgodności stosowanych metod produkcyj</w:t>
      </w:r>
      <w:r w:rsidRPr="00A03FFD">
        <w:rPr>
          <w:rFonts w:ascii="Arial" w:hAnsi="Arial" w:cs="Arial"/>
          <w:color w:val="000000" w:themeColor="text1"/>
          <w:sz w:val="18"/>
        </w:rPr>
        <w:softHyphen/>
        <w:t>nych z wymaganiami. Próbki materiałów mogą być pobierane w celu sprawdzenia ich właściwości. Wynik tych kontroli będzie podstawą akceptacji określonej partii materia</w:t>
      </w:r>
      <w:r w:rsidRPr="00A03FFD">
        <w:rPr>
          <w:rFonts w:ascii="Arial" w:hAnsi="Arial" w:cs="Arial"/>
          <w:color w:val="000000" w:themeColor="text1"/>
          <w:sz w:val="18"/>
        </w:rPr>
        <w:softHyphen/>
        <w:t>łów pod względem jakości.</w:t>
      </w:r>
    </w:p>
    <w:p w14:paraId="4BF0990D" w14:textId="77777777" w:rsidR="00F43000" w:rsidRPr="00A03FFD" w:rsidRDefault="00F43000" w:rsidP="00F43000">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 przypadku, gdy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będzie przeprowadzał inspekcję wyt</w:t>
      </w:r>
      <w:r w:rsidRPr="00A03FFD">
        <w:rPr>
          <w:rFonts w:ascii="Arial" w:hAnsi="Arial" w:cs="Arial"/>
          <w:color w:val="000000" w:themeColor="text1"/>
          <w:sz w:val="18"/>
        </w:rPr>
        <w:softHyphen/>
        <w:t>wórni będą zachowane następujące warunki:</w:t>
      </w:r>
    </w:p>
    <w:p w14:paraId="682C5B1E" w14:textId="77777777" w:rsidR="00F43000" w:rsidRPr="00A03FFD" w:rsidRDefault="007E0A79" w:rsidP="00F43000">
      <w:pPr>
        <w:pStyle w:val="00Tekst"/>
        <w:numPr>
          <w:ilvl w:val="0"/>
          <w:numId w:val="6"/>
        </w:numPr>
        <w:tabs>
          <w:tab w:val="clear" w:pos="709"/>
          <w:tab w:val="left" w:pos="57"/>
          <w:tab w:val="num" w:pos="284"/>
        </w:tabs>
        <w:spacing w:line="240" w:lineRule="auto"/>
        <w:rPr>
          <w:color w:val="000000" w:themeColor="text1"/>
          <w:sz w:val="18"/>
        </w:rPr>
      </w:pPr>
      <w:r w:rsidRPr="00A03FFD">
        <w:rPr>
          <w:rFonts w:cs="Arial"/>
          <w:color w:val="000000" w:themeColor="text1"/>
          <w:sz w:val="18"/>
        </w:rPr>
        <w:t xml:space="preserve">Przedstawiciel Inwestora </w:t>
      </w:r>
      <w:r w:rsidR="00F43000" w:rsidRPr="00A03FFD">
        <w:rPr>
          <w:color w:val="000000" w:themeColor="text1"/>
          <w:sz w:val="18"/>
        </w:rPr>
        <w:t>będzie miał zapewnioną współpracę i pomoc Wykonawcy oraz producenta materiałów w czasie przeprowadzania inspek</w:t>
      </w:r>
      <w:r w:rsidR="00F43000" w:rsidRPr="00A03FFD">
        <w:rPr>
          <w:color w:val="000000" w:themeColor="text1"/>
          <w:sz w:val="18"/>
        </w:rPr>
        <w:softHyphen/>
        <w:t>cji,</w:t>
      </w:r>
    </w:p>
    <w:p w14:paraId="08B06E1C" w14:textId="77777777" w:rsidR="00F43000" w:rsidRPr="00A03FFD" w:rsidRDefault="007E0A79" w:rsidP="00F43000">
      <w:pPr>
        <w:pStyle w:val="00Tekst"/>
        <w:numPr>
          <w:ilvl w:val="0"/>
          <w:numId w:val="6"/>
        </w:numPr>
        <w:tabs>
          <w:tab w:val="clear" w:pos="709"/>
          <w:tab w:val="left" w:pos="57"/>
          <w:tab w:val="num" w:pos="284"/>
        </w:tabs>
        <w:spacing w:line="240" w:lineRule="auto"/>
        <w:rPr>
          <w:color w:val="000000" w:themeColor="text1"/>
          <w:sz w:val="18"/>
        </w:rPr>
      </w:pPr>
      <w:r w:rsidRPr="00A03FFD">
        <w:rPr>
          <w:rFonts w:cs="Arial"/>
          <w:color w:val="000000" w:themeColor="text1"/>
          <w:sz w:val="18"/>
        </w:rPr>
        <w:t xml:space="preserve">Przedstawiciel Inwestora </w:t>
      </w:r>
      <w:r w:rsidR="00F43000" w:rsidRPr="00A03FFD">
        <w:rPr>
          <w:color w:val="000000" w:themeColor="text1"/>
          <w:sz w:val="18"/>
        </w:rPr>
        <w:t>będzie miał wolny dostęp, w dowolnym czasie, do tych części wytwórni, gdzie odbywa się produkcja materiałów przezna</w:t>
      </w:r>
      <w:r w:rsidR="00F43000" w:rsidRPr="00A03FFD">
        <w:rPr>
          <w:color w:val="000000" w:themeColor="text1"/>
          <w:sz w:val="18"/>
        </w:rPr>
        <w:softHyphen/>
        <w:t>czonych do realizacji Kontraktu,</w:t>
      </w:r>
    </w:p>
    <w:p w14:paraId="737CE456" w14:textId="77777777" w:rsidR="00FA703F" w:rsidRPr="00A03FFD" w:rsidRDefault="00F43000" w:rsidP="00FA703F">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Jeżeli produkcja odbywa się w miejscu nie należącym do Wykonawcy, Wykonawca uzyska dla </w:t>
      </w:r>
      <w:r w:rsidR="007E0A79" w:rsidRPr="00A03FFD">
        <w:rPr>
          <w:rFonts w:cs="Arial"/>
          <w:color w:val="000000" w:themeColor="text1"/>
          <w:sz w:val="18"/>
        </w:rPr>
        <w:t>Przedstawiciela Inwestora</w:t>
      </w:r>
      <w:r w:rsidR="007E0A79" w:rsidRPr="00A03FFD">
        <w:rPr>
          <w:color w:val="000000" w:themeColor="text1"/>
          <w:sz w:val="18"/>
        </w:rPr>
        <w:t xml:space="preserve"> </w:t>
      </w:r>
      <w:r w:rsidRPr="00A03FFD">
        <w:rPr>
          <w:color w:val="000000" w:themeColor="text1"/>
          <w:sz w:val="18"/>
        </w:rPr>
        <w:t>zezwolenie dla przeprowadzenia inspekcji i badań w tych miejscach.</w:t>
      </w:r>
    </w:p>
    <w:p w14:paraId="1950B1FA" w14:textId="77777777" w:rsidR="003E368E" w:rsidRPr="00A03FFD" w:rsidRDefault="003E368E" w:rsidP="00ED3EFE">
      <w:pPr>
        <w:pStyle w:val="Nagwek3"/>
        <w:spacing w:before="60"/>
        <w:rPr>
          <w:color w:val="000000" w:themeColor="text1"/>
          <w:sz w:val="22"/>
        </w:rPr>
      </w:pPr>
      <w:bookmarkStart w:id="16" w:name="_Toc315352924"/>
      <w:bookmarkStart w:id="17" w:name="_Toc315353140"/>
      <w:bookmarkStart w:id="18" w:name="_Toc466465033"/>
      <w:r w:rsidRPr="00A03FFD">
        <w:rPr>
          <w:color w:val="000000" w:themeColor="text1"/>
          <w:sz w:val="22"/>
        </w:rPr>
        <w:t>2.4. Materiały nie odpowiadające wymaganiom</w:t>
      </w:r>
      <w:bookmarkEnd w:id="16"/>
      <w:bookmarkEnd w:id="17"/>
      <w:bookmarkEnd w:id="18"/>
    </w:p>
    <w:p w14:paraId="47C88BAD"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Materiały nie odpowiadające wymaganiom zostaną przez Wykonawcę wywiezione Terenu Budowy, bądź złożone w miejscu wskazanym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Jeśli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zezwoli Wykonawcy na użycie tych materia</w:t>
      </w:r>
      <w:r w:rsidRPr="00A03FFD">
        <w:rPr>
          <w:rFonts w:ascii="Arial" w:hAnsi="Arial" w:cs="Arial"/>
          <w:color w:val="000000" w:themeColor="text1"/>
          <w:sz w:val="18"/>
        </w:rPr>
        <w:softHyphen/>
        <w:t>łów do innych robót, niż te, dla których zostały zakupione, to koszt tych materiałów zostanie przewar</w:t>
      </w:r>
      <w:r w:rsidRPr="00A03FFD">
        <w:rPr>
          <w:rFonts w:ascii="Arial" w:hAnsi="Arial" w:cs="Arial"/>
          <w:color w:val="000000" w:themeColor="text1"/>
          <w:sz w:val="18"/>
        </w:rPr>
        <w:softHyphen/>
        <w:t xml:space="preserve">tościowany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73A34D1A"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Każdy rodzaj Robót, w którym znajdują się nie zbadane i nie zaakceptowane materiały, Wykonawca wykonuje na własne ryzyko, li</w:t>
      </w:r>
      <w:r w:rsidRPr="00A03FFD">
        <w:rPr>
          <w:rFonts w:ascii="Arial" w:hAnsi="Arial" w:cs="Arial"/>
          <w:color w:val="000000" w:themeColor="text1"/>
          <w:sz w:val="18"/>
        </w:rPr>
        <w:softHyphen/>
        <w:t>cząc się z jego nieprzyjęciem i niezapłaceniem.</w:t>
      </w:r>
    </w:p>
    <w:p w14:paraId="5AD1D5CE" w14:textId="77777777" w:rsidR="003E368E" w:rsidRPr="00A03FFD" w:rsidRDefault="003E368E" w:rsidP="00ED3EFE">
      <w:pPr>
        <w:pStyle w:val="Nagwek3"/>
        <w:spacing w:before="60"/>
        <w:rPr>
          <w:color w:val="000000" w:themeColor="text1"/>
          <w:sz w:val="22"/>
        </w:rPr>
      </w:pPr>
      <w:bookmarkStart w:id="19" w:name="_Toc315352925"/>
      <w:bookmarkStart w:id="20" w:name="_Toc315353141"/>
      <w:bookmarkStart w:id="21" w:name="_Toc466465034"/>
      <w:r w:rsidRPr="00A03FFD">
        <w:rPr>
          <w:color w:val="000000" w:themeColor="text1"/>
          <w:sz w:val="22"/>
        </w:rPr>
        <w:t>2.5. Przechowywanie i składowanie materiałów</w:t>
      </w:r>
      <w:bookmarkEnd w:id="19"/>
      <w:bookmarkEnd w:id="20"/>
      <w:bookmarkEnd w:id="21"/>
    </w:p>
    <w:p w14:paraId="3F042750"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zapewni aby tymczasowo składowane materiały, do czasu gdy będą one potrzebne do Robót, były zabezpieczone przed zanieczyszczeniem, zachowały swoją jakość i właściwość do Robót i były dostępne do kontroli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1D64FBFC"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Miejsca czasowego składowania będą zlokalizowane w obrębie Terenu Budowy w miejscach uzgodnionych z Inżynierem Kontraktu lub poza Terenem Budowy w miejscach zorganizowanych przez Wykonaw</w:t>
      </w:r>
      <w:r w:rsidRPr="00A03FFD">
        <w:rPr>
          <w:rFonts w:ascii="Arial" w:hAnsi="Arial" w:cs="Arial"/>
          <w:color w:val="000000" w:themeColor="text1"/>
          <w:sz w:val="18"/>
        </w:rPr>
        <w:softHyphen/>
        <w:t>cę.</w:t>
      </w:r>
    </w:p>
    <w:p w14:paraId="4623B6CE" w14:textId="77777777" w:rsidR="003E368E" w:rsidRPr="00A03FFD" w:rsidRDefault="003E368E" w:rsidP="00ED3EFE">
      <w:pPr>
        <w:pStyle w:val="Nagwek3"/>
        <w:spacing w:before="60"/>
        <w:rPr>
          <w:color w:val="000000" w:themeColor="text1"/>
          <w:sz w:val="22"/>
        </w:rPr>
      </w:pPr>
      <w:bookmarkStart w:id="22" w:name="_Toc315352926"/>
      <w:bookmarkStart w:id="23" w:name="_Toc315353142"/>
      <w:bookmarkStart w:id="24" w:name="_Toc466465035"/>
      <w:r w:rsidRPr="00A03FFD">
        <w:rPr>
          <w:color w:val="000000" w:themeColor="text1"/>
          <w:sz w:val="22"/>
        </w:rPr>
        <w:t>2.6. Wariantowe stosowanie materiałów</w:t>
      </w:r>
      <w:bookmarkEnd w:id="22"/>
      <w:bookmarkEnd w:id="23"/>
      <w:bookmarkEnd w:id="24"/>
    </w:p>
    <w:p w14:paraId="6328E8E1"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Jeśli Dokumentacja Kontraktowa lub ST przewidują możliwość wariantowego zastosowania rodzaju materiału w wykonywanych Robotach, Wykonawca powiadomi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o swoim zamiarze co najmniej 3 tygodnie przed użyciem materiału, albo w okresie dłuższym, jeśli będzie to wymagane dla badań prowadzo</w:t>
      </w:r>
      <w:r w:rsidRPr="00A03FFD">
        <w:rPr>
          <w:rFonts w:ascii="Arial" w:hAnsi="Arial" w:cs="Arial"/>
          <w:color w:val="000000" w:themeColor="text1"/>
          <w:sz w:val="18"/>
        </w:rPr>
        <w:softHyphen/>
        <w:t xml:space="preserve">nych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Wybrany i zaakceptowany rodzaj materiału nie może być później zmieniany bez zgody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337AFD18" w14:textId="77777777" w:rsidR="003E368E" w:rsidRPr="00A03FFD" w:rsidRDefault="003E368E" w:rsidP="00ED3EFE">
      <w:pPr>
        <w:pStyle w:val="Nagwek3"/>
        <w:spacing w:before="60"/>
        <w:rPr>
          <w:color w:val="000000" w:themeColor="text1"/>
          <w:sz w:val="22"/>
        </w:rPr>
      </w:pPr>
      <w:bookmarkStart w:id="25" w:name="_Toc315352927"/>
      <w:bookmarkStart w:id="26" w:name="_Toc315353143"/>
      <w:bookmarkStart w:id="27" w:name="_Toc466465036"/>
      <w:r w:rsidRPr="00A03FFD">
        <w:rPr>
          <w:color w:val="000000" w:themeColor="text1"/>
          <w:sz w:val="22"/>
        </w:rPr>
        <w:t>2.7. Materiały z rozbiórek i odpadowe</w:t>
      </w:r>
      <w:bookmarkEnd w:id="25"/>
      <w:bookmarkEnd w:id="26"/>
      <w:bookmarkEnd w:id="27"/>
    </w:p>
    <w:p w14:paraId="104C5724"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Wszystkie elementy i materiały z rozbiórek stają się własnością Wykonawcy i powinny być usunięte z terenu budowy w sposób i terminie niekolidującym z wykonaniem innych robot. Koszt związany z rozbiórką, transportem, zwałką (utylizacją) w/w materiałów Wykonawca powinien zawrzeć w cenie kontraktowej, w odpowiednich pozycjach kosztorysowych.</w:t>
      </w:r>
    </w:p>
    <w:p w14:paraId="5BB7B640"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Materiały z rozbiórki Wykonawca usunie poza plac budowy przy przestrzeganiu zapisów ustawy z dnia 14 grudnia 2012 r. o odpadach (Dz. U. 2013, poz. 21).</w:t>
      </w:r>
    </w:p>
    <w:p w14:paraId="31D79B9A"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Pozyskanie miejsca utylizacji materiałów stanowi obowiązek Wykonawcy.</w:t>
      </w:r>
    </w:p>
    <w:p w14:paraId="3779416E"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powinien na etapie przygotowania oferty ustalić rzeczywiste odległości odwozu materiałów przeznaczonych do utylizacji i uwzględnić to w cenie ofertowej. Ewentualna zmiana tych odległości w stosunku do założonych w ofercie stanowi ryzyko Wykonawcy.</w:t>
      </w:r>
    </w:p>
    <w:p w14:paraId="41CFF4AC"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lastRenderedPageBreak/>
        <w:t>Jeżeli zaistnieje taka potrzeba lub wynika to z uzgodnień z właścicielami sieci uzbrojenia terenu, elementy pochodzące z rozbiórek sieci uzbrojenia terenu Wykonawca zdemontuje i przetransportuje w miejsce uzgodnione przez Wykonawcę z odpowiednim właścicielem tych sieci na koszt własny na odległość do 50km.</w:t>
      </w:r>
    </w:p>
    <w:p w14:paraId="61EA50E9"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Jeżeli nie zaistnieje żadna z ww. okoliczności, z materiałem z rozbiórki postąpić jak w przypadku pozostałych materiałów rozbiórkowych.</w:t>
      </w:r>
    </w:p>
    <w:p w14:paraId="752EE018" w14:textId="77777777" w:rsidR="003E368E" w:rsidRPr="00A03FFD" w:rsidRDefault="003E368E" w:rsidP="003E368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Koszt transportu w miejsca wskazane przez właścicieli sieci uzbrojenia terenu nie podlega osobnej zapłacie i jest zawarty w cenie kontraktowej.</w:t>
      </w:r>
    </w:p>
    <w:p w14:paraId="2257F6AD" w14:textId="77777777" w:rsidR="003E368E" w:rsidRPr="00A03FFD" w:rsidRDefault="00594A21" w:rsidP="00ED3EFE">
      <w:pPr>
        <w:pStyle w:val="Nagwek3"/>
        <w:spacing w:before="60"/>
        <w:rPr>
          <w:color w:val="000000" w:themeColor="text1"/>
          <w:sz w:val="22"/>
        </w:rPr>
      </w:pPr>
      <w:bookmarkStart w:id="28" w:name="_Toc315352928"/>
      <w:bookmarkStart w:id="29" w:name="_Toc315353144"/>
      <w:bookmarkStart w:id="30" w:name="_Toc466465037"/>
      <w:r w:rsidRPr="00A03FFD">
        <w:rPr>
          <w:color w:val="000000" w:themeColor="text1"/>
          <w:sz w:val="22"/>
        </w:rPr>
        <w:t xml:space="preserve">2.8. </w:t>
      </w:r>
      <w:r w:rsidR="003E368E" w:rsidRPr="00A03FFD">
        <w:rPr>
          <w:color w:val="000000" w:themeColor="text1"/>
          <w:sz w:val="22"/>
        </w:rPr>
        <w:t>Materiały zawierające azbest</w:t>
      </w:r>
      <w:bookmarkEnd w:id="28"/>
      <w:bookmarkEnd w:id="29"/>
      <w:bookmarkEnd w:id="30"/>
    </w:p>
    <w:p w14:paraId="239F0B5D" w14:textId="77777777" w:rsidR="00FA703F" w:rsidRPr="00A03FFD" w:rsidRDefault="003E368E" w:rsidP="00FA703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Obowiązki Wykonawcy prac polegających na bezpiecznym usuwaniu wyrobów zawierających azbest, sposoby i warunki bezpiecznego usuwania wyrobów zawierających azbest, warunki przygotowania do transportu i transport odpadów zawierających azbest do miejsca ich składowania oraz wymagania, jakim powinno odpowiadać oznakowanie odpadów zawierających azbest w szczegółowy sposób określa Rozporządzenie Ministra Gospodarki, Pracy i Polityki Społecznej z dnia 2.04.2004 w sprawie sposobów i warunków bezpiecznego użytkowania i usuwania wyrobów zawierających azbest (Dz. U. 2004.71.649).</w:t>
      </w:r>
    </w:p>
    <w:p w14:paraId="2783B153" w14:textId="77777777" w:rsidR="00BD540F" w:rsidRPr="00A03FFD" w:rsidRDefault="00BD540F" w:rsidP="00ED3EFE">
      <w:pPr>
        <w:pStyle w:val="Nagwek2"/>
        <w:rPr>
          <w:i w:val="0"/>
          <w:color w:val="000000" w:themeColor="text1"/>
        </w:rPr>
      </w:pPr>
      <w:r w:rsidRPr="00A03FFD">
        <w:rPr>
          <w:i w:val="0"/>
          <w:color w:val="000000" w:themeColor="text1"/>
        </w:rPr>
        <w:t>3. SPRZĘT</w:t>
      </w:r>
      <w:r w:rsidRPr="00A03FFD">
        <w:rPr>
          <w:i w:val="0"/>
          <w:color w:val="000000" w:themeColor="text1"/>
        </w:rPr>
        <w:tab/>
        <w:t>.</w:t>
      </w:r>
    </w:p>
    <w:p w14:paraId="02367C05" w14:textId="77777777" w:rsidR="00BD540F" w:rsidRPr="00A03FFD" w:rsidRDefault="00BD540F" w:rsidP="00BD540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zobowiązany do używania jedynie takiego sprzętu, który nie spowoduje niekorzystnego wpływu na jakość wykonywa</w:t>
      </w:r>
      <w:r w:rsidRPr="00A03FFD">
        <w:rPr>
          <w:rFonts w:ascii="Arial" w:hAnsi="Arial" w:cs="Arial"/>
          <w:color w:val="000000" w:themeColor="text1"/>
          <w:sz w:val="18"/>
        </w:rPr>
        <w:softHyphen/>
        <w:t>nych Robót. Sprzęt używany do Robót powinien być zgodny z ofertą Wykonawcy i powinien odpowiadać pod względem typów i ilości wskaza</w:t>
      </w:r>
      <w:r w:rsidRPr="00A03FFD">
        <w:rPr>
          <w:rFonts w:ascii="Arial" w:hAnsi="Arial" w:cs="Arial"/>
          <w:color w:val="000000" w:themeColor="text1"/>
          <w:sz w:val="18"/>
        </w:rPr>
        <w:softHyphen/>
        <w:t>niom zawartym w ST lub projekcie organizacji Robót, zaakcep</w:t>
      </w:r>
      <w:r w:rsidRPr="00A03FFD">
        <w:rPr>
          <w:rFonts w:ascii="Arial" w:hAnsi="Arial" w:cs="Arial"/>
          <w:color w:val="000000" w:themeColor="text1"/>
          <w:sz w:val="18"/>
        </w:rPr>
        <w:softHyphen/>
        <w:t xml:space="preserve">towanym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w przypadku braku ustaleń w takich doku</w:t>
      </w:r>
      <w:r w:rsidRPr="00A03FFD">
        <w:rPr>
          <w:rFonts w:ascii="Arial" w:hAnsi="Arial" w:cs="Arial"/>
          <w:color w:val="000000" w:themeColor="text1"/>
          <w:sz w:val="18"/>
        </w:rPr>
        <w:softHyphen/>
        <w:t>mentach sprzęt powinien być uzgod</w:t>
      </w:r>
      <w:r w:rsidRPr="00A03FFD">
        <w:rPr>
          <w:rFonts w:ascii="Arial" w:hAnsi="Arial" w:cs="Arial"/>
          <w:color w:val="000000" w:themeColor="text1"/>
          <w:sz w:val="18"/>
        </w:rPr>
        <w:softHyphen/>
        <w:t>niony i zaakcepto</w:t>
      </w:r>
      <w:r w:rsidRPr="00A03FFD">
        <w:rPr>
          <w:rFonts w:ascii="Arial" w:hAnsi="Arial" w:cs="Arial"/>
          <w:color w:val="000000" w:themeColor="text1"/>
          <w:sz w:val="18"/>
        </w:rPr>
        <w:softHyphen/>
        <w:t xml:space="preserve">wany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7F408E80" w14:textId="77777777" w:rsidR="00BD540F" w:rsidRPr="00A03FFD" w:rsidRDefault="00BD540F" w:rsidP="00BD540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Liczba i wydajność sprzętu będzie gwarantować przepro</w:t>
      </w:r>
      <w:r w:rsidRPr="00A03FFD">
        <w:rPr>
          <w:rFonts w:ascii="Arial" w:hAnsi="Arial" w:cs="Arial"/>
          <w:color w:val="000000" w:themeColor="text1"/>
          <w:sz w:val="18"/>
        </w:rPr>
        <w:softHyphen/>
        <w:t>wa</w:t>
      </w:r>
      <w:r w:rsidRPr="00A03FFD">
        <w:rPr>
          <w:rFonts w:ascii="Arial" w:hAnsi="Arial" w:cs="Arial"/>
          <w:color w:val="000000" w:themeColor="text1"/>
          <w:sz w:val="18"/>
        </w:rPr>
        <w:softHyphen/>
        <w:t xml:space="preserve">dzenie Robót, zgodnie z zasadami określonymi w Dokumentacji Projektowej, ST i wskazaniach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w terminie przewidzia</w:t>
      </w:r>
      <w:r w:rsidRPr="00A03FFD">
        <w:rPr>
          <w:rFonts w:ascii="Arial" w:hAnsi="Arial" w:cs="Arial"/>
          <w:color w:val="000000" w:themeColor="text1"/>
          <w:sz w:val="18"/>
        </w:rPr>
        <w:softHyphen/>
        <w:t>nym Kontraktem.</w:t>
      </w:r>
    </w:p>
    <w:p w14:paraId="6AA7B7AA" w14:textId="77777777" w:rsidR="00BD540F" w:rsidRPr="00A03FFD" w:rsidRDefault="00BD540F" w:rsidP="00BD540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Sprzęt będący własnością Wykonawcy lub wynajęty do wykonania Robót ma być utrzymywany w dobrym stanie i gotowości do pracy. Będzie on zgodny z normami ochrony środowiska i przepisami dotyczącymi jego użytkowania.</w:t>
      </w:r>
    </w:p>
    <w:p w14:paraId="3F3DEC92" w14:textId="77777777" w:rsidR="00BD540F" w:rsidRPr="00A03FFD" w:rsidRDefault="00BD540F" w:rsidP="00BD540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dostarczy </w:t>
      </w:r>
      <w:r w:rsidR="007E0A79" w:rsidRPr="00A03FFD">
        <w:rPr>
          <w:rFonts w:ascii="Arial" w:hAnsi="Arial" w:cs="Arial"/>
          <w:color w:val="000000" w:themeColor="text1"/>
          <w:sz w:val="18"/>
        </w:rPr>
        <w:t xml:space="preserve">Przedstawicielowi Inwestora </w:t>
      </w:r>
      <w:r w:rsidRPr="00A03FFD">
        <w:rPr>
          <w:rFonts w:ascii="Arial" w:hAnsi="Arial" w:cs="Arial"/>
          <w:color w:val="000000" w:themeColor="text1"/>
          <w:sz w:val="18"/>
        </w:rPr>
        <w:t>kopie dokumentów potwierdzających dopuszczenie sprzętu do użytkowania, tam gdzie jest to wymagane przepisami.</w:t>
      </w:r>
    </w:p>
    <w:p w14:paraId="45A96186" w14:textId="77777777" w:rsidR="00BD540F" w:rsidRPr="00A03FFD" w:rsidRDefault="00BD540F" w:rsidP="00BD540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Jeżeli Dokumentacja Projektowa lub ST przewidują możliwość wariantowego użycia sprzętu przy wykonywanych Robotach, Wykonawca powiadomi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 xml:space="preserve">o swoim zamiarze wyboru i uzyska jego akceptację przed użyciem sprzętu. Wybrany sprzęt, po akceptacji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nie może być później zmieniany bez jego zgody.</w:t>
      </w:r>
    </w:p>
    <w:p w14:paraId="0E0F2C45" w14:textId="77777777" w:rsidR="00FA703F" w:rsidRPr="00A03FFD" w:rsidRDefault="00BD540F" w:rsidP="00BD540F">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Jakikolwiek sprzęt, maszyny, urządzenia i narzędzia nie gwaran</w:t>
      </w:r>
      <w:r w:rsidRPr="00A03FFD">
        <w:rPr>
          <w:rFonts w:ascii="Arial" w:hAnsi="Arial" w:cs="Arial"/>
          <w:color w:val="000000" w:themeColor="text1"/>
          <w:sz w:val="18"/>
        </w:rPr>
        <w:softHyphen/>
        <w:t xml:space="preserve">tujące zachowania warunków Kontraktu, zostaną przez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zdys</w:t>
      </w:r>
      <w:r w:rsidRPr="00A03FFD">
        <w:rPr>
          <w:rFonts w:ascii="Arial" w:hAnsi="Arial" w:cs="Arial"/>
          <w:color w:val="000000" w:themeColor="text1"/>
          <w:sz w:val="18"/>
        </w:rPr>
        <w:softHyphen/>
        <w:t>kwalifikowane i niedopuszczone do Robót.</w:t>
      </w:r>
    </w:p>
    <w:p w14:paraId="77221DB1" w14:textId="77777777" w:rsidR="008E64CB" w:rsidRPr="00A03FFD" w:rsidRDefault="008E64CB" w:rsidP="00ED3EFE">
      <w:pPr>
        <w:pStyle w:val="Nagwek2"/>
        <w:rPr>
          <w:i w:val="0"/>
          <w:color w:val="000000" w:themeColor="text1"/>
        </w:rPr>
      </w:pPr>
      <w:bookmarkStart w:id="31" w:name="_Toc315352930"/>
      <w:bookmarkStart w:id="32" w:name="_Toc315353146"/>
      <w:bookmarkStart w:id="33" w:name="_Toc466465039"/>
      <w:r w:rsidRPr="00A03FFD">
        <w:rPr>
          <w:i w:val="0"/>
          <w:color w:val="000000" w:themeColor="text1"/>
        </w:rPr>
        <w:t>4. TRANSPORT</w:t>
      </w:r>
      <w:bookmarkEnd w:id="31"/>
      <w:bookmarkEnd w:id="32"/>
      <w:bookmarkEnd w:id="33"/>
      <w:r w:rsidRPr="00A03FFD">
        <w:rPr>
          <w:i w:val="0"/>
          <w:color w:val="000000" w:themeColor="text1"/>
        </w:rPr>
        <w:t>.</w:t>
      </w:r>
    </w:p>
    <w:p w14:paraId="72DA0C34" w14:textId="77777777" w:rsidR="008E64CB" w:rsidRPr="00A03FFD" w:rsidRDefault="008E64CB" w:rsidP="008E64CB">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stosować się będzie do ustawowych ograniczeń obciążenia na oś w transporcie materiałów / sprzętu na i z terenu Robót. Uzyska on wszelkie niezbędne zezwolenia od władz (zarządcy drogi) co do przewozu nietypowych ładunków i w sposób ciągły będzie o każdym takim przewozie powiadamiał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32131F4D" w14:textId="77777777" w:rsidR="008E64CB" w:rsidRPr="00A03FFD" w:rsidRDefault="008E64CB" w:rsidP="008E64CB">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zobowiązany do stosowania jedynie takich środków transportu, które nie wpłyną niekorzystnie na jakość wykonywa</w:t>
      </w:r>
      <w:r w:rsidRPr="00A03FFD">
        <w:rPr>
          <w:rFonts w:ascii="Arial" w:hAnsi="Arial" w:cs="Arial"/>
          <w:color w:val="000000" w:themeColor="text1"/>
          <w:sz w:val="18"/>
        </w:rPr>
        <w:softHyphen/>
        <w:t>nych Robót i właściwości przewożonych materiałów.</w:t>
      </w:r>
    </w:p>
    <w:p w14:paraId="22A4A2EB" w14:textId="77777777" w:rsidR="008E64CB" w:rsidRPr="00A03FFD" w:rsidRDefault="008E64CB" w:rsidP="008E64CB">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Liczba środków transportu będzie zapewniać prowadzenie Robót zgodnie z zasadami określonymi w Dokumentacji Projekto</w:t>
      </w:r>
      <w:r w:rsidRPr="00A03FFD">
        <w:rPr>
          <w:rFonts w:ascii="Arial" w:hAnsi="Arial" w:cs="Arial"/>
          <w:color w:val="000000" w:themeColor="text1"/>
          <w:sz w:val="18"/>
        </w:rPr>
        <w:softHyphen/>
        <w:t xml:space="preserve">wej, ST i wskazaniach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Projektu w terminie przewidzianym Umową.</w:t>
      </w:r>
    </w:p>
    <w:p w14:paraId="210AD1F6" w14:textId="77777777" w:rsidR="008E64CB" w:rsidRPr="00A03FFD" w:rsidRDefault="008E64CB" w:rsidP="008E64CB">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Środki transportu nie odpowiadające warunkom dopuszczalnych obciążeń na osie mogą być użyte przez Wykonawcę, pod warunkiem przywrócenia do stanu pierwotnego użytkowanych odcinków dróg publicznych na koszt Wykonawcy.</w:t>
      </w:r>
    </w:p>
    <w:p w14:paraId="372593DF" w14:textId="77777777" w:rsidR="008E64CB" w:rsidRPr="00A03FFD" w:rsidRDefault="008E64CB" w:rsidP="008E64CB">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Wykonawca będzie usuwać na bieżąco, na własny koszt, wszelkie zanieczyszczenia spowodowane jego pojazdami na drogach publicznych oraz dojazdach do Terenu Budowy.</w:t>
      </w:r>
    </w:p>
    <w:p w14:paraId="37A6B31F" w14:textId="77777777" w:rsidR="00281AA0" w:rsidRPr="00A03FFD" w:rsidRDefault="00281AA0" w:rsidP="00ED3EFE">
      <w:pPr>
        <w:pStyle w:val="Nagwek2"/>
        <w:rPr>
          <w:i w:val="0"/>
          <w:color w:val="000000" w:themeColor="text1"/>
        </w:rPr>
      </w:pPr>
      <w:r w:rsidRPr="00A03FFD">
        <w:rPr>
          <w:i w:val="0"/>
          <w:color w:val="000000" w:themeColor="text1"/>
        </w:rPr>
        <w:t xml:space="preserve">5. </w:t>
      </w:r>
      <w:bookmarkStart w:id="34" w:name="_Toc315352931"/>
      <w:bookmarkStart w:id="35" w:name="_Toc315353147"/>
      <w:bookmarkStart w:id="36" w:name="_Toc466465040"/>
      <w:r w:rsidRPr="00A03FFD">
        <w:rPr>
          <w:i w:val="0"/>
          <w:color w:val="000000" w:themeColor="text1"/>
        </w:rPr>
        <w:t>WYKONANIE ROBÓT</w:t>
      </w:r>
      <w:bookmarkEnd w:id="34"/>
      <w:bookmarkEnd w:id="35"/>
      <w:bookmarkEnd w:id="36"/>
      <w:r w:rsidRPr="00A03FFD">
        <w:rPr>
          <w:i w:val="0"/>
          <w:color w:val="000000" w:themeColor="text1"/>
        </w:rPr>
        <w:t>.</w:t>
      </w:r>
    </w:p>
    <w:p w14:paraId="11326F53" w14:textId="77777777" w:rsidR="00747F3F" w:rsidRPr="00A03FFD" w:rsidRDefault="00271EB9" w:rsidP="00ED3EFE">
      <w:pPr>
        <w:pStyle w:val="Nagwek3"/>
        <w:spacing w:before="60"/>
        <w:rPr>
          <w:color w:val="000000" w:themeColor="text1"/>
          <w:sz w:val="22"/>
        </w:rPr>
      </w:pPr>
      <w:bookmarkStart w:id="37" w:name="_Toc469054104"/>
      <w:r w:rsidRPr="00A03FFD">
        <w:rPr>
          <w:color w:val="000000" w:themeColor="text1"/>
          <w:sz w:val="22"/>
        </w:rPr>
        <w:t>5</w:t>
      </w:r>
      <w:r w:rsidR="00747F3F" w:rsidRPr="00A03FFD">
        <w:rPr>
          <w:color w:val="000000" w:themeColor="text1"/>
          <w:sz w:val="22"/>
        </w:rPr>
        <w:t>.</w:t>
      </w:r>
      <w:r w:rsidR="008E347E" w:rsidRPr="00A03FFD">
        <w:rPr>
          <w:color w:val="000000" w:themeColor="text1"/>
          <w:sz w:val="22"/>
        </w:rPr>
        <w:t>1</w:t>
      </w:r>
      <w:r w:rsidRPr="00A03FFD">
        <w:rPr>
          <w:color w:val="000000" w:themeColor="text1"/>
          <w:sz w:val="22"/>
        </w:rPr>
        <w:t>.</w:t>
      </w:r>
      <w:r w:rsidR="00747F3F" w:rsidRPr="00A03FFD">
        <w:rPr>
          <w:color w:val="000000" w:themeColor="text1"/>
          <w:sz w:val="22"/>
        </w:rPr>
        <w:t xml:space="preserve"> Przebieg trasy</w:t>
      </w:r>
      <w:bookmarkEnd w:id="37"/>
      <w:r w:rsidR="007C0EC6" w:rsidRPr="00A03FFD">
        <w:rPr>
          <w:color w:val="000000" w:themeColor="text1"/>
          <w:sz w:val="22"/>
        </w:rPr>
        <w:t xml:space="preserve"> </w:t>
      </w:r>
      <w:bookmarkStart w:id="38" w:name="_Toc315352932"/>
      <w:bookmarkStart w:id="39" w:name="_Toc315353148"/>
      <w:bookmarkStart w:id="40" w:name="_Toc466465041"/>
      <w:r w:rsidR="007C0EC6" w:rsidRPr="00A03FFD">
        <w:rPr>
          <w:color w:val="000000" w:themeColor="text1"/>
          <w:sz w:val="22"/>
        </w:rPr>
        <w:t>Ogólne zasady wykonywania Robót</w:t>
      </w:r>
      <w:bookmarkEnd w:id="38"/>
      <w:bookmarkEnd w:id="39"/>
      <w:bookmarkEnd w:id="40"/>
    </w:p>
    <w:bookmarkEnd w:id="11"/>
    <w:p w14:paraId="56E58C6E"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odpowiedzialny za prowadzenie Robót zgodnie z Kontraktem, oraz za jakość zastosowanych materiałów i wykonywanych Robót, za ich zgodność z Dokumentacją Projektową, wymaganiami ST, Projektu Technologii i Organizacji Robót oraz poleceniami Inżyniera.</w:t>
      </w:r>
    </w:p>
    <w:p w14:paraId="3F494A87"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odpowiedzialny za stosowane metody wykonywania robót.</w:t>
      </w:r>
    </w:p>
    <w:p w14:paraId="79BCEC77"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Przed przystąpieniem do robót Wykonawca uzgodni Projekty Technologii i Organizacji Robót, Programy Zapewnienia Jakości oraz Projekty uzupełniające z Inżynierem Projektu.</w:t>
      </w:r>
    </w:p>
    <w:p w14:paraId="5FC87FC0"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Wszelkie koszty z tego tytułu nie podlegają odrębnej zapłacie i należy je ująć w Cenie Kontraktowej</w:t>
      </w:r>
    </w:p>
    <w:p w14:paraId="29D9BF98"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Roboty budowlane Wykonawca winien prowadzić wyłącznie na działkach objętych pozwoleniem na budowę.</w:t>
      </w:r>
    </w:p>
    <w:p w14:paraId="2197F1B4"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konieczności zajęcia nieruchomości przyległych do terenu inwestycji, nie objętych pozwoleniem na budowę, wynikających z przyjętej technologii robót, Wykonawca jest zobowiązany uzyskać stosowne dokumenty i uzgodnienia z właścicielem nieruchomości umożliwiające wejście czasowe w teren i jest zobowiązany zastosować odpowiednie środki techniczne minimalizujące uciążliwość działań Wykonawcy dla otoczenia w stopniu możliwym do zaakceptowania przez właściciela przyległego terenu.</w:t>
      </w:r>
    </w:p>
    <w:p w14:paraId="5D2044CE"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ponosi odpowiedzialność za dokładne wytyczenie w planie i wyznaczenie wysokości wszystkich elementów Robót zgodnie z wymiarami i rzędnymi określonymi w Dokumentacji Projektowej lub przekazanymi na piśmie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39FC7870"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lastRenderedPageBreak/>
        <w:t xml:space="preserve">Wykonawca jest odpowiedzialny za ochronę wszystkich punktów pomiarowych i ich oznaczeń w czasie trwania robót. Jeżeli znaki pomiarowe pobrane z właściwego </w:t>
      </w:r>
      <w:proofErr w:type="spellStart"/>
      <w:r w:rsidRPr="00A03FFD">
        <w:rPr>
          <w:rFonts w:ascii="Arial" w:hAnsi="Arial" w:cs="Arial"/>
          <w:color w:val="000000" w:themeColor="text1"/>
          <w:sz w:val="18"/>
        </w:rPr>
        <w:t>ODGKiA</w:t>
      </w:r>
      <w:proofErr w:type="spellEnd"/>
      <w:r w:rsidRPr="00A03FFD">
        <w:rPr>
          <w:rFonts w:ascii="Arial" w:hAnsi="Arial" w:cs="Arial"/>
          <w:color w:val="000000" w:themeColor="text1"/>
          <w:sz w:val="18"/>
        </w:rPr>
        <w:t xml:space="preserve"> zostaną zniszczone przez Wykonawcę świadomie lub wskutek zaniedbania, zostaną one odtworzone na koszt Wykonawcy. W przypadku konieczności likwidacji lub zmiany lokalizacji punktów pomiarowych Wykonawca wykona je na własny koszt.</w:t>
      </w:r>
    </w:p>
    <w:p w14:paraId="25A54638"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 przystąpieniem do wykonania prac geodezyjnych i kartograficznych Wykonawca zobowiązany jest zgłosić prace do ośrodka dokumentacji, pozyskać aktualne dane odnośnie państwowej osnowy sytuacyjno-wysokościowej, a następnie po zakończeniu budowy –złożyć operat z pomiaru powykonawczego - do państwowego zasobu </w:t>
      </w:r>
      <w:proofErr w:type="spellStart"/>
      <w:r w:rsidRPr="00A03FFD">
        <w:rPr>
          <w:rFonts w:ascii="Arial" w:hAnsi="Arial" w:cs="Arial"/>
          <w:color w:val="000000" w:themeColor="text1"/>
          <w:sz w:val="18"/>
        </w:rPr>
        <w:t>geodezyjno</w:t>
      </w:r>
      <w:proofErr w:type="spellEnd"/>
      <w:r w:rsidRPr="00A03FFD">
        <w:rPr>
          <w:rFonts w:ascii="Arial" w:hAnsi="Arial" w:cs="Arial"/>
          <w:color w:val="000000" w:themeColor="text1"/>
          <w:sz w:val="18"/>
        </w:rPr>
        <w:t xml:space="preserve"> kartograficznego.</w:t>
      </w:r>
    </w:p>
    <w:p w14:paraId="50838A8A"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Pracami geodezyjnymi i kartograficznymi powinna kierować i sprawować nad nimi bezpośredni nadzór i kontrolę wyłącznie osoba posiadająca odpowiednie uprawnienia zawodowe – zgodnie z wymaganiami ustawy Prawo geodezyjne i kartograficzne.</w:t>
      </w:r>
    </w:p>
    <w:p w14:paraId="6166B2D0" w14:textId="77777777" w:rsidR="00AD69E6" w:rsidRPr="00A03FFD" w:rsidRDefault="00AD69E6" w:rsidP="00AD69E6">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Geodezyjna Obsługa Budowy obejmuje w szczególności:</w:t>
      </w:r>
    </w:p>
    <w:p w14:paraId="3BE6B7DE"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założenie osnowy realizacyjnej, w dowiązaniu do punktów osnowy państwowej,</w:t>
      </w:r>
    </w:p>
    <w:p w14:paraId="1D28A57A"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wykonanie pomiaru kontrolnego w pasie włączenia do istniejącej sytuacji,</w:t>
      </w:r>
    </w:p>
    <w:p w14:paraId="3B610D64"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odszukanie i oznaczenie granic pasa lokalizacji inwestycji,</w:t>
      </w:r>
    </w:p>
    <w:p w14:paraId="154B8787"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wytyczenie punktów głównych trasy, sieci i obiektów inżynierskich,</w:t>
      </w:r>
    </w:p>
    <w:p w14:paraId="0D9B037D"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bieżącą obsługę geodezyjną budowy,</w:t>
      </w:r>
    </w:p>
    <w:p w14:paraId="0EE183CB"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pomiary przemieszczeń i odkształceń prowadzone w miarę potrzeby do końca okresu gwarancyjnego,</w:t>
      </w:r>
    </w:p>
    <w:p w14:paraId="7C89AAC1" w14:textId="77777777" w:rsidR="00AD69E6" w:rsidRPr="00A03FFD" w:rsidRDefault="00AD69E6" w:rsidP="00AD69E6">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inwentaryzację powykonawczą</w:t>
      </w:r>
    </w:p>
    <w:p w14:paraId="4868AE2A"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Następstwa jakiegokolwiek błędu spowodowanego przez Wykonawcę w wytyczeniu i wyznaczaniu Robót zostaną, jeśli wymagać tego będzie </w:t>
      </w:r>
      <w:r w:rsidR="007E0A79" w:rsidRPr="00A03FFD">
        <w:rPr>
          <w:rFonts w:ascii="Arial" w:hAnsi="Arial" w:cs="Arial"/>
          <w:color w:val="000000" w:themeColor="text1"/>
          <w:sz w:val="18"/>
        </w:rPr>
        <w:t>Przedstawiciel Inwestora</w:t>
      </w:r>
      <w:r w:rsidRPr="00A03FFD">
        <w:rPr>
          <w:rFonts w:ascii="Arial" w:hAnsi="Arial" w:cs="Arial"/>
          <w:color w:val="000000" w:themeColor="text1"/>
          <w:sz w:val="18"/>
        </w:rPr>
        <w:t>, poprawione przez Wykonawcę na własny koszt.</w:t>
      </w:r>
    </w:p>
    <w:p w14:paraId="72EE6B6E"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Sprawdzenie wytyczenia Robót lub wyznaczenia wysokości przez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nie zwalnia Wykonawcy od odpowiedzialności za ich dokładność.</w:t>
      </w:r>
    </w:p>
    <w:p w14:paraId="3F9C4390"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Decyzje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 xml:space="preserve">dotyczące akceptacji lub odrzucenia materiałów i elementów Robót będą oparte na wymaganiach sformułowanych w Kontrakcie, Dokumentacji Projektowej i w ST, a także w normach i wytycznych. Przy podejmowaniu decyzji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uwzględni wyniki badań materiałów i Robót, rozrzuty normalnie występujące przy produkcji i przy badaniach materiałów, doświadczenia z przeszłości, wyniki badań naukowych oraz inne czynniki wpływające na rozważaną kwestię.</w:t>
      </w:r>
    </w:p>
    <w:p w14:paraId="68D8B4AA"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Wszelkie Polecenia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 xml:space="preserve">powinny być wykonywane przez Wykonawcę w czasie zgodnym z warunkami Kontraktu i określonym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W przypadku niewykonania w terminie Poleceń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skutki finansowe z tego tytułu poniesie Wykonawca.</w:t>
      </w:r>
    </w:p>
    <w:p w14:paraId="5C97D74A"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Każdorazowo przed przystąpieniem do robót ziemnych należy wykonać przekopy próbne dla identyfikacji uzbrojenia podziemnego.</w:t>
      </w:r>
    </w:p>
    <w:p w14:paraId="482B238D"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ich wystąpienia Wykonawca wykona projekt zabezpieczenia urządzenia na czas prowadzenia robót w uzgodnieniu z jego właścicielem oraz wszelkie roboty z tym związane. Wszelkie koszty z tego tytułu nie podlegają odrębnej zapłacie i należy ująć je w Cenie Kontraktowej.</w:t>
      </w:r>
    </w:p>
    <w:p w14:paraId="39FFA0C1"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powinien zapoznać się z całością dokumentacji (wszystkimi branżami), ustalić miejsca kolizyjne i opracować szczegóły przejść infrastruktur przez elementy konstrukcyjne.</w:t>
      </w:r>
    </w:p>
    <w:p w14:paraId="1EC6DF5C"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prowadzi Roboty na podstawie przyjętej własnej technologii robót.</w:t>
      </w:r>
    </w:p>
    <w:p w14:paraId="4E739EB1" w14:textId="77777777" w:rsidR="00AD69E6"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Dla przyjętej technologii Wykonawca opracowuje Projekty Technologii i Organizacji Robót lub inne Projekty wymagane w ST np.: projekt zabezpieczenia wykopów itp. Zastosowany sprzęt, wszystkie materiały, roboty i ich zabezpieczenie wynikające z przyjętych rozwiązań technicznych i technologicznych w ramach opracowań Wykonawcy nie podlegają odrębnej zapłacie, wszelkie koszty z tego tytułu należy ująć w Cenie Kontraktowej.</w:t>
      </w:r>
    </w:p>
    <w:p w14:paraId="449BD713" w14:textId="77777777" w:rsidR="00747F3F" w:rsidRPr="00A03FFD" w:rsidRDefault="00AD69E6" w:rsidP="00AD69E6">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powinien powiadomić właścicieli urządzeń w terminie 21 dni przed przystąpieniem do robót związanych z usunięciem kolizji sieci energetycznych, teletechnicznych, kanalizacyjnych, melioracyjnych wodociągowych i gazowych. Koszty nadzoru z tego tytułu nie podlegają odrębnej zapłacie i należy ująć je w Cenie Kontraktowej.</w:t>
      </w:r>
    </w:p>
    <w:p w14:paraId="2996C786" w14:textId="77777777" w:rsidR="00B355DE" w:rsidRPr="00A03FFD" w:rsidRDefault="00B355DE" w:rsidP="00ED3EFE">
      <w:pPr>
        <w:pStyle w:val="Nagwek2"/>
        <w:rPr>
          <w:i w:val="0"/>
          <w:color w:val="000000" w:themeColor="text1"/>
        </w:rPr>
      </w:pPr>
      <w:bookmarkStart w:id="41" w:name="_Toc315352933"/>
      <w:bookmarkStart w:id="42" w:name="_Toc315353149"/>
      <w:bookmarkStart w:id="43" w:name="_Toc466465042"/>
      <w:r w:rsidRPr="00A03FFD">
        <w:rPr>
          <w:i w:val="0"/>
          <w:color w:val="000000" w:themeColor="text1"/>
        </w:rPr>
        <w:t>6. KONTROLA JAKOŚCI ROBÓT</w:t>
      </w:r>
      <w:bookmarkEnd w:id="41"/>
      <w:bookmarkEnd w:id="42"/>
      <w:bookmarkEnd w:id="43"/>
    </w:p>
    <w:p w14:paraId="18712E6F" w14:textId="77777777" w:rsidR="00B355DE" w:rsidRPr="00A03FFD" w:rsidRDefault="00B355DE" w:rsidP="00ED3EFE">
      <w:pPr>
        <w:pStyle w:val="Nagwek3"/>
        <w:spacing w:before="60"/>
        <w:rPr>
          <w:color w:val="000000" w:themeColor="text1"/>
          <w:sz w:val="22"/>
        </w:rPr>
      </w:pPr>
      <w:bookmarkStart w:id="44" w:name="_Toc315352935"/>
      <w:bookmarkStart w:id="45" w:name="_Toc315353151"/>
      <w:bookmarkStart w:id="46" w:name="_Toc466465044"/>
      <w:r w:rsidRPr="00A03FFD">
        <w:rPr>
          <w:color w:val="000000" w:themeColor="text1"/>
          <w:sz w:val="22"/>
        </w:rPr>
        <w:t>6.1. Zasady kontroli jakości Robót</w:t>
      </w:r>
      <w:bookmarkEnd w:id="44"/>
      <w:bookmarkEnd w:id="45"/>
      <w:bookmarkEnd w:id="46"/>
    </w:p>
    <w:p w14:paraId="490F0821"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Celem kontroli Robót będzie takie sterowanie ich przygo</w:t>
      </w:r>
      <w:r w:rsidRPr="00A03FFD">
        <w:rPr>
          <w:rFonts w:ascii="Arial" w:hAnsi="Arial" w:cs="Arial"/>
          <w:color w:val="000000" w:themeColor="text1"/>
          <w:sz w:val="18"/>
        </w:rPr>
        <w:softHyphen/>
        <w:t>towaniem i wykonaniem, aby osiągnąć założoną jakość Robót.</w:t>
      </w:r>
    </w:p>
    <w:p w14:paraId="60B7AF7B"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jest odpowiedzialny za pełną kontrolę Robót i jakoś</w:t>
      </w:r>
      <w:r w:rsidRPr="00A03FFD">
        <w:rPr>
          <w:rFonts w:ascii="Arial" w:hAnsi="Arial" w:cs="Arial"/>
          <w:color w:val="000000" w:themeColor="text1"/>
          <w:sz w:val="18"/>
        </w:rPr>
        <w:softHyphen/>
        <w:t>ci materiałów. Wykonawca zapewni odpowiedni system kon</w:t>
      </w:r>
      <w:r w:rsidRPr="00A03FFD">
        <w:rPr>
          <w:rFonts w:ascii="Arial" w:hAnsi="Arial" w:cs="Arial"/>
          <w:color w:val="000000" w:themeColor="text1"/>
          <w:sz w:val="18"/>
        </w:rPr>
        <w:softHyphen/>
        <w:t>troli, włączając personel, laboratorium, sprzęt, zaopatrzenie i wszystkie urządzenia niezbędne do pobierania próbek i badań mate</w:t>
      </w:r>
      <w:r w:rsidRPr="00A03FFD">
        <w:rPr>
          <w:rFonts w:ascii="Arial" w:hAnsi="Arial" w:cs="Arial"/>
          <w:color w:val="000000" w:themeColor="text1"/>
          <w:sz w:val="18"/>
        </w:rPr>
        <w:softHyphen/>
        <w:t>riałów oraz Robót.</w:t>
      </w:r>
    </w:p>
    <w:p w14:paraId="01D3E531"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 zatwierdzeniem systemu kontroli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może zażądać od Wykonawcy przeprowadzenia badań w celu zademonstrowania, że poziom ich wykonywania jest zadowalający.</w:t>
      </w:r>
    </w:p>
    <w:p w14:paraId="390C44AB"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będzie przeprowadzać pomiary i badania materia</w:t>
      </w:r>
      <w:r w:rsidRPr="00A03FFD">
        <w:rPr>
          <w:rFonts w:ascii="Arial" w:hAnsi="Arial" w:cs="Arial"/>
          <w:color w:val="000000" w:themeColor="text1"/>
          <w:sz w:val="18"/>
        </w:rPr>
        <w:softHyphen/>
        <w:t>łów oraz Robót z częstotliwością zapewniającą stwierdze</w:t>
      </w:r>
      <w:r w:rsidRPr="00A03FFD">
        <w:rPr>
          <w:rFonts w:ascii="Arial" w:hAnsi="Arial" w:cs="Arial"/>
          <w:color w:val="000000" w:themeColor="text1"/>
          <w:sz w:val="18"/>
        </w:rPr>
        <w:softHyphen/>
        <w:t>nie, że Roboty wykonano zgodnie z wymaganiami zawartymi w Dokumentacji Projektowej i ST.</w:t>
      </w:r>
    </w:p>
    <w:p w14:paraId="26B332FC"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Minimalne wymagania co do zakresu badań i ich częstotli</w:t>
      </w:r>
      <w:r w:rsidRPr="00A03FFD">
        <w:rPr>
          <w:rFonts w:ascii="Arial" w:hAnsi="Arial" w:cs="Arial"/>
          <w:color w:val="000000" w:themeColor="text1"/>
          <w:sz w:val="18"/>
        </w:rPr>
        <w:softHyphen/>
        <w:t xml:space="preserve">wość są określone w ST, normach i wytycznych. W przypadku, gdy nie zostały one tam określone,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w porozumieniu z Projektantem ustali jaki zakres kontroli jest konieczny, aby zapewnić wykonanie Robót zgodnie z Umową.</w:t>
      </w:r>
    </w:p>
    <w:p w14:paraId="43B7B661"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dostarczy </w:t>
      </w:r>
      <w:r w:rsidR="007E0A79" w:rsidRPr="00A03FFD">
        <w:rPr>
          <w:rFonts w:ascii="Arial" w:hAnsi="Arial" w:cs="Arial"/>
          <w:color w:val="000000" w:themeColor="text1"/>
          <w:sz w:val="18"/>
        </w:rPr>
        <w:t xml:space="preserve">Przedstawicielowi Inwestora </w:t>
      </w:r>
      <w:r w:rsidRPr="00A03FFD">
        <w:rPr>
          <w:rFonts w:ascii="Arial" w:hAnsi="Arial" w:cs="Arial"/>
          <w:color w:val="000000" w:themeColor="text1"/>
          <w:sz w:val="18"/>
        </w:rPr>
        <w:t>świadectwa, że wszyst</w:t>
      </w:r>
      <w:r w:rsidRPr="00A03FFD">
        <w:rPr>
          <w:rFonts w:ascii="Arial" w:hAnsi="Arial" w:cs="Arial"/>
          <w:color w:val="000000" w:themeColor="text1"/>
          <w:sz w:val="18"/>
        </w:rPr>
        <w:softHyphen/>
        <w:t>kie stosowane urządzenia i sprzęt badawczy posiadają ważną legali</w:t>
      </w:r>
      <w:r w:rsidRPr="00A03FFD">
        <w:rPr>
          <w:rFonts w:ascii="Arial" w:hAnsi="Arial" w:cs="Arial"/>
          <w:color w:val="000000" w:themeColor="text1"/>
          <w:sz w:val="18"/>
        </w:rPr>
        <w:softHyphen/>
        <w:t>zację, zostały prawidłowo wykalibrowane i odpowia</w:t>
      </w:r>
      <w:r w:rsidRPr="00A03FFD">
        <w:rPr>
          <w:rFonts w:ascii="Arial" w:hAnsi="Arial" w:cs="Arial"/>
          <w:color w:val="000000" w:themeColor="text1"/>
          <w:sz w:val="18"/>
        </w:rPr>
        <w:softHyphen/>
        <w:t>dają wymaga</w:t>
      </w:r>
      <w:r w:rsidRPr="00A03FFD">
        <w:rPr>
          <w:rFonts w:ascii="Arial" w:hAnsi="Arial" w:cs="Arial"/>
          <w:color w:val="000000" w:themeColor="text1"/>
          <w:sz w:val="18"/>
        </w:rPr>
        <w:softHyphen/>
        <w:t>niom norm określających procedury badań.</w:t>
      </w:r>
    </w:p>
    <w:p w14:paraId="79DC6FFE" w14:textId="77777777" w:rsidR="00B355DE" w:rsidRPr="00A03FFD" w:rsidRDefault="007E0A79"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Przedstawiciel Inwestora </w:t>
      </w:r>
      <w:r w:rsidR="00B355DE" w:rsidRPr="00A03FFD">
        <w:rPr>
          <w:rFonts w:ascii="Arial" w:hAnsi="Arial" w:cs="Arial"/>
          <w:color w:val="000000" w:themeColor="text1"/>
          <w:sz w:val="18"/>
        </w:rPr>
        <w:t>będzie mieć nieograniczony dostęp do pomiesz</w:t>
      </w:r>
      <w:r w:rsidR="00B355DE" w:rsidRPr="00A03FFD">
        <w:rPr>
          <w:rFonts w:ascii="Arial" w:hAnsi="Arial" w:cs="Arial"/>
          <w:color w:val="000000" w:themeColor="text1"/>
          <w:sz w:val="18"/>
        </w:rPr>
        <w:softHyphen/>
        <w:t>czeń laboratoryjnych, w celu ich inspekcji.</w:t>
      </w:r>
    </w:p>
    <w:p w14:paraId="18C14B6D" w14:textId="77777777" w:rsidR="00B355DE" w:rsidRPr="00A03FFD" w:rsidRDefault="007E0A79"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Przedstawiciel Inwestora </w:t>
      </w:r>
      <w:r w:rsidR="00B355DE" w:rsidRPr="00A03FFD">
        <w:rPr>
          <w:rFonts w:ascii="Arial" w:hAnsi="Arial" w:cs="Arial"/>
          <w:color w:val="000000" w:themeColor="text1"/>
          <w:sz w:val="18"/>
        </w:rPr>
        <w:t>będzie przekazywać Wykonawcy pisemne informacje o jakichkolwiek niedociągnięciach dotyczących urządzeń labora</w:t>
      </w:r>
      <w:r w:rsidR="00B355DE" w:rsidRPr="00A03FFD">
        <w:rPr>
          <w:rFonts w:ascii="Arial" w:hAnsi="Arial" w:cs="Arial"/>
          <w:color w:val="000000" w:themeColor="text1"/>
          <w:sz w:val="18"/>
        </w:rPr>
        <w:softHyphen/>
        <w:t>toryj</w:t>
      </w:r>
      <w:r w:rsidR="00B355DE" w:rsidRPr="00A03FFD">
        <w:rPr>
          <w:rFonts w:ascii="Arial" w:hAnsi="Arial" w:cs="Arial"/>
          <w:color w:val="000000" w:themeColor="text1"/>
          <w:sz w:val="18"/>
        </w:rPr>
        <w:softHyphen/>
        <w:t xml:space="preserve">nych, sprzętu, zaopatrzenia laboratorium, pracy personelu lub metod badawczych. Jeżeli niedociągnięcia te będą tak poważne, że mogą wpłynąć ujemnie na wyniki badań, </w:t>
      </w:r>
      <w:r w:rsidRPr="00A03FFD">
        <w:rPr>
          <w:rFonts w:ascii="Arial" w:hAnsi="Arial" w:cs="Arial"/>
          <w:color w:val="000000" w:themeColor="text1"/>
          <w:sz w:val="18"/>
        </w:rPr>
        <w:t xml:space="preserve">Przedstawiciel Inwestora </w:t>
      </w:r>
      <w:r w:rsidR="00B355DE" w:rsidRPr="00A03FFD">
        <w:rPr>
          <w:rFonts w:ascii="Arial" w:hAnsi="Arial" w:cs="Arial"/>
          <w:color w:val="000000" w:themeColor="text1"/>
          <w:sz w:val="18"/>
        </w:rPr>
        <w:t xml:space="preserve">natychmiast wstrzyma użycie do Robót badanych materiałów i dopuści je do użycia dopiero wtedy, gdy </w:t>
      </w:r>
      <w:r w:rsidR="00B355DE" w:rsidRPr="00A03FFD">
        <w:rPr>
          <w:rFonts w:ascii="Arial" w:hAnsi="Arial" w:cs="Arial"/>
          <w:color w:val="000000" w:themeColor="text1"/>
          <w:sz w:val="18"/>
        </w:rPr>
        <w:lastRenderedPageBreak/>
        <w:t>niedociągnięcia w pracy laboratorium Wykonawcy zostaną usunięte i stwierdzona zostanie odpowiednia jakość tych materiałów.</w:t>
      </w:r>
    </w:p>
    <w:p w14:paraId="4A775AA8" w14:textId="77777777" w:rsidR="00B355DE" w:rsidRPr="00A03FFD" w:rsidRDefault="00B355DE" w:rsidP="00B355DE">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Wszystkie koszty związane z organizowaniem i prowadze</w:t>
      </w:r>
      <w:r w:rsidRPr="00A03FFD">
        <w:rPr>
          <w:rFonts w:ascii="Arial" w:hAnsi="Arial" w:cs="Arial"/>
          <w:color w:val="000000" w:themeColor="text1"/>
          <w:sz w:val="18"/>
        </w:rPr>
        <w:softHyphen/>
        <w:t>niem badań materiałów ponosi Wykonawca.</w:t>
      </w:r>
    </w:p>
    <w:p w14:paraId="5FDDB280" w14:textId="77777777" w:rsidR="00B355DE" w:rsidRPr="00A03FFD" w:rsidRDefault="00B355DE" w:rsidP="00ED3EFE">
      <w:pPr>
        <w:pStyle w:val="Nagwek3"/>
        <w:spacing w:before="60"/>
        <w:rPr>
          <w:color w:val="000000" w:themeColor="text1"/>
          <w:sz w:val="22"/>
        </w:rPr>
      </w:pPr>
      <w:bookmarkStart w:id="47" w:name="_Toc315352936"/>
      <w:bookmarkStart w:id="48" w:name="_Toc315353152"/>
      <w:bookmarkStart w:id="49" w:name="_Toc466465045"/>
      <w:r w:rsidRPr="00A03FFD">
        <w:rPr>
          <w:color w:val="000000" w:themeColor="text1"/>
          <w:sz w:val="22"/>
        </w:rPr>
        <w:t>6.2. Pobieranie próbek</w:t>
      </w:r>
      <w:bookmarkEnd w:id="47"/>
      <w:bookmarkEnd w:id="48"/>
      <w:bookmarkEnd w:id="49"/>
    </w:p>
    <w:p w14:paraId="5715BFAD"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Próbki będą pobierane losowo. Zaleca się stosowa</w:t>
      </w:r>
      <w:r w:rsidRPr="00A03FFD">
        <w:rPr>
          <w:rFonts w:ascii="Arial" w:hAnsi="Arial" w:cs="Arial"/>
          <w:color w:val="000000" w:themeColor="text1"/>
          <w:sz w:val="18"/>
        </w:rPr>
        <w:softHyphen/>
        <w:t>nie statys</w:t>
      </w:r>
      <w:r w:rsidRPr="00A03FFD">
        <w:rPr>
          <w:rFonts w:ascii="Arial" w:hAnsi="Arial" w:cs="Arial"/>
          <w:color w:val="000000" w:themeColor="text1"/>
          <w:sz w:val="18"/>
        </w:rPr>
        <w:softHyphen/>
        <w:t>tycznych metod pobierania próbek, opartych na zasadzie, że wszystkie jednostkowe elementy produkcji mogą być z jednakowym prawdopodobieństwem wytypowane do badań.</w:t>
      </w:r>
    </w:p>
    <w:p w14:paraId="78672E41" w14:textId="77777777" w:rsidR="00B355DE" w:rsidRPr="00A03FFD" w:rsidRDefault="007E0A79"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Przedstawiciel Inwestora </w:t>
      </w:r>
      <w:r w:rsidR="00B355DE" w:rsidRPr="00A03FFD">
        <w:rPr>
          <w:rFonts w:ascii="Arial" w:hAnsi="Arial" w:cs="Arial"/>
          <w:color w:val="000000" w:themeColor="text1"/>
          <w:sz w:val="18"/>
        </w:rPr>
        <w:t>będzie mieć zapewnioną możliwość udziału w pobieraniu próbek.</w:t>
      </w:r>
    </w:p>
    <w:p w14:paraId="29666EB9"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Na polecenie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Wykonawca będzie przeprowadzać dodatkowe badania tych materiałów, które budzą wątpliwości co do jakości, o ile kwestionowane materiały nie zostaną przez Wykonawcę usunięte lub ulepszone z własnej woli. Koszty tych dodatkowych badań pokrywa Wykonawca.</w:t>
      </w:r>
    </w:p>
    <w:p w14:paraId="59B27377"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Pojemniki do pobierania próbek będą dostarczone przez Wykonawcę i zatwierdzone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Próbki dostar</w:t>
      </w:r>
      <w:r w:rsidRPr="00A03FFD">
        <w:rPr>
          <w:rFonts w:ascii="Arial" w:hAnsi="Arial" w:cs="Arial"/>
          <w:color w:val="000000" w:themeColor="text1"/>
          <w:sz w:val="18"/>
        </w:rPr>
        <w:softHyphen/>
        <w:t xml:space="preserve">czone przez Wykonawcę do badań wykonywanych przez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będą odpowie</w:t>
      </w:r>
      <w:r w:rsidRPr="00A03FFD">
        <w:rPr>
          <w:rFonts w:ascii="Arial" w:hAnsi="Arial" w:cs="Arial"/>
          <w:color w:val="000000" w:themeColor="text1"/>
          <w:sz w:val="18"/>
        </w:rPr>
        <w:softHyphen/>
        <w:t xml:space="preserve">dnio opisane i oznakowane, w sposób zaakceptowany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2E048847" w14:textId="77777777" w:rsidR="00B355DE" w:rsidRPr="00A03FFD" w:rsidRDefault="00B355DE" w:rsidP="00ED3EFE">
      <w:pPr>
        <w:pStyle w:val="Nagwek3"/>
        <w:spacing w:before="60"/>
        <w:rPr>
          <w:color w:val="000000" w:themeColor="text1"/>
          <w:sz w:val="22"/>
        </w:rPr>
      </w:pPr>
      <w:bookmarkStart w:id="50" w:name="_Toc315352937"/>
      <w:bookmarkStart w:id="51" w:name="_Toc315353153"/>
      <w:bookmarkStart w:id="52" w:name="_Toc466465046"/>
      <w:r w:rsidRPr="00A03FFD">
        <w:rPr>
          <w:color w:val="000000" w:themeColor="text1"/>
          <w:sz w:val="22"/>
        </w:rPr>
        <w:t>6.3. Badania i pomiary</w:t>
      </w:r>
      <w:bookmarkEnd w:id="50"/>
      <w:bookmarkEnd w:id="51"/>
      <w:bookmarkEnd w:id="52"/>
    </w:p>
    <w:p w14:paraId="7EECE2C8"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Wszystkie badania i pomiary będą przeprowadzone zgodnie z wymaganiami norm. W przypadku, gdy normy nie obejmują jakiegokolwiek badania wymaganego w ST, stosować można wytyczne krajowe, albo inne procedury, zaakceptowane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60C50E70"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 przystąpieniem do pomiarów lub badań, Wykonawca powiadomi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o rodzaju, miejscu i terminie pomiaru lub badania. Po wykonaniu pomiaru lub badania, Wykonaw</w:t>
      </w:r>
      <w:r w:rsidRPr="00A03FFD">
        <w:rPr>
          <w:rFonts w:ascii="Arial" w:hAnsi="Arial" w:cs="Arial"/>
          <w:color w:val="000000" w:themeColor="text1"/>
          <w:sz w:val="18"/>
        </w:rPr>
        <w:softHyphen/>
        <w:t xml:space="preserve">ca przedstawi na piśmie ich wyniki do akceptacji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02C7BB3A" w14:textId="77777777" w:rsidR="00B355DE" w:rsidRPr="00A03FFD" w:rsidRDefault="00B355DE" w:rsidP="00ED3EFE">
      <w:pPr>
        <w:pStyle w:val="Nagwek3"/>
        <w:spacing w:before="60"/>
        <w:rPr>
          <w:color w:val="000000" w:themeColor="text1"/>
          <w:sz w:val="22"/>
        </w:rPr>
      </w:pPr>
      <w:bookmarkStart w:id="53" w:name="_Toc315352938"/>
      <w:bookmarkStart w:id="54" w:name="_Toc315353154"/>
      <w:bookmarkStart w:id="55" w:name="_Toc466465047"/>
      <w:r w:rsidRPr="00A03FFD">
        <w:rPr>
          <w:color w:val="000000" w:themeColor="text1"/>
          <w:sz w:val="22"/>
        </w:rPr>
        <w:t>6.4. Raporty z badań</w:t>
      </w:r>
      <w:bookmarkEnd w:id="53"/>
      <w:bookmarkEnd w:id="54"/>
      <w:bookmarkEnd w:id="55"/>
    </w:p>
    <w:p w14:paraId="4366600F"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będzie przekazywać </w:t>
      </w:r>
      <w:r w:rsidR="007E0A79" w:rsidRPr="00A03FFD">
        <w:rPr>
          <w:rFonts w:ascii="Arial" w:hAnsi="Arial" w:cs="Arial"/>
          <w:color w:val="000000" w:themeColor="text1"/>
          <w:sz w:val="18"/>
        </w:rPr>
        <w:t xml:space="preserve">Przedstawicielowi Inwestora </w:t>
      </w:r>
      <w:r w:rsidRPr="00A03FFD">
        <w:rPr>
          <w:rFonts w:ascii="Arial" w:hAnsi="Arial" w:cs="Arial"/>
          <w:color w:val="000000" w:themeColor="text1"/>
          <w:sz w:val="18"/>
        </w:rPr>
        <w:t>kopie raportów z wynikami badań jak najszybciej, nie później jednak niż w terminie określonym w programie zapewnienia jakości.</w:t>
      </w:r>
    </w:p>
    <w:p w14:paraId="497FFDF0"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Wyniki badań (kopie) będą przekazywane </w:t>
      </w:r>
      <w:r w:rsidR="007E0A79" w:rsidRPr="00A03FFD">
        <w:rPr>
          <w:rFonts w:ascii="Arial" w:hAnsi="Arial" w:cs="Arial"/>
          <w:color w:val="000000" w:themeColor="text1"/>
          <w:sz w:val="18"/>
        </w:rPr>
        <w:t xml:space="preserve">Przedstawicielowi Inwestora </w:t>
      </w:r>
      <w:r w:rsidRPr="00A03FFD">
        <w:rPr>
          <w:rFonts w:ascii="Arial" w:hAnsi="Arial" w:cs="Arial"/>
          <w:color w:val="000000" w:themeColor="text1"/>
          <w:sz w:val="18"/>
        </w:rPr>
        <w:t>na formularzach według dostarczonego przez niego wzoru lub innych, przez niego zaaprobowanych.</w:t>
      </w:r>
    </w:p>
    <w:p w14:paraId="4E3DAC8A" w14:textId="77777777" w:rsidR="00B355DE" w:rsidRPr="00A03FFD" w:rsidRDefault="00B355DE" w:rsidP="00ED3EFE">
      <w:pPr>
        <w:pStyle w:val="Nagwek3"/>
        <w:spacing w:before="60"/>
        <w:rPr>
          <w:color w:val="000000" w:themeColor="text1"/>
          <w:sz w:val="22"/>
        </w:rPr>
      </w:pPr>
      <w:bookmarkStart w:id="56" w:name="_Toc315352939"/>
      <w:bookmarkStart w:id="57" w:name="_Toc315353155"/>
      <w:bookmarkStart w:id="58" w:name="_Toc466465048"/>
      <w:r w:rsidRPr="00A03FFD">
        <w:rPr>
          <w:color w:val="000000" w:themeColor="text1"/>
          <w:sz w:val="22"/>
        </w:rPr>
        <w:t xml:space="preserve">6.5. Badania prowadzone przez </w:t>
      </w:r>
      <w:bookmarkEnd w:id="56"/>
      <w:bookmarkEnd w:id="57"/>
      <w:bookmarkEnd w:id="58"/>
      <w:r w:rsidR="007E0A79" w:rsidRPr="00A03FFD">
        <w:rPr>
          <w:color w:val="000000" w:themeColor="text1"/>
          <w:sz w:val="22"/>
        </w:rPr>
        <w:t>Przedstawiciela Inwestora</w:t>
      </w:r>
    </w:p>
    <w:p w14:paraId="2F11077F"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Dla celów kontroli jakości i zatwierdzenia,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uprawniony jest do dokonywania kontroli, pobierania próbek i badania materiałów u źródła ich wytwarzania, i zapewniona mu będzie wszelka potrzebna do tego pomoc ze strony Wykonawcy i producenta materiałów.</w:t>
      </w:r>
    </w:p>
    <w:p w14:paraId="3B59530D" w14:textId="77777777" w:rsidR="00B355DE" w:rsidRPr="00A03FFD" w:rsidRDefault="007E0A79"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Przedstawiciel Inwestora</w:t>
      </w:r>
      <w:r w:rsidR="00B355DE" w:rsidRPr="00A03FFD">
        <w:rPr>
          <w:rFonts w:ascii="Arial" w:hAnsi="Arial" w:cs="Arial"/>
          <w:color w:val="000000" w:themeColor="text1"/>
          <w:sz w:val="18"/>
        </w:rPr>
        <w:t>, po uprzedniej weryfikacji systemu kontroli Robót prowadzonego przez Wykonawcę, będzie oceniać zgodność materia</w:t>
      </w:r>
      <w:r w:rsidR="00B355DE" w:rsidRPr="00A03FFD">
        <w:rPr>
          <w:rFonts w:ascii="Arial" w:hAnsi="Arial" w:cs="Arial"/>
          <w:color w:val="000000" w:themeColor="text1"/>
          <w:sz w:val="18"/>
        </w:rPr>
        <w:softHyphen/>
        <w:t>łów i Robót z wymaganiami ST na podstawie wyników badań dostarczonych przez Wykonawcę.</w:t>
      </w:r>
    </w:p>
    <w:p w14:paraId="6CD3F13D" w14:textId="77777777" w:rsidR="00B355DE" w:rsidRPr="00A03FFD" w:rsidRDefault="007E0A79"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Przedstawiciel Inwestora </w:t>
      </w:r>
      <w:r w:rsidR="00B355DE" w:rsidRPr="00A03FFD">
        <w:rPr>
          <w:rFonts w:ascii="Arial" w:hAnsi="Arial" w:cs="Arial"/>
          <w:color w:val="000000" w:themeColor="text1"/>
          <w:sz w:val="18"/>
        </w:rPr>
        <w:t xml:space="preserve">może pobierać próbki materiałów i prowadzić badania niezależnie od Wykonawcy, na swój koszt. Jeżeli wyniki tych badań wykażą, że raporty Wykonawcy są niewiarygodne, to </w:t>
      </w:r>
      <w:r w:rsidRPr="00A03FFD">
        <w:rPr>
          <w:rFonts w:ascii="Arial" w:hAnsi="Arial" w:cs="Arial"/>
          <w:color w:val="000000" w:themeColor="text1"/>
          <w:sz w:val="18"/>
        </w:rPr>
        <w:t xml:space="preserve">Przedstawiciel Inwestora </w:t>
      </w:r>
      <w:r w:rsidR="00B355DE" w:rsidRPr="00A03FFD">
        <w:rPr>
          <w:rFonts w:ascii="Arial" w:hAnsi="Arial" w:cs="Arial"/>
          <w:color w:val="000000" w:themeColor="text1"/>
          <w:sz w:val="18"/>
        </w:rPr>
        <w:t>poleci Wykonawcy lub zleci niezależnemu laboratorium przeprowa</w:t>
      </w:r>
      <w:r w:rsidR="00B355DE" w:rsidRPr="00A03FFD">
        <w:rPr>
          <w:rFonts w:ascii="Arial" w:hAnsi="Arial" w:cs="Arial"/>
          <w:color w:val="000000" w:themeColor="text1"/>
          <w:sz w:val="18"/>
        </w:rPr>
        <w:softHyphen/>
        <w:t>dzenie powtórnych lub dodatkowych badań, albo oprze się wyłącznie na własnych badaniach przy ocenie zgodności materia</w:t>
      </w:r>
      <w:r w:rsidR="00B355DE" w:rsidRPr="00A03FFD">
        <w:rPr>
          <w:rFonts w:ascii="Arial" w:hAnsi="Arial" w:cs="Arial"/>
          <w:color w:val="000000" w:themeColor="text1"/>
          <w:sz w:val="18"/>
        </w:rPr>
        <w:softHyphen/>
        <w:t>łów i Robót z Dokumentacją Projektową i ST. W takim przypadku całkowite koszty powtórnych lub dodatkowych badań i pobierania próbek poniesione zostaną przez Wykonawcę.</w:t>
      </w:r>
    </w:p>
    <w:p w14:paraId="19DA90FF" w14:textId="77777777" w:rsidR="00B355DE" w:rsidRPr="00A03FFD" w:rsidRDefault="00B355DE" w:rsidP="00ED3EFE">
      <w:pPr>
        <w:pStyle w:val="Nagwek3"/>
        <w:spacing w:before="60"/>
        <w:rPr>
          <w:color w:val="000000" w:themeColor="text1"/>
          <w:sz w:val="22"/>
        </w:rPr>
      </w:pPr>
      <w:bookmarkStart w:id="59" w:name="_Toc315352940"/>
      <w:bookmarkStart w:id="60" w:name="_Toc315353156"/>
      <w:bookmarkStart w:id="61" w:name="_Toc466465049"/>
      <w:r w:rsidRPr="00A03FFD">
        <w:rPr>
          <w:color w:val="000000" w:themeColor="text1"/>
          <w:sz w:val="22"/>
        </w:rPr>
        <w:t>6.6. Certyfikaty i deklaracje</w:t>
      </w:r>
      <w:bookmarkEnd w:id="59"/>
      <w:bookmarkEnd w:id="60"/>
      <w:bookmarkEnd w:id="61"/>
      <w:r w:rsidRPr="00A03FFD">
        <w:rPr>
          <w:color w:val="000000" w:themeColor="text1"/>
          <w:sz w:val="22"/>
        </w:rPr>
        <w:t xml:space="preserve"> </w:t>
      </w:r>
    </w:p>
    <w:p w14:paraId="70F94666" w14:textId="77777777" w:rsidR="00B355DE" w:rsidRPr="00A03FFD" w:rsidRDefault="00B355DE" w:rsidP="00B355DE">
      <w:pPr>
        <w:pStyle w:val="Specyfikacje"/>
        <w:spacing w:after="0"/>
        <w:ind w:left="0"/>
        <w:rPr>
          <w:rFonts w:ascii="Arial" w:hAnsi="Arial" w:cs="Arial"/>
          <w:color w:val="000000" w:themeColor="text1"/>
          <w:sz w:val="18"/>
        </w:rPr>
      </w:pPr>
      <w:bookmarkStart w:id="62" w:name="_Toc315352941"/>
      <w:bookmarkStart w:id="63" w:name="_Toc315353157"/>
      <w:r w:rsidRPr="00A03FFD">
        <w:rPr>
          <w:rFonts w:ascii="Arial" w:hAnsi="Arial" w:cs="Arial"/>
          <w:color w:val="000000" w:themeColor="text1"/>
          <w:sz w:val="18"/>
        </w:rPr>
        <w:t>Inżynier może dopuści</w:t>
      </w:r>
      <w:r w:rsidRPr="00A03FFD">
        <w:rPr>
          <w:rFonts w:ascii="Arial" w:hAnsi="Arial" w:cs="Arial"/>
          <w:color w:val="000000" w:themeColor="text1"/>
          <w:sz w:val="18"/>
        </w:rPr>
        <w:sym w:font="Times New Roman" w:char="0107"/>
      </w:r>
      <w:r w:rsidRPr="00A03FFD">
        <w:rPr>
          <w:rFonts w:ascii="Arial" w:hAnsi="Arial" w:cs="Arial"/>
          <w:color w:val="000000" w:themeColor="text1"/>
          <w:sz w:val="18"/>
        </w:rPr>
        <w:t xml:space="preserve"> do użycia tylko te materiały, które zostały wprowadzone do obrotu zgodnie z odrębnymi przepisami. Właściwości użytkowe tych materiałów, zastosowanych w obiekcie budowlanym w sposób trwały muszą umożliwiać prawidłowo zaprojektowanym i wykonanym obiektom budowlanym spełnienie wymagań podstawowych o których mowa w art. 5 ust.1 pkt1. Ustawy Prawo budowlane.</w:t>
      </w:r>
    </w:p>
    <w:p w14:paraId="260EA700" w14:textId="77777777" w:rsidR="00B355DE" w:rsidRPr="00A03FFD" w:rsidRDefault="00B355DE" w:rsidP="00B355DE">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Zgodnie z ustawą z dnia 16 kwietnia 2004 r o wyrobach budowlanych (Dz. U nr 92 poz. 881 z 2004r.) dopuszcza się do stosowania:</w:t>
      </w:r>
    </w:p>
    <w:p w14:paraId="1B296CDD" w14:textId="77777777" w:rsidR="00B355DE" w:rsidRPr="00A03FFD" w:rsidRDefault="00B355DE" w:rsidP="00B355D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Wyroby posiadające znak CE – bez ograniczeń,</w:t>
      </w:r>
    </w:p>
    <w:p w14:paraId="1F42272A" w14:textId="77777777" w:rsidR="00B355DE" w:rsidRPr="00A03FFD" w:rsidRDefault="00B355DE" w:rsidP="00B355D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Wyroby, które nie posiadają znaku CE – pod warunkiem, gdy:</w:t>
      </w:r>
    </w:p>
    <w:p w14:paraId="47E537AC" w14:textId="77777777" w:rsidR="00B355DE" w:rsidRPr="00A03FFD" w:rsidRDefault="00B355DE" w:rsidP="00B355DE">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wyrób został wyprodukowany na terytorium Polski</w:t>
      </w:r>
    </w:p>
    <w:p w14:paraId="3F958AEA" w14:textId="77777777" w:rsidR="00B355DE" w:rsidRPr="00A03FFD" w:rsidRDefault="00B355DE" w:rsidP="006A155D">
      <w:pPr>
        <w:pStyle w:val="Specyfikacje"/>
        <w:numPr>
          <w:ilvl w:val="0"/>
          <w:numId w:val="13"/>
        </w:numPr>
        <w:spacing w:after="0"/>
        <w:rPr>
          <w:rFonts w:ascii="Arial" w:hAnsi="Arial" w:cs="Arial"/>
          <w:color w:val="000000" w:themeColor="text1"/>
          <w:sz w:val="18"/>
        </w:rPr>
      </w:pPr>
      <w:r w:rsidRPr="00A03FFD">
        <w:rPr>
          <w:rFonts w:ascii="Arial" w:hAnsi="Arial" w:cs="Arial"/>
          <w:color w:val="000000" w:themeColor="text1"/>
          <w:sz w:val="18"/>
        </w:rPr>
        <w:t>w zgodzie z istniejącą Polską Normą, a producent załączył deklarację zgodności z tą normą,</w:t>
      </w:r>
    </w:p>
    <w:p w14:paraId="66FF0D25" w14:textId="77777777" w:rsidR="00B355DE" w:rsidRPr="00A03FFD" w:rsidRDefault="00B355DE" w:rsidP="006A155D">
      <w:pPr>
        <w:pStyle w:val="Specyfikacje"/>
        <w:numPr>
          <w:ilvl w:val="0"/>
          <w:numId w:val="13"/>
        </w:numPr>
        <w:spacing w:after="0"/>
        <w:rPr>
          <w:rFonts w:ascii="Arial" w:hAnsi="Arial" w:cs="Arial"/>
          <w:color w:val="000000" w:themeColor="text1"/>
          <w:sz w:val="18"/>
        </w:rPr>
      </w:pPr>
      <w:r w:rsidRPr="00A03FFD">
        <w:rPr>
          <w:rFonts w:ascii="Arial" w:hAnsi="Arial" w:cs="Arial"/>
          <w:color w:val="000000" w:themeColor="text1"/>
          <w:sz w:val="18"/>
        </w:rPr>
        <w:t>w przypadku braku Polskiej normy lub istotnej różnicy od jej zapisów, to w zgodzie uzyskaną aprobatą techniczną, a producent załączył deklarację zgodności z tą aprobatą,</w:t>
      </w:r>
    </w:p>
    <w:p w14:paraId="61A831FC" w14:textId="77777777" w:rsidR="00B355DE" w:rsidRPr="00A03FFD" w:rsidRDefault="00B355DE" w:rsidP="006A155D">
      <w:pPr>
        <w:pStyle w:val="Specyfikacje"/>
        <w:numPr>
          <w:ilvl w:val="0"/>
          <w:numId w:val="13"/>
        </w:numPr>
        <w:spacing w:after="0"/>
        <w:rPr>
          <w:rFonts w:ascii="Arial" w:hAnsi="Arial" w:cs="Arial"/>
          <w:color w:val="000000" w:themeColor="text1"/>
          <w:sz w:val="18"/>
        </w:rPr>
      </w:pPr>
      <w:r w:rsidRPr="00A03FFD">
        <w:rPr>
          <w:rFonts w:ascii="Arial" w:hAnsi="Arial" w:cs="Arial"/>
          <w:color w:val="000000" w:themeColor="text1"/>
          <w:sz w:val="18"/>
        </w:rPr>
        <w:t xml:space="preserve"> posiada znak budowlany świadczący o zgodności z Polską Normą wyrobu albo aprobatą techniczną, a producent załączył odpowiednią informację o wyrobie,</w:t>
      </w:r>
    </w:p>
    <w:p w14:paraId="0C927FD2" w14:textId="77777777" w:rsidR="00B355DE" w:rsidRPr="00A03FFD" w:rsidRDefault="00B355DE" w:rsidP="00B355DE">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wyrób został wyprodukowany poza terytorium Polski, ale udzielono mu aprobaty technicznej a producent załączył do wyrobu deklarację zgodności z tą aprobatą,</w:t>
      </w:r>
    </w:p>
    <w:p w14:paraId="6B3E44A6" w14:textId="77777777" w:rsidR="00B355DE" w:rsidRPr="00A03FFD" w:rsidRDefault="00B355DE" w:rsidP="00B355DE">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wyrób umieszczony w odpowiednim wykazie wyrobów mających niewielkie znaczenie dla zdrowia i bezpieczeństwa, dla których producent wydał deklarację zgodności z uznanymi regułami sztuki budowlanej,</w:t>
      </w:r>
    </w:p>
    <w:p w14:paraId="4EDC7855" w14:textId="77777777" w:rsidR="00B355DE" w:rsidRPr="00A03FFD" w:rsidRDefault="00DF3642"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wyrób j</w:t>
      </w:r>
      <w:r w:rsidR="00B355DE" w:rsidRPr="00A03FFD">
        <w:rPr>
          <w:rFonts w:ascii="Arial" w:hAnsi="Arial" w:cs="Arial"/>
          <w:color w:val="000000" w:themeColor="text1"/>
          <w:sz w:val="18"/>
        </w:rPr>
        <w:t>ednostkow</w:t>
      </w:r>
      <w:r w:rsidRPr="00A03FFD">
        <w:rPr>
          <w:rFonts w:ascii="Arial" w:hAnsi="Arial" w:cs="Arial"/>
          <w:color w:val="000000" w:themeColor="text1"/>
          <w:sz w:val="18"/>
        </w:rPr>
        <w:t xml:space="preserve">y, w danym obiekcie budowlanym, </w:t>
      </w:r>
      <w:r w:rsidR="00B355DE" w:rsidRPr="00A03FFD">
        <w:rPr>
          <w:rFonts w:ascii="Arial" w:hAnsi="Arial" w:cs="Arial"/>
          <w:color w:val="000000" w:themeColor="text1"/>
          <w:sz w:val="18"/>
        </w:rPr>
        <w:t>wytworzon</w:t>
      </w:r>
      <w:r w:rsidRPr="00A03FFD">
        <w:rPr>
          <w:rFonts w:ascii="Arial" w:hAnsi="Arial" w:cs="Arial"/>
          <w:color w:val="000000" w:themeColor="text1"/>
          <w:sz w:val="18"/>
        </w:rPr>
        <w:t>y</w:t>
      </w:r>
      <w:r w:rsidR="00B355DE" w:rsidRPr="00A03FFD">
        <w:rPr>
          <w:rFonts w:ascii="Arial" w:hAnsi="Arial" w:cs="Arial"/>
          <w:color w:val="000000" w:themeColor="text1"/>
          <w:sz w:val="18"/>
        </w:rPr>
        <w:t xml:space="preserve"> według indywidualnej dokumentacji technicznej, dla którego producent wydał specjalne oświadczenie o zgodności wyrobu z tą dokumentacją oraz z przepisami.</w:t>
      </w:r>
    </w:p>
    <w:p w14:paraId="7B014199"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Wyrób budowlany, który posiada oznakowanie CE lub znak budowlany, albo posiada deklaracje zgodności, nie może być modyfikowany bez utraty ważności dokumentów dopuszczających do wbudowania. W przypadku zastosowania modyfikacji należy uzyskać aprobatę techniczną dla takiego wyrobu.</w:t>
      </w:r>
    </w:p>
    <w:p w14:paraId="7A3E79EC"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materiałów, dla których w ST są wymagane dokumenty, każda partia dostarczona do Robót będzie posiadać te dokumenty, określające w sposób jednoznaczny jej cechy.</w:t>
      </w:r>
    </w:p>
    <w:p w14:paraId="49D84FF0"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lastRenderedPageBreak/>
        <w:t>Produkty przemysłowe muszą posiadać odpowiednie dokumenty wydane przez producenta, a w razie potrzeby poparte wynikami badań wykonanych przez niego. Kopie wyników tych badań będą dostarczone przez Wykonawcę Inżynierowi.</w:t>
      </w:r>
    </w:p>
    <w:p w14:paraId="0A7F981C" w14:textId="77777777" w:rsidR="00B355DE" w:rsidRPr="00A03FFD" w:rsidRDefault="00B355DE" w:rsidP="00DF3642">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Jakiekolwiek materiały, które nie spełniają tych wymagań będą odrzucone.</w:t>
      </w:r>
    </w:p>
    <w:p w14:paraId="5BFB2F8E" w14:textId="77777777" w:rsidR="00B355DE" w:rsidRPr="00A03FFD" w:rsidRDefault="00B355DE" w:rsidP="00ED3EFE">
      <w:pPr>
        <w:pStyle w:val="Nagwek3"/>
        <w:spacing w:before="60"/>
        <w:rPr>
          <w:color w:val="000000" w:themeColor="text1"/>
          <w:sz w:val="22"/>
        </w:rPr>
      </w:pPr>
      <w:bookmarkStart w:id="64" w:name="_Toc466465050"/>
      <w:r w:rsidRPr="00A03FFD">
        <w:rPr>
          <w:color w:val="000000" w:themeColor="text1"/>
          <w:sz w:val="22"/>
        </w:rPr>
        <w:t>6.7. Dokumenty budowy</w:t>
      </w:r>
      <w:bookmarkEnd w:id="62"/>
      <w:bookmarkEnd w:id="63"/>
      <w:bookmarkEnd w:id="64"/>
    </w:p>
    <w:p w14:paraId="4E5C3C11" w14:textId="77777777" w:rsidR="00B355DE" w:rsidRPr="00A03FFD" w:rsidRDefault="00DF3642" w:rsidP="00ED3EFE">
      <w:pPr>
        <w:pStyle w:val="Nagwek4"/>
        <w:spacing w:line="240" w:lineRule="auto"/>
        <w:jc w:val="both"/>
        <w:rPr>
          <w:b/>
          <w:color w:val="000000" w:themeColor="text1"/>
          <w:sz w:val="20"/>
          <w:u w:val="none"/>
        </w:rPr>
      </w:pPr>
      <w:r w:rsidRPr="00A03FFD">
        <w:rPr>
          <w:b/>
          <w:color w:val="000000" w:themeColor="text1"/>
          <w:sz w:val="20"/>
          <w:u w:val="none"/>
        </w:rPr>
        <w:t xml:space="preserve">6.7.1. </w:t>
      </w:r>
      <w:r w:rsidR="00B355DE" w:rsidRPr="00A03FFD">
        <w:rPr>
          <w:b/>
          <w:color w:val="000000" w:themeColor="text1"/>
          <w:sz w:val="20"/>
          <w:u w:val="none"/>
        </w:rPr>
        <w:t>Dziennik Budowy</w:t>
      </w:r>
    </w:p>
    <w:p w14:paraId="43793E14"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Dziennik Budowy jest wymaganym dokumentem prawnym obowiązującym Zamawiającego i Wykonawcę w okresie od przekaza</w:t>
      </w:r>
      <w:r w:rsidRPr="00A03FFD">
        <w:rPr>
          <w:rFonts w:ascii="Arial" w:hAnsi="Arial" w:cs="Arial"/>
          <w:color w:val="000000" w:themeColor="text1"/>
          <w:sz w:val="18"/>
        </w:rPr>
        <w:softHyphen/>
        <w:t>nia Wykonawcy Terenu Budowy do końca okresu gwarancyjnego. Odpowiedzialność za prowadze</w:t>
      </w:r>
      <w:r w:rsidRPr="00A03FFD">
        <w:rPr>
          <w:rFonts w:ascii="Arial" w:hAnsi="Arial" w:cs="Arial"/>
          <w:color w:val="000000" w:themeColor="text1"/>
          <w:sz w:val="18"/>
        </w:rPr>
        <w:softHyphen/>
        <w:t>nie Dziennika Budowy zgodnie z obowiązującymi przepisa</w:t>
      </w:r>
      <w:r w:rsidRPr="00A03FFD">
        <w:rPr>
          <w:rFonts w:ascii="Arial" w:hAnsi="Arial" w:cs="Arial"/>
          <w:color w:val="000000" w:themeColor="text1"/>
          <w:sz w:val="18"/>
        </w:rPr>
        <w:softHyphen/>
        <w:t>mi spoczywa na Wykonawcy.</w:t>
      </w:r>
    </w:p>
    <w:p w14:paraId="1D4F604E"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Zapisy w Dzienniku Budowy będą dokonywane na bieżąco i będą dotyczyć przebiegu Robót, stanu bezpieczeń</w:t>
      </w:r>
      <w:r w:rsidRPr="00A03FFD">
        <w:rPr>
          <w:rFonts w:ascii="Arial" w:hAnsi="Arial" w:cs="Arial"/>
          <w:color w:val="000000" w:themeColor="text1"/>
          <w:sz w:val="18"/>
        </w:rPr>
        <w:softHyphen/>
        <w:t>stwa ludzi i mienia oraz technicznej i gospodarczej strony budowy.</w:t>
      </w:r>
    </w:p>
    <w:p w14:paraId="092E5E6A"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Każdy zapis w Dzienniku Budowy będzie opatrzony datą jego dokonania, podpisem osoby, która dokonała zapisu, z podaniem jej imienia i nazwiska oraz stanowiska służbowego. Zapisy będą czytelne, dokonane trwałą techniką, w porządku chrono</w:t>
      </w:r>
      <w:r w:rsidRPr="00A03FFD">
        <w:rPr>
          <w:rFonts w:ascii="Arial" w:hAnsi="Arial" w:cs="Arial"/>
          <w:color w:val="000000" w:themeColor="text1"/>
          <w:sz w:val="18"/>
        </w:rPr>
        <w:softHyphen/>
        <w:t>logicz</w:t>
      </w:r>
      <w:r w:rsidRPr="00A03FFD">
        <w:rPr>
          <w:rFonts w:ascii="Arial" w:hAnsi="Arial" w:cs="Arial"/>
          <w:color w:val="000000" w:themeColor="text1"/>
          <w:sz w:val="18"/>
        </w:rPr>
        <w:softHyphen/>
        <w:t>nym, bezpośrednio jeden pod drugim, bez przerw.</w:t>
      </w:r>
    </w:p>
    <w:p w14:paraId="52E8C653"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Załączone do Dziennika Budowy protokoły i inne dokumenty będą oznaczone kolejnym numerem załącznika i opatrzone datą i podpisem Wykonawcy i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470D325F" w14:textId="77777777" w:rsidR="00B355DE" w:rsidRPr="00A03FFD" w:rsidRDefault="00B355DE" w:rsidP="00DF3642">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Do Dziennika Budowy należy wpisywać w szczególności:</w:t>
      </w:r>
    </w:p>
    <w:p w14:paraId="605246A5"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datę przekazania Wykonawcy Terenu Budowy,</w:t>
      </w:r>
    </w:p>
    <w:p w14:paraId="4F6D0381"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datę przekazania przez Zamawiającego Dokumentacji Projekto</w:t>
      </w:r>
      <w:r w:rsidRPr="00A03FFD">
        <w:rPr>
          <w:rFonts w:ascii="Arial" w:hAnsi="Arial" w:cs="Arial"/>
          <w:color w:val="000000" w:themeColor="text1"/>
          <w:sz w:val="18"/>
        </w:rPr>
        <w:softHyphen/>
        <w:t>wej,</w:t>
      </w:r>
    </w:p>
    <w:p w14:paraId="242C445B"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 xml:space="preserve">uzgodnienie przez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programu zapewnienia jakości i harmonogramów Robót,</w:t>
      </w:r>
    </w:p>
    <w:p w14:paraId="51471E64"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terminy rozpoczęcia i zakończenia poszczególnych elementów Robót,</w:t>
      </w:r>
    </w:p>
    <w:p w14:paraId="3065B92C"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przebieg Robót, trudności i przeszkody w ich prowadzeniu, okresy i przyczyny przerw w Robotach,</w:t>
      </w:r>
    </w:p>
    <w:p w14:paraId="497D9477"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 xml:space="preserve">uwagi i polecenia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71B57E02"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daty zarządzenia wstrzymania Robót, z podaniem powodu,</w:t>
      </w:r>
    </w:p>
    <w:p w14:paraId="5AAFF854"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zgłoszenia i daty odbiorów Robót zanikających i ulegających zakryciu, częściowych i ostatecznych odbiorów Robót,</w:t>
      </w:r>
    </w:p>
    <w:p w14:paraId="2BD6940C"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wyjaśnienia, uwagi i propozycje Wykonawcy,</w:t>
      </w:r>
    </w:p>
    <w:p w14:paraId="61FA488E"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stan pogody i temperaturę powietrza w okresie wykonywania Robót podlegających ograniczeniom lub wymaganiom szczególnym w związku z warunkami klimatycznymi,</w:t>
      </w:r>
    </w:p>
    <w:p w14:paraId="59BE5244"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zgodność rzeczywistych warunków geotechnicznych z ich opisem w Dokumentacji Projektowej,</w:t>
      </w:r>
    </w:p>
    <w:p w14:paraId="7566DD02"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dane dotyczące czynności geodezyjnych (pomiarowych) dokonywa</w:t>
      </w:r>
      <w:r w:rsidRPr="00A03FFD">
        <w:rPr>
          <w:rFonts w:ascii="Arial" w:hAnsi="Arial" w:cs="Arial"/>
          <w:color w:val="000000" w:themeColor="text1"/>
          <w:sz w:val="18"/>
        </w:rPr>
        <w:softHyphen/>
        <w:t>nych przed i w trakcie wykonywania Robót,</w:t>
      </w:r>
    </w:p>
    <w:p w14:paraId="06397B8F"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dane dotyczące sposobu wykonywania zabezpieczenia Robót,</w:t>
      </w:r>
    </w:p>
    <w:p w14:paraId="6645CABA"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dane dotyczące jakości materiałów, pobierania próbek oraz wyniki przeprowadzonych badań z podaniem, kto je przeprowa</w:t>
      </w:r>
      <w:r w:rsidRPr="00A03FFD">
        <w:rPr>
          <w:rFonts w:ascii="Arial" w:hAnsi="Arial" w:cs="Arial"/>
          <w:color w:val="000000" w:themeColor="text1"/>
          <w:sz w:val="18"/>
        </w:rPr>
        <w:softHyphen/>
        <w:t>dzał,</w:t>
      </w:r>
    </w:p>
    <w:p w14:paraId="1E7F411A"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wyniki prób poszczególnych elementów budowli z podaniem, kto je przeprowadzał,</w:t>
      </w:r>
    </w:p>
    <w:p w14:paraId="12F13BC5"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inne istotne informacje o przebiegu Robót.</w:t>
      </w:r>
    </w:p>
    <w:p w14:paraId="4B8EA652"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Propozycje, uwagi i wyjaśnienia Wykonawcy, wpisane do Dziennika Budowy będą przedłożone </w:t>
      </w:r>
      <w:r w:rsidR="007E0A79" w:rsidRPr="00A03FFD">
        <w:rPr>
          <w:rFonts w:ascii="Arial" w:hAnsi="Arial" w:cs="Arial"/>
          <w:color w:val="000000" w:themeColor="text1"/>
          <w:sz w:val="18"/>
        </w:rPr>
        <w:t>Przedstawicielowi Inwestora</w:t>
      </w:r>
      <w:r w:rsidRPr="00A03FFD">
        <w:rPr>
          <w:rFonts w:ascii="Arial" w:hAnsi="Arial" w:cs="Arial"/>
          <w:color w:val="000000" w:themeColor="text1"/>
          <w:sz w:val="18"/>
        </w:rPr>
        <w:t xml:space="preserve"> do ustosun</w:t>
      </w:r>
      <w:r w:rsidRPr="00A03FFD">
        <w:rPr>
          <w:rFonts w:ascii="Arial" w:hAnsi="Arial" w:cs="Arial"/>
          <w:color w:val="000000" w:themeColor="text1"/>
          <w:sz w:val="18"/>
        </w:rPr>
        <w:softHyphen/>
        <w:t>kowania się.</w:t>
      </w:r>
    </w:p>
    <w:p w14:paraId="3A8F62A5"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Decyzje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wpisane do Dziennika Budowy Wykonawca podpisuje z zaznaczeniem ich przyjęcia lub zajęciem stanowiska.</w:t>
      </w:r>
    </w:p>
    <w:p w14:paraId="29C81907"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Wpis Projektanta do Dziennika Budowy obliguje </w:t>
      </w:r>
      <w:r w:rsidR="007E0A79" w:rsidRPr="00A03FFD">
        <w:rPr>
          <w:rFonts w:ascii="Arial" w:hAnsi="Arial" w:cs="Arial"/>
          <w:color w:val="000000" w:themeColor="text1"/>
          <w:sz w:val="18"/>
        </w:rPr>
        <w:t xml:space="preserve">Przedstawiciela Inwestora </w:t>
      </w:r>
      <w:proofErr w:type="spellStart"/>
      <w:r w:rsidRPr="00A03FFD">
        <w:rPr>
          <w:rFonts w:ascii="Arial" w:hAnsi="Arial" w:cs="Arial"/>
          <w:color w:val="000000" w:themeColor="text1"/>
          <w:sz w:val="18"/>
        </w:rPr>
        <w:t>ontraktu</w:t>
      </w:r>
      <w:proofErr w:type="spellEnd"/>
      <w:r w:rsidRPr="00A03FFD">
        <w:rPr>
          <w:rFonts w:ascii="Arial" w:hAnsi="Arial" w:cs="Arial"/>
          <w:color w:val="000000" w:themeColor="text1"/>
          <w:sz w:val="18"/>
        </w:rPr>
        <w:t xml:space="preserve"> do ustosunkowania się.</w:t>
      </w:r>
    </w:p>
    <w:p w14:paraId="7C74E726" w14:textId="77777777" w:rsidR="00B355DE" w:rsidRPr="00A03FFD" w:rsidRDefault="00DF3642" w:rsidP="00ED3EFE">
      <w:pPr>
        <w:pStyle w:val="Nagwek4"/>
        <w:spacing w:line="240" w:lineRule="auto"/>
        <w:jc w:val="both"/>
        <w:rPr>
          <w:b/>
          <w:color w:val="000000" w:themeColor="text1"/>
          <w:sz w:val="20"/>
          <w:u w:val="none"/>
        </w:rPr>
      </w:pPr>
      <w:r w:rsidRPr="00A03FFD">
        <w:rPr>
          <w:b/>
          <w:color w:val="000000" w:themeColor="text1"/>
          <w:sz w:val="20"/>
          <w:u w:val="none"/>
        </w:rPr>
        <w:t xml:space="preserve">6.7.2. </w:t>
      </w:r>
      <w:r w:rsidR="00B355DE" w:rsidRPr="00A03FFD">
        <w:rPr>
          <w:b/>
          <w:color w:val="000000" w:themeColor="text1"/>
          <w:sz w:val="20"/>
          <w:u w:val="none"/>
        </w:rPr>
        <w:t xml:space="preserve">Rejestr Obmiarów </w:t>
      </w:r>
    </w:p>
    <w:p w14:paraId="2BD49331"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Rejestr Obmiarów stanowi dokument pozwalający na rozlicze</w:t>
      </w:r>
      <w:r w:rsidRPr="00A03FFD">
        <w:rPr>
          <w:rFonts w:ascii="Arial" w:hAnsi="Arial" w:cs="Arial"/>
          <w:color w:val="000000" w:themeColor="text1"/>
          <w:sz w:val="18"/>
        </w:rPr>
        <w:softHyphen/>
        <w:t>nie faktycznego postępu każdego z elementów Robót. Obmiary wykonanych Robót przeprowadza się w sposób ciągły w jednostkach przyjętych w Przedmiarze Robót i wpisuje do Rejestru Obmiarów.</w:t>
      </w:r>
    </w:p>
    <w:p w14:paraId="151F9858"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Wzór książki, a w szczególności formularza obmiarów zaproponuje Wykonawca do zatwierdzenia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Wpisów do Książki Obmiarów dokonuje Kierownik Budowy i są one potwierdzane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78241DC4" w14:textId="77777777" w:rsidR="00B355DE" w:rsidRPr="00A03FFD" w:rsidRDefault="00DF3642" w:rsidP="00ED3EFE">
      <w:pPr>
        <w:pStyle w:val="Nagwek4"/>
        <w:spacing w:line="240" w:lineRule="auto"/>
        <w:jc w:val="both"/>
        <w:rPr>
          <w:b/>
          <w:color w:val="000000" w:themeColor="text1"/>
          <w:sz w:val="20"/>
          <w:u w:val="none"/>
        </w:rPr>
      </w:pPr>
      <w:r w:rsidRPr="00A03FFD">
        <w:rPr>
          <w:b/>
          <w:color w:val="000000" w:themeColor="text1"/>
          <w:sz w:val="20"/>
          <w:u w:val="none"/>
        </w:rPr>
        <w:t>6.7.</w:t>
      </w:r>
      <w:r w:rsidR="00027AEC" w:rsidRPr="00A03FFD">
        <w:rPr>
          <w:b/>
          <w:color w:val="000000" w:themeColor="text1"/>
          <w:sz w:val="20"/>
          <w:u w:val="none"/>
        </w:rPr>
        <w:t>3</w:t>
      </w:r>
      <w:r w:rsidRPr="00A03FFD">
        <w:rPr>
          <w:b/>
          <w:color w:val="000000" w:themeColor="text1"/>
          <w:sz w:val="20"/>
          <w:u w:val="none"/>
        </w:rPr>
        <w:t xml:space="preserve">. </w:t>
      </w:r>
      <w:r w:rsidR="00B355DE" w:rsidRPr="00A03FFD">
        <w:rPr>
          <w:b/>
          <w:color w:val="000000" w:themeColor="text1"/>
          <w:sz w:val="20"/>
          <w:u w:val="none"/>
        </w:rPr>
        <w:t>Dokumenty laboratoryjne</w:t>
      </w:r>
    </w:p>
    <w:p w14:paraId="1C96D214"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Dzienniki laboratoryjne, deklaracje zgodności lub certyfikaty zgodności materiałów, orzeczenia o jakości materiałów, recepty robocze i kontrolne wyniki badań Wykonawcy będą gromadzone w formie uzgodnio</w:t>
      </w:r>
      <w:r w:rsidRPr="00A03FFD">
        <w:rPr>
          <w:rFonts w:ascii="Arial" w:hAnsi="Arial" w:cs="Arial"/>
          <w:color w:val="000000" w:themeColor="text1"/>
          <w:sz w:val="18"/>
        </w:rPr>
        <w:softHyphen/>
        <w:t>nej w programie zapew</w:t>
      </w:r>
      <w:r w:rsidRPr="00A03FFD">
        <w:rPr>
          <w:rFonts w:ascii="Arial" w:hAnsi="Arial" w:cs="Arial"/>
          <w:color w:val="000000" w:themeColor="text1"/>
          <w:sz w:val="18"/>
        </w:rPr>
        <w:softHyphen/>
        <w:t xml:space="preserve">nienia jakości. Dokumenty te stanowią załączniki do odbioru Robót. Winny być udostępnione na każde życzenie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61061611" w14:textId="77777777" w:rsidR="00B355DE" w:rsidRPr="00A03FFD" w:rsidRDefault="00DF3642" w:rsidP="00ED3EFE">
      <w:pPr>
        <w:pStyle w:val="Nagwek4"/>
        <w:spacing w:line="240" w:lineRule="auto"/>
        <w:jc w:val="both"/>
        <w:rPr>
          <w:b/>
          <w:color w:val="000000" w:themeColor="text1"/>
          <w:sz w:val="20"/>
          <w:u w:val="none"/>
        </w:rPr>
      </w:pPr>
      <w:r w:rsidRPr="00A03FFD">
        <w:rPr>
          <w:b/>
          <w:color w:val="000000" w:themeColor="text1"/>
          <w:sz w:val="20"/>
          <w:u w:val="none"/>
        </w:rPr>
        <w:t>6.7.</w:t>
      </w:r>
      <w:r w:rsidR="00027AEC" w:rsidRPr="00A03FFD">
        <w:rPr>
          <w:b/>
          <w:color w:val="000000" w:themeColor="text1"/>
          <w:sz w:val="20"/>
          <w:u w:val="none"/>
        </w:rPr>
        <w:t>4</w:t>
      </w:r>
      <w:r w:rsidRPr="00A03FFD">
        <w:rPr>
          <w:b/>
          <w:color w:val="000000" w:themeColor="text1"/>
          <w:sz w:val="20"/>
          <w:u w:val="none"/>
        </w:rPr>
        <w:t xml:space="preserve">. </w:t>
      </w:r>
      <w:r w:rsidR="00B355DE" w:rsidRPr="00A03FFD">
        <w:rPr>
          <w:b/>
          <w:color w:val="000000" w:themeColor="text1"/>
          <w:sz w:val="20"/>
          <w:u w:val="none"/>
        </w:rPr>
        <w:t>Pozostałe dokumenty budowy</w:t>
      </w:r>
    </w:p>
    <w:p w14:paraId="41896AFC"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Do dokumentów budowy zalicza się, oprócz wymienionych w pkt. 6.8.1-6.8.3 następujące dokumenty:</w:t>
      </w:r>
    </w:p>
    <w:p w14:paraId="4FDA1319"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pozwolenie na realizację zadania budowlanego,</w:t>
      </w:r>
    </w:p>
    <w:p w14:paraId="7C1B7FD8"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protokoły przekazania Terenu Budowy,</w:t>
      </w:r>
    </w:p>
    <w:p w14:paraId="46047289"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umowy cywilno-prawne z osobami trzecimi i inne umowy cywilno-prawne,</w:t>
      </w:r>
    </w:p>
    <w:p w14:paraId="33AACF5B"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protokoły odbioru Robót,</w:t>
      </w:r>
    </w:p>
    <w:p w14:paraId="3AE1AAE1"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protokoły z narad i ustaleń,</w:t>
      </w:r>
    </w:p>
    <w:p w14:paraId="7E6544E3"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korespondencję na budowie,</w:t>
      </w:r>
    </w:p>
    <w:p w14:paraId="0E10BFCA" w14:textId="77777777" w:rsidR="00B355DE" w:rsidRPr="00A03FFD" w:rsidRDefault="00B355DE" w:rsidP="00DF3642">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docelowa organizacja ruchu wraz z zatwierdzeniem.</w:t>
      </w:r>
    </w:p>
    <w:p w14:paraId="339A5DA8" w14:textId="77777777" w:rsidR="00B355DE" w:rsidRPr="00A03FFD" w:rsidRDefault="00DF3642" w:rsidP="00ED3EFE">
      <w:pPr>
        <w:pStyle w:val="Nagwek4"/>
        <w:spacing w:line="240" w:lineRule="auto"/>
        <w:jc w:val="both"/>
        <w:rPr>
          <w:b/>
          <w:color w:val="000000" w:themeColor="text1"/>
          <w:sz w:val="20"/>
          <w:u w:val="none"/>
        </w:rPr>
      </w:pPr>
      <w:r w:rsidRPr="00A03FFD">
        <w:rPr>
          <w:b/>
          <w:color w:val="000000" w:themeColor="text1"/>
          <w:sz w:val="20"/>
          <w:u w:val="none"/>
        </w:rPr>
        <w:t>6.7.</w:t>
      </w:r>
      <w:r w:rsidR="00027AEC" w:rsidRPr="00A03FFD">
        <w:rPr>
          <w:b/>
          <w:color w:val="000000" w:themeColor="text1"/>
          <w:sz w:val="20"/>
          <w:u w:val="none"/>
        </w:rPr>
        <w:t>5</w:t>
      </w:r>
      <w:r w:rsidRPr="00A03FFD">
        <w:rPr>
          <w:b/>
          <w:color w:val="000000" w:themeColor="text1"/>
          <w:sz w:val="20"/>
          <w:u w:val="none"/>
        </w:rPr>
        <w:t xml:space="preserve">. </w:t>
      </w:r>
      <w:r w:rsidR="00B355DE" w:rsidRPr="00A03FFD">
        <w:rPr>
          <w:b/>
          <w:color w:val="000000" w:themeColor="text1"/>
          <w:sz w:val="20"/>
          <w:u w:val="none"/>
        </w:rPr>
        <w:t>Przechowywanie dokumentów budowy</w:t>
      </w:r>
    </w:p>
    <w:p w14:paraId="4407D57D"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Dokumenty budowy będą przechowywane na Terenie Budowy w miejscu odpowiednio zabezpieczonym.</w:t>
      </w:r>
    </w:p>
    <w:p w14:paraId="7B9605FB"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Zaginięcie któregokolwiek z dokumentów budowy spowoduje jego natychmiastowe odtworzenie w formie przewidzia</w:t>
      </w:r>
      <w:r w:rsidRPr="00A03FFD">
        <w:rPr>
          <w:rFonts w:ascii="Arial" w:hAnsi="Arial" w:cs="Arial"/>
          <w:color w:val="000000" w:themeColor="text1"/>
          <w:sz w:val="18"/>
        </w:rPr>
        <w:softHyphen/>
        <w:t>nej prawem.</w:t>
      </w:r>
    </w:p>
    <w:p w14:paraId="45706BC3" w14:textId="77777777" w:rsidR="00B355DE" w:rsidRPr="00A03FFD" w:rsidRDefault="00B355DE" w:rsidP="00DF364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Wszelkie dokumenty budowy będą zawsze dostępne dla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i przedstawiane do wglądu na życzenie Zamawiają</w:t>
      </w:r>
      <w:r w:rsidRPr="00A03FFD">
        <w:rPr>
          <w:rFonts w:ascii="Arial" w:hAnsi="Arial" w:cs="Arial"/>
          <w:color w:val="000000" w:themeColor="text1"/>
          <w:sz w:val="18"/>
        </w:rPr>
        <w:softHyphen/>
        <w:t>cego.</w:t>
      </w:r>
    </w:p>
    <w:p w14:paraId="04E3022B" w14:textId="77777777" w:rsidR="00027AEC" w:rsidRPr="00A03FFD" w:rsidRDefault="00027AEC" w:rsidP="000D1C0D">
      <w:pPr>
        <w:pStyle w:val="Nagwek2"/>
        <w:rPr>
          <w:i w:val="0"/>
          <w:color w:val="000000" w:themeColor="text1"/>
        </w:rPr>
      </w:pPr>
      <w:bookmarkStart w:id="65" w:name="_Toc315352942"/>
      <w:bookmarkStart w:id="66" w:name="_Toc315353158"/>
      <w:bookmarkStart w:id="67" w:name="_Toc466465051"/>
      <w:r w:rsidRPr="00A03FFD">
        <w:rPr>
          <w:i w:val="0"/>
          <w:color w:val="000000" w:themeColor="text1"/>
        </w:rPr>
        <w:lastRenderedPageBreak/>
        <w:t>7. OBMIAR ROBÓT</w:t>
      </w:r>
      <w:bookmarkEnd w:id="65"/>
      <w:bookmarkEnd w:id="66"/>
      <w:bookmarkEnd w:id="67"/>
    </w:p>
    <w:p w14:paraId="13D6D56F" w14:textId="77777777" w:rsidR="00027AEC" w:rsidRPr="00A03FFD" w:rsidRDefault="00027AEC" w:rsidP="000D1C0D">
      <w:pPr>
        <w:pStyle w:val="Nagwek3"/>
        <w:spacing w:before="60"/>
        <w:rPr>
          <w:color w:val="000000" w:themeColor="text1"/>
          <w:sz w:val="22"/>
        </w:rPr>
      </w:pPr>
      <w:bookmarkStart w:id="68" w:name="_Toc315352943"/>
      <w:bookmarkStart w:id="69" w:name="_Toc315353159"/>
      <w:bookmarkStart w:id="70" w:name="_Toc466465052"/>
      <w:r w:rsidRPr="00A03FFD">
        <w:rPr>
          <w:color w:val="000000" w:themeColor="text1"/>
          <w:sz w:val="22"/>
        </w:rPr>
        <w:t>7.1. Ogólne zasady obmiaru Robót</w:t>
      </w:r>
      <w:bookmarkEnd w:id="68"/>
      <w:bookmarkEnd w:id="69"/>
      <w:bookmarkEnd w:id="70"/>
    </w:p>
    <w:p w14:paraId="33C6C470"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Obmiar Robót będzie określać faktyczny zakres wyko</w:t>
      </w:r>
      <w:r w:rsidRPr="00A03FFD">
        <w:rPr>
          <w:rFonts w:ascii="Arial" w:hAnsi="Arial" w:cs="Arial"/>
          <w:color w:val="000000" w:themeColor="text1"/>
          <w:sz w:val="18"/>
        </w:rPr>
        <w:softHyphen/>
        <w:t>nywa</w:t>
      </w:r>
      <w:r w:rsidRPr="00A03FFD">
        <w:rPr>
          <w:rFonts w:ascii="Arial" w:hAnsi="Arial" w:cs="Arial"/>
          <w:color w:val="000000" w:themeColor="text1"/>
          <w:sz w:val="18"/>
        </w:rPr>
        <w:softHyphen/>
        <w:t>nych Robót zgodnie z Dokumentacją Projektową i ST, w jednos</w:t>
      </w:r>
      <w:r w:rsidRPr="00A03FFD">
        <w:rPr>
          <w:rFonts w:ascii="Arial" w:hAnsi="Arial" w:cs="Arial"/>
          <w:color w:val="000000" w:themeColor="text1"/>
          <w:sz w:val="18"/>
        </w:rPr>
        <w:softHyphen/>
        <w:t>tkach ustalonych w Przedmiarze Robót.</w:t>
      </w:r>
    </w:p>
    <w:p w14:paraId="6B6AD09B"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Wyniki obmiaru będą wpisane do Rejestru Obmiarów.</w:t>
      </w:r>
    </w:p>
    <w:p w14:paraId="7BD1B4EE"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Jakikol</w:t>
      </w:r>
      <w:r w:rsidRPr="00A03FFD">
        <w:rPr>
          <w:rFonts w:ascii="Arial" w:hAnsi="Arial" w:cs="Arial"/>
          <w:color w:val="000000" w:themeColor="text1"/>
          <w:sz w:val="18"/>
        </w:rPr>
        <w:softHyphen/>
        <w:t>wiek błąd lub przeoczenie (opuszczenie) w ilościach podanych w Przedmiarze Robót lub gdzie indziej w Specyfikac</w:t>
      </w:r>
      <w:r w:rsidRPr="00A03FFD">
        <w:rPr>
          <w:rFonts w:ascii="Arial" w:hAnsi="Arial" w:cs="Arial"/>
          <w:color w:val="000000" w:themeColor="text1"/>
          <w:sz w:val="18"/>
        </w:rPr>
        <w:softHyphen/>
        <w:t>jach Technicz</w:t>
      </w:r>
      <w:r w:rsidRPr="00A03FFD">
        <w:rPr>
          <w:rFonts w:ascii="Arial" w:hAnsi="Arial" w:cs="Arial"/>
          <w:color w:val="000000" w:themeColor="text1"/>
          <w:sz w:val="18"/>
        </w:rPr>
        <w:softHyphen/>
        <w:t xml:space="preserve">nych nie zwalnia Wykonawcy od obowiązku ukończenia wszystkich Robót. Korekta ewentualnych błędów lub pominiętych pozycji w przedmiarze wymaga pisemnego wystąpienia Wykonawcy i akceptacji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po porozumieniu z zamawiającym.</w:t>
      </w:r>
    </w:p>
    <w:p w14:paraId="3716FA95" w14:textId="77777777" w:rsidR="00027AEC" w:rsidRPr="00A03FFD" w:rsidRDefault="00027AEC" w:rsidP="000D1C0D">
      <w:pPr>
        <w:pStyle w:val="Nagwek3"/>
        <w:spacing w:before="60"/>
        <w:rPr>
          <w:color w:val="000000" w:themeColor="text1"/>
          <w:sz w:val="22"/>
        </w:rPr>
      </w:pPr>
      <w:bookmarkStart w:id="71" w:name="_Toc315352944"/>
      <w:bookmarkStart w:id="72" w:name="_Toc315353160"/>
      <w:bookmarkStart w:id="73" w:name="_Toc466465053"/>
      <w:r w:rsidRPr="00A03FFD">
        <w:rPr>
          <w:color w:val="000000" w:themeColor="text1"/>
          <w:sz w:val="22"/>
        </w:rPr>
        <w:t>7.2. Zasady określania ilości Robót i materiałów</w:t>
      </w:r>
      <w:bookmarkEnd w:id="71"/>
      <w:bookmarkEnd w:id="72"/>
      <w:bookmarkEnd w:id="73"/>
    </w:p>
    <w:p w14:paraId="0798042B"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Długości i odległości pomiędzy wyszczególnionymi punktami skrajnymi będą obmierzone poziomo wzdłuż linii osiowej.</w:t>
      </w:r>
    </w:p>
    <w:p w14:paraId="6DE49785"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Jeśli Specyfikacje Techniczne właściwe dla danych Robót nie wymagają tego inaczej, objętości będą wyliczone w m3 jako długość pomnożona przez średni przekrój.</w:t>
      </w:r>
    </w:p>
    <w:p w14:paraId="7595C877"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Objętości robót ziemnych będą wyliczone w m3 gruntu rodzimego (wykopy, nasypy zakupy gruntu  w tym humusu z dowozu, wywozy, utylizacja).</w:t>
      </w:r>
    </w:p>
    <w:p w14:paraId="0E3886E1"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Ilości dla materiałów rozbiórkowych wywożonych i utylizowanych będą ustalane jako objętości wyliczone w m3 na podstawie obmiaru wg wymiarów rozbieranych konstrukcji i powiększone mnożnikiem 1.5 dla gruzu betonowego i 1.3 dla gruzu asfaltowego.</w:t>
      </w:r>
    </w:p>
    <w:p w14:paraId="299B0CC7"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Ilości, które mają być obmierzone wagowo, będą ważone w tonach lub kilogramach zgodnie z wymaganiami Specyfikacji Technicznych.</w:t>
      </w:r>
    </w:p>
    <w:p w14:paraId="3C45FA1F" w14:textId="77777777" w:rsidR="00027AEC" w:rsidRPr="00A03FFD" w:rsidRDefault="00027AEC" w:rsidP="000D1C0D">
      <w:pPr>
        <w:pStyle w:val="Nagwek3"/>
        <w:spacing w:before="60"/>
        <w:rPr>
          <w:color w:val="000000" w:themeColor="text1"/>
          <w:sz w:val="22"/>
        </w:rPr>
      </w:pPr>
      <w:bookmarkStart w:id="74" w:name="_Toc315352945"/>
      <w:bookmarkStart w:id="75" w:name="_Toc315353161"/>
      <w:bookmarkStart w:id="76" w:name="_Toc466465054"/>
      <w:r w:rsidRPr="00A03FFD">
        <w:rPr>
          <w:color w:val="000000" w:themeColor="text1"/>
          <w:sz w:val="22"/>
        </w:rPr>
        <w:t>7.3. Urządzenia i sprzęt pomiarowy</w:t>
      </w:r>
      <w:bookmarkEnd w:id="74"/>
      <w:bookmarkEnd w:id="75"/>
      <w:bookmarkEnd w:id="76"/>
    </w:p>
    <w:p w14:paraId="63994A35"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Wszystkie urządzenia i sprzęt pomiarowy, stosowany w czasie obmiaru Robót będą zaakceptowane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0AC0B005"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Urządzenia i sprzęt pomiarowy zostaną dostarczone przez Wykonawcę. Jeżeli urządzenia te lub sprzęt wymagają badań atestują</w:t>
      </w:r>
      <w:r w:rsidRPr="00A03FFD">
        <w:rPr>
          <w:rFonts w:ascii="Arial" w:hAnsi="Arial" w:cs="Arial"/>
          <w:color w:val="000000" w:themeColor="text1"/>
          <w:sz w:val="18"/>
        </w:rPr>
        <w:softHyphen/>
        <w:t>cych to Wykonawca będzie posiadać ważne świadectwa legalizacji.</w:t>
      </w:r>
    </w:p>
    <w:p w14:paraId="1D2D5E59"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Wszystkie urządzenia pomiarowe będą przez Wykonawcę utrzymy</w:t>
      </w:r>
      <w:r w:rsidRPr="00A03FFD">
        <w:rPr>
          <w:rFonts w:ascii="Arial" w:hAnsi="Arial" w:cs="Arial"/>
          <w:color w:val="000000" w:themeColor="text1"/>
          <w:sz w:val="18"/>
        </w:rPr>
        <w:softHyphen/>
        <w:t>wane w dobrym stanie, w całym okresie trwania Robót.</w:t>
      </w:r>
    </w:p>
    <w:p w14:paraId="70894E73" w14:textId="77777777" w:rsidR="00027AEC" w:rsidRPr="00A03FFD" w:rsidRDefault="00027AEC" w:rsidP="000D1C0D">
      <w:pPr>
        <w:pStyle w:val="Nagwek3"/>
        <w:spacing w:before="60"/>
        <w:rPr>
          <w:color w:val="000000" w:themeColor="text1"/>
          <w:sz w:val="22"/>
        </w:rPr>
      </w:pPr>
      <w:bookmarkStart w:id="77" w:name="_Toc315352946"/>
      <w:bookmarkStart w:id="78" w:name="_Toc315353162"/>
      <w:bookmarkStart w:id="79" w:name="_Toc466465055"/>
      <w:r w:rsidRPr="00A03FFD">
        <w:rPr>
          <w:color w:val="000000" w:themeColor="text1"/>
          <w:sz w:val="22"/>
        </w:rPr>
        <w:t>7.4. Wagi i zasady ważenia</w:t>
      </w:r>
      <w:bookmarkEnd w:id="77"/>
      <w:bookmarkEnd w:id="78"/>
      <w:bookmarkEnd w:id="79"/>
    </w:p>
    <w:p w14:paraId="5E9394FA"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dostarczy i zainstaluje urządzenia wagowe odpowiadające odnośnym wymaganiom Specyfikacji Technicznych. Będzie utrzymywać to wyposażenie zapewniając w sposób ciągły zachowanie dokładności wg norm zatwierdzonych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5EC716C1" w14:textId="77777777" w:rsidR="00027AEC" w:rsidRPr="00A03FFD" w:rsidRDefault="00027AEC" w:rsidP="000D1C0D">
      <w:pPr>
        <w:pStyle w:val="Nagwek3"/>
        <w:spacing w:before="60"/>
        <w:rPr>
          <w:color w:val="000000" w:themeColor="text1"/>
          <w:sz w:val="22"/>
        </w:rPr>
      </w:pPr>
      <w:bookmarkStart w:id="80" w:name="_Toc315352947"/>
      <w:bookmarkStart w:id="81" w:name="_Toc315353163"/>
      <w:bookmarkStart w:id="82" w:name="_Toc466465056"/>
      <w:r w:rsidRPr="00A03FFD">
        <w:rPr>
          <w:color w:val="000000" w:themeColor="text1"/>
          <w:sz w:val="22"/>
        </w:rPr>
        <w:t>7.5. Czas przeprowadzenia obmiaru</w:t>
      </w:r>
      <w:bookmarkEnd w:id="80"/>
      <w:bookmarkEnd w:id="81"/>
      <w:bookmarkEnd w:id="82"/>
    </w:p>
    <w:p w14:paraId="16C0E573" w14:textId="77777777" w:rsidR="00027AEC" w:rsidRPr="00A03FFD" w:rsidRDefault="00027AEC" w:rsidP="00027AEC">
      <w:pPr>
        <w:pStyle w:val="Specyfikacje"/>
        <w:spacing w:after="0"/>
        <w:ind w:left="0"/>
        <w:rPr>
          <w:rFonts w:ascii="Arial" w:hAnsi="Arial" w:cs="Arial"/>
          <w:color w:val="000000" w:themeColor="text1"/>
          <w:sz w:val="18"/>
        </w:rPr>
      </w:pPr>
      <w:bookmarkStart w:id="83" w:name="_Toc315352948"/>
      <w:bookmarkStart w:id="84" w:name="_Toc315353164"/>
      <w:r w:rsidRPr="00A03FFD">
        <w:rPr>
          <w:rFonts w:ascii="Arial" w:hAnsi="Arial" w:cs="Arial"/>
          <w:color w:val="000000" w:themeColor="text1"/>
          <w:sz w:val="18"/>
        </w:rPr>
        <w:t>Obmiary robót należy prowadzić na bieżąco ( każdego dnia).</w:t>
      </w:r>
    </w:p>
    <w:p w14:paraId="012F1F82"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Obmiar Robót zanikających przeprowadza się w czasie ich wykonywa</w:t>
      </w:r>
      <w:r w:rsidRPr="00A03FFD">
        <w:rPr>
          <w:rFonts w:ascii="Arial" w:hAnsi="Arial" w:cs="Arial"/>
          <w:color w:val="000000" w:themeColor="text1"/>
          <w:sz w:val="18"/>
        </w:rPr>
        <w:softHyphen/>
        <w:t>nia.</w:t>
      </w:r>
    </w:p>
    <w:p w14:paraId="07D87095"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Obmiar Robót podlegających zakryciu przeprowadza się przed ich zakryciem.</w:t>
      </w:r>
    </w:p>
    <w:p w14:paraId="1563BA02" w14:textId="77777777" w:rsidR="00027AEC" w:rsidRPr="00A03FFD" w:rsidRDefault="00027AEC" w:rsidP="00027AE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Roboty pomiarowe do obmiaru oraz nieodzowne obliczenia będą wykonane w sposób zrozumiały i jednoznaczny oraz będą uzupełnione odpowiednimi szkicami, których wzór zostanie uzgodniony z Inżynierem, oraz dokumentacją fotograficzną, skatalogowaną w sposób nie budzący wątpliwości co do momentu jej wykonania oraz obiektu, który dokumentuje. Obliczenia wraz ze szkicami oraz dokumentacją fotograficzną będą każdorazowo załączone do dokumentów odbiorowych poszczególnych robót, a ich wyniki zostaną zapisane w książce obmiaru i potwierdzone przez Inżyniera.</w:t>
      </w:r>
    </w:p>
    <w:p w14:paraId="2DE38E58" w14:textId="77777777" w:rsidR="00027AEC" w:rsidRPr="00A03FFD" w:rsidRDefault="00072B04" w:rsidP="000D1C0D">
      <w:pPr>
        <w:pStyle w:val="Nagwek2"/>
        <w:rPr>
          <w:i w:val="0"/>
          <w:color w:val="000000" w:themeColor="text1"/>
        </w:rPr>
      </w:pPr>
      <w:bookmarkStart w:id="85" w:name="_Toc466465057"/>
      <w:r w:rsidRPr="00A03FFD">
        <w:rPr>
          <w:i w:val="0"/>
          <w:color w:val="000000" w:themeColor="text1"/>
        </w:rPr>
        <w:t xml:space="preserve">8. </w:t>
      </w:r>
      <w:r w:rsidR="00027AEC" w:rsidRPr="00A03FFD">
        <w:rPr>
          <w:i w:val="0"/>
          <w:color w:val="000000" w:themeColor="text1"/>
        </w:rPr>
        <w:t>ODBIÓR ROBÓT</w:t>
      </w:r>
      <w:bookmarkEnd w:id="83"/>
      <w:bookmarkEnd w:id="84"/>
      <w:bookmarkEnd w:id="85"/>
    </w:p>
    <w:p w14:paraId="0DD89D3A"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zależności od ustaleń odpowiednich ST, Roboty podlega</w:t>
      </w:r>
      <w:r w:rsidRPr="00A03FFD">
        <w:rPr>
          <w:rFonts w:ascii="Arial" w:hAnsi="Arial" w:cs="Arial"/>
          <w:color w:val="000000" w:themeColor="text1"/>
          <w:sz w:val="18"/>
        </w:rPr>
        <w:softHyphen/>
        <w:t>ją następującym etapom odbioru:</w:t>
      </w:r>
    </w:p>
    <w:p w14:paraId="4A146E55" w14:textId="77777777" w:rsidR="00027AEC" w:rsidRPr="00A03FFD"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odbiorowi Robót zanikających i ulegających zakryciu,</w:t>
      </w:r>
    </w:p>
    <w:p w14:paraId="0CD9942D" w14:textId="77777777" w:rsidR="00027AEC" w:rsidRPr="00A03FFD"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odbiorowi częściowemu,</w:t>
      </w:r>
    </w:p>
    <w:p w14:paraId="121643B0" w14:textId="77777777" w:rsidR="00027AEC" w:rsidRPr="00A03FFD" w:rsidRDefault="00027AEC" w:rsidP="00072B04">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odbiorowi końcowemu.</w:t>
      </w:r>
    </w:p>
    <w:p w14:paraId="7B2F7965" w14:textId="77777777" w:rsidR="00027AEC" w:rsidRPr="00A03FFD" w:rsidRDefault="00072B04" w:rsidP="000D1C0D">
      <w:pPr>
        <w:pStyle w:val="Nagwek3"/>
        <w:spacing w:before="60"/>
        <w:rPr>
          <w:color w:val="000000" w:themeColor="text1"/>
          <w:sz w:val="22"/>
        </w:rPr>
      </w:pPr>
      <w:bookmarkStart w:id="86" w:name="_Toc315352949"/>
      <w:bookmarkStart w:id="87" w:name="_Toc315353165"/>
      <w:bookmarkStart w:id="88" w:name="_Toc466465058"/>
      <w:r w:rsidRPr="00A03FFD">
        <w:rPr>
          <w:color w:val="000000" w:themeColor="text1"/>
          <w:sz w:val="22"/>
        </w:rPr>
        <w:t xml:space="preserve">8.1. </w:t>
      </w:r>
      <w:r w:rsidR="00027AEC" w:rsidRPr="00A03FFD">
        <w:rPr>
          <w:color w:val="000000" w:themeColor="text1"/>
          <w:sz w:val="22"/>
        </w:rPr>
        <w:t>Odbiór Robót zanikających i ulegających zakryciu</w:t>
      </w:r>
      <w:bookmarkEnd w:id="86"/>
      <w:bookmarkEnd w:id="87"/>
      <w:bookmarkEnd w:id="88"/>
    </w:p>
    <w:p w14:paraId="67511C50"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Odbiór Robót zanikających i ulegających zakryciu polega na finalnej ocenie ilości i jakości wykonywanych Robót, które w dalszym procesie realizacji ulegną zakryciu.</w:t>
      </w:r>
    </w:p>
    <w:p w14:paraId="2DB81662"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Odbiór Robót zanikających i ulegających zakryciu będzie dokonany w czasie umożliwiającym wykonanie ewentualnych korekt i poprawek bez hamowania ogólnego postępu Robót.</w:t>
      </w:r>
    </w:p>
    <w:p w14:paraId="0A3F87F8"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Odbioru Robót dokonuje </w:t>
      </w:r>
      <w:r w:rsidR="007E0A79" w:rsidRPr="00A03FFD">
        <w:rPr>
          <w:rFonts w:ascii="Arial" w:hAnsi="Arial" w:cs="Arial"/>
          <w:color w:val="000000" w:themeColor="text1"/>
          <w:sz w:val="18"/>
        </w:rPr>
        <w:t>Przedstawiciel Inwestora</w:t>
      </w:r>
      <w:r w:rsidRPr="00A03FFD">
        <w:rPr>
          <w:rFonts w:ascii="Arial" w:hAnsi="Arial" w:cs="Arial"/>
          <w:color w:val="000000" w:themeColor="text1"/>
          <w:sz w:val="18"/>
        </w:rPr>
        <w:t>.</w:t>
      </w:r>
    </w:p>
    <w:p w14:paraId="424FEAD1"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Gotowość danej części Robót do odbioru zgłasza Wykonawca wpisem do Dziennika Budowy i jednoczesnym powiadomieniem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Odbiór będzie przeprowadzony niezwłocznie, nie później jednak niż w ciągu 3 dni od daty zgłoszenia wpisem do Dziennika Budowy i powiadomienia o tym fakcie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0EF036D6"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Jakość i ilość Robót ulegających zakryciu ocenia </w:t>
      </w:r>
      <w:r w:rsidR="007E0A79" w:rsidRPr="00A03FFD">
        <w:rPr>
          <w:rFonts w:ascii="Arial" w:hAnsi="Arial" w:cs="Arial"/>
          <w:color w:val="000000" w:themeColor="text1"/>
          <w:sz w:val="18"/>
        </w:rPr>
        <w:t xml:space="preserve">Przedstawiciel Inwestora </w:t>
      </w:r>
      <w:r w:rsidRPr="00A03FFD">
        <w:rPr>
          <w:rFonts w:ascii="Arial" w:hAnsi="Arial" w:cs="Arial"/>
          <w:color w:val="000000" w:themeColor="text1"/>
          <w:sz w:val="18"/>
        </w:rPr>
        <w:t>na podstawie dokumentów zawierających komplet wyników badań laborato</w:t>
      </w:r>
      <w:r w:rsidRPr="00A03FFD">
        <w:rPr>
          <w:rFonts w:ascii="Arial" w:hAnsi="Arial" w:cs="Arial"/>
          <w:color w:val="000000" w:themeColor="text1"/>
          <w:sz w:val="18"/>
        </w:rPr>
        <w:softHyphen/>
        <w:t>ryjnych i w oparciu o przeprowadzone pomiary, w konfron</w:t>
      </w:r>
      <w:r w:rsidRPr="00A03FFD">
        <w:rPr>
          <w:rFonts w:ascii="Arial" w:hAnsi="Arial" w:cs="Arial"/>
          <w:color w:val="000000" w:themeColor="text1"/>
          <w:sz w:val="18"/>
        </w:rPr>
        <w:softHyphen/>
        <w:t>tacji z Dokumentacją Projektową, ST i uprzednimi ustaleniami.</w:t>
      </w:r>
    </w:p>
    <w:p w14:paraId="30745A3A" w14:textId="77777777" w:rsidR="00027AEC" w:rsidRPr="00A03FFD" w:rsidRDefault="00072B04" w:rsidP="000D1C0D">
      <w:pPr>
        <w:pStyle w:val="Nagwek3"/>
        <w:spacing w:before="60"/>
        <w:rPr>
          <w:color w:val="000000" w:themeColor="text1"/>
          <w:sz w:val="22"/>
        </w:rPr>
      </w:pPr>
      <w:bookmarkStart w:id="89" w:name="_Toc315352950"/>
      <w:bookmarkStart w:id="90" w:name="_Toc315353166"/>
      <w:bookmarkStart w:id="91" w:name="_Toc466465059"/>
      <w:r w:rsidRPr="00A03FFD">
        <w:rPr>
          <w:color w:val="000000" w:themeColor="text1"/>
          <w:sz w:val="22"/>
        </w:rPr>
        <w:t xml:space="preserve">8.2. </w:t>
      </w:r>
      <w:r w:rsidR="00027AEC" w:rsidRPr="00A03FFD">
        <w:rPr>
          <w:color w:val="000000" w:themeColor="text1"/>
          <w:sz w:val="22"/>
        </w:rPr>
        <w:t>Odbiór częściowy</w:t>
      </w:r>
      <w:bookmarkEnd w:id="89"/>
      <w:bookmarkEnd w:id="90"/>
      <w:bookmarkEnd w:id="91"/>
    </w:p>
    <w:p w14:paraId="7AB63C88"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Odbiór częściowy polega na ocenie ilości i jakości wykona</w:t>
      </w:r>
      <w:r w:rsidRPr="00A03FFD">
        <w:rPr>
          <w:rFonts w:ascii="Arial" w:hAnsi="Arial" w:cs="Arial"/>
          <w:color w:val="000000" w:themeColor="text1"/>
          <w:sz w:val="18"/>
        </w:rPr>
        <w:softHyphen/>
        <w:t xml:space="preserve">nych części Robót. Odbioru częściowego Robót dokonuje się wg zasad jak przy odbiorze ostatecznym Robót. Odbioru Robót dokonuje </w:t>
      </w:r>
      <w:r w:rsidR="007E0A79" w:rsidRPr="00A03FFD">
        <w:rPr>
          <w:rFonts w:ascii="Arial" w:hAnsi="Arial" w:cs="Arial"/>
          <w:color w:val="000000" w:themeColor="text1"/>
          <w:sz w:val="18"/>
        </w:rPr>
        <w:t>Przedstawiciel Inwestora</w:t>
      </w:r>
      <w:r w:rsidRPr="00A03FFD">
        <w:rPr>
          <w:rFonts w:ascii="Arial" w:hAnsi="Arial" w:cs="Arial"/>
          <w:color w:val="000000" w:themeColor="text1"/>
          <w:sz w:val="18"/>
        </w:rPr>
        <w:t>.</w:t>
      </w:r>
    </w:p>
    <w:p w14:paraId="3C3D28F7" w14:textId="77777777" w:rsidR="00027AEC" w:rsidRPr="00A03FFD" w:rsidRDefault="00072B04" w:rsidP="000D1C0D">
      <w:pPr>
        <w:pStyle w:val="Nagwek3"/>
        <w:spacing w:before="60"/>
        <w:rPr>
          <w:color w:val="000000" w:themeColor="text1"/>
          <w:sz w:val="22"/>
        </w:rPr>
      </w:pPr>
      <w:bookmarkStart w:id="92" w:name="_Toc315352951"/>
      <w:bookmarkStart w:id="93" w:name="_Toc315353167"/>
      <w:bookmarkStart w:id="94" w:name="_Toc466465060"/>
      <w:r w:rsidRPr="00A03FFD">
        <w:rPr>
          <w:color w:val="000000" w:themeColor="text1"/>
          <w:sz w:val="22"/>
        </w:rPr>
        <w:lastRenderedPageBreak/>
        <w:t xml:space="preserve">8.3. </w:t>
      </w:r>
      <w:r w:rsidR="00027AEC" w:rsidRPr="00A03FFD">
        <w:rPr>
          <w:color w:val="000000" w:themeColor="text1"/>
          <w:sz w:val="22"/>
        </w:rPr>
        <w:t>Odbiór końcowy Robót</w:t>
      </w:r>
      <w:bookmarkEnd w:id="92"/>
      <w:bookmarkEnd w:id="93"/>
      <w:bookmarkEnd w:id="94"/>
    </w:p>
    <w:p w14:paraId="11595371"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Odbiór końcowy polega na finalnej ocenie rzeczywistego wykonania Robót w odniesieniu do ich ilości, jakości i wartoś</w:t>
      </w:r>
      <w:r w:rsidRPr="00A03FFD">
        <w:rPr>
          <w:rFonts w:ascii="Arial" w:hAnsi="Arial" w:cs="Arial"/>
          <w:color w:val="000000" w:themeColor="text1"/>
          <w:sz w:val="18"/>
        </w:rPr>
        <w:softHyphen/>
        <w:t>ci.</w:t>
      </w:r>
    </w:p>
    <w:p w14:paraId="2AE2C302"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Całkowite zakończenie Robót oraz gotowość do odbioru końcowego będzie stwierdzona przez Wykonawcę wpisem do Dzien</w:t>
      </w:r>
      <w:r w:rsidRPr="00A03FFD">
        <w:rPr>
          <w:rFonts w:ascii="Arial" w:hAnsi="Arial" w:cs="Arial"/>
          <w:color w:val="000000" w:themeColor="text1"/>
          <w:sz w:val="18"/>
        </w:rPr>
        <w:softHyphen/>
        <w:t xml:space="preserve">nika Budowy z bezzwłocznym powiadomieniem na piśmie o tym fakcie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w:t>
      </w:r>
    </w:p>
    <w:p w14:paraId="585FFCF7"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Odbiór końcowy Robót nastąpi w terminie ustalonym w Umowie, licząc od dnia potwierdzenia przez </w:t>
      </w:r>
      <w:r w:rsidR="007E0A79" w:rsidRPr="00A03FFD">
        <w:rPr>
          <w:rFonts w:ascii="Arial" w:hAnsi="Arial" w:cs="Arial"/>
          <w:color w:val="000000" w:themeColor="text1"/>
          <w:sz w:val="18"/>
        </w:rPr>
        <w:t>Przedstawiciela Inwestora</w:t>
      </w:r>
      <w:r w:rsidRPr="00A03FFD">
        <w:rPr>
          <w:rFonts w:ascii="Arial" w:hAnsi="Arial" w:cs="Arial"/>
          <w:color w:val="000000" w:themeColor="text1"/>
          <w:sz w:val="18"/>
        </w:rPr>
        <w:t xml:space="preserve"> zakończenia Robót i przyjęcia dokumentów, </w:t>
      </w:r>
      <w:r w:rsidRPr="00A03FFD">
        <w:rPr>
          <w:rFonts w:ascii="Arial" w:hAnsi="Arial" w:cs="Arial"/>
          <w:color w:val="000000" w:themeColor="text1"/>
          <w:sz w:val="18"/>
        </w:rPr>
        <w:br/>
        <w:t>o których mowa w punkcie 8.3.1.</w:t>
      </w:r>
    </w:p>
    <w:p w14:paraId="75787661"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Odbioru końcowego Robót dokona komisja wyznaczona przez Zamawiającego w obecności </w:t>
      </w:r>
      <w:r w:rsidR="007E0A79" w:rsidRPr="00A03FFD">
        <w:rPr>
          <w:rFonts w:ascii="Arial" w:hAnsi="Arial" w:cs="Arial"/>
          <w:color w:val="000000" w:themeColor="text1"/>
          <w:sz w:val="18"/>
        </w:rPr>
        <w:t xml:space="preserve">Przedstawiciela Inwestora </w:t>
      </w:r>
      <w:r w:rsidRPr="00A03FFD">
        <w:rPr>
          <w:rFonts w:ascii="Arial" w:hAnsi="Arial" w:cs="Arial"/>
          <w:color w:val="000000" w:themeColor="text1"/>
          <w:sz w:val="18"/>
        </w:rPr>
        <w:t>i Wykonawcy. Komisja odbierająca Roboty dokona ich oceny jakościowej na podstawie przedłożonych dokumentów, wyników badań i pomiarów, ocenie wizualnej oraz zgodności wykonania Robót z Dokumentacją Projekto</w:t>
      </w:r>
      <w:r w:rsidRPr="00A03FFD">
        <w:rPr>
          <w:rFonts w:ascii="Arial" w:hAnsi="Arial" w:cs="Arial"/>
          <w:color w:val="000000" w:themeColor="text1"/>
          <w:sz w:val="18"/>
        </w:rPr>
        <w:softHyphen/>
        <w:t>wą i ST.</w:t>
      </w:r>
    </w:p>
    <w:p w14:paraId="29626199"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toku odbioru końcowego Robót komisja zapozna się z realizacją ustaleń przyjętych w trakcie odbiorów Robót zanika</w:t>
      </w:r>
      <w:r w:rsidRPr="00A03FFD">
        <w:rPr>
          <w:rFonts w:ascii="Arial" w:hAnsi="Arial" w:cs="Arial"/>
          <w:color w:val="000000" w:themeColor="text1"/>
          <w:sz w:val="18"/>
        </w:rPr>
        <w:softHyphen/>
        <w:t>ją</w:t>
      </w:r>
      <w:r w:rsidRPr="00A03FFD">
        <w:rPr>
          <w:rFonts w:ascii="Arial" w:hAnsi="Arial" w:cs="Arial"/>
          <w:color w:val="000000" w:themeColor="text1"/>
          <w:sz w:val="18"/>
        </w:rPr>
        <w:softHyphen/>
        <w:t>cych i ulegających zakryciu, zwłaszcza w zakresie wykonania Robót uzupełniających i Robót poprawkowych.</w:t>
      </w:r>
    </w:p>
    <w:p w14:paraId="3E46F5E3"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przypadkach niewykonania wyznaczonych Robót poprawko</w:t>
      </w:r>
      <w:r w:rsidRPr="00A03FFD">
        <w:rPr>
          <w:rFonts w:ascii="Arial" w:hAnsi="Arial" w:cs="Arial"/>
          <w:color w:val="000000" w:themeColor="text1"/>
          <w:sz w:val="18"/>
        </w:rPr>
        <w:softHyphen/>
        <w:t>wych lub Robót uzupełniających w warstwie ścieralnej lub Robotach wykończeniowych, komisja przerwie swoje czynności i ustala nowy termin odbioru ostatecznego.</w:t>
      </w:r>
    </w:p>
    <w:p w14:paraId="4353CDFF"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przypadku stwierdzenia przez komisję, że jakość wykonywa</w:t>
      </w:r>
      <w:r w:rsidRPr="00A03FFD">
        <w:rPr>
          <w:rFonts w:ascii="Arial" w:hAnsi="Arial" w:cs="Arial"/>
          <w:color w:val="000000" w:themeColor="text1"/>
          <w:sz w:val="18"/>
        </w:rPr>
        <w:softHyphen/>
        <w:t>nych Robót w poszczególnych asortymentach nieznacznie odbiega od wymaganej Dokumentacją Projektową i ST z uwzględ</w:t>
      </w:r>
      <w:r w:rsidRPr="00A03FFD">
        <w:rPr>
          <w:rFonts w:ascii="Arial" w:hAnsi="Arial" w:cs="Arial"/>
          <w:color w:val="000000" w:themeColor="text1"/>
          <w:sz w:val="18"/>
        </w:rPr>
        <w:softHyphen/>
        <w:t>nieniem tolerancji i nie ma większego wpływu na cechy eksploa</w:t>
      </w:r>
      <w:r w:rsidRPr="00A03FFD">
        <w:rPr>
          <w:rFonts w:ascii="Arial" w:hAnsi="Arial" w:cs="Arial"/>
          <w:color w:val="000000" w:themeColor="text1"/>
          <w:sz w:val="18"/>
        </w:rPr>
        <w:softHyphen/>
        <w:t>tacyjne obiektu i bezpieczeństwo ruchu, komisja dokona potrą</w:t>
      </w:r>
      <w:r w:rsidRPr="00A03FFD">
        <w:rPr>
          <w:rFonts w:ascii="Arial" w:hAnsi="Arial" w:cs="Arial"/>
          <w:color w:val="000000" w:themeColor="text1"/>
          <w:sz w:val="18"/>
        </w:rPr>
        <w:softHyphen/>
        <w:t>ceń, oceniając pomniejszoną wartość wykonywanych Robót w stosunku do wymagań przyjętych w Dokumentach Kontraktowych.</w:t>
      </w:r>
    </w:p>
    <w:p w14:paraId="011282E3" w14:textId="77777777" w:rsidR="00027AEC" w:rsidRPr="00A03FFD" w:rsidRDefault="00072B04" w:rsidP="000D1C0D">
      <w:pPr>
        <w:pStyle w:val="Nagwek3"/>
        <w:spacing w:before="60"/>
        <w:rPr>
          <w:color w:val="000000" w:themeColor="text1"/>
          <w:sz w:val="22"/>
        </w:rPr>
      </w:pPr>
      <w:r w:rsidRPr="00A03FFD">
        <w:rPr>
          <w:color w:val="000000" w:themeColor="text1"/>
          <w:sz w:val="22"/>
        </w:rPr>
        <w:t xml:space="preserve">8.4. </w:t>
      </w:r>
      <w:r w:rsidR="00027AEC" w:rsidRPr="00A03FFD">
        <w:rPr>
          <w:color w:val="000000" w:themeColor="text1"/>
          <w:sz w:val="22"/>
        </w:rPr>
        <w:t>Dokumenty odbiorowe</w:t>
      </w:r>
    </w:p>
    <w:p w14:paraId="3E33EA60"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Podstawowym dokumentem do dokonania odbioru końcowego Robót jest protokół odbioru końcowego Robót sporządzony wg wzoru ustalonego przez Zamawiającego.</w:t>
      </w:r>
    </w:p>
    <w:p w14:paraId="68B32949" w14:textId="77777777" w:rsidR="00027AEC" w:rsidRPr="00A03FFD" w:rsidRDefault="00027AEC" w:rsidP="00072B04">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Do odbioru końcowego Wykonawca jest zobowiązany przygo</w:t>
      </w:r>
      <w:r w:rsidRPr="00A03FFD">
        <w:rPr>
          <w:rFonts w:ascii="Arial" w:hAnsi="Arial" w:cs="Arial"/>
          <w:color w:val="000000" w:themeColor="text1"/>
          <w:sz w:val="18"/>
        </w:rPr>
        <w:softHyphen/>
        <w:t>tować następujące dokumenty:</w:t>
      </w:r>
    </w:p>
    <w:p w14:paraId="3C43B49B"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Dokumentację projektową podstawową z naniesionymi zmianami, potwierdzonymi przez Inżyniera oraz dodatkową, jeśli została sporządzona w trakcie realizacji umowy; wymaga się przy tym, żeby dokumentacja została tak opracowana graficznie, aby wszelkie naniesione zmiany były łatwo rozpoznawalne,</w:t>
      </w:r>
    </w:p>
    <w:p w14:paraId="0C74650B"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Specyfikacje Techniczne Wykonania i Odbioru Robót Budowlanych (podstawowe i ewentualnie uzupełniające lub zamienne).</w:t>
      </w:r>
    </w:p>
    <w:p w14:paraId="68551C74"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Recepty i ustalenia technologiczne.</w:t>
      </w:r>
    </w:p>
    <w:p w14:paraId="24317698"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Dzienniki Budowy i Rejestry Obmiarów (oryginały).</w:t>
      </w:r>
    </w:p>
    <w:p w14:paraId="189F60A4"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Wyniki pomiarów kontrolnych oraz badań i oznaczeń laboratoryjnych, zgodnie z ST.</w:t>
      </w:r>
    </w:p>
    <w:p w14:paraId="354B28A1"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Deklaracje zgodności lub certyfikaty zgodności wbudowanych materiałów zgodnie z ST.</w:t>
      </w:r>
    </w:p>
    <w:p w14:paraId="1F62730B"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 xml:space="preserve">Opinię technologiczną opracowaną przez Wykonawcę i </w:t>
      </w:r>
      <w:proofErr w:type="spellStart"/>
      <w:r w:rsidRPr="00A03FFD">
        <w:rPr>
          <w:color w:val="000000" w:themeColor="text1"/>
          <w:sz w:val="18"/>
        </w:rPr>
        <w:t>skoreferowaną</w:t>
      </w:r>
      <w:proofErr w:type="spellEnd"/>
      <w:r w:rsidRPr="00A03FFD">
        <w:rPr>
          <w:color w:val="000000" w:themeColor="text1"/>
          <w:sz w:val="18"/>
        </w:rPr>
        <w:t xml:space="preserve"> przez Inżyniera, sporządzoną na podstawie wszystkich wyników badań i pomiarów załączonych do dokumentów odbioru, wykonanych zgodnie ST.</w:t>
      </w:r>
    </w:p>
    <w:p w14:paraId="1EE43C93"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Rysunki (dokumentacje) na wykonanie robót towarzyszących (np. na przełożenie linii telefonicznej, energetycznej, gazowej, oświetlenia itp.) oraz protokoły odbioru i przekazania tych robót właścicielom urządzeń.</w:t>
      </w:r>
    </w:p>
    <w:p w14:paraId="34F48322"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 xml:space="preserve">Geodezyjną inwentaryzację powykonawczą Robót i sieci uzbrojenia terenu </w:t>
      </w:r>
    </w:p>
    <w:p w14:paraId="23577DE1"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 xml:space="preserve">Kopię mapy zasadniczej powstałej w wyniku geodezyjnej inwentaryzacji powykonawczej z klauzulą Powiatowego Ośrodka Dokumentacji </w:t>
      </w:r>
      <w:proofErr w:type="spellStart"/>
      <w:r w:rsidRPr="00A03FFD">
        <w:rPr>
          <w:color w:val="000000" w:themeColor="text1"/>
          <w:sz w:val="18"/>
        </w:rPr>
        <w:t>Geodezyjno</w:t>
      </w:r>
      <w:proofErr w:type="spellEnd"/>
      <w:r w:rsidRPr="00A03FFD">
        <w:rPr>
          <w:color w:val="000000" w:themeColor="text1"/>
          <w:sz w:val="18"/>
        </w:rPr>
        <w:t xml:space="preserve"> Kartograficznego,  oraz wersję cyfrową mapy zasadniczej w pliku  dwg.</w:t>
      </w:r>
    </w:p>
    <w:p w14:paraId="6E84E200" w14:textId="77777777" w:rsidR="00027AEC" w:rsidRPr="00A03FFD" w:rsidRDefault="00027AEC" w:rsidP="006A155D">
      <w:pPr>
        <w:pStyle w:val="00Tekst"/>
        <w:numPr>
          <w:ilvl w:val="0"/>
          <w:numId w:val="16"/>
        </w:numPr>
        <w:tabs>
          <w:tab w:val="left" w:pos="0"/>
        </w:tabs>
        <w:spacing w:line="240" w:lineRule="auto"/>
        <w:ind w:left="284" w:hanging="234"/>
        <w:rPr>
          <w:color w:val="000000" w:themeColor="text1"/>
          <w:sz w:val="18"/>
        </w:rPr>
      </w:pPr>
      <w:r w:rsidRPr="00A03FFD">
        <w:rPr>
          <w:color w:val="000000" w:themeColor="text1"/>
          <w:sz w:val="18"/>
        </w:rPr>
        <w:t>Operat z  pomiarów odkształceń i przemieszczeń  obiektów inżynierskich  prowadzonych w trakcie budowy.</w:t>
      </w:r>
    </w:p>
    <w:p w14:paraId="7ADEFBDA" w14:textId="77777777" w:rsidR="00027AEC" w:rsidRPr="00A03FFD" w:rsidRDefault="00027AEC" w:rsidP="00072B04">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Termin</w:t>
      </w:r>
      <w:r w:rsidRPr="00A03FFD">
        <w:rPr>
          <w:rFonts w:ascii="Arial" w:hAnsi="Arial" w:cs="Arial"/>
          <w:color w:val="000000" w:themeColor="text1"/>
          <w:sz w:val="20"/>
        </w:rPr>
        <w:t xml:space="preserve"> wykonania Robót poprawkowych i Robót uzupełniają</w:t>
      </w:r>
      <w:r w:rsidRPr="00A03FFD">
        <w:rPr>
          <w:rFonts w:ascii="Arial" w:hAnsi="Arial" w:cs="Arial"/>
          <w:color w:val="000000" w:themeColor="text1"/>
          <w:sz w:val="20"/>
        </w:rPr>
        <w:softHyphen/>
        <w:t>cych wyznaczy komisja.</w:t>
      </w:r>
    </w:p>
    <w:p w14:paraId="5770E317" w14:textId="77777777" w:rsidR="00027AEC" w:rsidRPr="00A03FFD" w:rsidRDefault="000E2BD8" w:rsidP="000D1C0D">
      <w:pPr>
        <w:pStyle w:val="Nagwek2"/>
        <w:rPr>
          <w:i w:val="0"/>
          <w:color w:val="000000" w:themeColor="text1"/>
        </w:rPr>
      </w:pPr>
      <w:bookmarkStart w:id="95" w:name="_Toc315352952"/>
      <w:bookmarkStart w:id="96" w:name="_Toc315353168"/>
      <w:bookmarkStart w:id="97" w:name="_Toc466465061"/>
      <w:r w:rsidRPr="00A03FFD">
        <w:rPr>
          <w:i w:val="0"/>
          <w:color w:val="000000" w:themeColor="text1"/>
        </w:rPr>
        <w:t xml:space="preserve">9. </w:t>
      </w:r>
      <w:r w:rsidR="00027AEC" w:rsidRPr="00A03FFD">
        <w:rPr>
          <w:i w:val="0"/>
          <w:color w:val="000000" w:themeColor="text1"/>
        </w:rPr>
        <w:t>PODSTAWA PŁATNOŚCI</w:t>
      </w:r>
      <w:bookmarkEnd w:id="95"/>
      <w:bookmarkEnd w:id="96"/>
      <w:bookmarkEnd w:id="97"/>
    </w:p>
    <w:p w14:paraId="20C4BDCD" w14:textId="77777777" w:rsidR="00027AEC" w:rsidRPr="00A03FFD" w:rsidRDefault="000E2BD8" w:rsidP="000D1C0D">
      <w:pPr>
        <w:pStyle w:val="Nagwek3"/>
        <w:spacing w:before="60"/>
        <w:rPr>
          <w:bCs w:val="0"/>
          <w:color w:val="000000" w:themeColor="text1"/>
          <w:sz w:val="22"/>
          <w:szCs w:val="24"/>
        </w:rPr>
      </w:pPr>
      <w:bookmarkStart w:id="98" w:name="_Toc315352953"/>
      <w:bookmarkStart w:id="99" w:name="_Toc315353169"/>
      <w:bookmarkStart w:id="100" w:name="_Toc466465062"/>
      <w:r w:rsidRPr="00A03FFD">
        <w:rPr>
          <w:color w:val="000000" w:themeColor="text1"/>
          <w:sz w:val="22"/>
        </w:rPr>
        <w:t xml:space="preserve">9.1. </w:t>
      </w:r>
      <w:r w:rsidR="00027AEC" w:rsidRPr="00A03FFD">
        <w:rPr>
          <w:color w:val="000000" w:themeColor="text1"/>
          <w:sz w:val="22"/>
        </w:rPr>
        <w:t>Ustalenia Ogólne</w:t>
      </w:r>
      <w:bookmarkEnd w:id="98"/>
      <w:bookmarkEnd w:id="99"/>
      <w:bookmarkEnd w:id="100"/>
    </w:p>
    <w:p w14:paraId="36B23026"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Podstawą płatności jest cena jednostkowa skalkulowana przez Wykonawcę za jednostkę obmiarową ustaloną dla danej pozycji Przedmiaru Robót.</w:t>
      </w:r>
    </w:p>
    <w:p w14:paraId="6CEDF100"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Dla pozycji kosztorysowych wycenionych ryczałtowo podstawą płatności jest wartość (kwota) podana przez Wykonawcę w danej pozycji Kosztorysu Ofertowego.</w:t>
      </w:r>
    </w:p>
    <w:p w14:paraId="7F438CF9"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Cena jednostkowa lub kwota ryczałtowa pozycji Kosztorysowej będzie uwzględniać wszystkie czynności, wymagania i badania składające się na jej wykonanie, określone dla tej Roboty w Specyfikacji Technicznej i w Dokumentacji Projektowej.</w:t>
      </w:r>
    </w:p>
    <w:p w14:paraId="5D8435F3"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Ceny jednostkowe lub kwoty ryczałtowe Robót będą obejmować:</w:t>
      </w:r>
    </w:p>
    <w:p w14:paraId="3416911B"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robociznę bezpośrednią wraz z towarzyszącymi kosztami,</w:t>
      </w:r>
    </w:p>
    <w:p w14:paraId="60C98CE0"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wartość zużytych Materiałów wraz z kosztami zakupu, magazynowania, ewentualnych ubytków i transportu na Teren Budowy,</w:t>
      </w:r>
    </w:p>
    <w:p w14:paraId="2F2E65F0"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wartość pracy Sprzętu wraz z towarzyszącymi kosztami,</w:t>
      </w:r>
    </w:p>
    <w:p w14:paraId="220965A1"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koszty ogólne, zysk kalkulacyjny,</w:t>
      </w:r>
    </w:p>
    <w:p w14:paraId="5D8CA93A"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podatki obliczane zgodnie z obowiązującymi przepisami.</w:t>
      </w:r>
    </w:p>
    <w:p w14:paraId="78450ACE"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Do cen jednostkowych nie należy wliczać podatku VAT.</w:t>
      </w:r>
    </w:p>
    <w:p w14:paraId="0BBC80E4" w14:textId="77777777" w:rsidR="00027AEC" w:rsidRPr="00A03FFD" w:rsidRDefault="000E2BD8" w:rsidP="000D1C0D">
      <w:pPr>
        <w:pStyle w:val="Nagwek3"/>
        <w:spacing w:before="60"/>
        <w:rPr>
          <w:bCs w:val="0"/>
          <w:color w:val="000000" w:themeColor="text1"/>
          <w:sz w:val="22"/>
          <w:szCs w:val="24"/>
        </w:rPr>
      </w:pPr>
      <w:bookmarkStart w:id="101" w:name="_Toc315352954"/>
      <w:bookmarkStart w:id="102" w:name="_Toc315353170"/>
      <w:bookmarkStart w:id="103" w:name="_Toc466465063"/>
      <w:r w:rsidRPr="00A03FFD">
        <w:rPr>
          <w:color w:val="000000" w:themeColor="text1"/>
          <w:sz w:val="22"/>
        </w:rPr>
        <w:t xml:space="preserve">9.2. </w:t>
      </w:r>
      <w:r w:rsidR="00027AEC" w:rsidRPr="00A03FFD">
        <w:rPr>
          <w:color w:val="000000" w:themeColor="text1"/>
          <w:sz w:val="22"/>
        </w:rPr>
        <w:t>Warunki Kontraktu i Wymagania Ogólne Specyfikacji Technicznej ST</w:t>
      </w:r>
      <w:r w:rsidR="00027AEC" w:rsidRPr="00A03FFD">
        <w:rPr>
          <w:color w:val="000000" w:themeColor="text1"/>
          <w:sz w:val="22"/>
        </w:rPr>
        <w:noBreakHyphen/>
        <w:t>00.00</w:t>
      </w:r>
      <w:bookmarkEnd w:id="101"/>
      <w:bookmarkEnd w:id="102"/>
      <w:bookmarkEnd w:id="103"/>
    </w:p>
    <w:p w14:paraId="59A96EA3" w14:textId="77777777" w:rsidR="00027AEC" w:rsidRPr="00A03FFD" w:rsidRDefault="00027AEC" w:rsidP="000E2BD8">
      <w:pPr>
        <w:pStyle w:val="Specyfikacje"/>
        <w:spacing w:after="0"/>
        <w:ind w:left="0"/>
        <w:rPr>
          <w:rFonts w:ascii="Arial" w:hAnsi="Arial" w:cs="Arial"/>
          <w:color w:val="000000" w:themeColor="text1"/>
          <w:sz w:val="18"/>
        </w:rPr>
      </w:pPr>
      <w:bookmarkStart w:id="104" w:name="_Toc315352955"/>
      <w:bookmarkStart w:id="105" w:name="_Toc315353171"/>
      <w:r w:rsidRPr="00A03FFD">
        <w:rPr>
          <w:rFonts w:ascii="Arial" w:hAnsi="Arial" w:cs="Arial"/>
          <w:color w:val="000000" w:themeColor="text1"/>
          <w:sz w:val="18"/>
        </w:rPr>
        <w:t>Wykonawca jest zobowiązany do szczegółowego zapoznania się z wymaganiami zawartymi w ST-00.00</w:t>
      </w:r>
    </w:p>
    <w:p w14:paraId="54064BD0"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Uznaje się, że koszty dostosowania się do wymagań ST-00.00 nie wyszczególnione w tabeli kosztorysowej dla wymagań ogólnych zostały uwzględnione przez Wykonawcę w pozycjach kosztorysu wynikających ze Specyfikacji Technicznych.</w:t>
      </w:r>
    </w:p>
    <w:p w14:paraId="10975A49" w14:textId="77777777" w:rsidR="00027AEC" w:rsidRPr="00A03FFD" w:rsidRDefault="000E2BD8" w:rsidP="000D1C0D">
      <w:pPr>
        <w:pStyle w:val="Nagwek3"/>
        <w:spacing w:before="60"/>
        <w:rPr>
          <w:color w:val="000000" w:themeColor="text1"/>
          <w:sz w:val="22"/>
        </w:rPr>
      </w:pPr>
      <w:bookmarkStart w:id="106" w:name="_Toc466465064"/>
      <w:r w:rsidRPr="00A03FFD">
        <w:rPr>
          <w:color w:val="000000" w:themeColor="text1"/>
          <w:sz w:val="22"/>
        </w:rPr>
        <w:lastRenderedPageBreak/>
        <w:t xml:space="preserve">9.3. </w:t>
      </w:r>
      <w:r w:rsidR="00027AEC" w:rsidRPr="00A03FFD">
        <w:rPr>
          <w:color w:val="000000" w:themeColor="text1"/>
          <w:sz w:val="22"/>
        </w:rPr>
        <w:t>Objazdy, Przejazdy i Organizacja Ruchu</w:t>
      </w:r>
      <w:bookmarkEnd w:id="104"/>
      <w:bookmarkEnd w:id="105"/>
      <w:bookmarkEnd w:id="106"/>
    </w:p>
    <w:p w14:paraId="196F4F54" w14:textId="77777777" w:rsidR="00027AEC" w:rsidRPr="00A03FFD" w:rsidRDefault="00027AEC" w:rsidP="000E2BD8">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Koszt wybudowania objazdów / przejazdów i organizacji ruchu obejmuje:</w:t>
      </w:r>
    </w:p>
    <w:p w14:paraId="5E4314D1"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Wykonanie projektu  organizacji ruchu kołowego na czas budowy i jego zatwierdzenie przez Zarządcę, ze szczególnym uwzględnieniem zabezpieczenia robót mostowych nad użytkowaną jezdnią Drogi Gdyńskiej.</w:t>
      </w:r>
    </w:p>
    <w:p w14:paraId="4E8284D2"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Wykonanie ewentualnych dodatkowych projektów organizacji ruchu kołowego, kolejowego itp. i ich uzgodnienie, związanych z przyjętą technologią robót.</w:t>
      </w:r>
    </w:p>
    <w:p w14:paraId="002E3F8A"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Ustawienie tymczasowego oznakowania i oświetlenia zgodnie z wymaganiami bezpieczeństwa ruchu.</w:t>
      </w:r>
    </w:p>
    <w:p w14:paraId="09483D0B"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Opłaty/ dzierżawy terenu.</w:t>
      </w:r>
    </w:p>
    <w:p w14:paraId="335A9368"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Przygotowanie terenu.</w:t>
      </w:r>
    </w:p>
    <w:p w14:paraId="34D5DEC7"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 xml:space="preserve">Wykonanie objazdów tymczasowych, ramp, chodników, krawężników, barier, </w:t>
      </w:r>
      <w:proofErr w:type="spellStart"/>
      <w:r w:rsidRPr="00A03FFD">
        <w:rPr>
          <w:rFonts w:ascii="Arial" w:hAnsi="Arial" w:cs="Arial"/>
          <w:color w:val="000000" w:themeColor="text1"/>
          <w:sz w:val="18"/>
        </w:rPr>
        <w:t>oznakowań</w:t>
      </w:r>
      <w:proofErr w:type="spellEnd"/>
      <w:r w:rsidRPr="00A03FFD">
        <w:rPr>
          <w:rFonts w:ascii="Arial" w:hAnsi="Arial" w:cs="Arial"/>
          <w:color w:val="000000" w:themeColor="text1"/>
          <w:sz w:val="18"/>
        </w:rPr>
        <w:t xml:space="preserve"> i drenażu.</w:t>
      </w:r>
    </w:p>
    <w:p w14:paraId="0BD0595E"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Tymczasowa przebudowa urządzeń obcych.</w:t>
      </w:r>
    </w:p>
    <w:p w14:paraId="5301178B"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Koszt Utrzymania objazdów/przejazdów i organizacji ruchu obejmuje:</w:t>
      </w:r>
    </w:p>
    <w:p w14:paraId="6BF10E04"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 xml:space="preserve">Oczyszczanie, przestawienie, przykrycie i usunięcie tymczasowych </w:t>
      </w:r>
      <w:proofErr w:type="spellStart"/>
      <w:r w:rsidRPr="00A03FFD">
        <w:rPr>
          <w:rFonts w:ascii="Arial" w:hAnsi="Arial" w:cs="Arial"/>
          <w:color w:val="000000" w:themeColor="text1"/>
          <w:sz w:val="18"/>
        </w:rPr>
        <w:t>oznakowań</w:t>
      </w:r>
      <w:proofErr w:type="spellEnd"/>
      <w:r w:rsidRPr="00A03FFD">
        <w:rPr>
          <w:rFonts w:ascii="Arial" w:hAnsi="Arial" w:cs="Arial"/>
          <w:color w:val="000000" w:themeColor="text1"/>
          <w:sz w:val="18"/>
        </w:rPr>
        <w:t xml:space="preserve"> pionowych, poziomych, barier i świateł.</w:t>
      </w:r>
    </w:p>
    <w:p w14:paraId="19B3A1CC"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Utrzymanie płynności ruchu publicznego.</w:t>
      </w:r>
    </w:p>
    <w:p w14:paraId="1B52C9C8"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Koszt Likwidacji objazdów/przejazdów i organizacji ruchu obejmuje:</w:t>
      </w:r>
    </w:p>
    <w:p w14:paraId="5213B9BF"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Usunięcie wbudowanych materiałów i oznakowania (stanowią własność Wykonawcy).</w:t>
      </w:r>
    </w:p>
    <w:p w14:paraId="59C9C826" w14:textId="77777777" w:rsidR="00027AEC" w:rsidRPr="00A03FFD" w:rsidRDefault="00027AEC" w:rsidP="000E2BD8">
      <w:pPr>
        <w:pStyle w:val="Specyfikacje"/>
        <w:numPr>
          <w:ilvl w:val="0"/>
          <w:numId w:val="8"/>
        </w:numPr>
        <w:spacing w:after="0"/>
        <w:ind w:left="142" w:hanging="142"/>
        <w:rPr>
          <w:rFonts w:ascii="Arial" w:hAnsi="Arial" w:cs="Arial"/>
          <w:color w:val="000000" w:themeColor="text1"/>
          <w:sz w:val="18"/>
        </w:rPr>
      </w:pPr>
      <w:r w:rsidRPr="00A03FFD">
        <w:rPr>
          <w:rFonts w:ascii="Arial" w:hAnsi="Arial" w:cs="Arial"/>
          <w:color w:val="000000" w:themeColor="text1"/>
          <w:sz w:val="18"/>
        </w:rPr>
        <w:t>Doprowadzenie terenu do stanu pierwotnego.</w:t>
      </w:r>
    </w:p>
    <w:p w14:paraId="2D104BFF" w14:textId="77777777" w:rsidR="00027AEC" w:rsidRPr="00A03FFD" w:rsidRDefault="000E2BD8" w:rsidP="000D1C0D">
      <w:pPr>
        <w:pStyle w:val="Nagwek2"/>
        <w:rPr>
          <w:rFonts w:cs="Times New Roman"/>
          <w:color w:val="000000" w:themeColor="text1"/>
          <w:sz w:val="24"/>
          <w:szCs w:val="24"/>
        </w:rPr>
      </w:pPr>
      <w:bookmarkStart w:id="107" w:name="_Toc315352956"/>
      <w:bookmarkStart w:id="108" w:name="_Toc315353172"/>
      <w:bookmarkStart w:id="109" w:name="_Toc466465065"/>
      <w:r w:rsidRPr="00A03FFD">
        <w:rPr>
          <w:i w:val="0"/>
          <w:color w:val="000000" w:themeColor="text1"/>
        </w:rPr>
        <w:t xml:space="preserve">10. </w:t>
      </w:r>
      <w:r w:rsidR="00027AEC" w:rsidRPr="00A03FFD">
        <w:rPr>
          <w:i w:val="0"/>
          <w:color w:val="000000" w:themeColor="text1"/>
        </w:rPr>
        <w:t>PRZEPISY ZWIĄZANE</w:t>
      </w:r>
      <w:bookmarkEnd w:id="107"/>
      <w:bookmarkEnd w:id="108"/>
      <w:bookmarkEnd w:id="109"/>
    </w:p>
    <w:p w14:paraId="65404895"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7 lipca 1994 - Prawo budowlane (Dz.U. 1994 nr 89 poz. 414 z późniejszymi zmianami).</w:t>
      </w:r>
    </w:p>
    <w:p w14:paraId="6E2D58E3"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29 stycznia 2004 - Prawo zamówień publicznych (Dz.U. 2004 nr 19 poz. 177 z późniejszymi zmianami).</w:t>
      </w:r>
    </w:p>
    <w:p w14:paraId="5CB7F7B8"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16 kwietnia 2004 – o wyrobach budowlanych (Dz.U. 2004 nr 92 poz. 881 z późniejszymi zmianami).</w:t>
      </w:r>
    </w:p>
    <w:p w14:paraId="18A74668"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24 sierpnia 1991 – o ochronie przeciwpożarowej (Dz.U. 1991 nr 81 poz. 351 z późniejszymi zmianami).</w:t>
      </w:r>
    </w:p>
    <w:p w14:paraId="6444C138"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21 grudnia 2000 – o dozorze technicznym (Dz.U. 2000 nr 122 poz. 1321 z późniejszymi zmianami).</w:t>
      </w:r>
    </w:p>
    <w:p w14:paraId="3CB57F73"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27 kwietnia 2001 – Prawo ochrony środowiska (Dz.U. 2001 nr 62 poz. 627 z późniejszymi zmianami).</w:t>
      </w:r>
    </w:p>
    <w:p w14:paraId="19E72D28"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21 marca 1985 o drogach publicznych (Dz.U. 1985 nr 14 poz. 60 z późniejszymi zmianami).</w:t>
      </w:r>
    </w:p>
    <w:p w14:paraId="54BC0ADB"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Ustawa z dnia 30 sierpnia 2002 o systemie oceny zgodności (jednolity tekst Dz.U. 2002 nr 166 poz. 1360 z późniejszymi zmianami).</w:t>
      </w:r>
    </w:p>
    <w:p w14:paraId="4CF95DA8"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Rozporządzenie </w:t>
      </w:r>
      <w:proofErr w:type="spellStart"/>
      <w:r w:rsidRPr="00A03FFD">
        <w:rPr>
          <w:color w:val="000000" w:themeColor="text1"/>
          <w:sz w:val="18"/>
        </w:rPr>
        <w:t>MGPiB</w:t>
      </w:r>
      <w:proofErr w:type="spellEnd"/>
      <w:r w:rsidRPr="00A03FFD">
        <w:rPr>
          <w:color w:val="000000" w:themeColor="text1"/>
          <w:sz w:val="18"/>
        </w:rPr>
        <w:t xml:space="preserve"> z dnia 21 lutego 1995 w sprawie rodzaju i czynności opracowań </w:t>
      </w:r>
      <w:proofErr w:type="spellStart"/>
      <w:r w:rsidRPr="00A03FFD">
        <w:rPr>
          <w:color w:val="000000" w:themeColor="text1"/>
          <w:sz w:val="18"/>
        </w:rPr>
        <w:t>geodezyjno</w:t>
      </w:r>
      <w:proofErr w:type="spellEnd"/>
      <w:r w:rsidRPr="00A03FFD">
        <w:rPr>
          <w:color w:val="000000" w:themeColor="text1"/>
          <w:sz w:val="18"/>
        </w:rPr>
        <w:t xml:space="preserve"> – kartograficznych obowiązujących w budownictwie (Dz.U. 1995 nr 25 poz. 133).</w:t>
      </w:r>
    </w:p>
    <w:p w14:paraId="158AD7AA"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Transportu i Gospodarki Morskiej z dnia 2 marca 1999 r. w sprawie warunków technicznych, jakim powinny odpowiadać drogi publiczne i ich usytuowanie (Dz.U. 1999 nr 43 poz. 430 z późniejszymi zmianami).</w:t>
      </w:r>
    </w:p>
    <w:p w14:paraId="0A80623D"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Transportu i Gospodarki Morskiej z dnia 30 maja 2000 r. w sprawie warunków technicznych, jakim powinny odpowiadać drogowe obiekty inżynierskie i ich usytuowanie (Dz.U. 2000 nr 63 poz. 735 z późniejszymi zmianami).</w:t>
      </w:r>
    </w:p>
    <w:p w14:paraId="7A456A97"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Rozporządzenie Ministra Infrastruktury z dnia 12 kwietnia 2002 w sprawie warunków technicznych, jakimi powinny odpowiadać budynki i ich usytuowanie </w:t>
      </w:r>
      <w:r w:rsidRPr="00A03FFD">
        <w:rPr>
          <w:color w:val="000000" w:themeColor="text1"/>
          <w:sz w:val="18"/>
        </w:rPr>
        <w:br/>
        <w:t>(Dz.U. 2002 nr 75 poz. 690 z późniejszymi zmianami).</w:t>
      </w:r>
    </w:p>
    <w:p w14:paraId="5417180B"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Infrastruktury z dnia 2 grudnia 2002 w sprawie systemów oceny zgodności wyrobów budowlanych oraz sposobu ich oznaczania znakowaniem CE (Dz.U. 2004 nr 198 poz. 2041 z późniejszymi zmianami).</w:t>
      </w:r>
    </w:p>
    <w:p w14:paraId="15023B23"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Obwieszczenie Ministra Infrastruktury z dnia 18 maja 2011 r. w sprawie wykazu jednostek organizacyjnych państw członkowskich Unii Europejskiej upoważnionych do wydawania europejskich aprobat technicznych oraz wykazu wytycznych do europejskich aprobat technicznych (M.P. 2011 nr 44 poz. 481).</w:t>
      </w:r>
    </w:p>
    <w:p w14:paraId="11A358BA"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Infrastruktury z dnia 6 lutego 2003 w sprawie bezpieczeństwa i higieny pracy podczas wykonywania robót budowlanych (Dz.U. 2003 nr 47 poz. 401).</w:t>
      </w:r>
    </w:p>
    <w:p w14:paraId="428F9516"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Rozporządzenie Ministra Infrastruktury z dnia 23 czerwca 2003 w sprawie informacji dotyczącej bezpieczeństwa i ochrony zdrowia oraz planu bezpieczeństwa i ochrony </w:t>
      </w:r>
      <w:r w:rsidRPr="00A03FFD">
        <w:rPr>
          <w:color w:val="000000" w:themeColor="text1"/>
          <w:sz w:val="18"/>
        </w:rPr>
        <w:tab/>
        <w:t>zdrowia (Dz.U. 2003 nr 120 poz. 1126).</w:t>
      </w:r>
    </w:p>
    <w:p w14:paraId="19574BB4"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Infrastruktury z dnia 3 lipca 2003 w sprawie rozbiórek obiektów budowlanych wykonywanych metodą wybuchową (Dz.U. 2003 nr 120 poz. 1135).</w:t>
      </w:r>
    </w:p>
    <w:p w14:paraId="450002A5"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Rozporządzenie Ministra Infrastruktury z dnia 18 maja 2004 w sprawie określenia metod i podstaw sporządzania kosztorysu inwestorskiego, obliczania planowanych kosztów prac projektowych oraz planowanych kosztów robót budowlanych określonych w programie </w:t>
      </w:r>
      <w:proofErr w:type="spellStart"/>
      <w:r w:rsidRPr="00A03FFD">
        <w:rPr>
          <w:color w:val="000000" w:themeColor="text1"/>
          <w:sz w:val="18"/>
        </w:rPr>
        <w:t>funkcjonalno</w:t>
      </w:r>
      <w:proofErr w:type="spellEnd"/>
      <w:r w:rsidRPr="00A03FFD">
        <w:rPr>
          <w:color w:val="000000" w:themeColor="text1"/>
          <w:sz w:val="18"/>
        </w:rPr>
        <w:t xml:space="preserve"> – użytkowym (Dz.U. 2004 nr 130 poz. 1389).</w:t>
      </w:r>
    </w:p>
    <w:p w14:paraId="2C724E02" w14:textId="77777777" w:rsidR="00F22548" w:rsidRPr="00A03FFD" w:rsidRDefault="00F22548" w:rsidP="00F2254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Rozporządzenie Ministra </w:t>
      </w:r>
      <w:proofErr w:type="spellStart"/>
      <w:r w:rsidRPr="00A03FFD">
        <w:rPr>
          <w:color w:val="000000" w:themeColor="text1"/>
          <w:sz w:val="18"/>
        </w:rPr>
        <w:t>Rozoju</w:t>
      </w:r>
      <w:proofErr w:type="spellEnd"/>
      <w:r w:rsidRPr="00A03FFD">
        <w:rPr>
          <w:color w:val="000000" w:themeColor="text1"/>
          <w:sz w:val="18"/>
        </w:rPr>
        <w:t xml:space="preserve"> i Technologii z dnia 29 grudnia 2021 roku w sprawie szczegółowego zakresu i form dokumentacji projektowej, specyfikacji technicznych wykonania i odbioru robót budowlanych oraz programu </w:t>
      </w:r>
      <w:proofErr w:type="spellStart"/>
      <w:r w:rsidRPr="00A03FFD">
        <w:rPr>
          <w:color w:val="000000" w:themeColor="text1"/>
          <w:sz w:val="18"/>
        </w:rPr>
        <w:t>funkcjonalno</w:t>
      </w:r>
      <w:proofErr w:type="spellEnd"/>
      <w:r w:rsidRPr="00A03FFD">
        <w:rPr>
          <w:color w:val="000000" w:themeColor="text1"/>
          <w:sz w:val="18"/>
        </w:rPr>
        <w:t xml:space="preserve"> – użytkowego ((Dz. U. Nr 2021 poz. 2454).</w:t>
      </w:r>
    </w:p>
    <w:p w14:paraId="382762F1"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Infrastruktury z dnia 11 sierpnia 2004 w sprawie sposobów deklarowania wyrobów budowlanych oraz sposobu znakowania ich znakiem budowlanym (Dz.U. 2004 nr 198 poz. 2041 z późniejszymi zmianami).</w:t>
      </w:r>
    </w:p>
    <w:p w14:paraId="5A0B8493"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lastRenderedPageBreak/>
        <w:t>Rozporządzenie Ministra Infrastruktury z dnia 27 sierpnia 2004 zmieniające rozporządzenie w sprawie dziennika budowy, montażu i rozbiórki, tablicy informacyjnej oraz ogłoszenia zawierającego dane dotyczące bezpieczeństwa pracy ochrony zdrowia (Dz.U. 2002 nr 108 poz. 953 z późniejszymi zmianami).</w:t>
      </w:r>
    </w:p>
    <w:p w14:paraId="06E9F11E"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Infrastruktury z dnia 30 sierpnia 2004 w sprawie warunków postępowania w sprawie rozbiórek nieużytkowanych lub niewykończonych obiektów budowlanych (Dz.U. 2004 nr 198 poz. 2043).</w:t>
      </w:r>
    </w:p>
    <w:p w14:paraId="57D3CD16" w14:textId="77777777" w:rsidR="00027AEC" w:rsidRPr="00A03FFD" w:rsidRDefault="00027AEC" w:rsidP="000E2BD8">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Rozporządzenie Ministra Infrastruktury z dnia 23 września 2003 w sprawie szczegółowych warunków zarządzania ruchem na drogach oraz wykonywania nadzoru nad tym zarządzeniem (Dz.U. 2003 nr 177 poz. 1729 z późniejszymi zmianami)</w:t>
      </w:r>
    </w:p>
    <w:p w14:paraId="736F9FE1" w14:textId="77777777" w:rsidR="00454DE0" w:rsidRPr="00A03FFD" w:rsidRDefault="00454DE0" w:rsidP="00454DE0">
      <w:pPr>
        <w:pStyle w:val="00Tekst"/>
        <w:tabs>
          <w:tab w:val="left" w:pos="57"/>
        </w:tabs>
        <w:spacing w:line="240" w:lineRule="auto"/>
        <w:ind w:left="0"/>
        <w:rPr>
          <w:color w:val="000000" w:themeColor="text1"/>
          <w:sz w:val="18"/>
        </w:rPr>
      </w:pPr>
    </w:p>
    <w:p w14:paraId="1C55613E" w14:textId="77777777" w:rsidR="00454DE0" w:rsidRPr="00A03FFD" w:rsidRDefault="00454DE0" w:rsidP="00454DE0">
      <w:pPr>
        <w:pStyle w:val="00Tekst"/>
        <w:tabs>
          <w:tab w:val="left" w:pos="57"/>
        </w:tabs>
        <w:spacing w:line="240" w:lineRule="auto"/>
        <w:ind w:left="0"/>
        <w:rPr>
          <w:color w:val="000000" w:themeColor="text1"/>
          <w:sz w:val="18"/>
        </w:rPr>
      </w:pPr>
    </w:p>
    <w:p w14:paraId="12804D96" w14:textId="77777777" w:rsidR="00454DE0" w:rsidRPr="00A03FFD" w:rsidRDefault="00454DE0" w:rsidP="00454DE0">
      <w:pPr>
        <w:pStyle w:val="00Tekst"/>
        <w:tabs>
          <w:tab w:val="left" w:pos="57"/>
        </w:tabs>
        <w:spacing w:line="240" w:lineRule="auto"/>
        <w:ind w:left="0"/>
        <w:rPr>
          <w:color w:val="000000" w:themeColor="text1"/>
          <w:sz w:val="18"/>
        </w:rPr>
      </w:pPr>
    </w:p>
    <w:p w14:paraId="5F2D2099" w14:textId="77777777" w:rsidR="00454DE0" w:rsidRPr="00A03FFD" w:rsidRDefault="00454DE0" w:rsidP="00454DE0">
      <w:pPr>
        <w:pStyle w:val="00Tekst"/>
        <w:tabs>
          <w:tab w:val="left" w:pos="57"/>
        </w:tabs>
        <w:spacing w:line="240" w:lineRule="auto"/>
        <w:ind w:left="0"/>
        <w:rPr>
          <w:color w:val="000000" w:themeColor="text1"/>
          <w:sz w:val="18"/>
        </w:rPr>
      </w:pPr>
    </w:p>
    <w:p w14:paraId="614874C2" w14:textId="77777777" w:rsidR="00454DE0" w:rsidRPr="00A03FFD" w:rsidRDefault="00454DE0" w:rsidP="00454DE0">
      <w:pPr>
        <w:pStyle w:val="00Tekst"/>
        <w:tabs>
          <w:tab w:val="left" w:pos="57"/>
        </w:tabs>
        <w:spacing w:line="240" w:lineRule="auto"/>
        <w:ind w:left="0"/>
        <w:rPr>
          <w:color w:val="000000" w:themeColor="text1"/>
          <w:sz w:val="18"/>
        </w:rPr>
      </w:pPr>
    </w:p>
    <w:p w14:paraId="33B414E3" w14:textId="77777777" w:rsidR="00454DE0" w:rsidRPr="00A03FFD" w:rsidRDefault="00454DE0" w:rsidP="00454DE0">
      <w:pPr>
        <w:pStyle w:val="00Tekst"/>
        <w:tabs>
          <w:tab w:val="left" w:pos="57"/>
        </w:tabs>
        <w:spacing w:line="240" w:lineRule="auto"/>
        <w:ind w:left="0"/>
        <w:rPr>
          <w:color w:val="000000" w:themeColor="text1"/>
          <w:sz w:val="18"/>
        </w:rPr>
      </w:pPr>
    </w:p>
    <w:p w14:paraId="1E921D36" w14:textId="77777777" w:rsidR="00454DE0" w:rsidRPr="00A03FFD" w:rsidRDefault="00454DE0" w:rsidP="00454DE0">
      <w:pPr>
        <w:pStyle w:val="00Tekst"/>
        <w:tabs>
          <w:tab w:val="left" w:pos="57"/>
        </w:tabs>
        <w:spacing w:line="240" w:lineRule="auto"/>
        <w:ind w:left="0"/>
        <w:rPr>
          <w:color w:val="000000" w:themeColor="text1"/>
          <w:sz w:val="18"/>
        </w:rPr>
      </w:pPr>
    </w:p>
    <w:p w14:paraId="667764CD" w14:textId="77777777" w:rsidR="00454DE0" w:rsidRPr="00A03FFD" w:rsidRDefault="00454DE0" w:rsidP="00454DE0">
      <w:pPr>
        <w:pStyle w:val="00Tekst"/>
        <w:tabs>
          <w:tab w:val="left" w:pos="57"/>
        </w:tabs>
        <w:spacing w:line="240" w:lineRule="auto"/>
        <w:ind w:left="0"/>
        <w:rPr>
          <w:color w:val="000000" w:themeColor="text1"/>
          <w:sz w:val="18"/>
        </w:rPr>
      </w:pPr>
    </w:p>
    <w:p w14:paraId="0D62F18E" w14:textId="77777777" w:rsidR="00454DE0" w:rsidRPr="00A03FFD" w:rsidRDefault="00454DE0" w:rsidP="00454DE0">
      <w:pPr>
        <w:pStyle w:val="00Tekst"/>
        <w:tabs>
          <w:tab w:val="left" w:pos="57"/>
        </w:tabs>
        <w:spacing w:line="240" w:lineRule="auto"/>
        <w:ind w:left="0"/>
        <w:rPr>
          <w:color w:val="000000" w:themeColor="text1"/>
          <w:sz w:val="18"/>
        </w:rPr>
      </w:pPr>
    </w:p>
    <w:p w14:paraId="27D98956" w14:textId="77777777" w:rsidR="00454DE0" w:rsidRPr="00A03FFD" w:rsidRDefault="00454DE0" w:rsidP="00454DE0">
      <w:pPr>
        <w:pStyle w:val="00Tekst"/>
        <w:tabs>
          <w:tab w:val="left" w:pos="57"/>
        </w:tabs>
        <w:spacing w:line="240" w:lineRule="auto"/>
        <w:ind w:left="0"/>
        <w:rPr>
          <w:color w:val="000000" w:themeColor="text1"/>
          <w:sz w:val="18"/>
        </w:rPr>
      </w:pPr>
    </w:p>
    <w:p w14:paraId="5F767D49" w14:textId="77777777" w:rsidR="00454DE0" w:rsidRPr="00A03FFD" w:rsidRDefault="00454DE0" w:rsidP="00454DE0">
      <w:pPr>
        <w:pStyle w:val="00Tekst"/>
        <w:tabs>
          <w:tab w:val="left" w:pos="57"/>
        </w:tabs>
        <w:spacing w:line="240" w:lineRule="auto"/>
        <w:ind w:left="0"/>
        <w:rPr>
          <w:color w:val="000000" w:themeColor="text1"/>
          <w:sz w:val="18"/>
        </w:rPr>
      </w:pPr>
    </w:p>
    <w:p w14:paraId="5FB13993" w14:textId="77777777" w:rsidR="00454DE0" w:rsidRPr="00A03FFD" w:rsidRDefault="00454DE0" w:rsidP="00454DE0">
      <w:pPr>
        <w:pStyle w:val="00Tekst"/>
        <w:tabs>
          <w:tab w:val="left" w:pos="57"/>
        </w:tabs>
        <w:spacing w:line="240" w:lineRule="auto"/>
        <w:ind w:left="0"/>
        <w:rPr>
          <w:color w:val="000000" w:themeColor="text1"/>
          <w:sz w:val="18"/>
        </w:rPr>
      </w:pPr>
    </w:p>
    <w:p w14:paraId="2CFAB75C" w14:textId="77777777" w:rsidR="00454DE0" w:rsidRPr="00A03FFD" w:rsidRDefault="00454DE0" w:rsidP="00454DE0">
      <w:pPr>
        <w:pStyle w:val="00Tekst"/>
        <w:tabs>
          <w:tab w:val="left" w:pos="57"/>
        </w:tabs>
        <w:spacing w:line="240" w:lineRule="auto"/>
        <w:ind w:left="0"/>
        <w:rPr>
          <w:color w:val="000000" w:themeColor="text1"/>
          <w:sz w:val="18"/>
        </w:rPr>
      </w:pPr>
    </w:p>
    <w:p w14:paraId="29592109" w14:textId="77777777" w:rsidR="00454DE0" w:rsidRPr="00A03FFD" w:rsidRDefault="00454DE0" w:rsidP="00454DE0">
      <w:pPr>
        <w:pStyle w:val="00Tekst"/>
        <w:tabs>
          <w:tab w:val="left" w:pos="57"/>
        </w:tabs>
        <w:spacing w:line="240" w:lineRule="auto"/>
        <w:ind w:left="0"/>
        <w:rPr>
          <w:color w:val="000000" w:themeColor="text1"/>
          <w:sz w:val="18"/>
        </w:rPr>
      </w:pPr>
    </w:p>
    <w:p w14:paraId="5B551D3A" w14:textId="77777777" w:rsidR="00454DE0" w:rsidRPr="00A03FFD" w:rsidRDefault="00454DE0" w:rsidP="00454DE0">
      <w:pPr>
        <w:pStyle w:val="00Tekst"/>
        <w:tabs>
          <w:tab w:val="left" w:pos="57"/>
        </w:tabs>
        <w:spacing w:line="240" w:lineRule="auto"/>
        <w:ind w:left="0"/>
        <w:rPr>
          <w:color w:val="000000" w:themeColor="text1"/>
          <w:sz w:val="18"/>
        </w:rPr>
      </w:pPr>
    </w:p>
    <w:p w14:paraId="6B4F146E" w14:textId="77777777" w:rsidR="00001E48" w:rsidRPr="00A03FFD" w:rsidRDefault="00001E48" w:rsidP="00454DE0">
      <w:pPr>
        <w:pStyle w:val="00Tekst"/>
        <w:tabs>
          <w:tab w:val="left" w:pos="57"/>
        </w:tabs>
        <w:spacing w:line="240" w:lineRule="auto"/>
        <w:ind w:left="0"/>
        <w:rPr>
          <w:color w:val="000000" w:themeColor="text1"/>
          <w:sz w:val="18"/>
        </w:rPr>
      </w:pPr>
    </w:p>
    <w:p w14:paraId="53CFC269" w14:textId="77777777" w:rsidR="00001E48" w:rsidRPr="00A03FFD" w:rsidRDefault="00001E48" w:rsidP="00454DE0">
      <w:pPr>
        <w:pStyle w:val="00Tekst"/>
        <w:tabs>
          <w:tab w:val="left" w:pos="57"/>
        </w:tabs>
        <w:spacing w:line="240" w:lineRule="auto"/>
        <w:ind w:left="0"/>
        <w:rPr>
          <w:color w:val="000000" w:themeColor="text1"/>
          <w:sz w:val="18"/>
        </w:rPr>
      </w:pPr>
    </w:p>
    <w:p w14:paraId="6462191F" w14:textId="77777777" w:rsidR="00001E48" w:rsidRPr="00A03FFD" w:rsidRDefault="00001E48" w:rsidP="00454DE0">
      <w:pPr>
        <w:pStyle w:val="00Tekst"/>
        <w:tabs>
          <w:tab w:val="left" w:pos="57"/>
        </w:tabs>
        <w:spacing w:line="240" w:lineRule="auto"/>
        <w:ind w:left="0"/>
        <w:rPr>
          <w:color w:val="000000" w:themeColor="text1"/>
          <w:sz w:val="18"/>
        </w:rPr>
      </w:pPr>
    </w:p>
    <w:p w14:paraId="226AB871" w14:textId="77777777" w:rsidR="00001E48" w:rsidRPr="00A03FFD" w:rsidRDefault="00001E48" w:rsidP="00454DE0">
      <w:pPr>
        <w:pStyle w:val="00Tekst"/>
        <w:tabs>
          <w:tab w:val="left" w:pos="57"/>
        </w:tabs>
        <w:spacing w:line="240" w:lineRule="auto"/>
        <w:ind w:left="0"/>
        <w:rPr>
          <w:color w:val="000000" w:themeColor="text1"/>
          <w:sz w:val="18"/>
        </w:rPr>
      </w:pPr>
    </w:p>
    <w:p w14:paraId="73329C64" w14:textId="77777777" w:rsidR="00001E48" w:rsidRPr="00A03FFD" w:rsidRDefault="00001E48" w:rsidP="00454DE0">
      <w:pPr>
        <w:pStyle w:val="00Tekst"/>
        <w:tabs>
          <w:tab w:val="left" w:pos="57"/>
        </w:tabs>
        <w:spacing w:line="240" w:lineRule="auto"/>
        <w:ind w:left="0"/>
        <w:rPr>
          <w:color w:val="000000" w:themeColor="text1"/>
          <w:sz w:val="18"/>
        </w:rPr>
      </w:pPr>
    </w:p>
    <w:p w14:paraId="77A6A442" w14:textId="77777777" w:rsidR="00001E48" w:rsidRPr="00A03FFD" w:rsidRDefault="00001E48" w:rsidP="00454DE0">
      <w:pPr>
        <w:pStyle w:val="00Tekst"/>
        <w:tabs>
          <w:tab w:val="left" w:pos="57"/>
        </w:tabs>
        <w:spacing w:line="240" w:lineRule="auto"/>
        <w:ind w:left="0"/>
        <w:rPr>
          <w:color w:val="000000" w:themeColor="text1"/>
          <w:sz w:val="18"/>
        </w:rPr>
      </w:pPr>
    </w:p>
    <w:p w14:paraId="4EF86299" w14:textId="77777777" w:rsidR="00001E48" w:rsidRPr="00A03FFD" w:rsidRDefault="00001E48" w:rsidP="00454DE0">
      <w:pPr>
        <w:pStyle w:val="00Tekst"/>
        <w:tabs>
          <w:tab w:val="left" w:pos="57"/>
        </w:tabs>
        <w:spacing w:line="240" w:lineRule="auto"/>
        <w:ind w:left="0"/>
        <w:rPr>
          <w:color w:val="000000" w:themeColor="text1"/>
          <w:sz w:val="18"/>
        </w:rPr>
      </w:pPr>
    </w:p>
    <w:p w14:paraId="29EB73B5" w14:textId="77777777" w:rsidR="00712CE2" w:rsidRPr="00A03FFD" w:rsidRDefault="00712CE2" w:rsidP="00454DE0">
      <w:pPr>
        <w:pStyle w:val="00Tekst"/>
        <w:tabs>
          <w:tab w:val="left" w:pos="57"/>
        </w:tabs>
        <w:spacing w:line="240" w:lineRule="auto"/>
        <w:ind w:left="0"/>
        <w:rPr>
          <w:color w:val="000000" w:themeColor="text1"/>
          <w:sz w:val="18"/>
        </w:rPr>
      </w:pPr>
    </w:p>
    <w:p w14:paraId="48C29E5A" w14:textId="77777777" w:rsidR="00712CE2" w:rsidRPr="00A03FFD" w:rsidRDefault="00712CE2" w:rsidP="00454DE0">
      <w:pPr>
        <w:pStyle w:val="00Tekst"/>
        <w:tabs>
          <w:tab w:val="left" w:pos="57"/>
        </w:tabs>
        <w:spacing w:line="240" w:lineRule="auto"/>
        <w:ind w:left="0"/>
        <w:rPr>
          <w:color w:val="000000" w:themeColor="text1"/>
          <w:sz w:val="18"/>
        </w:rPr>
      </w:pPr>
    </w:p>
    <w:p w14:paraId="6D41B3FD" w14:textId="77777777" w:rsidR="00712CE2" w:rsidRPr="00A03FFD" w:rsidRDefault="00712CE2" w:rsidP="00454DE0">
      <w:pPr>
        <w:pStyle w:val="00Tekst"/>
        <w:tabs>
          <w:tab w:val="left" w:pos="57"/>
        </w:tabs>
        <w:spacing w:line="240" w:lineRule="auto"/>
        <w:ind w:left="0"/>
        <w:rPr>
          <w:color w:val="000000" w:themeColor="text1"/>
          <w:sz w:val="18"/>
        </w:rPr>
      </w:pPr>
    </w:p>
    <w:p w14:paraId="0CA2F430" w14:textId="77777777" w:rsidR="00712CE2" w:rsidRPr="00A03FFD" w:rsidRDefault="00712CE2" w:rsidP="00454DE0">
      <w:pPr>
        <w:pStyle w:val="00Tekst"/>
        <w:tabs>
          <w:tab w:val="left" w:pos="57"/>
        </w:tabs>
        <w:spacing w:line="240" w:lineRule="auto"/>
        <w:ind w:left="0"/>
        <w:rPr>
          <w:color w:val="000000" w:themeColor="text1"/>
          <w:sz w:val="18"/>
        </w:rPr>
      </w:pPr>
    </w:p>
    <w:p w14:paraId="627E91E7" w14:textId="77777777" w:rsidR="00712CE2" w:rsidRPr="00A03FFD" w:rsidRDefault="00712CE2" w:rsidP="00454DE0">
      <w:pPr>
        <w:pStyle w:val="00Tekst"/>
        <w:tabs>
          <w:tab w:val="left" w:pos="57"/>
        </w:tabs>
        <w:spacing w:line="240" w:lineRule="auto"/>
        <w:ind w:left="0"/>
        <w:rPr>
          <w:color w:val="000000" w:themeColor="text1"/>
          <w:sz w:val="18"/>
        </w:rPr>
      </w:pPr>
    </w:p>
    <w:p w14:paraId="2CB03B29" w14:textId="77777777" w:rsidR="00712CE2" w:rsidRPr="00A03FFD" w:rsidRDefault="00712CE2" w:rsidP="00454DE0">
      <w:pPr>
        <w:pStyle w:val="00Tekst"/>
        <w:tabs>
          <w:tab w:val="left" w:pos="57"/>
        </w:tabs>
        <w:spacing w:line="240" w:lineRule="auto"/>
        <w:ind w:left="0"/>
        <w:rPr>
          <w:color w:val="000000" w:themeColor="text1"/>
          <w:sz w:val="18"/>
        </w:rPr>
      </w:pPr>
    </w:p>
    <w:p w14:paraId="7FDA717A" w14:textId="77777777" w:rsidR="00712CE2" w:rsidRPr="00A03FFD" w:rsidRDefault="00712CE2" w:rsidP="00454DE0">
      <w:pPr>
        <w:pStyle w:val="00Tekst"/>
        <w:tabs>
          <w:tab w:val="left" w:pos="57"/>
        </w:tabs>
        <w:spacing w:line="240" w:lineRule="auto"/>
        <w:ind w:left="0"/>
        <w:rPr>
          <w:color w:val="000000" w:themeColor="text1"/>
          <w:sz w:val="18"/>
        </w:rPr>
      </w:pPr>
    </w:p>
    <w:p w14:paraId="7A405080" w14:textId="77777777" w:rsidR="00712CE2" w:rsidRPr="00A03FFD" w:rsidRDefault="00712CE2" w:rsidP="00454DE0">
      <w:pPr>
        <w:pStyle w:val="00Tekst"/>
        <w:tabs>
          <w:tab w:val="left" w:pos="57"/>
        </w:tabs>
        <w:spacing w:line="240" w:lineRule="auto"/>
        <w:ind w:left="0"/>
        <w:rPr>
          <w:color w:val="000000" w:themeColor="text1"/>
          <w:sz w:val="18"/>
        </w:rPr>
      </w:pPr>
    </w:p>
    <w:p w14:paraId="105D3005" w14:textId="77777777" w:rsidR="00712CE2" w:rsidRPr="00A03FFD" w:rsidRDefault="00712CE2" w:rsidP="00454DE0">
      <w:pPr>
        <w:pStyle w:val="00Tekst"/>
        <w:tabs>
          <w:tab w:val="left" w:pos="57"/>
        </w:tabs>
        <w:spacing w:line="240" w:lineRule="auto"/>
        <w:ind w:left="0"/>
        <w:rPr>
          <w:color w:val="000000" w:themeColor="text1"/>
          <w:sz w:val="18"/>
        </w:rPr>
      </w:pPr>
    </w:p>
    <w:p w14:paraId="6207EA7C" w14:textId="77777777" w:rsidR="00712CE2" w:rsidRPr="00A03FFD" w:rsidRDefault="00712CE2" w:rsidP="00454DE0">
      <w:pPr>
        <w:pStyle w:val="00Tekst"/>
        <w:tabs>
          <w:tab w:val="left" w:pos="57"/>
        </w:tabs>
        <w:spacing w:line="240" w:lineRule="auto"/>
        <w:ind w:left="0"/>
        <w:rPr>
          <w:color w:val="000000" w:themeColor="text1"/>
          <w:sz w:val="18"/>
        </w:rPr>
      </w:pPr>
    </w:p>
    <w:p w14:paraId="64BB7980" w14:textId="77777777" w:rsidR="00712CE2" w:rsidRPr="00A03FFD" w:rsidRDefault="00712CE2" w:rsidP="00454DE0">
      <w:pPr>
        <w:pStyle w:val="00Tekst"/>
        <w:tabs>
          <w:tab w:val="left" w:pos="57"/>
        </w:tabs>
        <w:spacing w:line="240" w:lineRule="auto"/>
        <w:ind w:left="0"/>
        <w:rPr>
          <w:color w:val="000000" w:themeColor="text1"/>
          <w:sz w:val="18"/>
        </w:rPr>
      </w:pPr>
    </w:p>
    <w:p w14:paraId="07311745" w14:textId="77777777" w:rsidR="00712CE2" w:rsidRPr="00A03FFD" w:rsidRDefault="00712CE2" w:rsidP="00454DE0">
      <w:pPr>
        <w:pStyle w:val="00Tekst"/>
        <w:tabs>
          <w:tab w:val="left" w:pos="57"/>
        </w:tabs>
        <w:spacing w:line="240" w:lineRule="auto"/>
        <w:ind w:left="0"/>
        <w:rPr>
          <w:color w:val="000000" w:themeColor="text1"/>
          <w:sz w:val="18"/>
        </w:rPr>
      </w:pPr>
    </w:p>
    <w:p w14:paraId="01565789" w14:textId="77777777" w:rsidR="00712CE2" w:rsidRPr="00A03FFD" w:rsidRDefault="00712CE2" w:rsidP="00454DE0">
      <w:pPr>
        <w:pStyle w:val="00Tekst"/>
        <w:tabs>
          <w:tab w:val="left" w:pos="57"/>
        </w:tabs>
        <w:spacing w:line="240" w:lineRule="auto"/>
        <w:ind w:left="0"/>
        <w:rPr>
          <w:color w:val="000000" w:themeColor="text1"/>
          <w:sz w:val="18"/>
        </w:rPr>
      </w:pPr>
    </w:p>
    <w:p w14:paraId="6868CF5A" w14:textId="77777777" w:rsidR="00712CE2" w:rsidRPr="00A03FFD" w:rsidRDefault="00712CE2" w:rsidP="00454DE0">
      <w:pPr>
        <w:pStyle w:val="00Tekst"/>
        <w:tabs>
          <w:tab w:val="left" w:pos="57"/>
        </w:tabs>
        <w:spacing w:line="240" w:lineRule="auto"/>
        <w:ind w:left="0"/>
        <w:rPr>
          <w:color w:val="000000" w:themeColor="text1"/>
          <w:sz w:val="18"/>
        </w:rPr>
      </w:pPr>
    </w:p>
    <w:p w14:paraId="17E78C76" w14:textId="77777777" w:rsidR="00712CE2" w:rsidRPr="004D7D23" w:rsidRDefault="00712CE2" w:rsidP="00454DE0">
      <w:pPr>
        <w:pStyle w:val="00Tekst"/>
        <w:tabs>
          <w:tab w:val="left" w:pos="57"/>
        </w:tabs>
        <w:spacing w:line="240" w:lineRule="auto"/>
        <w:ind w:left="0"/>
        <w:rPr>
          <w:color w:val="FF0000"/>
          <w:sz w:val="18"/>
        </w:rPr>
      </w:pPr>
    </w:p>
    <w:p w14:paraId="290444DD" w14:textId="77777777" w:rsidR="00712CE2" w:rsidRPr="004D7D23" w:rsidRDefault="00712CE2" w:rsidP="00454DE0">
      <w:pPr>
        <w:pStyle w:val="00Tekst"/>
        <w:tabs>
          <w:tab w:val="left" w:pos="57"/>
        </w:tabs>
        <w:spacing w:line="240" w:lineRule="auto"/>
        <w:ind w:left="0"/>
        <w:rPr>
          <w:color w:val="FF0000"/>
          <w:sz w:val="18"/>
        </w:rPr>
      </w:pPr>
    </w:p>
    <w:p w14:paraId="23D29C64" w14:textId="77777777" w:rsidR="00712CE2" w:rsidRPr="004D7D23" w:rsidRDefault="00712CE2" w:rsidP="00454DE0">
      <w:pPr>
        <w:pStyle w:val="00Tekst"/>
        <w:tabs>
          <w:tab w:val="left" w:pos="57"/>
        </w:tabs>
        <w:spacing w:line="240" w:lineRule="auto"/>
        <w:ind w:left="0"/>
        <w:rPr>
          <w:color w:val="FF0000"/>
          <w:sz w:val="18"/>
        </w:rPr>
      </w:pPr>
    </w:p>
    <w:p w14:paraId="61C67474" w14:textId="77777777" w:rsidR="00712CE2" w:rsidRPr="004D7D23" w:rsidRDefault="00712CE2" w:rsidP="00454DE0">
      <w:pPr>
        <w:pStyle w:val="00Tekst"/>
        <w:tabs>
          <w:tab w:val="left" w:pos="57"/>
        </w:tabs>
        <w:spacing w:line="240" w:lineRule="auto"/>
        <w:ind w:left="0"/>
        <w:rPr>
          <w:color w:val="FF0000"/>
          <w:sz w:val="18"/>
        </w:rPr>
      </w:pPr>
    </w:p>
    <w:p w14:paraId="156E74F6" w14:textId="77777777" w:rsidR="00712CE2" w:rsidRPr="004D7D23" w:rsidRDefault="00712CE2" w:rsidP="00454DE0">
      <w:pPr>
        <w:pStyle w:val="00Tekst"/>
        <w:tabs>
          <w:tab w:val="left" w:pos="57"/>
        </w:tabs>
        <w:spacing w:line="240" w:lineRule="auto"/>
        <w:ind w:left="0"/>
        <w:rPr>
          <w:color w:val="FF0000"/>
          <w:sz w:val="18"/>
        </w:rPr>
      </w:pPr>
    </w:p>
    <w:p w14:paraId="4989CDA5" w14:textId="77777777" w:rsidR="00712CE2" w:rsidRPr="004D7D23" w:rsidRDefault="00712CE2" w:rsidP="00454DE0">
      <w:pPr>
        <w:pStyle w:val="00Tekst"/>
        <w:tabs>
          <w:tab w:val="left" w:pos="57"/>
        </w:tabs>
        <w:spacing w:line="240" w:lineRule="auto"/>
        <w:ind w:left="0"/>
        <w:rPr>
          <w:color w:val="FF0000"/>
          <w:sz w:val="18"/>
        </w:rPr>
      </w:pPr>
    </w:p>
    <w:p w14:paraId="46A30955" w14:textId="77777777" w:rsidR="00712CE2" w:rsidRPr="004D7D23" w:rsidRDefault="00712CE2" w:rsidP="00454DE0">
      <w:pPr>
        <w:pStyle w:val="00Tekst"/>
        <w:tabs>
          <w:tab w:val="left" w:pos="57"/>
        </w:tabs>
        <w:spacing w:line="240" w:lineRule="auto"/>
        <w:ind w:left="0"/>
        <w:rPr>
          <w:color w:val="FF0000"/>
          <w:sz w:val="18"/>
        </w:rPr>
      </w:pPr>
    </w:p>
    <w:p w14:paraId="77A9EC46" w14:textId="77777777" w:rsidR="00712CE2" w:rsidRPr="004D7D23" w:rsidRDefault="00712CE2" w:rsidP="00454DE0">
      <w:pPr>
        <w:pStyle w:val="00Tekst"/>
        <w:tabs>
          <w:tab w:val="left" w:pos="57"/>
        </w:tabs>
        <w:spacing w:line="240" w:lineRule="auto"/>
        <w:ind w:left="0"/>
        <w:rPr>
          <w:color w:val="FF0000"/>
          <w:sz w:val="18"/>
        </w:rPr>
      </w:pPr>
    </w:p>
    <w:p w14:paraId="4CDA36EF" w14:textId="77777777" w:rsidR="00712CE2" w:rsidRPr="004D7D23" w:rsidRDefault="00712CE2" w:rsidP="00454DE0">
      <w:pPr>
        <w:pStyle w:val="00Tekst"/>
        <w:tabs>
          <w:tab w:val="left" w:pos="57"/>
        </w:tabs>
        <w:spacing w:line="240" w:lineRule="auto"/>
        <w:ind w:left="0"/>
        <w:rPr>
          <w:color w:val="FF0000"/>
          <w:sz w:val="18"/>
        </w:rPr>
      </w:pPr>
    </w:p>
    <w:p w14:paraId="6A7A5240" w14:textId="77777777" w:rsidR="00001E48" w:rsidRPr="004D7D23" w:rsidRDefault="00001E48" w:rsidP="00454DE0">
      <w:pPr>
        <w:pStyle w:val="00Tekst"/>
        <w:tabs>
          <w:tab w:val="left" w:pos="57"/>
        </w:tabs>
        <w:spacing w:line="240" w:lineRule="auto"/>
        <w:ind w:left="0"/>
        <w:rPr>
          <w:color w:val="FF0000"/>
          <w:sz w:val="18"/>
        </w:rPr>
      </w:pPr>
    </w:p>
    <w:p w14:paraId="71B262E0" w14:textId="77777777" w:rsidR="00001E48" w:rsidRPr="004D7D23" w:rsidRDefault="00001E48" w:rsidP="00454DE0">
      <w:pPr>
        <w:pStyle w:val="00Tekst"/>
        <w:tabs>
          <w:tab w:val="left" w:pos="57"/>
        </w:tabs>
        <w:spacing w:line="240" w:lineRule="auto"/>
        <w:ind w:left="0"/>
        <w:rPr>
          <w:color w:val="FF0000"/>
          <w:sz w:val="18"/>
        </w:rPr>
      </w:pPr>
    </w:p>
    <w:p w14:paraId="63880E5A" w14:textId="77777777" w:rsidR="004B3551" w:rsidRPr="004D7D23" w:rsidRDefault="004B3551" w:rsidP="00454DE0">
      <w:pPr>
        <w:pStyle w:val="00Tekst"/>
        <w:tabs>
          <w:tab w:val="left" w:pos="57"/>
        </w:tabs>
        <w:spacing w:line="240" w:lineRule="auto"/>
        <w:ind w:left="0"/>
        <w:rPr>
          <w:color w:val="FF0000"/>
          <w:sz w:val="18"/>
        </w:rPr>
      </w:pPr>
    </w:p>
    <w:p w14:paraId="759B90F2" w14:textId="77777777" w:rsidR="004B3551" w:rsidRPr="004D7D23" w:rsidRDefault="004B3551" w:rsidP="00454DE0">
      <w:pPr>
        <w:pStyle w:val="00Tekst"/>
        <w:tabs>
          <w:tab w:val="left" w:pos="57"/>
        </w:tabs>
        <w:spacing w:line="240" w:lineRule="auto"/>
        <w:ind w:left="0"/>
        <w:rPr>
          <w:color w:val="FF0000"/>
          <w:sz w:val="18"/>
        </w:rPr>
      </w:pPr>
    </w:p>
    <w:p w14:paraId="6C149696" w14:textId="77777777" w:rsidR="004B3551" w:rsidRPr="004D7D23" w:rsidRDefault="004B3551" w:rsidP="00454DE0">
      <w:pPr>
        <w:pStyle w:val="00Tekst"/>
        <w:tabs>
          <w:tab w:val="left" w:pos="57"/>
        </w:tabs>
        <w:spacing w:line="240" w:lineRule="auto"/>
        <w:ind w:left="0"/>
        <w:rPr>
          <w:color w:val="FF0000"/>
          <w:sz w:val="18"/>
        </w:rPr>
      </w:pPr>
    </w:p>
    <w:p w14:paraId="6CE1F04D" w14:textId="77777777" w:rsidR="004B3551" w:rsidRPr="004D7D23" w:rsidRDefault="004B3551" w:rsidP="00454DE0">
      <w:pPr>
        <w:pStyle w:val="00Tekst"/>
        <w:tabs>
          <w:tab w:val="left" w:pos="57"/>
        </w:tabs>
        <w:spacing w:line="240" w:lineRule="auto"/>
        <w:ind w:left="0"/>
        <w:rPr>
          <w:color w:val="FF0000"/>
          <w:sz w:val="18"/>
        </w:rPr>
      </w:pPr>
    </w:p>
    <w:p w14:paraId="32CCA4E5" w14:textId="77777777" w:rsidR="004B3551" w:rsidRPr="004D7D23" w:rsidRDefault="004B3551" w:rsidP="00454DE0">
      <w:pPr>
        <w:pStyle w:val="00Tekst"/>
        <w:tabs>
          <w:tab w:val="left" w:pos="57"/>
        </w:tabs>
        <w:spacing w:line="240" w:lineRule="auto"/>
        <w:ind w:left="0"/>
        <w:rPr>
          <w:color w:val="FF0000"/>
          <w:sz w:val="18"/>
        </w:rPr>
      </w:pPr>
    </w:p>
    <w:p w14:paraId="6FDEC6D2" w14:textId="77777777" w:rsidR="004B3551" w:rsidRPr="004D7D23" w:rsidRDefault="004B3551" w:rsidP="00454DE0">
      <w:pPr>
        <w:pStyle w:val="00Tekst"/>
        <w:tabs>
          <w:tab w:val="left" w:pos="57"/>
        </w:tabs>
        <w:spacing w:line="240" w:lineRule="auto"/>
        <w:ind w:left="0"/>
        <w:rPr>
          <w:color w:val="FF0000"/>
          <w:sz w:val="18"/>
        </w:rPr>
      </w:pPr>
    </w:p>
    <w:p w14:paraId="507E5A21" w14:textId="77777777" w:rsidR="00001E48" w:rsidRPr="004D7D23" w:rsidRDefault="00001E48" w:rsidP="00454DE0">
      <w:pPr>
        <w:pStyle w:val="00Tekst"/>
        <w:tabs>
          <w:tab w:val="left" w:pos="57"/>
        </w:tabs>
        <w:spacing w:line="240" w:lineRule="auto"/>
        <w:ind w:left="0"/>
        <w:rPr>
          <w:color w:val="FF0000"/>
          <w:sz w:val="18"/>
        </w:rPr>
      </w:pPr>
    </w:p>
    <w:p w14:paraId="1A5476F0" w14:textId="77777777" w:rsidR="006F7186" w:rsidRPr="004D7D23" w:rsidRDefault="006F7186" w:rsidP="00454DE0">
      <w:pPr>
        <w:pStyle w:val="00Tekst"/>
        <w:tabs>
          <w:tab w:val="left" w:pos="57"/>
        </w:tabs>
        <w:spacing w:line="240" w:lineRule="auto"/>
        <w:ind w:left="0"/>
        <w:rPr>
          <w:color w:val="FF0000"/>
          <w:sz w:val="18"/>
        </w:rPr>
      </w:pPr>
    </w:p>
    <w:p w14:paraId="35638B96" w14:textId="77777777" w:rsidR="00454DE0" w:rsidRPr="004D7D23" w:rsidRDefault="00454DE0" w:rsidP="00454DE0">
      <w:pPr>
        <w:pStyle w:val="00Tekst"/>
        <w:tabs>
          <w:tab w:val="left" w:pos="57"/>
        </w:tabs>
        <w:spacing w:line="240" w:lineRule="auto"/>
        <w:ind w:left="0"/>
        <w:rPr>
          <w:color w:val="FF0000"/>
          <w:sz w:val="18"/>
        </w:rPr>
      </w:pPr>
    </w:p>
    <w:p w14:paraId="46EECE63" w14:textId="77777777" w:rsidR="00454DE0" w:rsidRPr="00A03FFD" w:rsidRDefault="00454DE0" w:rsidP="00454DE0">
      <w:pPr>
        <w:pStyle w:val="Nagwek1"/>
        <w:jc w:val="center"/>
        <w:rPr>
          <w:color w:val="000000" w:themeColor="text1"/>
          <w:sz w:val="40"/>
          <w:szCs w:val="40"/>
        </w:rPr>
      </w:pPr>
      <w:bookmarkStart w:id="110" w:name="_Toc163481037"/>
      <w:r w:rsidRPr="00A03FFD">
        <w:rPr>
          <w:color w:val="000000" w:themeColor="text1"/>
          <w:sz w:val="40"/>
          <w:szCs w:val="40"/>
        </w:rPr>
        <w:lastRenderedPageBreak/>
        <w:t xml:space="preserve">ST-00.01. </w:t>
      </w:r>
      <w:r w:rsidR="00F548B0" w:rsidRPr="00A03FFD">
        <w:rPr>
          <w:color w:val="000000" w:themeColor="text1"/>
          <w:sz w:val="40"/>
          <w:szCs w:val="40"/>
        </w:rPr>
        <w:t>WY</w:t>
      </w:r>
      <w:r w:rsidRPr="00A03FFD">
        <w:rPr>
          <w:color w:val="000000" w:themeColor="text1"/>
          <w:sz w:val="40"/>
          <w:szCs w:val="40"/>
        </w:rPr>
        <w:t>ZNACZENIE TRASY I PUNKTÓW WYSOKOŚCIOWYCH</w:t>
      </w:r>
      <w:bookmarkEnd w:id="110"/>
    </w:p>
    <w:p w14:paraId="52707E16" w14:textId="77777777" w:rsidR="00454DE0" w:rsidRPr="00A03FFD" w:rsidRDefault="00454DE0" w:rsidP="00001E48">
      <w:pPr>
        <w:pStyle w:val="Nagwek2"/>
        <w:rPr>
          <w:i w:val="0"/>
          <w:color w:val="000000" w:themeColor="text1"/>
        </w:rPr>
      </w:pPr>
      <w:r w:rsidRPr="00A03FFD">
        <w:rPr>
          <w:i w:val="0"/>
          <w:color w:val="000000" w:themeColor="text1"/>
        </w:rPr>
        <w:t>1. WSTĘP.</w:t>
      </w:r>
    </w:p>
    <w:p w14:paraId="40A1EED4" w14:textId="77777777" w:rsidR="00454DE0" w:rsidRPr="00A03FFD" w:rsidRDefault="00454DE0" w:rsidP="00001E48">
      <w:pPr>
        <w:pStyle w:val="Nagwek3"/>
        <w:spacing w:before="60"/>
        <w:rPr>
          <w:color w:val="000000" w:themeColor="text1"/>
          <w:sz w:val="22"/>
        </w:rPr>
      </w:pPr>
      <w:r w:rsidRPr="00A03FFD">
        <w:rPr>
          <w:color w:val="000000" w:themeColor="text1"/>
          <w:sz w:val="22"/>
        </w:rPr>
        <w:t>1.1. Przedmiot ST.</w:t>
      </w:r>
    </w:p>
    <w:p w14:paraId="1F5416E1" w14:textId="77777777" w:rsidR="00454DE0" w:rsidRPr="00A03FFD" w:rsidRDefault="00D72859" w:rsidP="00454DE0">
      <w:pPr>
        <w:pStyle w:val="Specyfikacje"/>
        <w:ind w:left="0"/>
        <w:rPr>
          <w:rFonts w:ascii="Arial" w:hAnsi="Arial" w:cs="Arial"/>
          <w:color w:val="000000" w:themeColor="text1"/>
          <w:sz w:val="18"/>
        </w:rPr>
      </w:pPr>
      <w:r w:rsidRPr="00A03FFD">
        <w:rPr>
          <w:rFonts w:ascii="Arial" w:hAnsi="Arial" w:cs="Arial"/>
          <w:color w:val="000000" w:themeColor="text1"/>
          <w:sz w:val="18"/>
        </w:rPr>
        <w:t>Przedmiotem niniejszej Specyfikacji Technicznej są wymagania dotyczące wyznaczenia trasy i punktów wysokościowych w związku z realizacją przedsięwzięcia</w:t>
      </w:r>
      <w:r w:rsidR="00454DE0" w:rsidRPr="00A03FFD">
        <w:rPr>
          <w:rFonts w:ascii="Arial" w:hAnsi="Arial" w:cs="Arial"/>
          <w:color w:val="000000" w:themeColor="text1"/>
          <w:sz w:val="18"/>
        </w:rPr>
        <w:t xml:space="preserve"> pn. „</w:t>
      </w:r>
      <w:r w:rsidR="00A03FFD" w:rsidRPr="00A03FFD">
        <w:rPr>
          <w:rFonts w:ascii="Arial" w:hAnsi="Arial" w:cs="Arial"/>
          <w:b/>
          <w:color w:val="000000" w:themeColor="text1"/>
          <w:sz w:val="18"/>
        </w:rPr>
        <w:t>Przebudowa sieci wodociągowej w ul. Wincentego Kadłubka w</w:t>
      </w:r>
      <w:r w:rsidR="00A03FFD" w:rsidRPr="00A03FFD">
        <w:rPr>
          <w:rFonts w:ascii="Arial" w:hAnsi="Arial" w:cs="Arial"/>
          <w:color w:val="000000" w:themeColor="text1"/>
          <w:sz w:val="18"/>
        </w:rPr>
        <w:t xml:space="preserve"> </w:t>
      </w:r>
      <w:r w:rsidR="00A03FFD" w:rsidRPr="00A03FFD">
        <w:rPr>
          <w:rFonts w:ascii="Arial" w:hAnsi="Arial" w:cs="Arial"/>
          <w:b/>
          <w:color w:val="000000" w:themeColor="text1"/>
          <w:sz w:val="18"/>
        </w:rPr>
        <w:t>Szczecinie</w:t>
      </w:r>
      <w:r w:rsidR="00454DE0" w:rsidRPr="00A03FFD">
        <w:rPr>
          <w:rFonts w:ascii="Arial" w:hAnsi="Arial" w:cs="Arial"/>
          <w:color w:val="000000" w:themeColor="text1"/>
          <w:sz w:val="18"/>
        </w:rPr>
        <w:t>”.</w:t>
      </w:r>
    </w:p>
    <w:p w14:paraId="77FE83BC" w14:textId="77777777" w:rsidR="00454DE0" w:rsidRPr="00A03FFD" w:rsidRDefault="00454DE0" w:rsidP="00001E48">
      <w:pPr>
        <w:pStyle w:val="Nagwek3"/>
        <w:spacing w:before="60"/>
        <w:rPr>
          <w:color w:val="000000" w:themeColor="text1"/>
          <w:sz w:val="22"/>
        </w:rPr>
      </w:pPr>
      <w:r w:rsidRPr="00A03FFD">
        <w:rPr>
          <w:color w:val="000000" w:themeColor="text1"/>
          <w:sz w:val="22"/>
        </w:rPr>
        <w:t>1.2. Zakres stosowania ST.</w:t>
      </w:r>
    </w:p>
    <w:p w14:paraId="7A10C6DE" w14:textId="77777777" w:rsidR="00454DE0" w:rsidRPr="00A03FFD" w:rsidRDefault="00454DE0" w:rsidP="00454DE0">
      <w:pPr>
        <w:pStyle w:val="Specyfikacje"/>
        <w:ind w:left="0"/>
        <w:rPr>
          <w:rFonts w:ascii="Arial" w:hAnsi="Arial" w:cs="Arial"/>
          <w:color w:val="000000" w:themeColor="text1"/>
          <w:sz w:val="18"/>
        </w:rPr>
      </w:pPr>
      <w:r w:rsidRPr="00A03FFD">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70AA3159" w14:textId="77777777" w:rsidR="00454DE0" w:rsidRPr="00A03FFD" w:rsidRDefault="00454DE0" w:rsidP="00001E48">
      <w:pPr>
        <w:pStyle w:val="Nagwek3"/>
        <w:spacing w:before="60"/>
        <w:rPr>
          <w:color w:val="000000" w:themeColor="text1"/>
          <w:sz w:val="22"/>
        </w:rPr>
      </w:pPr>
      <w:r w:rsidRPr="00A03FFD">
        <w:rPr>
          <w:color w:val="000000" w:themeColor="text1"/>
          <w:sz w:val="22"/>
        </w:rPr>
        <w:t>1.3. Zakres robót objętych ST.</w:t>
      </w:r>
    </w:p>
    <w:p w14:paraId="4C342987" w14:textId="77777777" w:rsidR="00D72859" w:rsidRPr="00A03FFD" w:rsidRDefault="00D72859" w:rsidP="00D7285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Ustalenia zawarte w niniejszej specyfikacji stanowią wytyczne prowadzenia robót dotyczących wyznaczenia trasy i punktów wysokościowych w związku z robotami jak w punkcie 1.1, i obejmują  roboty pomiarowe sytuacyjno-wysokościowe:</w:t>
      </w:r>
    </w:p>
    <w:p w14:paraId="082A062D" w14:textId="77777777" w:rsidR="00D72859" w:rsidRPr="00A03FFD" w:rsidRDefault="00D72859" w:rsidP="00D7285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 zakres robót pomiarowych, związanych z wyznaczeniem tras i osi oraz punktów wysokościowych wchodzą:</w:t>
      </w:r>
    </w:p>
    <w:p w14:paraId="4F3B8F90" w14:textId="77777777" w:rsidR="00D72859" w:rsidRPr="00A03FFD"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wyznaczenie sytuacyjne i wysokościowe  punktów  głównych, osi trasy i punktów wysokościowych,</w:t>
      </w:r>
    </w:p>
    <w:p w14:paraId="3AFF6F63" w14:textId="77777777" w:rsidR="00D72859" w:rsidRPr="00A03FFD"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uzupełnienie osi trasy dodatkowymi punktami (wyznaczenie osi),</w:t>
      </w:r>
    </w:p>
    <w:p w14:paraId="74610E44" w14:textId="77777777" w:rsidR="00D72859" w:rsidRPr="00A03FFD"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wyznaczenie dodatkowych punktów wysokościowych (reperów roboczych),</w:t>
      </w:r>
    </w:p>
    <w:p w14:paraId="4A6D36B8" w14:textId="77777777" w:rsidR="00D72859" w:rsidRPr="00A03FFD"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wyznaczenie przekrojów poprzecznych,</w:t>
      </w:r>
    </w:p>
    <w:p w14:paraId="5AD91FF6" w14:textId="77777777" w:rsidR="00D72859" w:rsidRPr="00A03FFD" w:rsidRDefault="00D72859" w:rsidP="00D72859">
      <w:pPr>
        <w:pStyle w:val="00Tekst"/>
        <w:numPr>
          <w:ilvl w:val="0"/>
          <w:numId w:val="6"/>
        </w:numPr>
        <w:tabs>
          <w:tab w:val="clear" w:pos="709"/>
          <w:tab w:val="left" w:pos="57"/>
          <w:tab w:val="num" w:pos="284"/>
        </w:tabs>
        <w:spacing w:line="240" w:lineRule="auto"/>
        <w:rPr>
          <w:color w:val="000000" w:themeColor="text1"/>
          <w:sz w:val="18"/>
        </w:rPr>
      </w:pPr>
      <w:proofErr w:type="spellStart"/>
      <w:r w:rsidRPr="00A03FFD">
        <w:rPr>
          <w:color w:val="000000" w:themeColor="text1"/>
          <w:sz w:val="18"/>
        </w:rPr>
        <w:t>zastabilizowanie</w:t>
      </w:r>
      <w:proofErr w:type="spellEnd"/>
      <w:r w:rsidRPr="00A03FFD">
        <w:rPr>
          <w:color w:val="000000" w:themeColor="text1"/>
          <w:sz w:val="18"/>
        </w:rPr>
        <w:t xml:space="preserve"> punktów w sposób trwały, ochrona ich przed zniszczeniem oraz oznakowanie w sposób ułatwiający odszukanie i ewentualne odtworzenie,</w:t>
      </w:r>
    </w:p>
    <w:p w14:paraId="56AC0884" w14:textId="77777777" w:rsidR="00454DE0" w:rsidRPr="00A03FFD" w:rsidRDefault="00D72859" w:rsidP="00D7285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odtworzenie trasy i punktów wysokościowych.</w:t>
      </w:r>
    </w:p>
    <w:p w14:paraId="20CF9C3A" w14:textId="77777777" w:rsidR="00454DE0" w:rsidRPr="00A03FFD" w:rsidRDefault="00454DE0" w:rsidP="00001E48">
      <w:pPr>
        <w:pStyle w:val="Nagwek3"/>
        <w:spacing w:before="60"/>
        <w:rPr>
          <w:color w:val="000000" w:themeColor="text1"/>
          <w:sz w:val="22"/>
        </w:rPr>
      </w:pPr>
      <w:r w:rsidRPr="00A03FFD">
        <w:rPr>
          <w:color w:val="000000" w:themeColor="text1"/>
          <w:sz w:val="22"/>
        </w:rPr>
        <w:t>1.4. Określenia podstawowe.</w:t>
      </w:r>
    </w:p>
    <w:p w14:paraId="57A9229A" w14:textId="77777777" w:rsidR="00D72859" w:rsidRPr="00A03FFD" w:rsidRDefault="00D72859" w:rsidP="00610266">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03FFD">
        <w:rPr>
          <w:color w:val="000000" w:themeColor="text1"/>
          <w:sz w:val="18"/>
        </w:rPr>
        <w:t>Punkty</w:t>
      </w:r>
      <w:r w:rsidRPr="00A03FFD">
        <w:rPr>
          <w:rFonts w:eastAsia="Times New Roman" w:cs="Arial"/>
          <w:color w:val="000000" w:themeColor="text1"/>
          <w:sz w:val="18"/>
          <w:szCs w:val="20"/>
        </w:rPr>
        <w:t xml:space="preserve"> główne trasy - punkty załamania osi trasy, punkty kierunkowe oraz początkowy i końcowy punkt trasy.</w:t>
      </w:r>
    </w:p>
    <w:p w14:paraId="0EA15D5E" w14:textId="77777777" w:rsidR="00454DE0" w:rsidRPr="00A03FFD" w:rsidRDefault="00D72859" w:rsidP="00D7285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Pozostałe określenia podstawowe są zgodne z obowiązującymi, odpowiednimi polskimi normami i z definicjami podanymi w Specyfikacji Technicznej ST.00.00 “Wymagania ogólne”.</w:t>
      </w:r>
    </w:p>
    <w:p w14:paraId="5F879672" w14:textId="77777777" w:rsidR="009B61E9" w:rsidRPr="00A03FFD" w:rsidRDefault="009B61E9" w:rsidP="00001E48">
      <w:pPr>
        <w:pStyle w:val="Nagwek2"/>
        <w:rPr>
          <w:i w:val="0"/>
          <w:color w:val="000000" w:themeColor="text1"/>
        </w:rPr>
      </w:pPr>
      <w:r w:rsidRPr="00A03FFD">
        <w:rPr>
          <w:i w:val="0"/>
          <w:color w:val="000000" w:themeColor="text1"/>
        </w:rPr>
        <w:t>2. MATERIAŁY</w:t>
      </w:r>
    </w:p>
    <w:p w14:paraId="6FA36F33" w14:textId="77777777" w:rsidR="009B61E9" w:rsidRPr="00A03FFD" w:rsidRDefault="009B61E9" w:rsidP="009B61E9">
      <w:pPr>
        <w:pStyle w:val="Specyfikacje"/>
        <w:ind w:left="0"/>
        <w:rPr>
          <w:rFonts w:ascii="Arial" w:hAnsi="Arial" w:cs="Arial"/>
          <w:color w:val="000000" w:themeColor="text1"/>
          <w:sz w:val="20"/>
        </w:rPr>
      </w:pPr>
      <w:r w:rsidRPr="00A03FFD">
        <w:rPr>
          <w:rFonts w:ascii="Arial" w:hAnsi="Arial" w:cs="Arial"/>
          <w:color w:val="000000" w:themeColor="text1"/>
          <w:sz w:val="18"/>
        </w:rPr>
        <w:t>Materiałami stosowanymi przy odtworzeniu trasy i wyznaczaniu roboczych punktów wysokościowych wg zasad niniejszej Specyfikacji Technicznej są:</w:t>
      </w:r>
    </w:p>
    <w:p w14:paraId="6BEDE4EC" w14:textId="77777777" w:rsidR="009B61E9" w:rsidRPr="00A03FFD"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Paliki drewniane o średnicy 15-20 cm i długości 1,5-1,7 m oraz o średnicy 5-8 cm i długości 0,3 m,</w:t>
      </w:r>
    </w:p>
    <w:p w14:paraId="20741312" w14:textId="77777777" w:rsidR="009B61E9" w:rsidRPr="00A03FFD"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Słupki betonowe o długości 0,5 m i przekroju prostokątnym.</w:t>
      </w:r>
    </w:p>
    <w:p w14:paraId="200C4B38" w14:textId="77777777" w:rsidR="009B61E9" w:rsidRPr="00A03FFD" w:rsidRDefault="009B61E9" w:rsidP="00001E48">
      <w:pPr>
        <w:pStyle w:val="Nagwek2"/>
        <w:rPr>
          <w:i w:val="0"/>
          <w:color w:val="000000" w:themeColor="text1"/>
        </w:rPr>
      </w:pPr>
      <w:r w:rsidRPr="00A03FFD">
        <w:rPr>
          <w:i w:val="0"/>
          <w:color w:val="000000" w:themeColor="text1"/>
        </w:rPr>
        <w:t>3. SPRZĘT</w:t>
      </w:r>
    </w:p>
    <w:p w14:paraId="12AE673B"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Ogólne wymagania dotyczące sprzętu podano w Specyfikacji Technicznej ST-00.00. “Wymagania Ogólne".</w:t>
      </w:r>
    </w:p>
    <w:p w14:paraId="47BB0BA3"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Roboty związane z oznaczaniem głównych elementów trasy oraz roboczych punktów wysokościowych będą wykonywane ręcznie. Roboty pomiarowe związane z wytyczeniem oraz określeniem wysokościowym powyższych elementów trasy wykonywane będą specjalistycznym sprzętem geodezyjnym, przeznaczonym do tego typu robót (teodolity lub tachimetry, niwelatory, dalmierze, tyczki, łaty, taśmy stalowe).</w:t>
      </w:r>
    </w:p>
    <w:p w14:paraId="6DBA57CF"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Sprzęt stosowany do odtworzenia trasy i punktów głównych powinien gwarantować uzyskanie wymaganej dokładności pomiaru.</w:t>
      </w:r>
    </w:p>
    <w:p w14:paraId="20C79A1C" w14:textId="77777777" w:rsidR="009B61E9" w:rsidRPr="00A03FFD" w:rsidRDefault="009B61E9" w:rsidP="00001E48">
      <w:pPr>
        <w:pStyle w:val="Nagwek2"/>
        <w:rPr>
          <w:i w:val="0"/>
          <w:color w:val="000000" w:themeColor="text1"/>
        </w:rPr>
      </w:pPr>
      <w:r w:rsidRPr="00A03FFD">
        <w:rPr>
          <w:i w:val="0"/>
          <w:color w:val="000000" w:themeColor="text1"/>
        </w:rPr>
        <w:t>4. TRANSPORT</w:t>
      </w:r>
    </w:p>
    <w:p w14:paraId="246FEC08"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Ogólne wymagania dotyczące transportu podano w Specyfikacji Technicznej ST-00.00. “Wymagania Ogólne". </w:t>
      </w:r>
    </w:p>
    <w:p w14:paraId="74BEA9CC"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Materiały (paliki drewniane oraz słupki betonowe) mogą być dostarczane przy użyciu jakiegokolwiek środka transportu.</w:t>
      </w:r>
    </w:p>
    <w:p w14:paraId="5184EE78" w14:textId="77777777" w:rsidR="009B61E9" w:rsidRPr="00A03FFD" w:rsidRDefault="009B61E9" w:rsidP="00001E48">
      <w:pPr>
        <w:pStyle w:val="Nagwek2"/>
        <w:rPr>
          <w:i w:val="0"/>
          <w:color w:val="000000" w:themeColor="text1"/>
        </w:rPr>
      </w:pPr>
      <w:r w:rsidRPr="00A03FFD">
        <w:rPr>
          <w:i w:val="0"/>
          <w:color w:val="000000" w:themeColor="text1"/>
        </w:rPr>
        <w:t>5. WYKONANIE ROBÓT</w:t>
      </w:r>
    </w:p>
    <w:p w14:paraId="73BD5911" w14:textId="77777777" w:rsidR="009B61E9" w:rsidRPr="00A03FFD" w:rsidRDefault="009B61E9" w:rsidP="00001E48">
      <w:pPr>
        <w:pStyle w:val="Nagwek3"/>
        <w:spacing w:before="60"/>
        <w:rPr>
          <w:color w:val="000000" w:themeColor="text1"/>
          <w:sz w:val="22"/>
        </w:rPr>
      </w:pPr>
      <w:r w:rsidRPr="00A03FFD">
        <w:rPr>
          <w:color w:val="000000" w:themeColor="text1"/>
          <w:sz w:val="22"/>
        </w:rPr>
        <w:t>5.1</w:t>
      </w:r>
      <w:r w:rsidR="00BE1892" w:rsidRPr="00A03FFD">
        <w:rPr>
          <w:color w:val="000000" w:themeColor="text1"/>
          <w:sz w:val="22"/>
        </w:rPr>
        <w:t>.</w:t>
      </w:r>
      <w:r w:rsidRPr="00A03FFD">
        <w:rPr>
          <w:color w:val="000000" w:themeColor="text1"/>
          <w:sz w:val="22"/>
        </w:rPr>
        <w:t xml:space="preserve"> Ogólne warunki wykonania robót</w:t>
      </w:r>
    </w:p>
    <w:p w14:paraId="420EDB75"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Ogólne warunki wykonania robót podano w Specyfikacji Technicznej ST-00.00. “Wymagania Ogólne".</w:t>
      </w:r>
    </w:p>
    <w:p w14:paraId="4F060220"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Prace pomiarowe powinny być wykonane zgodnie z obowiązującymi instrukcjami </w:t>
      </w:r>
      <w:proofErr w:type="spellStart"/>
      <w:r w:rsidRPr="00A03FFD">
        <w:rPr>
          <w:rFonts w:ascii="Arial" w:hAnsi="Arial" w:cs="Arial"/>
          <w:color w:val="000000" w:themeColor="text1"/>
          <w:sz w:val="18"/>
        </w:rPr>
        <w:t>GUGiK</w:t>
      </w:r>
      <w:proofErr w:type="spellEnd"/>
      <w:r w:rsidRPr="00A03FFD">
        <w:rPr>
          <w:rFonts w:ascii="Arial" w:hAnsi="Arial" w:cs="Arial"/>
          <w:color w:val="000000" w:themeColor="text1"/>
          <w:sz w:val="18"/>
        </w:rPr>
        <w:t>.</w:t>
      </w:r>
    </w:p>
    <w:p w14:paraId="348C71AC"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Wykonawca zobowiązany jest wytyczyć i </w:t>
      </w:r>
      <w:proofErr w:type="spellStart"/>
      <w:r w:rsidRPr="00A03FFD">
        <w:rPr>
          <w:rFonts w:ascii="Arial" w:hAnsi="Arial" w:cs="Arial"/>
          <w:color w:val="000000" w:themeColor="text1"/>
          <w:sz w:val="18"/>
        </w:rPr>
        <w:t>zastabilizować</w:t>
      </w:r>
      <w:proofErr w:type="spellEnd"/>
      <w:r w:rsidRPr="00A03FFD">
        <w:rPr>
          <w:rFonts w:ascii="Arial" w:hAnsi="Arial" w:cs="Arial"/>
          <w:color w:val="000000" w:themeColor="text1"/>
          <w:sz w:val="18"/>
        </w:rPr>
        <w:t xml:space="preserve"> w terenie punkty główne osi trasy oraz punkty wysokościowe (repery robocze).</w:t>
      </w:r>
    </w:p>
    <w:p w14:paraId="0AF1AA7B"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Przyjęcie tych punktów powinno być dokonane w obecności Zamawiającego. W oparciu o materiały dostarczone przez Zamawiającego Wykonawca powinien przeprowadzić obliczenia i pomiary geodezyjne niezbędne do szczegółowego wytyczenia Robót.</w:t>
      </w:r>
    </w:p>
    <w:p w14:paraId="7425DFBC" w14:textId="77777777" w:rsidR="009B61E9" w:rsidRPr="00A03FFD" w:rsidRDefault="009B61E9" w:rsidP="00001E48">
      <w:pPr>
        <w:pStyle w:val="Nagwek3"/>
        <w:spacing w:before="60"/>
        <w:rPr>
          <w:color w:val="000000" w:themeColor="text1"/>
          <w:sz w:val="22"/>
        </w:rPr>
      </w:pPr>
      <w:r w:rsidRPr="00A03FFD">
        <w:rPr>
          <w:color w:val="000000" w:themeColor="text1"/>
          <w:sz w:val="22"/>
        </w:rPr>
        <w:lastRenderedPageBreak/>
        <w:t>5.2</w:t>
      </w:r>
      <w:r w:rsidR="00BE1892" w:rsidRPr="00A03FFD">
        <w:rPr>
          <w:color w:val="000000" w:themeColor="text1"/>
          <w:sz w:val="22"/>
        </w:rPr>
        <w:t>.</w:t>
      </w:r>
      <w:r w:rsidRPr="00A03FFD">
        <w:rPr>
          <w:color w:val="000000" w:themeColor="text1"/>
          <w:sz w:val="22"/>
        </w:rPr>
        <w:t xml:space="preserve"> Wyznaczenie punktów na osi</w:t>
      </w:r>
    </w:p>
    <w:p w14:paraId="6C053232"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Tyczenie osi rurociągów należy wykonać w oparciu o Dokumentację Projektową przy wykorzystaniu sieci poligonizacji państwowej i innej osnowy geodezyjnej określonej w Dokumentacji Projektowej. Wyznaczone punkty na osi budowli nie powinny być przesunięte więcej niż 5cm w stosunku do projektowanych, a rzędne punktów na osi należy wyznaczyć z dokładnością do 1cm w stosunku do rzędnych określonych w Dokumentacji Projektowej.</w:t>
      </w:r>
    </w:p>
    <w:p w14:paraId="1E638E98" w14:textId="77777777" w:rsidR="009B61E9" w:rsidRPr="00A03FFD" w:rsidRDefault="009B61E9" w:rsidP="00001E48">
      <w:pPr>
        <w:pStyle w:val="Nagwek3"/>
        <w:spacing w:before="60"/>
        <w:rPr>
          <w:color w:val="000000" w:themeColor="text1"/>
          <w:sz w:val="22"/>
        </w:rPr>
      </w:pPr>
      <w:r w:rsidRPr="00A03FFD">
        <w:rPr>
          <w:color w:val="000000" w:themeColor="text1"/>
          <w:sz w:val="22"/>
        </w:rPr>
        <w:t>5.3</w:t>
      </w:r>
      <w:r w:rsidR="00BE1892" w:rsidRPr="00A03FFD">
        <w:rPr>
          <w:color w:val="000000" w:themeColor="text1"/>
          <w:sz w:val="22"/>
        </w:rPr>
        <w:t>.</w:t>
      </w:r>
      <w:r w:rsidRPr="00A03FFD">
        <w:rPr>
          <w:color w:val="000000" w:themeColor="text1"/>
          <w:sz w:val="22"/>
        </w:rPr>
        <w:t xml:space="preserve"> Wyznaczenie roboczych punktów wysokościowych </w:t>
      </w:r>
    </w:p>
    <w:p w14:paraId="6C621C62"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Punkty wysokościowe należy wyznaczać w punktach charakterystycznych określonych w dokumentacji projektowej, a także obok każdego projektowanego obiektu (np. przepustu).</w:t>
      </w:r>
    </w:p>
    <w:p w14:paraId="0AE7BA2A" w14:textId="77777777" w:rsidR="009B61E9" w:rsidRPr="00A03FFD" w:rsidRDefault="009B61E9" w:rsidP="009B61E9">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Punkty wysokościowe należy umieszczać poza granicami projektowanej budowli, a rzędne ich określać z dokładnością do 0,5cm.</w:t>
      </w:r>
    </w:p>
    <w:p w14:paraId="76DD99B9" w14:textId="77777777" w:rsidR="009B61E9" w:rsidRPr="00A03FFD" w:rsidRDefault="009B61E9" w:rsidP="00001E48">
      <w:pPr>
        <w:pStyle w:val="Nagwek3"/>
        <w:spacing w:before="60"/>
        <w:rPr>
          <w:color w:val="000000" w:themeColor="text1"/>
          <w:sz w:val="22"/>
        </w:rPr>
      </w:pPr>
      <w:r w:rsidRPr="00A03FFD">
        <w:rPr>
          <w:color w:val="000000" w:themeColor="text1"/>
          <w:sz w:val="22"/>
        </w:rPr>
        <w:t>5.4</w:t>
      </w:r>
      <w:r w:rsidR="00BE1892" w:rsidRPr="00A03FFD">
        <w:rPr>
          <w:color w:val="000000" w:themeColor="text1"/>
          <w:sz w:val="22"/>
        </w:rPr>
        <w:t>.</w:t>
      </w:r>
      <w:r w:rsidRPr="00A03FFD">
        <w:rPr>
          <w:color w:val="000000" w:themeColor="text1"/>
          <w:sz w:val="22"/>
        </w:rPr>
        <w:t xml:space="preserve"> Wyznaczenie przekrojów poprzecznych</w:t>
      </w:r>
    </w:p>
    <w:p w14:paraId="2E5F3E73" w14:textId="77777777" w:rsidR="009B61E9" w:rsidRPr="00A03FFD" w:rsidRDefault="009B61E9" w:rsidP="009B61E9">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Wyznaczenie przekrojów poprzecznych obejmuje:</w:t>
      </w:r>
    </w:p>
    <w:p w14:paraId="16EB9F84" w14:textId="77777777" w:rsidR="009B61E9" w:rsidRPr="00A03FFD"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wyznaczenie krawędzi wykopów,</w:t>
      </w:r>
    </w:p>
    <w:p w14:paraId="68534758" w14:textId="77777777" w:rsidR="009B61E9" w:rsidRPr="00A03FFD"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wyznaczenie rzędnych rurociągów,</w:t>
      </w:r>
    </w:p>
    <w:p w14:paraId="5DE4E43E" w14:textId="77777777" w:rsidR="009B61E9" w:rsidRPr="00A03FFD" w:rsidRDefault="009B61E9" w:rsidP="009B61E9">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wyznaczenie w czasie trwania robót ziemnych wykopów w przekrojach poprzecznych.</w:t>
      </w:r>
    </w:p>
    <w:p w14:paraId="3115003B" w14:textId="77777777" w:rsidR="009B61E9" w:rsidRPr="00A03FFD" w:rsidRDefault="009B61E9" w:rsidP="009B61E9">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Powyższe roboty powinny być wykonane zgodnie z Dokumentacją Projektową oraz w miejscach wymagających uzupełnienia dla poprawnego wykonania robót.</w:t>
      </w:r>
    </w:p>
    <w:p w14:paraId="0DB6ABE2" w14:textId="77777777" w:rsidR="009B61E9" w:rsidRPr="00A03FFD" w:rsidRDefault="009B61E9" w:rsidP="00001E48">
      <w:pPr>
        <w:pStyle w:val="Nagwek2"/>
        <w:rPr>
          <w:i w:val="0"/>
          <w:color w:val="000000" w:themeColor="text1"/>
        </w:rPr>
      </w:pPr>
      <w:r w:rsidRPr="00A03FFD">
        <w:rPr>
          <w:i w:val="0"/>
          <w:color w:val="000000" w:themeColor="text1"/>
        </w:rPr>
        <w:t>6. KONTROLA JAKOŚCI ROBÓT</w:t>
      </w:r>
    </w:p>
    <w:p w14:paraId="33ECA56A" w14:textId="77777777" w:rsidR="009B61E9" w:rsidRPr="00A03FFD" w:rsidRDefault="009B61E9" w:rsidP="00B95250">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Ogólne zasady kontroli jakości podano w Specyfikacji Technicznej ST-00.00. “Wymagania Ogólne”.</w:t>
      </w:r>
    </w:p>
    <w:p w14:paraId="1892A2B6" w14:textId="77777777" w:rsidR="009B61E9" w:rsidRPr="00A03FFD" w:rsidRDefault="009B61E9" w:rsidP="00B95250">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Kontrole jakości prac pomiarowych związanych z odtwarzaniem trasy i punktów wysokościowych należy prowadzić wg ogólnych zasad określonych w instrukcjach i wytycznych </w:t>
      </w:r>
      <w:proofErr w:type="spellStart"/>
      <w:r w:rsidRPr="00A03FFD">
        <w:rPr>
          <w:rFonts w:ascii="Arial" w:hAnsi="Arial" w:cs="Arial"/>
          <w:color w:val="000000" w:themeColor="text1"/>
          <w:sz w:val="18"/>
        </w:rPr>
        <w:t>GUGiK</w:t>
      </w:r>
      <w:proofErr w:type="spellEnd"/>
      <w:r w:rsidRPr="00A03FFD">
        <w:rPr>
          <w:rFonts w:ascii="Arial" w:hAnsi="Arial" w:cs="Arial"/>
          <w:color w:val="000000" w:themeColor="text1"/>
          <w:sz w:val="18"/>
        </w:rPr>
        <w:t>.</w:t>
      </w:r>
    </w:p>
    <w:p w14:paraId="4C78D35E" w14:textId="77777777" w:rsidR="009B61E9" w:rsidRPr="00A03FFD" w:rsidRDefault="009B61E9" w:rsidP="00B95250">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Sprawdzenie robót pomiarowych należy przeprowadzić wg następujących zasad:</w:t>
      </w:r>
    </w:p>
    <w:p w14:paraId="5251A047" w14:textId="77777777" w:rsidR="009B61E9" w:rsidRPr="00A03FFD" w:rsidRDefault="009B61E9" w:rsidP="00B95250">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oś rurociągu i trasę kabli należy sprawdzić na wszystkich załamaniach pionowych i krzywiznach w poziomie oraz co najmniej co 200m na prostych,</w:t>
      </w:r>
    </w:p>
    <w:p w14:paraId="207EA98C" w14:textId="77777777" w:rsidR="009B61E9" w:rsidRPr="00A03FFD" w:rsidRDefault="009B61E9" w:rsidP="00B95250">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robocze punkty wysokościowe należy sprawdzić niwelatorem na całej długości budowanego odcinka.</w:t>
      </w:r>
    </w:p>
    <w:p w14:paraId="363B2CF6" w14:textId="77777777" w:rsidR="009B61E9" w:rsidRPr="00A03FFD" w:rsidRDefault="009B61E9" w:rsidP="00001E48">
      <w:pPr>
        <w:pStyle w:val="Nagwek2"/>
        <w:rPr>
          <w:i w:val="0"/>
          <w:color w:val="000000" w:themeColor="text1"/>
        </w:rPr>
      </w:pPr>
      <w:r w:rsidRPr="00A03FFD">
        <w:rPr>
          <w:i w:val="0"/>
          <w:color w:val="000000" w:themeColor="text1"/>
        </w:rPr>
        <w:t>7. OBMIAR ROBÓT</w:t>
      </w:r>
    </w:p>
    <w:p w14:paraId="1738AFB0" w14:textId="77777777" w:rsidR="009B61E9" w:rsidRPr="00A03FFD" w:rsidRDefault="009B61E9" w:rsidP="009B61E9">
      <w:pPr>
        <w:tabs>
          <w:tab w:val="left" w:pos="357"/>
        </w:tabs>
        <w:jc w:val="both"/>
        <w:rPr>
          <w:rFonts w:ascii="Arial" w:hAnsi="Arial" w:cs="Arial"/>
          <w:color w:val="000000" w:themeColor="text1"/>
          <w:sz w:val="20"/>
        </w:rPr>
      </w:pPr>
      <w:r w:rsidRPr="00A03FFD">
        <w:rPr>
          <w:rFonts w:ascii="Arial" w:hAnsi="Arial" w:cs="Arial"/>
          <w:color w:val="000000" w:themeColor="text1"/>
          <w:sz w:val="20"/>
        </w:rPr>
        <w:t>Ogólne zasady obmiaru robót budowlanych podano w Specyfikacji Technicznej ST-00.00. “Wymagania Ogólne”.</w:t>
      </w:r>
    </w:p>
    <w:p w14:paraId="74B8B000" w14:textId="77777777" w:rsidR="009B61E9" w:rsidRPr="00A03FFD" w:rsidRDefault="009B61E9" w:rsidP="00001E48">
      <w:pPr>
        <w:pStyle w:val="Nagwek2"/>
        <w:rPr>
          <w:i w:val="0"/>
          <w:color w:val="000000" w:themeColor="text1"/>
        </w:rPr>
      </w:pPr>
      <w:r w:rsidRPr="00A03FFD">
        <w:rPr>
          <w:i w:val="0"/>
          <w:color w:val="000000" w:themeColor="text1"/>
        </w:rPr>
        <w:t>8.ODBIÓR ROBÓT</w:t>
      </w:r>
    </w:p>
    <w:p w14:paraId="6C44F1A0" w14:textId="77777777" w:rsidR="009B61E9" w:rsidRPr="00A03FFD" w:rsidRDefault="009B61E9" w:rsidP="009B61E9">
      <w:pPr>
        <w:rPr>
          <w:rFonts w:ascii="Arial" w:hAnsi="Arial" w:cs="Arial"/>
          <w:color w:val="000000" w:themeColor="text1"/>
          <w:sz w:val="20"/>
        </w:rPr>
      </w:pPr>
      <w:r w:rsidRPr="00A03FFD">
        <w:rPr>
          <w:rFonts w:ascii="Arial" w:hAnsi="Arial" w:cs="Arial"/>
          <w:color w:val="000000" w:themeColor="text1"/>
          <w:sz w:val="20"/>
        </w:rPr>
        <w:t>Ogólne zasady odbioru prac podano w Specyfikacji Technicznej ST-00.00. “Wymagania Ogólne”. Odbiór robót związanych z wyznaczeniem trasy w terenie następuje na podstawie szkiców i dzienników pomiarów geodezyjnych lub protokołu kontroli geodezyjnej, które Wykonawca przedkłada Zamawiającemu.</w:t>
      </w:r>
    </w:p>
    <w:p w14:paraId="2BF66A42" w14:textId="77777777" w:rsidR="009B61E9" w:rsidRPr="00A03FFD" w:rsidRDefault="009B61E9" w:rsidP="00001E48">
      <w:pPr>
        <w:pStyle w:val="Nagwek2"/>
        <w:rPr>
          <w:i w:val="0"/>
          <w:color w:val="000000" w:themeColor="text1"/>
        </w:rPr>
      </w:pPr>
      <w:r w:rsidRPr="00A03FFD">
        <w:rPr>
          <w:i w:val="0"/>
          <w:color w:val="000000" w:themeColor="text1"/>
        </w:rPr>
        <w:t>9</w:t>
      </w:r>
      <w:r w:rsidR="00001E48" w:rsidRPr="00A03FFD">
        <w:rPr>
          <w:i w:val="0"/>
          <w:color w:val="000000" w:themeColor="text1"/>
        </w:rPr>
        <w:t>.</w:t>
      </w:r>
      <w:r w:rsidRPr="00A03FFD">
        <w:rPr>
          <w:i w:val="0"/>
          <w:color w:val="000000" w:themeColor="text1"/>
        </w:rPr>
        <w:t xml:space="preserve"> PODSTAWA PŁATNOŚCI</w:t>
      </w:r>
    </w:p>
    <w:p w14:paraId="27572571" w14:textId="77777777" w:rsidR="009B61E9" w:rsidRPr="00A03FFD" w:rsidRDefault="009B61E9" w:rsidP="009B61E9">
      <w:pPr>
        <w:tabs>
          <w:tab w:val="left" w:pos="0"/>
        </w:tabs>
        <w:jc w:val="both"/>
        <w:rPr>
          <w:rFonts w:ascii="Arial" w:hAnsi="Arial" w:cs="Arial"/>
          <w:color w:val="000000" w:themeColor="text1"/>
          <w:sz w:val="20"/>
        </w:rPr>
      </w:pPr>
      <w:r w:rsidRPr="00A03FFD">
        <w:rPr>
          <w:rFonts w:ascii="Arial" w:hAnsi="Arial" w:cs="Arial"/>
          <w:color w:val="000000" w:themeColor="text1"/>
          <w:sz w:val="20"/>
        </w:rPr>
        <w:t>Ogólne ustalenia dotyczące podstawy płatności podano w ST-00.00 „Wymagania ogólne” .</w:t>
      </w:r>
    </w:p>
    <w:p w14:paraId="5544341F" w14:textId="77777777" w:rsidR="009B61E9" w:rsidRPr="00A03FFD" w:rsidRDefault="009B61E9" w:rsidP="00001E48">
      <w:pPr>
        <w:pStyle w:val="Nagwek2"/>
        <w:rPr>
          <w:i w:val="0"/>
          <w:color w:val="000000" w:themeColor="text1"/>
        </w:rPr>
      </w:pPr>
      <w:r w:rsidRPr="00A03FFD">
        <w:rPr>
          <w:i w:val="0"/>
          <w:color w:val="000000" w:themeColor="text1"/>
        </w:rPr>
        <w:t>10. PRZEPISY ZWIĄZANE</w:t>
      </w:r>
    </w:p>
    <w:p w14:paraId="34905B76" w14:textId="77777777" w:rsidR="009B61E9"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Instrukcja techniczna 0-1.</w:t>
      </w:r>
      <w:r w:rsidRPr="00A03FFD">
        <w:rPr>
          <w:color w:val="000000" w:themeColor="text1"/>
          <w:sz w:val="18"/>
        </w:rPr>
        <w:tab/>
        <w:t>Ogólne zasady wykonywania prac geodezyjnych.</w:t>
      </w:r>
    </w:p>
    <w:p w14:paraId="21117B50" w14:textId="77777777" w:rsidR="009B61E9"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Instrukcja techniczna G-3. </w:t>
      </w:r>
      <w:r w:rsidRPr="00A03FFD">
        <w:rPr>
          <w:color w:val="000000" w:themeColor="text1"/>
          <w:sz w:val="18"/>
        </w:rPr>
        <w:tab/>
        <w:t>Geodezyjna obsługa inwestycji, Główny Urząd Geodezji i Kartografii (</w:t>
      </w:r>
      <w:proofErr w:type="spellStart"/>
      <w:r w:rsidRPr="00A03FFD">
        <w:rPr>
          <w:color w:val="000000" w:themeColor="text1"/>
          <w:sz w:val="18"/>
        </w:rPr>
        <w:t>GUKiK</w:t>
      </w:r>
      <w:proofErr w:type="spellEnd"/>
      <w:r w:rsidRPr="00A03FFD">
        <w:rPr>
          <w:color w:val="000000" w:themeColor="text1"/>
          <w:sz w:val="18"/>
        </w:rPr>
        <w:t>), Warszawa 1979.</w:t>
      </w:r>
    </w:p>
    <w:p w14:paraId="36B45D71" w14:textId="77777777" w:rsidR="009B61E9"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Instrukcja techniczna G-1. </w:t>
      </w:r>
      <w:r w:rsidRPr="00A03FFD">
        <w:rPr>
          <w:color w:val="000000" w:themeColor="text1"/>
          <w:sz w:val="18"/>
        </w:rPr>
        <w:tab/>
        <w:t xml:space="preserve">Geodezyjna osnowa pozioma, </w:t>
      </w:r>
      <w:proofErr w:type="spellStart"/>
      <w:r w:rsidRPr="00A03FFD">
        <w:rPr>
          <w:color w:val="000000" w:themeColor="text1"/>
          <w:sz w:val="18"/>
        </w:rPr>
        <w:t>GUGiK</w:t>
      </w:r>
      <w:proofErr w:type="spellEnd"/>
      <w:r w:rsidRPr="00A03FFD">
        <w:rPr>
          <w:color w:val="000000" w:themeColor="text1"/>
          <w:sz w:val="18"/>
        </w:rPr>
        <w:t xml:space="preserve"> 1978.</w:t>
      </w:r>
    </w:p>
    <w:p w14:paraId="4071866D" w14:textId="77777777" w:rsidR="009B61E9"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Instrukcja techniczna G-2. </w:t>
      </w:r>
      <w:r w:rsidRPr="00A03FFD">
        <w:rPr>
          <w:color w:val="000000" w:themeColor="text1"/>
          <w:sz w:val="18"/>
        </w:rPr>
        <w:tab/>
        <w:t xml:space="preserve">Wysokościowa osnowa geodezyjna, </w:t>
      </w:r>
      <w:proofErr w:type="spellStart"/>
      <w:r w:rsidRPr="00A03FFD">
        <w:rPr>
          <w:color w:val="000000" w:themeColor="text1"/>
          <w:sz w:val="18"/>
        </w:rPr>
        <w:t>GUGiK</w:t>
      </w:r>
      <w:proofErr w:type="spellEnd"/>
      <w:r w:rsidRPr="00A03FFD">
        <w:rPr>
          <w:color w:val="000000" w:themeColor="text1"/>
          <w:sz w:val="18"/>
        </w:rPr>
        <w:t xml:space="preserve"> 1983.</w:t>
      </w:r>
    </w:p>
    <w:p w14:paraId="5E3EDD49" w14:textId="77777777" w:rsidR="009B61E9"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Instrukcja techniczna G-4. </w:t>
      </w:r>
      <w:r w:rsidRPr="00A03FFD">
        <w:rPr>
          <w:color w:val="000000" w:themeColor="text1"/>
          <w:sz w:val="18"/>
        </w:rPr>
        <w:tab/>
        <w:t xml:space="preserve">Pomiary sytuacyjne i wysokościowe, </w:t>
      </w:r>
      <w:proofErr w:type="spellStart"/>
      <w:r w:rsidRPr="00A03FFD">
        <w:rPr>
          <w:color w:val="000000" w:themeColor="text1"/>
          <w:sz w:val="18"/>
        </w:rPr>
        <w:t>GUGiK</w:t>
      </w:r>
      <w:proofErr w:type="spellEnd"/>
      <w:r w:rsidRPr="00A03FFD">
        <w:rPr>
          <w:color w:val="000000" w:themeColor="text1"/>
          <w:sz w:val="18"/>
        </w:rPr>
        <w:t xml:space="preserve"> 1979.</w:t>
      </w:r>
    </w:p>
    <w:p w14:paraId="2CBC239F" w14:textId="77777777" w:rsidR="009B61E9"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Wytyczne techniczne G-3.2. </w:t>
      </w:r>
      <w:r w:rsidRPr="00A03FFD">
        <w:rPr>
          <w:color w:val="000000" w:themeColor="text1"/>
          <w:sz w:val="18"/>
        </w:rPr>
        <w:tab/>
        <w:t xml:space="preserve">Pomiary realizacyjne, </w:t>
      </w:r>
      <w:proofErr w:type="spellStart"/>
      <w:r w:rsidRPr="00A03FFD">
        <w:rPr>
          <w:color w:val="000000" w:themeColor="text1"/>
          <w:sz w:val="18"/>
        </w:rPr>
        <w:t>GUGiK</w:t>
      </w:r>
      <w:proofErr w:type="spellEnd"/>
      <w:r w:rsidRPr="00A03FFD">
        <w:rPr>
          <w:color w:val="000000" w:themeColor="text1"/>
          <w:sz w:val="18"/>
        </w:rPr>
        <w:t xml:space="preserve"> 1983.</w:t>
      </w:r>
    </w:p>
    <w:p w14:paraId="48AF4608" w14:textId="77777777" w:rsidR="00610266" w:rsidRPr="00A03FFD" w:rsidRDefault="009B61E9" w:rsidP="007B43AE">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Wytyczne techniczne G-3.1. </w:t>
      </w:r>
      <w:r w:rsidRPr="00A03FFD">
        <w:rPr>
          <w:color w:val="000000" w:themeColor="text1"/>
          <w:sz w:val="18"/>
        </w:rPr>
        <w:tab/>
        <w:t xml:space="preserve">Osnowy realizacyjne, </w:t>
      </w:r>
      <w:proofErr w:type="spellStart"/>
      <w:r w:rsidRPr="00A03FFD">
        <w:rPr>
          <w:color w:val="000000" w:themeColor="text1"/>
          <w:sz w:val="18"/>
        </w:rPr>
        <w:t>GUGiK</w:t>
      </w:r>
      <w:proofErr w:type="spellEnd"/>
      <w:r w:rsidRPr="00A03FFD">
        <w:rPr>
          <w:color w:val="000000" w:themeColor="text1"/>
          <w:sz w:val="18"/>
        </w:rPr>
        <w:t xml:space="preserve"> 1983.</w:t>
      </w:r>
    </w:p>
    <w:p w14:paraId="071E6E63" w14:textId="77777777" w:rsidR="00E2575C" w:rsidRPr="00A03FFD" w:rsidRDefault="00E2575C" w:rsidP="00E2575C">
      <w:pPr>
        <w:pStyle w:val="00Tekst"/>
        <w:tabs>
          <w:tab w:val="left" w:pos="57"/>
        </w:tabs>
        <w:spacing w:line="240" w:lineRule="auto"/>
        <w:ind w:left="0"/>
        <w:rPr>
          <w:color w:val="000000" w:themeColor="text1"/>
          <w:sz w:val="18"/>
        </w:rPr>
      </w:pPr>
    </w:p>
    <w:p w14:paraId="357D7866" w14:textId="77777777" w:rsidR="00E2575C" w:rsidRPr="00A03FFD" w:rsidRDefault="00E2575C" w:rsidP="00E2575C">
      <w:pPr>
        <w:pStyle w:val="00Tekst"/>
        <w:tabs>
          <w:tab w:val="left" w:pos="57"/>
        </w:tabs>
        <w:spacing w:line="240" w:lineRule="auto"/>
        <w:ind w:left="0"/>
        <w:rPr>
          <w:color w:val="000000" w:themeColor="text1"/>
          <w:sz w:val="18"/>
        </w:rPr>
      </w:pPr>
    </w:p>
    <w:p w14:paraId="2980AFE2" w14:textId="77777777" w:rsidR="00E2575C" w:rsidRPr="00A03FFD" w:rsidRDefault="00E2575C" w:rsidP="00E2575C">
      <w:pPr>
        <w:pStyle w:val="00Tekst"/>
        <w:tabs>
          <w:tab w:val="left" w:pos="57"/>
        </w:tabs>
        <w:spacing w:line="240" w:lineRule="auto"/>
        <w:ind w:left="0"/>
        <w:rPr>
          <w:color w:val="000000" w:themeColor="text1"/>
          <w:sz w:val="18"/>
        </w:rPr>
      </w:pPr>
    </w:p>
    <w:p w14:paraId="48E827E0" w14:textId="77777777" w:rsidR="00E2575C" w:rsidRPr="00A03FFD" w:rsidRDefault="00E2575C" w:rsidP="00E2575C">
      <w:pPr>
        <w:pStyle w:val="00Tekst"/>
        <w:tabs>
          <w:tab w:val="left" w:pos="57"/>
        </w:tabs>
        <w:spacing w:line="240" w:lineRule="auto"/>
        <w:ind w:left="0"/>
        <w:rPr>
          <w:color w:val="000000" w:themeColor="text1"/>
          <w:sz w:val="18"/>
        </w:rPr>
      </w:pPr>
    </w:p>
    <w:p w14:paraId="0D4E8DC0" w14:textId="77777777" w:rsidR="00E2575C" w:rsidRPr="00A03FFD" w:rsidRDefault="00E2575C" w:rsidP="00E2575C">
      <w:pPr>
        <w:pStyle w:val="00Tekst"/>
        <w:tabs>
          <w:tab w:val="left" w:pos="57"/>
        </w:tabs>
        <w:spacing w:line="240" w:lineRule="auto"/>
        <w:ind w:left="0"/>
        <w:rPr>
          <w:color w:val="000000" w:themeColor="text1"/>
          <w:sz w:val="18"/>
        </w:rPr>
      </w:pPr>
    </w:p>
    <w:p w14:paraId="19A0BC45" w14:textId="77777777" w:rsidR="00E2575C" w:rsidRPr="00A03FFD" w:rsidRDefault="00E2575C" w:rsidP="00E2575C">
      <w:pPr>
        <w:pStyle w:val="00Tekst"/>
        <w:tabs>
          <w:tab w:val="left" w:pos="57"/>
        </w:tabs>
        <w:spacing w:line="240" w:lineRule="auto"/>
        <w:ind w:left="0"/>
        <w:rPr>
          <w:color w:val="000000" w:themeColor="text1"/>
          <w:sz w:val="18"/>
        </w:rPr>
      </w:pPr>
    </w:p>
    <w:p w14:paraId="46635B6A" w14:textId="77777777" w:rsidR="00E2575C" w:rsidRPr="00A03FFD" w:rsidRDefault="00E2575C" w:rsidP="00E2575C">
      <w:pPr>
        <w:pStyle w:val="00Tekst"/>
        <w:tabs>
          <w:tab w:val="left" w:pos="57"/>
        </w:tabs>
        <w:spacing w:line="240" w:lineRule="auto"/>
        <w:ind w:left="0"/>
        <w:rPr>
          <w:color w:val="000000" w:themeColor="text1"/>
          <w:sz w:val="18"/>
        </w:rPr>
      </w:pPr>
    </w:p>
    <w:p w14:paraId="6CB6BBC2" w14:textId="77777777" w:rsidR="00E2575C" w:rsidRPr="00A03FFD" w:rsidRDefault="00E2575C" w:rsidP="00E2575C">
      <w:pPr>
        <w:pStyle w:val="Nagwek1"/>
        <w:jc w:val="center"/>
        <w:rPr>
          <w:color w:val="000000" w:themeColor="text1"/>
          <w:sz w:val="40"/>
          <w:szCs w:val="40"/>
        </w:rPr>
      </w:pPr>
      <w:bookmarkStart w:id="111" w:name="_Toc163481038"/>
      <w:r w:rsidRPr="00A03FFD">
        <w:rPr>
          <w:color w:val="000000" w:themeColor="text1"/>
          <w:sz w:val="40"/>
          <w:szCs w:val="40"/>
        </w:rPr>
        <w:lastRenderedPageBreak/>
        <w:t>ST-00.02. ROBOTY ZIEMNE</w:t>
      </w:r>
      <w:bookmarkEnd w:id="111"/>
    </w:p>
    <w:p w14:paraId="394E01E8" w14:textId="77777777" w:rsidR="00E2575C" w:rsidRPr="00A03FFD" w:rsidRDefault="00E2575C" w:rsidP="00310DE4">
      <w:pPr>
        <w:pStyle w:val="Nagwek2"/>
        <w:rPr>
          <w:i w:val="0"/>
          <w:color w:val="000000" w:themeColor="text1"/>
        </w:rPr>
      </w:pPr>
      <w:r w:rsidRPr="00A03FFD">
        <w:rPr>
          <w:i w:val="0"/>
          <w:color w:val="000000" w:themeColor="text1"/>
        </w:rPr>
        <w:t>1. WSTĘP.</w:t>
      </w:r>
    </w:p>
    <w:p w14:paraId="00ABE1A6" w14:textId="77777777" w:rsidR="00E2575C" w:rsidRPr="00A03FFD" w:rsidRDefault="00E2575C" w:rsidP="00310DE4">
      <w:pPr>
        <w:pStyle w:val="Nagwek3"/>
        <w:spacing w:before="60"/>
        <w:rPr>
          <w:color w:val="000000" w:themeColor="text1"/>
          <w:sz w:val="22"/>
        </w:rPr>
      </w:pPr>
      <w:r w:rsidRPr="00A03FFD">
        <w:rPr>
          <w:color w:val="000000" w:themeColor="text1"/>
          <w:sz w:val="22"/>
        </w:rPr>
        <w:t>1.1. Przedmiot ST.</w:t>
      </w:r>
    </w:p>
    <w:p w14:paraId="5CFC51E7" w14:textId="77777777" w:rsidR="00E2575C" w:rsidRPr="00A03FFD" w:rsidRDefault="00E2575C" w:rsidP="00E2575C">
      <w:pPr>
        <w:pStyle w:val="Specyfikacje"/>
        <w:ind w:left="0"/>
        <w:rPr>
          <w:rFonts w:ascii="Arial" w:hAnsi="Arial" w:cs="Arial"/>
          <w:color w:val="000000" w:themeColor="text1"/>
          <w:sz w:val="18"/>
        </w:rPr>
      </w:pPr>
      <w:r w:rsidRPr="00A03FFD">
        <w:rPr>
          <w:rFonts w:ascii="Arial" w:hAnsi="Arial" w:cs="Arial"/>
          <w:color w:val="000000" w:themeColor="text1"/>
          <w:sz w:val="18"/>
        </w:rPr>
        <w:t>Przedmiotem niniejszej Specyfikacji Technicznej są wymagania dotyczące wykonania i odbioru robót związanych z wykonaniem wykopów, ich odwodnieniem i zasypaniem, które zostaną wykonane w związku realizacją przedsięwzięcia pn. „</w:t>
      </w:r>
      <w:r w:rsidR="00A03FFD" w:rsidRPr="00D13ED1">
        <w:rPr>
          <w:rFonts w:ascii="Arial" w:hAnsi="Arial" w:cs="Arial"/>
          <w:b/>
          <w:color w:val="000000" w:themeColor="text1"/>
          <w:sz w:val="18"/>
        </w:rPr>
        <w:t>Przebudowa sieci wodociągowej w ul. Wincentego Kadłubka w</w:t>
      </w:r>
      <w:r w:rsidR="00A03FFD" w:rsidRPr="00D13ED1">
        <w:rPr>
          <w:rFonts w:ascii="Arial" w:hAnsi="Arial" w:cs="Arial"/>
          <w:color w:val="000000" w:themeColor="text1"/>
          <w:sz w:val="18"/>
        </w:rPr>
        <w:t xml:space="preserve"> </w:t>
      </w:r>
      <w:r w:rsidR="00A03FFD" w:rsidRPr="00D13ED1">
        <w:rPr>
          <w:rFonts w:ascii="Arial" w:hAnsi="Arial" w:cs="Arial"/>
          <w:b/>
          <w:color w:val="000000" w:themeColor="text1"/>
          <w:sz w:val="18"/>
        </w:rPr>
        <w:t>Szczecinie</w:t>
      </w:r>
      <w:r w:rsidRPr="00A03FFD">
        <w:rPr>
          <w:rFonts w:ascii="Arial" w:hAnsi="Arial" w:cs="Arial"/>
          <w:color w:val="000000" w:themeColor="text1"/>
          <w:sz w:val="18"/>
        </w:rPr>
        <w:t>”.</w:t>
      </w:r>
    </w:p>
    <w:p w14:paraId="56DEF863" w14:textId="77777777" w:rsidR="00E2575C" w:rsidRPr="00A03FFD" w:rsidRDefault="00E2575C" w:rsidP="00310DE4">
      <w:pPr>
        <w:pStyle w:val="Nagwek3"/>
        <w:spacing w:before="60"/>
        <w:rPr>
          <w:color w:val="000000" w:themeColor="text1"/>
          <w:sz w:val="22"/>
        </w:rPr>
      </w:pPr>
      <w:r w:rsidRPr="00A03FFD">
        <w:rPr>
          <w:color w:val="000000" w:themeColor="text1"/>
          <w:sz w:val="22"/>
        </w:rPr>
        <w:t>1.2. Zakres stosowania ST.</w:t>
      </w:r>
    </w:p>
    <w:p w14:paraId="42EBE1BB" w14:textId="77777777" w:rsidR="00E2575C" w:rsidRPr="00A03FFD" w:rsidRDefault="00E2575C" w:rsidP="00E2575C">
      <w:pPr>
        <w:pStyle w:val="Specyfikacje"/>
        <w:ind w:left="0"/>
        <w:rPr>
          <w:rFonts w:ascii="Arial" w:hAnsi="Arial" w:cs="Arial"/>
          <w:color w:val="000000" w:themeColor="text1"/>
          <w:sz w:val="18"/>
        </w:rPr>
      </w:pPr>
      <w:r w:rsidRPr="00A03FFD">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6E3F8EC2" w14:textId="77777777" w:rsidR="00E2575C" w:rsidRPr="00A03FFD" w:rsidRDefault="00E2575C" w:rsidP="00310DE4">
      <w:pPr>
        <w:pStyle w:val="Nagwek3"/>
        <w:spacing w:before="60"/>
        <w:rPr>
          <w:color w:val="000000" w:themeColor="text1"/>
          <w:sz w:val="22"/>
        </w:rPr>
      </w:pPr>
      <w:r w:rsidRPr="00A03FFD">
        <w:rPr>
          <w:color w:val="000000" w:themeColor="text1"/>
          <w:sz w:val="22"/>
        </w:rPr>
        <w:t>1.3. Zakres robót objętych ST.</w:t>
      </w:r>
    </w:p>
    <w:p w14:paraId="1754A1CA" w14:textId="77777777" w:rsidR="00E2575C" w:rsidRPr="00A03FFD" w:rsidRDefault="00E2575C" w:rsidP="00E2575C">
      <w:pPr>
        <w:pStyle w:val="Specyfikacje"/>
        <w:ind w:left="0"/>
        <w:rPr>
          <w:rFonts w:ascii="Arial" w:hAnsi="Arial" w:cs="Arial"/>
          <w:color w:val="000000" w:themeColor="text1"/>
          <w:sz w:val="20"/>
        </w:rPr>
      </w:pPr>
      <w:r w:rsidRPr="00A03FFD">
        <w:rPr>
          <w:rFonts w:ascii="Arial" w:hAnsi="Arial" w:cs="Arial"/>
          <w:color w:val="000000" w:themeColor="text1"/>
          <w:sz w:val="18"/>
        </w:rPr>
        <w:t>Ustalenia zawarte w niniejszej specyfikacji stanowią wytyczne prowadzenia robót związanych z wykonaniem wykopów ich odwodnieniem i zasypaniem w gruntach kategorii I-IV przy budowie obiektów liniowych i obejmują:</w:t>
      </w:r>
    </w:p>
    <w:p w14:paraId="24CF78DC"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wykonanie wykopów wraz z ich umocnieniem i odwodnieniem,</w:t>
      </w:r>
    </w:p>
    <w:p w14:paraId="465C456C"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zasypanie wykopów wraz zagęszczeniem.</w:t>
      </w:r>
    </w:p>
    <w:p w14:paraId="5CE00E3C" w14:textId="77777777" w:rsidR="00E2575C" w:rsidRPr="00A03FFD" w:rsidRDefault="00E2575C" w:rsidP="00310DE4">
      <w:pPr>
        <w:pStyle w:val="Nagwek3"/>
        <w:spacing w:before="60"/>
        <w:rPr>
          <w:color w:val="000000" w:themeColor="text1"/>
          <w:sz w:val="22"/>
        </w:rPr>
      </w:pPr>
      <w:r w:rsidRPr="00A03FFD">
        <w:rPr>
          <w:color w:val="000000" w:themeColor="text1"/>
          <w:sz w:val="22"/>
        </w:rPr>
        <w:t>1.4. Określenia podstawowe.</w:t>
      </w:r>
    </w:p>
    <w:p w14:paraId="1A8EF103" w14:textId="77777777" w:rsidR="00E2575C" w:rsidRPr="00A03FFD" w:rsidRDefault="00E2575C" w:rsidP="00E2575C">
      <w:pPr>
        <w:pStyle w:val="Specyfikacje"/>
        <w:ind w:left="0"/>
        <w:rPr>
          <w:rFonts w:ascii="Arial" w:hAnsi="Arial" w:cs="Arial"/>
          <w:color w:val="000000" w:themeColor="text1"/>
          <w:spacing w:val="-10"/>
          <w:sz w:val="20"/>
        </w:rPr>
      </w:pPr>
      <w:r w:rsidRPr="00A03FFD">
        <w:rPr>
          <w:rFonts w:ascii="Arial" w:hAnsi="Arial" w:cs="Arial"/>
          <w:color w:val="000000" w:themeColor="text1"/>
          <w:sz w:val="18"/>
        </w:rPr>
        <w:t>Określenia podstawowe są zgodne z obowiązującymi, odpowiednimi polskimi normami i z definicjami podanymi w Specyfikacji Technicznej ST-00.00 “Wymagania ogólne”.</w:t>
      </w:r>
    </w:p>
    <w:p w14:paraId="78C0B210"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głębokość wykopu - odległość między terenem a osią koryta gruntowego w wykopie, mierzona w kierunku pionowym,</w:t>
      </w:r>
    </w:p>
    <w:p w14:paraId="137C15F0"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proofErr w:type="spellStart"/>
      <w:r w:rsidRPr="00A03FFD">
        <w:rPr>
          <w:color w:val="000000" w:themeColor="text1"/>
          <w:sz w:val="18"/>
        </w:rPr>
        <w:t>odkła</w:t>
      </w:r>
      <w:r w:rsidR="00072856" w:rsidRPr="00A03FFD">
        <w:rPr>
          <w:color w:val="000000" w:themeColor="text1"/>
          <w:sz w:val="18"/>
        </w:rPr>
        <w:t>D</w:t>
      </w:r>
      <w:proofErr w:type="spellEnd"/>
      <w:r w:rsidR="00072856" w:rsidRPr="00A03FFD">
        <w:rPr>
          <w:color w:val="000000" w:themeColor="text1"/>
          <w:sz w:val="18"/>
        </w:rPr>
        <w:t>-</w:t>
      </w:r>
      <w:r w:rsidRPr="00A03FFD">
        <w:rPr>
          <w:color w:val="000000" w:themeColor="text1"/>
          <w:sz w:val="18"/>
        </w:rPr>
        <w:t xml:space="preserve">miejsce budowania lub składowania gruntów pozyskanych w czasie wykopów, </w:t>
      </w:r>
    </w:p>
    <w:p w14:paraId="1A625110"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wskaźnik zagęszczenia gruntu - wielkość charakteryzująca stan zagęszczenia gruntu badana zgodnie z normą BN-77/8931-12,</w:t>
      </w:r>
    </w:p>
    <w:p w14:paraId="48CC811E"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strefa </w:t>
      </w:r>
      <w:proofErr w:type="spellStart"/>
      <w:r w:rsidRPr="00A03FFD">
        <w:rPr>
          <w:color w:val="000000" w:themeColor="text1"/>
          <w:sz w:val="18"/>
        </w:rPr>
        <w:t>obsypki</w:t>
      </w:r>
      <w:proofErr w:type="spellEnd"/>
      <w:r w:rsidRPr="00A03FFD">
        <w:rPr>
          <w:color w:val="000000" w:themeColor="text1"/>
          <w:sz w:val="18"/>
        </w:rPr>
        <w:t xml:space="preserve"> rury - obejmuje warstwę wykopu od rzędnej góry podłoża do wysokości określonej w projekcie, ponad lico góry rury,</w:t>
      </w:r>
    </w:p>
    <w:p w14:paraId="68823F7A"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 xml:space="preserve">strefa zasypki - jest to warstwa wykopu od rzędnej góry </w:t>
      </w:r>
      <w:proofErr w:type="spellStart"/>
      <w:r w:rsidRPr="00A03FFD">
        <w:rPr>
          <w:color w:val="000000" w:themeColor="text1"/>
          <w:sz w:val="18"/>
        </w:rPr>
        <w:t>obsypki</w:t>
      </w:r>
      <w:proofErr w:type="spellEnd"/>
      <w:r w:rsidRPr="00A03FFD">
        <w:rPr>
          <w:color w:val="000000" w:themeColor="text1"/>
          <w:sz w:val="18"/>
        </w:rPr>
        <w:t xml:space="preserve"> do rzędnej terenu.</w:t>
      </w:r>
    </w:p>
    <w:p w14:paraId="67CA1484" w14:textId="77777777" w:rsidR="00E2575C" w:rsidRPr="00A03FFD" w:rsidRDefault="00E2575C"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nasyp – budowla ziemna wykonana powyżej powierzchni terenu.</w:t>
      </w:r>
    </w:p>
    <w:p w14:paraId="4E820D0E" w14:textId="77777777" w:rsidR="00E2575C" w:rsidRPr="00A03FFD" w:rsidRDefault="00E2575C" w:rsidP="00310DE4">
      <w:pPr>
        <w:pStyle w:val="Nagwek3"/>
        <w:spacing w:before="60"/>
        <w:rPr>
          <w:color w:val="000000" w:themeColor="text1"/>
          <w:sz w:val="22"/>
        </w:rPr>
      </w:pPr>
      <w:r w:rsidRPr="00A03FFD">
        <w:rPr>
          <w:color w:val="000000" w:themeColor="text1"/>
          <w:sz w:val="22"/>
        </w:rPr>
        <w:t>1.5 Ogólne wymagania dotyczące robót</w:t>
      </w:r>
    </w:p>
    <w:p w14:paraId="6E3BAAA6" w14:textId="77777777" w:rsidR="00E2575C" w:rsidRPr="00A03FFD" w:rsidRDefault="00E2575C" w:rsidP="00E2575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Ogólne wymagania dotyczące robót podano w Specyfikacji Technicznej ST-00.00. “Wymagania Ogólne".</w:t>
      </w:r>
    </w:p>
    <w:p w14:paraId="020E96F9" w14:textId="77777777" w:rsidR="00E2575C" w:rsidRPr="00A03FFD" w:rsidRDefault="00E2575C" w:rsidP="00E2575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Wykonawca robót jest odpowiedzialny za jakość ich wykonania oraz zgodność robót z Dokumentacją Projektową i ST.</w:t>
      </w:r>
    </w:p>
    <w:p w14:paraId="04C27AE5" w14:textId="77777777" w:rsidR="00E2575C" w:rsidRPr="00A03FFD" w:rsidRDefault="00E2575C" w:rsidP="00310DE4">
      <w:pPr>
        <w:pStyle w:val="Nagwek2"/>
        <w:rPr>
          <w:i w:val="0"/>
          <w:color w:val="000000" w:themeColor="text1"/>
        </w:rPr>
      </w:pPr>
      <w:r w:rsidRPr="00A03FFD">
        <w:rPr>
          <w:i w:val="0"/>
          <w:color w:val="000000" w:themeColor="text1"/>
        </w:rPr>
        <w:t>2. MATERIAŁY</w:t>
      </w:r>
    </w:p>
    <w:p w14:paraId="33F14BA8" w14:textId="77777777" w:rsidR="00095545" w:rsidRPr="00A03FFD" w:rsidRDefault="00095545" w:rsidP="00095545">
      <w:pPr>
        <w:pStyle w:val="Specyfikacje"/>
        <w:ind w:left="0"/>
        <w:rPr>
          <w:rFonts w:ascii="Arial" w:hAnsi="Arial" w:cs="Arial"/>
          <w:color w:val="000000" w:themeColor="text1"/>
          <w:sz w:val="18"/>
        </w:rPr>
      </w:pPr>
      <w:r w:rsidRPr="00A03FFD">
        <w:rPr>
          <w:rFonts w:ascii="Arial" w:hAnsi="Arial" w:cs="Arial"/>
          <w:color w:val="000000" w:themeColor="text1"/>
          <w:sz w:val="18"/>
        </w:rPr>
        <w:t>Wykonanie wykopów, ich umocnienie, odwodnienie, zasyp</w:t>
      </w:r>
    </w:p>
    <w:p w14:paraId="4AF039CC" w14:textId="77777777" w:rsidR="00095545" w:rsidRPr="00A03FFD"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03FFD">
        <w:rPr>
          <w:color w:val="000000" w:themeColor="text1"/>
          <w:sz w:val="18"/>
        </w:rPr>
        <w:t>Materiały</w:t>
      </w:r>
      <w:r w:rsidRPr="00A03FFD">
        <w:rPr>
          <w:rFonts w:eastAsia="Times New Roman" w:cs="Arial"/>
          <w:color w:val="000000" w:themeColor="text1"/>
          <w:sz w:val="18"/>
          <w:szCs w:val="20"/>
        </w:rPr>
        <w:t>: piasek średnioziarnisty według PN–86/B-02480</w:t>
      </w:r>
    </w:p>
    <w:p w14:paraId="7CE62687" w14:textId="77777777" w:rsidR="00095545" w:rsidRPr="00A03FFD" w:rsidRDefault="00095545" w:rsidP="00095545">
      <w:pPr>
        <w:pStyle w:val="Specyfikacje"/>
        <w:spacing w:before="120"/>
        <w:ind w:left="0"/>
        <w:rPr>
          <w:rFonts w:ascii="Arial" w:hAnsi="Arial" w:cs="Arial"/>
          <w:color w:val="000000" w:themeColor="text1"/>
          <w:sz w:val="18"/>
        </w:rPr>
      </w:pPr>
      <w:r w:rsidRPr="00A03FFD">
        <w:rPr>
          <w:rFonts w:ascii="Arial" w:hAnsi="Arial" w:cs="Arial"/>
          <w:color w:val="000000" w:themeColor="text1"/>
          <w:sz w:val="18"/>
        </w:rPr>
        <w:t>Obsiew trawą</w:t>
      </w:r>
    </w:p>
    <w:p w14:paraId="24610247" w14:textId="77777777" w:rsidR="00095545" w:rsidRPr="00A03FFD"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03FFD">
        <w:rPr>
          <w:color w:val="000000" w:themeColor="text1"/>
          <w:sz w:val="18"/>
        </w:rPr>
        <w:t>Wybór</w:t>
      </w:r>
      <w:r w:rsidRPr="00A03FFD">
        <w:rPr>
          <w:rFonts w:eastAsia="Times New Roman" w:cs="Arial"/>
          <w:color w:val="000000" w:themeColor="text1"/>
          <w:sz w:val="18"/>
          <w:szCs w:val="20"/>
        </w:rPr>
        <w:t xml:space="preserve"> gatunków traw należy dostosować do rodzaju gleby i stopnia jej zawilgocenia. Zaleca się stosować mieszanki traw o drobnym, gęstym ukorzenieniu, spełniające wymagania normy PN-R-65023:1999 i PN-B-12074:1998</w:t>
      </w:r>
    </w:p>
    <w:p w14:paraId="38A133BD" w14:textId="77777777" w:rsidR="00095545" w:rsidRPr="00A03FFD" w:rsidRDefault="00095545" w:rsidP="00095545">
      <w:pPr>
        <w:pStyle w:val="Specyfikacje"/>
        <w:spacing w:before="120"/>
        <w:ind w:left="0"/>
        <w:rPr>
          <w:rFonts w:ascii="Arial" w:hAnsi="Arial" w:cs="Arial"/>
          <w:color w:val="000000" w:themeColor="text1"/>
          <w:sz w:val="18"/>
        </w:rPr>
      </w:pPr>
      <w:r w:rsidRPr="00A03FFD">
        <w:rPr>
          <w:rFonts w:ascii="Arial" w:hAnsi="Arial" w:cs="Arial"/>
          <w:color w:val="000000" w:themeColor="text1"/>
          <w:sz w:val="18"/>
        </w:rPr>
        <w:t>Humus</w:t>
      </w:r>
    </w:p>
    <w:p w14:paraId="1B4A9A40" w14:textId="77777777" w:rsidR="00095545" w:rsidRPr="00A03FFD" w:rsidRDefault="00095545" w:rsidP="006A5B3E">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A03FFD">
        <w:rPr>
          <w:rFonts w:eastAsia="Times New Roman" w:cs="Arial"/>
          <w:color w:val="000000" w:themeColor="text1"/>
          <w:sz w:val="18"/>
          <w:szCs w:val="20"/>
        </w:rPr>
        <w:t>Ziemia urodzajna powinna zawierać co najmniej 2% części organicznych. Ziemia urodzajna powinna być wilgotna i pozbawiona kamieni większych od 5 cm oraz wolna od zanieczyszczeń obcych</w:t>
      </w:r>
    </w:p>
    <w:p w14:paraId="180C52C2" w14:textId="77777777" w:rsidR="00E2575C" w:rsidRPr="00A03FFD" w:rsidRDefault="00E2575C" w:rsidP="00310DE4">
      <w:pPr>
        <w:pStyle w:val="Nagwek2"/>
        <w:rPr>
          <w:i w:val="0"/>
          <w:color w:val="000000" w:themeColor="text1"/>
        </w:rPr>
      </w:pPr>
      <w:r w:rsidRPr="00A03FFD">
        <w:rPr>
          <w:i w:val="0"/>
          <w:color w:val="000000" w:themeColor="text1"/>
        </w:rPr>
        <w:t>3. SPRZĘT</w:t>
      </w:r>
    </w:p>
    <w:p w14:paraId="2BCF9739" w14:textId="77777777" w:rsidR="00095545" w:rsidRPr="00A03FFD" w:rsidRDefault="00095545" w:rsidP="00095545">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Ogólne wymagania dotyczące sprzętu podano w Specyfikacji Technicznej ST-00.00. “Wymagania Ogólne". </w:t>
      </w:r>
    </w:p>
    <w:p w14:paraId="55E928C4" w14:textId="77777777" w:rsidR="00095545" w:rsidRPr="00A03FFD" w:rsidRDefault="00095545" w:rsidP="00095545">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Sprzęt budowlany powinien odpowiadać pod względem typów i ilości wymaganiom zawartym w projekcie organizacji robót, zaakceptowanym przez Zamawiającego. </w:t>
      </w:r>
    </w:p>
    <w:p w14:paraId="6CCDD6D8" w14:textId="77777777" w:rsidR="00095545" w:rsidRPr="00A03FFD" w:rsidRDefault="00095545" w:rsidP="00095545">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Zgodnie z technologią założoną w Dokumentacji Projektowej do wykonania robót proponuje się użyć następującego sprzętu:</w:t>
      </w:r>
    </w:p>
    <w:p w14:paraId="2FB80F09"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koparko-spycharka na podwoziu ciągnika kołowego o pojemności łyżki 0,4 m3,</w:t>
      </w:r>
    </w:p>
    <w:p w14:paraId="43259BC5"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koparki na podwoziu gąsienicowym o pojemności łyżki 0.6, 1, 1.2 m3,</w:t>
      </w:r>
    </w:p>
    <w:p w14:paraId="14D5A3B2"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spycharki gąsienicowe 74 kW,</w:t>
      </w:r>
    </w:p>
    <w:p w14:paraId="62F58FF2"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żuraw na podwoziu samochodowym o udźwigu do 10,0 ton,</w:t>
      </w:r>
    </w:p>
    <w:p w14:paraId="01A01E2B"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szalunki płytowe rozpierane mechanicznie,</w:t>
      </w:r>
    </w:p>
    <w:p w14:paraId="76B216A2"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wibromłoty,</w:t>
      </w:r>
    </w:p>
    <w:p w14:paraId="291B3BD7"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pompy,</w:t>
      </w:r>
    </w:p>
    <w:p w14:paraId="14D37735"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lastRenderedPageBreak/>
        <w:t>szalunkowe profile stalowe,</w:t>
      </w:r>
    </w:p>
    <w:p w14:paraId="0F90E667" w14:textId="77777777" w:rsidR="00095545" w:rsidRPr="00A03FFD" w:rsidRDefault="00095545" w:rsidP="00095545">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zestawy igłofiltrowe,</w:t>
      </w:r>
    </w:p>
    <w:p w14:paraId="44E3AF18" w14:textId="77777777" w:rsidR="00E2575C" w:rsidRPr="00A03FFD" w:rsidRDefault="00095545" w:rsidP="00E2575C">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zagęszczarki płytowe</w:t>
      </w:r>
    </w:p>
    <w:p w14:paraId="6DC115F7" w14:textId="77777777" w:rsidR="00E2575C" w:rsidRPr="00A03FFD" w:rsidRDefault="00E2575C" w:rsidP="00310DE4">
      <w:pPr>
        <w:pStyle w:val="Nagwek2"/>
        <w:rPr>
          <w:i w:val="0"/>
          <w:color w:val="000000" w:themeColor="text1"/>
        </w:rPr>
      </w:pPr>
      <w:r w:rsidRPr="00A03FFD">
        <w:rPr>
          <w:i w:val="0"/>
          <w:color w:val="000000" w:themeColor="text1"/>
        </w:rPr>
        <w:t>4. TRANSPORT</w:t>
      </w:r>
    </w:p>
    <w:p w14:paraId="2374944D" w14:textId="77777777" w:rsidR="00BE1892" w:rsidRPr="00A03FFD" w:rsidRDefault="00BE1892" w:rsidP="00BE189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Ogólne wymagania dotyczące transportu podano w Specyfikacji Technicznej ST-00.00. “Wymagania Ogólne".</w:t>
      </w:r>
    </w:p>
    <w:p w14:paraId="4A6A1348" w14:textId="77777777" w:rsidR="00BE1892" w:rsidRPr="00A03FFD" w:rsidRDefault="00BE1892" w:rsidP="00BE189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Zgodnie z technologią założoną w Dokumentacji Projektowej do transportu proponuje się użyć takich środków transportu, jak:</w:t>
      </w:r>
    </w:p>
    <w:p w14:paraId="62728BAB" w14:textId="77777777" w:rsidR="00BE1892" w:rsidRPr="00A03FFD"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samochody samowyładowcze 10-20 ton,</w:t>
      </w:r>
    </w:p>
    <w:p w14:paraId="5F650925" w14:textId="77777777" w:rsidR="00BE1892" w:rsidRPr="00A03FFD"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samochód dostawczy do 0,9 tony,</w:t>
      </w:r>
    </w:p>
    <w:p w14:paraId="421CAB1B" w14:textId="77777777" w:rsidR="00E2575C" w:rsidRPr="00A03FFD" w:rsidRDefault="00BE1892" w:rsidP="00BE1892">
      <w:pPr>
        <w:pStyle w:val="00Tekst"/>
        <w:numPr>
          <w:ilvl w:val="0"/>
          <w:numId w:val="6"/>
        </w:numPr>
        <w:tabs>
          <w:tab w:val="clear" w:pos="709"/>
          <w:tab w:val="left" w:pos="57"/>
          <w:tab w:val="num" w:pos="284"/>
        </w:tabs>
        <w:spacing w:line="240" w:lineRule="auto"/>
        <w:rPr>
          <w:color w:val="000000" w:themeColor="text1"/>
          <w:sz w:val="18"/>
        </w:rPr>
      </w:pPr>
      <w:r w:rsidRPr="00A03FFD">
        <w:rPr>
          <w:color w:val="000000" w:themeColor="text1"/>
          <w:sz w:val="18"/>
        </w:rPr>
        <w:t>samochód skrzyniowy do 5 ton.</w:t>
      </w:r>
    </w:p>
    <w:p w14:paraId="60DCFC67" w14:textId="77777777" w:rsidR="00E2575C" w:rsidRPr="00A03FFD" w:rsidRDefault="00E2575C" w:rsidP="00310DE4">
      <w:pPr>
        <w:pStyle w:val="Nagwek2"/>
        <w:rPr>
          <w:i w:val="0"/>
          <w:color w:val="000000" w:themeColor="text1"/>
        </w:rPr>
      </w:pPr>
      <w:r w:rsidRPr="00A03FFD">
        <w:rPr>
          <w:i w:val="0"/>
          <w:color w:val="000000" w:themeColor="text1"/>
        </w:rPr>
        <w:t>5. WYKONANIE ROBÓT</w:t>
      </w:r>
    </w:p>
    <w:p w14:paraId="18CBF435" w14:textId="77777777" w:rsidR="00E2575C" w:rsidRPr="00A03FFD" w:rsidRDefault="00E2575C" w:rsidP="00E2575C">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Ogólne warunki wykonania robót podano w Specyfikacji Technicznej ST-00.00. “Wymagania Ogólne".</w:t>
      </w:r>
    </w:p>
    <w:p w14:paraId="6364413C" w14:textId="77777777" w:rsidR="00E2575C" w:rsidRPr="00A03FFD" w:rsidRDefault="00E2575C" w:rsidP="00310DE4">
      <w:pPr>
        <w:pStyle w:val="Nagwek3"/>
        <w:spacing w:before="60"/>
        <w:rPr>
          <w:bCs w:val="0"/>
          <w:color w:val="000000" w:themeColor="text1"/>
          <w:sz w:val="22"/>
          <w:szCs w:val="24"/>
        </w:rPr>
      </w:pPr>
      <w:r w:rsidRPr="00A03FFD">
        <w:rPr>
          <w:color w:val="000000" w:themeColor="text1"/>
          <w:sz w:val="22"/>
        </w:rPr>
        <w:t>5.</w:t>
      </w:r>
      <w:r w:rsidR="00BE1892" w:rsidRPr="00A03FFD">
        <w:rPr>
          <w:color w:val="000000" w:themeColor="text1"/>
          <w:sz w:val="22"/>
        </w:rPr>
        <w:t>1.</w:t>
      </w:r>
      <w:r w:rsidRPr="00A03FFD">
        <w:rPr>
          <w:color w:val="000000" w:themeColor="text1"/>
          <w:sz w:val="22"/>
        </w:rPr>
        <w:t xml:space="preserve"> </w:t>
      </w:r>
      <w:r w:rsidR="00BE1892" w:rsidRPr="00A03FFD">
        <w:rPr>
          <w:color w:val="000000" w:themeColor="text1"/>
          <w:sz w:val="22"/>
        </w:rPr>
        <w:t>Wykonywanie i umocnienie wykopów</w:t>
      </w:r>
    </w:p>
    <w:p w14:paraId="18278C8A" w14:textId="77777777" w:rsidR="00BE1892" w:rsidRPr="00A03FFD" w:rsidRDefault="00BE1892" w:rsidP="00BE189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Wykonywanie wykopów powinno postępować w kierunku podnoszenia się niwelety, aby umożliwić odpływ wód z wykopu. Wody opadowe należy odprowadzić poza teren robót za pomocą pomp.</w:t>
      </w:r>
    </w:p>
    <w:p w14:paraId="404759A2" w14:textId="77777777" w:rsidR="00BE1892" w:rsidRPr="00A03FFD" w:rsidRDefault="00BE1892" w:rsidP="00BE189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 xml:space="preserve">Wydobyty grunt z wykopu powinien być składowany z jednej strony wykopu, z pozostawieniem pasa szerokości co najmniej 1m dla komunikacji. W przypadku braku możliwości składowania wzdłuż wykopu grunt powinien zostać wywieziony na odkład stały. Wykopy należy wykonać o ścianach pionowych z obudową. Do obudowy wykopów używać szalunków płytowych przestrzennych typu boks rozpieranych hydraulicznie lub mechanicznie lub lekkich stalowych profili pionowych – wyprasek. Przy dużych głębokościach przy pracach </w:t>
      </w:r>
      <w:proofErr w:type="spellStart"/>
      <w:r w:rsidRPr="00A03FFD">
        <w:rPr>
          <w:rFonts w:ascii="Arial" w:hAnsi="Arial" w:cs="Arial"/>
          <w:color w:val="000000" w:themeColor="text1"/>
          <w:sz w:val="18"/>
        </w:rPr>
        <w:t>włączeniowych</w:t>
      </w:r>
      <w:proofErr w:type="spellEnd"/>
      <w:r w:rsidRPr="00A03FFD">
        <w:rPr>
          <w:rFonts w:ascii="Arial" w:hAnsi="Arial" w:cs="Arial"/>
          <w:color w:val="000000" w:themeColor="text1"/>
          <w:sz w:val="18"/>
        </w:rPr>
        <w:t xml:space="preserve"> na istniejących rurociągach stosować ściany szczelne zabijane wykonane z grodzic stalowych. Można nie wykonywać obudowy wykopu tylko w gruntach suchych, gdy nie występują wody gruntowe, gdy teren nie jest obciążony wzdłuż krawędzi wykopu. Dopuszczalne głębokości wykopów nieumocnionych wynoszą odpowiednio: w gruntach skalistych litych – 4,0m, w gruntach bardzo spoistych zwartych – 2,0m, w pozostałych gruntach 1,0m. Pochylenie skarp wykopów nie może się różnić od projektowanych pochyleń więcej niż 10%.</w:t>
      </w:r>
    </w:p>
    <w:p w14:paraId="0C466AFB" w14:textId="77777777" w:rsidR="00E2575C" w:rsidRPr="00A03FFD" w:rsidRDefault="00BE1892" w:rsidP="00BE1892">
      <w:pPr>
        <w:pStyle w:val="Specyfikacje"/>
        <w:spacing w:after="0"/>
        <w:ind w:left="0"/>
        <w:rPr>
          <w:rFonts w:ascii="Arial" w:hAnsi="Arial" w:cs="Arial"/>
          <w:color w:val="000000" w:themeColor="text1"/>
          <w:sz w:val="18"/>
        </w:rPr>
      </w:pPr>
      <w:r w:rsidRPr="00A03FFD">
        <w:rPr>
          <w:rFonts w:ascii="Arial" w:hAnsi="Arial" w:cs="Arial"/>
          <w:color w:val="000000" w:themeColor="text1"/>
          <w:sz w:val="18"/>
        </w:rPr>
        <w:t>Grunt z wykopu po zbadaniu przez Laboratorium i akceptacji Zamawiającego użyty zostanie do zasypania wykopów i wykonania nasypów, a jego nadmiar wywieziony na miejsce składowania wskazane przez Zamawiającego.</w:t>
      </w:r>
    </w:p>
    <w:p w14:paraId="0482CB78" w14:textId="77777777" w:rsidR="00E2575C" w:rsidRPr="00A03FFD" w:rsidRDefault="00E2575C" w:rsidP="00310DE4">
      <w:pPr>
        <w:pStyle w:val="Nagwek3"/>
        <w:spacing w:before="60"/>
        <w:rPr>
          <w:color w:val="000000" w:themeColor="text1"/>
          <w:sz w:val="22"/>
        </w:rPr>
      </w:pPr>
      <w:r w:rsidRPr="00A03FFD">
        <w:rPr>
          <w:color w:val="000000" w:themeColor="text1"/>
          <w:sz w:val="22"/>
        </w:rPr>
        <w:t>5.</w:t>
      </w:r>
      <w:r w:rsidR="00BE1892" w:rsidRPr="00A03FFD">
        <w:rPr>
          <w:color w:val="000000" w:themeColor="text1"/>
          <w:sz w:val="22"/>
        </w:rPr>
        <w:t xml:space="preserve">2. Wykonywanie zasypki wykopów w strefie </w:t>
      </w:r>
      <w:proofErr w:type="spellStart"/>
      <w:r w:rsidR="00BE1892" w:rsidRPr="00A03FFD">
        <w:rPr>
          <w:color w:val="000000" w:themeColor="text1"/>
          <w:sz w:val="22"/>
        </w:rPr>
        <w:t>obsypki</w:t>
      </w:r>
      <w:proofErr w:type="spellEnd"/>
      <w:r w:rsidR="00BE1892" w:rsidRPr="00A03FFD">
        <w:rPr>
          <w:color w:val="000000" w:themeColor="text1"/>
          <w:sz w:val="22"/>
        </w:rPr>
        <w:t xml:space="preserve"> rury</w:t>
      </w:r>
    </w:p>
    <w:p w14:paraId="28C47B7C" w14:textId="77777777" w:rsidR="006A5B3E" w:rsidRPr="00F637D4" w:rsidRDefault="006A5B3E" w:rsidP="006A5B3E">
      <w:pPr>
        <w:pStyle w:val="Specyfikacje"/>
        <w:spacing w:after="0"/>
        <w:ind w:left="0"/>
        <w:rPr>
          <w:rFonts w:ascii="Arial" w:hAnsi="Arial" w:cs="Arial"/>
          <w:color w:val="000000" w:themeColor="text1"/>
          <w:sz w:val="20"/>
        </w:rPr>
      </w:pPr>
      <w:r w:rsidRPr="00A03FFD">
        <w:rPr>
          <w:rFonts w:ascii="Arial" w:hAnsi="Arial" w:cs="Arial"/>
          <w:color w:val="000000" w:themeColor="text1"/>
          <w:sz w:val="18"/>
        </w:rPr>
        <w:t xml:space="preserve">Zasypanie wykopów należy wykonać warstwami kolejno zagęszczonymi. Materiałem </w:t>
      </w:r>
      <w:proofErr w:type="spellStart"/>
      <w:r w:rsidRPr="00A03FFD">
        <w:rPr>
          <w:rFonts w:ascii="Arial" w:hAnsi="Arial" w:cs="Arial"/>
          <w:color w:val="000000" w:themeColor="text1"/>
          <w:sz w:val="18"/>
        </w:rPr>
        <w:t>obsypki</w:t>
      </w:r>
      <w:proofErr w:type="spellEnd"/>
      <w:r w:rsidRPr="00A03FFD">
        <w:rPr>
          <w:rFonts w:ascii="Arial" w:hAnsi="Arial" w:cs="Arial"/>
          <w:color w:val="000000" w:themeColor="text1"/>
          <w:sz w:val="18"/>
        </w:rPr>
        <w:t xml:space="preserve"> może być wyłącznie grunt mineralny bez grud i kamieni, średnioziarnisty. Należy stosować wyłącznie rodzime grunty o symbolach: Z, Po, Pr, </w:t>
      </w:r>
      <w:proofErr w:type="spellStart"/>
      <w:r w:rsidRPr="00A03FFD">
        <w:rPr>
          <w:rFonts w:ascii="Arial" w:hAnsi="Arial" w:cs="Arial"/>
          <w:color w:val="000000" w:themeColor="text1"/>
          <w:sz w:val="18"/>
        </w:rPr>
        <w:t>Ps</w:t>
      </w:r>
      <w:proofErr w:type="spellEnd"/>
      <w:r w:rsidRPr="00A03FFD">
        <w:rPr>
          <w:rFonts w:ascii="Arial" w:hAnsi="Arial" w:cs="Arial"/>
          <w:color w:val="000000" w:themeColor="text1"/>
          <w:sz w:val="18"/>
        </w:rPr>
        <w:t xml:space="preserve">, Pd oraz ewentualnie </w:t>
      </w:r>
      <w:proofErr w:type="spellStart"/>
      <w:r w:rsidRPr="00A03FFD">
        <w:rPr>
          <w:rFonts w:ascii="Arial" w:hAnsi="Arial" w:cs="Arial"/>
          <w:color w:val="000000" w:themeColor="text1"/>
          <w:sz w:val="18"/>
        </w:rPr>
        <w:t>Zg</w:t>
      </w:r>
      <w:proofErr w:type="spellEnd"/>
      <w:r w:rsidRPr="00A03FFD">
        <w:rPr>
          <w:rFonts w:ascii="Arial" w:hAnsi="Arial" w:cs="Arial"/>
          <w:color w:val="000000" w:themeColor="text1"/>
          <w:sz w:val="18"/>
        </w:rPr>
        <w:t xml:space="preserve">, </w:t>
      </w:r>
      <w:proofErr w:type="spellStart"/>
      <w:r w:rsidRPr="00A03FFD">
        <w:rPr>
          <w:rFonts w:ascii="Arial" w:hAnsi="Arial" w:cs="Arial"/>
          <w:color w:val="000000" w:themeColor="text1"/>
          <w:sz w:val="18"/>
        </w:rPr>
        <w:t>Pog</w:t>
      </w:r>
      <w:proofErr w:type="spellEnd"/>
      <w:r w:rsidRPr="00A03FFD">
        <w:rPr>
          <w:rFonts w:ascii="Arial" w:hAnsi="Arial" w:cs="Arial"/>
          <w:color w:val="000000" w:themeColor="text1"/>
          <w:sz w:val="18"/>
        </w:rPr>
        <w:t xml:space="preserve">, według PN-86/B-02480 (grunty grupy G1 i ewentualnie G2 według ATV-A127). </w:t>
      </w:r>
      <w:r w:rsidRPr="00F637D4">
        <w:rPr>
          <w:rFonts w:ascii="Arial" w:hAnsi="Arial" w:cs="Arial"/>
          <w:color w:val="000000" w:themeColor="text1"/>
          <w:sz w:val="18"/>
        </w:rPr>
        <w:t xml:space="preserve">Zagęszczenie w strefie </w:t>
      </w:r>
      <w:proofErr w:type="spellStart"/>
      <w:r w:rsidRPr="00F637D4">
        <w:rPr>
          <w:rFonts w:ascii="Arial" w:hAnsi="Arial" w:cs="Arial"/>
          <w:color w:val="000000" w:themeColor="text1"/>
          <w:sz w:val="18"/>
        </w:rPr>
        <w:t>obsypki</w:t>
      </w:r>
      <w:proofErr w:type="spellEnd"/>
      <w:r w:rsidRPr="00F637D4">
        <w:rPr>
          <w:rFonts w:ascii="Arial" w:hAnsi="Arial" w:cs="Arial"/>
          <w:color w:val="000000" w:themeColor="text1"/>
          <w:sz w:val="18"/>
        </w:rPr>
        <w:t xml:space="preserve"> należy prowadzić warstwami 15cm za pomocą zagęszczarek typu lekkiego Są to maszyny wibracyjne do wagi 60kg (ubijarki) lub płyty wibracyjne do 100kg. Stopień zagęszczenia w strefie </w:t>
      </w:r>
      <w:proofErr w:type="spellStart"/>
      <w:r w:rsidRPr="00F637D4">
        <w:rPr>
          <w:rFonts w:ascii="Arial" w:hAnsi="Arial" w:cs="Arial"/>
          <w:color w:val="000000" w:themeColor="text1"/>
          <w:sz w:val="18"/>
        </w:rPr>
        <w:t>obsypki</w:t>
      </w:r>
      <w:proofErr w:type="spellEnd"/>
      <w:r w:rsidRPr="00F637D4">
        <w:rPr>
          <w:rFonts w:ascii="Arial" w:hAnsi="Arial" w:cs="Arial"/>
          <w:color w:val="000000" w:themeColor="text1"/>
          <w:sz w:val="18"/>
        </w:rPr>
        <w:t xml:space="preserve"> musi wynosić Is≥0.95. </w:t>
      </w:r>
      <w:proofErr w:type="spellStart"/>
      <w:r w:rsidRPr="00F637D4">
        <w:rPr>
          <w:rFonts w:ascii="Arial" w:hAnsi="Arial" w:cs="Arial"/>
          <w:color w:val="000000" w:themeColor="text1"/>
          <w:sz w:val="18"/>
        </w:rPr>
        <w:t>Obsypkę</w:t>
      </w:r>
      <w:proofErr w:type="spellEnd"/>
      <w:r w:rsidRPr="00F637D4">
        <w:rPr>
          <w:rFonts w:ascii="Arial" w:hAnsi="Arial" w:cs="Arial"/>
          <w:color w:val="000000" w:themeColor="text1"/>
          <w:sz w:val="18"/>
        </w:rPr>
        <w:t xml:space="preserve"> należy układać symetrycznie po obu stronach rury zwracając szczególną uwagę na jej staranne zagęszczenie w strefie podparcia rury. W trakcie zagęszczania należy zachowywać należytą staranność aby nie nastąpiło przemieszczenie lub podniesienie rury.</w:t>
      </w:r>
    </w:p>
    <w:p w14:paraId="14C20311" w14:textId="77777777" w:rsidR="006A5B3E" w:rsidRPr="00F637D4" w:rsidRDefault="006A5B3E" w:rsidP="00310DE4">
      <w:pPr>
        <w:pStyle w:val="Nagwek3"/>
        <w:spacing w:before="60"/>
        <w:rPr>
          <w:color w:val="000000" w:themeColor="text1"/>
          <w:sz w:val="22"/>
        </w:rPr>
      </w:pPr>
      <w:r w:rsidRPr="00F637D4">
        <w:rPr>
          <w:color w:val="000000" w:themeColor="text1"/>
          <w:sz w:val="22"/>
        </w:rPr>
        <w:t>5.3 Wykonanie zasypki wykopu</w:t>
      </w:r>
    </w:p>
    <w:p w14:paraId="71FC4D6F" w14:textId="77777777" w:rsidR="006A5B3E" w:rsidRPr="00F637D4" w:rsidRDefault="00F637D4" w:rsidP="00652BAC">
      <w:pPr>
        <w:ind w:right="28"/>
        <w:jc w:val="both"/>
        <w:rPr>
          <w:rFonts w:ascii="Arial" w:hAnsi="Arial" w:cs="Arial"/>
          <w:color w:val="000000" w:themeColor="text1"/>
          <w:kern w:val="1"/>
          <w:sz w:val="18"/>
        </w:rPr>
      </w:pPr>
      <w:r w:rsidRPr="00F637D4">
        <w:rPr>
          <w:rFonts w:ascii="Arial" w:hAnsi="Arial" w:cs="Arial"/>
          <w:color w:val="000000" w:themeColor="text1"/>
          <w:kern w:val="1"/>
          <w:sz w:val="18"/>
        </w:rPr>
        <w:t>Grunty nasypowe piaszczyste nadają się do wykonania zasypki po oddzieleniu frakcji organicznej i gruzu. Założono, że do wykonania zasypki nadawać się będzie 70% gruntu z wykopów. Pozostałą część  wykonać z piasku średniego dobrze uziarnionego dowiezionego spoza placu budowy</w:t>
      </w:r>
      <w:r w:rsidR="00937658" w:rsidRPr="00F637D4">
        <w:rPr>
          <w:rFonts w:ascii="Arial" w:hAnsi="Arial" w:cs="Arial"/>
          <w:color w:val="000000" w:themeColor="text1"/>
          <w:kern w:val="1"/>
          <w:sz w:val="18"/>
        </w:rPr>
        <w:t>.</w:t>
      </w:r>
      <w:r w:rsidR="00652BAC" w:rsidRPr="00F637D4">
        <w:rPr>
          <w:rFonts w:ascii="Arial" w:hAnsi="Arial" w:cs="Arial"/>
          <w:color w:val="000000" w:themeColor="text1"/>
          <w:kern w:val="1"/>
          <w:sz w:val="18"/>
        </w:rPr>
        <w:t xml:space="preserve"> </w:t>
      </w:r>
      <w:r w:rsidR="006A5B3E" w:rsidRPr="00F637D4">
        <w:rPr>
          <w:rFonts w:ascii="Arial" w:hAnsi="Arial" w:cs="Arial"/>
          <w:color w:val="000000" w:themeColor="text1"/>
          <w:kern w:val="1"/>
          <w:sz w:val="18"/>
        </w:rPr>
        <w:t xml:space="preserve">Poza drogami zasypkę wykonać warstwami z jednoczesnym zagęszczeniem każdej warstwy zasypowej do uzyskania wskaźnika zagęszczenia IS ≥0,95  zagęszczając go warstwami 15cm. Pod drogami zasypkę należy zagęścić do głębokości 1,2m do Is≥1,00, a poniżej 1,2m do  Is≥0,98. Zagęszczarki typu ciężkiego lub walce wibracyjne można używać dopiero od warstwy 1m powyżej lica rury. Obudowę wykopu należy usuwać wyłącznie w trakcie jego zasypywania i zagęszczania zwracając szczególną uwagę na nienaruszenie stopnia zagęszczenia w strefie podłoża i </w:t>
      </w:r>
      <w:proofErr w:type="spellStart"/>
      <w:r w:rsidR="006A5B3E" w:rsidRPr="00F637D4">
        <w:rPr>
          <w:rFonts w:ascii="Arial" w:hAnsi="Arial" w:cs="Arial"/>
          <w:color w:val="000000" w:themeColor="text1"/>
          <w:kern w:val="1"/>
          <w:sz w:val="18"/>
        </w:rPr>
        <w:t>obsypki</w:t>
      </w:r>
      <w:proofErr w:type="spellEnd"/>
      <w:r w:rsidR="006A5B3E" w:rsidRPr="00F637D4">
        <w:rPr>
          <w:rFonts w:ascii="Arial" w:hAnsi="Arial" w:cs="Arial"/>
          <w:color w:val="000000" w:themeColor="text1"/>
          <w:kern w:val="1"/>
          <w:sz w:val="18"/>
        </w:rPr>
        <w:t xml:space="preserve"> rury. </w:t>
      </w:r>
    </w:p>
    <w:p w14:paraId="7733863E" w14:textId="77777777" w:rsidR="006A5B3E" w:rsidRPr="00F637D4" w:rsidRDefault="006A5B3E" w:rsidP="00310DE4">
      <w:pPr>
        <w:pStyle w:val="Nagwek3"/>
        <w:spacing w:before="60"/>
        <w:rPr>
          <w:color w:val="000000" w:themeColor="text1"/>
          <w:sz w:val="22"/>
        </w:rPr>
      </w:pPr>
      <w:r w:rsidRPr="00F637D4">
        <w:rPr>
          <w:color w:val="000000" w:themeColor="text1"/>
          <w:sz w:val="22"/>
        </w:rPr>
        <w:t>5.4 Roboty ziemne w obrębie skrzyżowań z istniejącym uzbrojeniem podziemnym</w:t>
      </w:r>
    </w:p>
    <w:p w14:paraId="0EB20086" w14:textId="77777777" w:rsidR="006A5B3E" w:rsidRPr="00F637D4" w:rsidRDefault="006A5B3E" w:rsidP="006A5B3E">
      <w:pPr>
        <w:jc w:val="both"/>
        <w:rPr>
          <w:rFonts w:ascii="Arial" w:hAnsi="Arial" w:cs="Arial"/>
          <w:color w:val="000000" w:themeColor="text1"/>
          <w:sz w:val="20"/>
        </w:rPr>
      </w:pPr>
      <w:r w:rsidRPr="00F637D4">
        <w:rPr>
          <w:rFonts w:ascii="Arial" w:hAnsi="Arial" w:cs="Arial"/>
          <w:color w:val="000000" w:themeColor="text1"/>
          <w:kern w:val="1"/>
          <w:sz w:val="18"/>
        </w:rPr>
        <w:t>Roboty ziemne w obrębie skrzyżowań z istniejącym uzbrojeniem podziemnym prowadzić ręcznie, pod nadzorem ich właściciela.. Istniejące kable energetyczne i telekomunikacyjne należy podwieszać w sposób uniemożliwiający ich uszkodzenie</w:t>
      </w:r>
      <w:r w:rsidRPr="00F637D4">
        <w:rPr>
          <w:rFonts w:ascii="Arial" w:hAnsi="Arial" w:cs="Arial"/>
          <w:color w:val="000000" w:themeColor="text1"/>
          <w:sz w:val="20"/>
        </w:rPr>
        <w:t xml:space="preserve">. </w:t>
      </w:r>
    </w:p>
    <w:p w14:paraId="5DCABBDE" w14:textId="77777777" w:rsidR="006A5B3E" w:rsidRPr="00F637D4" w:rsidRDefault="006A5B3E" w:rsidP="00310DE4">
      <w:pPr>
        <w:pStyle w:val="Nagwek3"/>
        <w:spacing w:before="60"/>
        <w:rPr>
          <w:color w:val="000000" w:themeColor="text1"/>
          <w:sz w:val="22"/>
        </w:rPr>
      </w:pPr>
      <w:r w:rsidRPr="00F637D4">
        <w:rPr>
          <w:color w:val="000000" w:themeColor="text1"/>
          <w:sz w:val="22"/>
        </w:rPr>
        <w:t>5.5 Wilgotność zagęszczanego gruntu</w:t>
      </w:r>
    </w:p>
    <w:p w14:paraId="45960D6A" w14:textId="77777777" w:rsidR="006A5B3E" w:rsidRPr="00F637D4" w:rsidRDefault="006A5B3E" w:rsidP="006A5B3E">
      <w:pPr>
        <w:jc w:val="both"/>
        <w:rPr>
          <w:rFonts w:ascii="Arial" w:hAnsi="Arial" w:cs="Arial"/>
          <w:color w:val="000000" w:themeColor="text1"/>
          <w:sz w:val="20"/>
        </w:rPr>
      </w:pPr>
      <w:r w:rsidRPr="00F637D4">
        <w:rPr>
          <w:rFonts w:ascii="Arial" w:hAnsi="Arial" w:cs="Arial"/>
          <w:color w:val="000000" w:themeColor="text1"/>
          <w:kern w:val="1"/>
          <w:sz w:val="18"/>
        </w:rPr>
        <w:t>Wilgotność gruntu w czasie jego zagęszczania powinna być równa wilgotności optymalnej, oznaczonej na podstawie próby normalnej metodą wg PN-88/B-04481. Odchylenia od wilgotności optymalnej nie powinny przekraczać następujących wartości:</w:t>
      </w:r>
    </w:p>
    <w:p w14:paraId="288D6637" w14:textId="77777777" w:rsidR="006A5B3E" w:rsidRPr="00F637D4"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F637D4">
        <w:rPr>
          <w:color w:val="000000" w:themeColor="text1"/>
          <w:sz w:val="18"/>
        </w:rPr>
        <w:t>w gruntach niespoistych ± 2%,</w:t>
      </w:r>
    </w:p>
    <w:p w14:paraId="53970320" w14:textId="77777777" w:rsidR="006A5B3E" w:rsidRPr="00F637D4"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F637D4">
        <w:rPr>
          <w:color w:val="000000" w:themeColor="text1"/>
          <w:sz w:val="18"/>
        </w:rPr>
        <w:t>w gruntach mało i średnio spoistych - +0% -2%.</w:t>
      </w:r>
    </w:p>
    <w:p w14:paraId="635FD6D6" w14:textId="77777777" w:rsidR="006A5B3E" w:rsidRPr="00F637D4" w:rsidRDefault="006A5B3E" w:rsidP="006A5B3E">
      <w:pPr>
        <w:jc w:val="both"/>
        <w:rPr>
          <w:rFonts w:ascii="Arial" w:hAnsi="Arial" w:cs="Arial"/>
          <w:color w:val="000000" w:themeColor="text1"/>
          <w:kern w:val="1"/>
          <w:sz w:val="18"/>
        </w:rPr>
      </w:pPr>
      <w:r w:rsidRPr="00F637D4">
        <w:rPr>
          <w:rFonts w:ascii="Arial" w:hAnsi="Arial" w:cs="Arial"/>
          <w:color w:val="000000" w:themeColor="text1"/>
          <w:kern w:val="1"/>
          <w:sz w:val="18"/>
        </w:rPr>
        <w:t>Jeżeli wilgotność gruntu przeznaczonego do zagęszczenia jest większa od wilgotności optymalnej o wartość większą od podanych odchyleń, to grunt należy przesuszyć w sposób naturalny lub przez zastosowanie dodatku spoiw. Gdy wilgotność gruntu jest mniejsza, to zaleca się jej zwiększenie przez polewanie wodą. Sprawdzenie wilgotności gruntu należy przeprowadzić laboratoryjnie lub w terenie.</w:t>
      </w:r>
    </w:p>
    <w:p w14:paraId="6EC1C561" w14:textId="77777777" w:rsidR="006A5B3E" w:rsidRPr="00F637D4" w:rsidRDefault="006A5B3E" w:rsidP="00310DE4">
      <w:pPr>
        <w:pStyle w:val="Nagwek3"/>
        <w:spacing w:before="60"/>
        <w:rPr>
          <w:color w:val="000000" w:themeColor="text1"/>
          <w:sz w:val="22"/>
        </w:rPr>
      </w:pPr>
      <w:r w:rsidRPr="00F637D4">
        <w:rPr>
          <w:color w:val="000000" w:themeColor="text1"/>
          <w:sz w:val="22"/>
        </w:rPr>
        <w:t>5.6 Wymagania dotyczące zagęszczania</w:t>
      </w:r>
    </w:p>
    <w:p w14:paraId="1ABDFAD3" w14:textId="77777777" w:rsidR="006A5B3E" w:rsidRPr="00F637D4" w:rsidRDefault="006A5B3E" w:rsidP="006A5B3E">
      <w:pPr>
        <w:jc w:val="both"/>
        <w:rPr>
          <w:rFonts w:ascii="Arial" w:hAnsi="Arial" w:cs="Arial"/>
          <w:color w:val="000000" w:themeColor="text1"/>
          <w:sz w:val="20"/>
        </w:rPr>
      </w:pPr>
      <w:r w:rsidRPr="00F637D4">
        <w:rPr>
          <w:rFonts w:ascii="Arial" w:hAnsi="Arial" w:cs="Arial"/>
          <w:color w:val="000000" w:themeColor="text1"/>
          <w:kern w:val="1"/>
          <w:sz w:val="18"/>
        </w:rPr>
        <w:t xml:space="preserve">W zależności od uziarnienia stosowanych materiałów do zasypywania wykopów zagęszczenie gruntów określane </w:t>
      </w:r>
      <w:r w:rsidRPr="00F637D4">
        <w:rPr>
          <w:rFonts w:ascii="Arial" w:hAnsi="Arial" w:cs="Arial"/>
          <w:color w:val="000000" w:themeColor="text1"/>
          <w:kern w:val="1"/>
          <w:sz w:val="18"/>
        </w:rPr>
        <w:lastRenderedPageBreak/>
        <w:t>jest na podstawie:</w:t>
      </w:r>
    </w:p>
    <w:p w14:paraId="054C2961" w14:textId="77777777" w:rsidR="006A5B3E" w:rsidRPr="00F637D4"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F637D4">
        <w:rPr>
          <w:color w:val="000000" w:themeColor="text1"/>
          <w:sz w:val="18"/>
        </w:rPr>
        <w:t xml:space="preserve">wskaźnika zagęszczenia </w:t>
      </w:r>
      <w:proofErr w:type="spellStart"/>
      <w:r w:rsidRPr="00F637D4">
        <w:rPr>
          <w:color w:val="000000" w:themeColor="text1"/>
          <w:sz w:val="18"/>
        </w:rPr>
        <w:t>Is</w:t>
      </w:r>
      <w:proofErr w:type="spellEnd"/>
      <w:r w:rsidRPr="00F637D4">
        <w:rPr>
          <w:color w:val="000000" w:themeColor="text1"/>
          <w:sz w:val="18"/>
        </w:rPr>
        <w:t>,</w:t>
      </w:r>
    </w:p>
    <w:p w14:paraId="55DC0E9B" w14:textId="77777777" w:rsidR="006A5B3E" w:rsidRPr="00F637D4" w:rsidRDefault="006A5B3E" w:rsidP="006A5B3E">
      <w:pPr>
        <w:pStyle w:val="00Tekst"/>
        <w:numPr>
          <w:ilvl w:val="0"/>
          <w:numId w:val="6"/>
        </w:numPr>
        <w:tabs>
          <w:tab w:val="clear" w:pos="709"/>
          <w:tab w:val="left" w:pos="57"/>
          <w:tab w:val="num" w:pos="284"/>
        </w:tabs>
        <w:spacing w:line="240" w:lineRule="auto"/>
        <w:rPr>
          <w:color w:val="000000" w:themeColor="text1"/>
          <w:sz w:val="18"/>
        </w:rPr>
      </w:pPr>
      <w:r w:rsidRPr="00F637D4">
        <w:rPr>
          <w:color w:val="000000" w:themeColor="text1"/>
          <w:sz w:val="18"/>
        </w:rPr>
        <w:t>modułu odkształcania E2.</w:t>
      </w:r>
    </w:p>
    <w:p w14:paraId="76293C21" w14:textId="77777777" w:rsidR="006A5B3E" w:rsidRPr="00F637D4" w:rsidRDefault="006A5B3E" w:rsidP="006A5B3E">
      <w:pPr>
        <w:jc w:val="both"/>
        <w:rPr>
          <w:rFonts w:ascii="Arial" w:hAnsi="Arial" w:cs="Arial"/>
          <w:color w:val="000000" w:themeColor="text1"/>
          <w:kern w:val="1"/>
          <w:sz w:val="18"/>
        </w:rPr>
      </w:pPr>
      <w:r w:rsidRPr="00F637D4">
        <w:rPr>
          <w:rFonts w:ascii="Arial" w:hAnsi="Arial" w:cs="Arial"/>
          <w:color w:val="000000" w:themeColor="text1"/>
          <w:kern w:val="1"/>
          <w:sz w:val="18"/>
        </w:rPr>
        <w:t xml:space="preserve">Wskaźnik zagęszczenia - </w:t>
      </w:r>
      <w:proofErr w:type="spellStart"/>
      <w:r w:rsidRPr="00F637D4">
        <w:rPr>
          <w:rFonts w:ascii="Arial" w:hAnsi="Arial" w:cs="Arial"/>
          <w:color w:val="000000" w:themeColor="text1"/>
          <w:kern w:val="1"/>
          <w:sz w:val="18"/>
        </w:rPr>
        <w:t>Is</w:t>
      </w:r>
      <w:proofErr w:type="spellEnd"/>
      <w:r w:rsidRPr="00F637D4">
        <w:rPr>
          <w:rFonts w:ascii="Arial" w:hAnsi="Arial" w:cs="Arial"/>
          <w:color w:val="000000" w:themeColor="text1"/>
          <w:kern w:val="1"/>
          <w:sz w:val="18"/>
        </w:rPr>
        <w:t xml:space="preserve">, gruntów w nasypach określony wg normy BN-77/8931-12, powinien na całej szerokości korpusów nasypów spełniać wymagania podane w Tablicy 1. Wymagania odnośnie wartości </w:t>
      </w:r>
      <w:proofErr w:type="spellStart"/>
      <w:r w:rsidRPr="00F637D4">
        <w:rPr>
          <w:rFonts w:ascii="Arial" w:hAnsi="Arial" w:cs="Arial"/>
          <w:color w:val="000000" w:themeColor="text1"/>
          <w:kern w:val="1"/>
          <w:sz w:val="18"/>
        </w:rPr>
        <w:t>Is</w:t>
      </w:r>
      <w:proofErr w:type="spellEnd"/>
      <w:r w:rsidRPr="00F637D4">
        <w:rPr>
          <w:rFonts w:ascii="Arial" w:hAnsi="Arial" w:cs="Arial"/>
          <w:color w:val="000000" w:themeColor="text1"/>
          <w:kern w:val="1"/>
          <w:sz w:val="18"/>
        </w:rPr>
        <w:t xml:space="preserve"> są zgodne z normą „Drogi samochodowe. Roboty ziemne PN-S-02205.1998". </w:t>
      </w:r>
    </w:p>
    <w:p w14:paraId="26F4A671" w14:textId="77777777" w:rsidR="006A5B3E" w:rsidRPr="00DD3E4A" w:rsidRDefault="006A5B3E" w:rsidP="006A5B3E">
      <w:pPr>
        <w:jc w:val="both"/>
        <w:rPr>
          <w:rFonts w:ascii="Arial" w:hAnsi="Arial" w:cs="Arial"/>
          <w:b/>
          <w:bCs/>
          <w:color w:val="000000" w:themeColor="text1"/>
          <w:sz w:val="20"/>
        </w:rPr>
      </w:pPr>
      <w:r w:rsidRPr="00F637D4">
        <w:rPr>
          <w:rFonts w:ascii="Arial" w:hAnsi="Arial" w:cs="Arial"/>
          <w:color w:val="000000" w:themeColor="text1"/>
          <w:kern w:val="1"/>
          <w:sz w:val="18"/>
        </w:rPr>
        <w:t xml:space="preserve">Jeżeli badania </w:t>
      </w:r>
      <w:r w:rsidRPr="00DD3E4A">
        <w:rPr>
          <w:rFonts w:ascii="Arial" w:hAnsi="Arial" w:cs="Arial"/>
          <w:color w:val="000000" w:themeColor="text1"/>
          <w:kern w:val="1"/>
          <w:sz w:val="18"/>
        </w:rPr>
        <w:t xml:space="preserve">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Na skarpach powierzchniowa warstwa gruntu grubości 20cm powinna mieć wskaźnik zagęszczenia </w:t>
      </w:r>
      <w:proofErr w:type="spellStart"/>
      <w:r w:rsidRPr="00DD3E4A">
        <w:rPr>
          <w:rFonts w:ascii="Arial" w:hAnsi="Arial" w:cs="Arial"/>
          <w:color w:val="000000" w:themeColor="text1"/>
          <w:kern w:val="1"/>
          <w:sz w:val="18"/>
        </w:rPr>
        <w:t>Is</w:t>
      </w:r>
      <w:proofErr w:type="spellEnd"/>
      <w:r w:rsidRPr="00DD3E4A">
        <w:rPr>
          <w:rFonts w:ascii="Arial" w:hAnsi="Arial" w:cs="Arial"/>
          <w:color w:val="000000" w:themeColor="text1"/>
          <w:kern w:val="1"/>
          <w:sz w:val="18"/>
        </w:rPr>
        <w:t xml:space="preserve"> &gt;0,95.</w:t>
      </w:r>
    </w:p>
    <w:p w14:paraId="12A1F89F" w14:textId="77777777" w:rsidR="006A5B3E" w:rsidRPr="00DD3E4A" w:rsidRDefault="006A5B3E" w:rsidP="00310DE4">
      <w:pPr>
        <w:pStyle w:val="Nagwek3"/>
        <w:spacing w:before="60"/>
        <w:rPr>
          <w:color w:val="000000" w:themeColor="text1"/>
          <w:sz w:val="22"/>
        </w:rPr>
      </w:pPr>
      <w:r w:rsidRPr="00DD3E4A">
        <w:rPr>
          <w:color w:val="000000" w:themeColor="text1"/>
          <w:sz w:val="22"/>
        </w:rPr>
        <w:t>5.7 Odwodnienie wykopów</w:t>
      </w:r>
    </w:p>
    <w:p w14:paraId="6ACBAEBF" w14:textId="77777777" w:rsidR="0092514F" w:rsidRPr="00DD3E4A" w:rsidRDefault="00DD3E4A" w:rsidP="0092514F">
      <w:pPr>
        <w:jc w:val="both"/>
        <w:rPr>
          <w:rFonts w:ascii="Arial" w:hAnsi="Arial" w:cs="Arial"/>
          <w:color w:val="000000" w:themeColor="text1"/>
          <w:kern w:val="1"/>
          <w:sz w:val="18"/>
        </w:rPr>
      </w:pPr>
      <w:r w:rsidRPr="00DD3E4A">
        <w:rPr>
          <w:rFonts w:ascii="Arial" w:hAnsi="Arial" w:cs="Arial"/>
          <w:color w:val="000000" w:themeColor="text1"/>
          <w:kern w:val="1"/>
          <w:sz w:val="18"/>
        </w:rPr>
        <w:t>Na trasach układanych rurociągów nie stwierdzono występowania wód gruntowych.</w:t>
      </w:r>
    </w:p>
    <w:p w14:paraId="22FBBE10" w14:textId="77777777" w:rsidR="00E2575C" w:rsidRPr="00DD3E4A" w:rsidRDefault="00E2575C" w:rsidP="00310DE4">
      <w:pPr>
        <w:pStyle w:val="Nagwek2"/>
        <w:rPr>
          <w:i w:val="0"/>
          <w:color w:val="000000" w:themeColor="text1"/>
        </w:rPr>
      </w:pPr>
      <w:r w:rsidRPr="00DD3E4A">
        <w:rPr>
          <w:i w:val="0"/>
          <w:color w:val="000000" w:themeColor="text1"/>
        </w:rPr>
        <w:t>6. KONTROLA JAKOŚCI ROBÓT</w:t>
      </w:r>
    </w:p>
    <w:p w14:paraId="2EB73C36" w14:textId="77777777" w:rsidR="006858C4" w:rsidRPr="00DD3E4A" w:rsidRDefault="006858C4" w:rsidP="006858C4">
      <w:pPr>
        <w:jc w:val="both"/>
        <w:rPr>
          <w:rFonts w:ascii="Arial" w:hAnsi="Arial" w:cs="Arial"/>
          <w:color w:val="000000" w:themeColor="text1"/>
          <w:kern w:val="1"/>
          <w:sz w:val="18"/>
        </w:rPr>
      </w:pPr>
      <w:r w:rsidRPr="00DD3E4A">
        <w:rPr>
          <w:rFonts w:ascii="Arial" w:hAnsi="Arial" w:cs="Arial"/>
          <w:color w:val="000000" w:themeColor="text1"/>
          <w:kern w:val="1"/>
          <w:sz w:val="18"/>
        </w:rPr>
        <w:t>Ogólne zasady kontroli jakości podano w Specyfikacji Technicznej ST-00.00. “Wymagania Ogólne”.</w:t>
      </w:r>
    </w:p>
    <w:p w14:paraId="468DB9A3" w14:textId="77777777" w:rsidR="006858C4" w:rsidRPr="00DD3E4A" w:rsidRDefault="006858C4" w:rsidP="006858C4">
      <w:pPr>
        <w:jc w:val="both"/>
        <w:rPr>
          <w:rFonts w:ascii="Arial" w:hAnsi="Arial" w:cs="Arial"/>
          <w:color w:val="000000" w:themeColor="text1"/>
          <w:kern w:val="1"/>
          <w:sz w:val="18"/>
        </w:rPr>
      </w:pPr>
      <w:r w:rsidRPr="00DD3E4A">
        <w:rPr>
          <w:rFonts w:ascii="Arial" w:hAnsi="Arial" w:cs="Arial"/>
          <w:color w:val="000000" w:themeColor="text1"/>
          <w:kern w:val="1"/>
          <w:sz w:val="18"/>
        </w:rPr>
        <w:t>Kontroli podlegają wszystkie operacje związane z wykonaniem wykopów, nasypów.</w:t>
      </w:r>
    </w:p>
    <w:p w14:paraId="461769C5" w14:textId="77777777" w:rsidR="006858C4" w:rsidRPr="00DD3E4A" w:rsidRDefault="006858C4" w:rsidP="00310DE4">
      <w:pPr>
        <w:pStyle w:val="Nagwek3"/>
        <w:spacing w:before="60"/>
        <w:rPr>
          <w:color w:val="000000" w:themeColor="text1"/>
          <w:sz w:val="22"/>
        </w:rPr>
      </w:pPr>
      <w:r w:rsidRPr="00DD3E4A">
        <w:rPr>
          <w:color w:val="000000" w:themeColor="text1"/>
          <w:sz w:val="22"/>
        </w:rPr>
        <w:t>6.1. Kontrola, pomiary i badania.</w:t>
      </w:r>
    </w:p>
    <w:p w14:paraId="0B419651" w14:textId="77777777" w:rsidR="006858C4" w:rsidRPr="00DD3E4A" w:rsidRDefault="006858C4" w:rsidP="00310DE4">
      <w:pPr>
        <w:pStyle w:val="Nagwek4"/>
        <w:spacing w:line="240" w:lineRule="auto"/>
        <w:jc w:val="both"/>
        <w:rPr>
          <w:b/>
          <w:color w:val="000000" w:themeColor="text1"/>
          <w:sz w:val="20"/>
          <w:u w:val="none"/>
        </w:rPr>
      </w:pPr>
      <w:r w:rsidRPr="00DD3E4A">
        <w:rPr>
          <w:b/>
          <w:color w:val="000000" w:themeColor="text1"/>
          <w:sz w:val="20"/>
          <w:u w:val="none"/>
        </w:rPr>
        <w:t>6.2.1 Wykonanie wykopów, ich umocnienie, odwodnienie, zasyp</w:t>
      </w:r>
    </w:p>
    <w:p w14:paraId="6E305C8B" w14:textId="77777777" w:rsidR="006858C4" w:rsidRPr="00DD3E4A" w:rsidRDefault="006858C4" w:rsidP="006858C4">
      <w:pPr>
        <w:jc w:val="both"/>
        <w:rPr>
          <w:rFonts w:ascii="Arial" w:hAnsi="Arial" w:cs="Arial"/>
          <w:color w:val="000000" w:themeColor="text1"/>
          <w:kern w:val="1"/>
          <w:sz w:val="18"/>
        </w:rPr>
      </w:pPr>
      <w:r w:rsidRPr="00DD3E4A">
        <w:rPr>
          <w:rFonts w:ascii="Arial" w:hAnsi="Arial" w:cs="Arial"/>
          <w:color w:val="000000" w:themeColor="text1"/>
          <w:kern w:val="1"/>
          <w:sz w:val="18"/>
        </w:rPr>
        <w:t>Badania w czasie prowadzenia robót polegają na sprawdzeniu przez Zamawiającego na bieżąco, w miarę postępu robót, jakości używanych przez Wykonawcę materiałów i zgodności wykonywanych robót ziemnych z Dokumentacją Projektową i wymaganiami niniejszej specyfikacji. Kontrolę prowadzić według PN-B-10736.</w:t>
      </w:r>
    </w:p>
    <w:p w14:paraId="505B2666" w14:textId="77777777" w:rsidR="006858C4" w:rsidRPr="00DD3E4A" w:rsidRDefault="006858C4" w:rsidP="006858C4">
      <w:pPr>
        <w:jc w:val="both"/>
        <w:rPr>
          <w:rFonts w:ascii="Arial" w:hAnsi="Arial" w:cs="Arial"/>
          <w:color w:val="000000" w:themeColor="text1"/>
          <w:sz w:val="20"/>
        </w:rPr>
      </w:pPr>
      <w:r w:rsidRPr="00DD3E4A">
        <w:rPr>
          <w:rFonts w:ascii="Arial" w:hAnsi="Arial" w:cs="Arial"/>
          <w:color w:val="000000" w:themeColor="text1"/>
          <w:kern w:val="1"/>
          <w:sz w:val="18"/>
        </w:rPr>
        <w:t>Kontrola jakości robót powinna obejmować między innymi:</w:t>
      </w:r>
    </w:p>
    <w:p w14:paraId="53DCF217"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wykonanie wykopów pod względem materiałów i elementów obudowy,</w:t>
      </w:r>
    </w:p>
    <w:p w14:paraId="5E4050CB"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odwodnienia wykopów</w:t>
      </w:r>
    </w:p>
    <w:p w14:paraId="64685FEC"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zabezpieczenie wykopów przed zalaniem wodą z opadów atmosferycznych,</w:t>
      </w:r>
    </w:p>
    <w:p w14:paraId="1334DB52"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zabezpieczenie przewodów i kabli napotkanych w obrębie wykopu,</w:t>
      </w:r>
    </w:p>
    <w:p w14:paraId="6DCE928E"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sprawdzenie metod wykonania wykopów,</w:t>
      </w:r>
    </w:p>
    <w:p w14:paraId="28D95383"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sprawdzenie szerokości wykopów,</w:t>
      </w:r>
    </w:p>
    <w:p w14:paraId="3465A13B"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sprawdzenie nachylenia skarp wykopów otwartych,</w:t>
      </w:r>
    </w:p>
    <w:p w14:paraId="39E729B4"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sprawdzenie spadku dna wykopu,</w:t>
      </w:r>
    </w:p>
    <w:p w14:paraId="7437ACFD"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 xml:space="preserve">sprawdzenie metod i stopnia zagęszczenia </w:t>
      </w:r>
      <w:proofErr w:type="spellStart"/>
      <w:r w:rsidRPr="00DD3E4A">
        <w:rPr>
          <w:rFonts w:ascii="Arial" w:hAnsi="Arial" w:cs="Arial"/>
          <w:color w:val="000000" w:themeColor="text1"/>
          <w:sz w:val="18"/>
        </w:rPr>
        <w:t>obsypki</w:t>
      </w:r>
      <w:proofErr w:type="spellEnd"/>
      <w:r w:rsidRPr="00DD3E4A">
        <w:rPr>
          <w:rFonts w:ascii="Arial" w:hAnsi="Arial" w:cs="Arial"/>
          <w:color w:val="000000" w:themeColor="text1"/>
          <w:sz w:val="18"/>
        </w:rPr>
        <w:t xml:space="preserve"> rury i zasypki wykopu.</w:t>
      </w:r>
    </w:p>
    <w:p w14:paraId="16F45482" w14:textId="77777777" w:rsidR="006858C4" w:rsidRPr="00DD3E4A" w:rsidRDefault="006858C4" w:rsidP="00D574AA">
      <w:pPr>
        <w:jc w:val="both"/>
        <w:rPr>
          <w:rFonts w:ascii="Arial" w:hAnsi="Arial" w:cs="Arial"/>
          <w:color w:val="000000" w:themeColor="text1"/>
          <w:kern w:val="1"/>
          <w:sz w:val="18"/>
        </w:rPr>
      </w:pPr>
      <w:r w:rsidRPr="00DD3E4A">
        <w:rPr>
          <w:rFonts w:ascii="Arial" w:hAnsi="Arial" w:cs="Arial"/>
          <w:color w:val="000000" w:themeColor="text1"/>
          <w:kern w:val="1"/>
          <w:sz w:val="18"/>
        </w:rPr>
        <w:t>Po wykonaniu wykopów należy sprawdzić, czy pod względem kształtu, zagęszczenia i wykończenia odpowiada on wymaganiom przedmiotowej specyfikacji oraz czy dokładność wykonania nie przekracza tolerancji podanych w specyfikacjach Technicznych lub odpowiednich normach.</w:t>
      </w:r>
    </w:p>
    <w:p w14:paraId="365AB699" w14:textId="77777777" w:rsidR="006858C4" w:rsidRPr="00DD3E4A" w:rsidRDefault="006858C4" w:rsidP="006858C4">
      <w:pPr>
        <w:jc w:val="both"/>
        <w:rPr>
          <w:rFonts w:ascii="Arial" w:hAnsi="Arial" w:cs="Arial"/>
          <w:color w:val="000000" w:themeColor="text1"/>
          <w:sz w:val="20"/>
        </w:rPr>
      </w:pPr>
      <w:r w:rsidRPr="00DD3E4A">
        <w:rPr>
          <w:rFonts w:ascii="Arial" w:hAnsi="Arial" w:cs="Arial"/>
          <w:color w:val="000000" w:themeColor="text1"/>
          <w:kern w:val="1"/>
          <w:sz w:val="18"/>
        </w:rPr>
        <w:t>Dopuszczalne tolerancje i wymagania:</w:t>
      </w:r>
      <w:r w:rsidRPr="00DD3E4A">
        <w:rPr>
          <w:rFonts w:ascii="Arial" w:hAnsi="Arial" w:cs="Arial"/>
          <w:color w:val="000000" w:themeColor="text1"/>
          <w:sz w:val="20"/>
        </w:rPr>
        <w:t xml:space="preserve"> </w:t>
      </w:r>
    </w:p>
    <w:p w14:paraId="511BEE56"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 xml:space="preserve">odchylenie szerokości wykopu nie może przekraczać ± 5cm, </w:t>
      </w:r>
    </w:p>
    <w:p w14:paraId="37934284"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odchylenie rzędnych koryta gruntowego nie może być większe niż ± 2cm,</w:t>
      </w:r>
    </w:p>
    <w:p w14:paraId="276BA3A9" w14:textId="77777777" w:rsidR="006858C4"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pochylenie skarp nie może odbiegać od projektowanego więcej niż 10%,</w:t>
      </w:r>
    </w:p>
    <w:p w14:paraId="67725ED6" w14:textId="77777777" w:rsidR="00E2575C" w:rsidRPr="00DD3E4A" w:rsidRDefault="006858C4" w:rsidP="00D574AA">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 xml:space="preserve">odchylenie stopnia zagęszczenia </w:t>
      </w:r>
      <w:proofErr w:type="spellStart"/>
      <w:r w:rsidRPr="00DD3E4A">
        <w:rPr>
          <w:rFonts w:ascii="Arial" w:hAnsi="Arial" w:cs="Arial"/>
          <w:color w:val="000000" w:themeColor="text1"/>
          <w:sz w:val="18"/>
        </w:rPr>
        <w:t>obsypki</w:t>
      </w:r>
      <w:proofErr w:type="spellEnd"/>
      <w:r w:rsidRPr="00DD3E4A">
        <w:rPr>
          <w:rFonts w:ascii="Arial" w:hAnsi="Arial" w:cs="Arial"/>
          <w:color w:val="000000" w:themeColor="text1"/>
          <w:sz w:val="18"/>
        </w:rPr>
        <w:t xml:space="preserve"> i zasypki nie może być większe niż ±2%</w:t>
      </w:r>
    </w:p>
    <w:p w14:paraId="29AD2CC8" w14:textId="77777777" w:rsidR="00E2575C" w:rsidRPr="00DD3E4A" w:rsidRDefault="00E2575C" w:rsidP="00310DE4">
      <w:pPr>
        <w:pStyle w:val="Nagwek2"/>
        <w:rPr>
          <w:i w:val="0"/>
          <w:color w:val="000000" w:themeColor="text1"/>
        </w:rPr>
      </w:pPr>
      <w:r w:rsidRPr="00DD3E4A">
        <w:rPr>
          <w:i w:val="0"/>
          <w:color w:val="000000" w:themeColor="text1"/>
        </w:rPr>
        <w:t>7. OBMIAR ROBÓT</w:t>
      </w:r>
    </w:p>
    <w:p w14:paraId="739BC3DA" w14:textId="77777777" w:rsidR="00B929C6" w:rsidRPr="00DD3E4A" w:rsidRDefault="00B929C6" w:rsidP="00B929C6">
      <w:pPr>
        <w:rPr>
          <w:rFonts w:ascii="Arial" w:hAnsi="Arial" w:cs="Arial"/>
          <w:color w:val="000000" w:themeColor="text1"/>
          <w:sz w:val="20"/>
        </w:rPr>
      </w:pPr>
      <w:r w:rsidRPr="00DD3E4A">
        <w:rPr>
          <w:rFonts w:ascii="Arial" w:hAnsi="Arial" w:cs="Arial"/>
          <w:color w:val="000000" w:themeColor="text1"/>
          <w:sz w:val="20"/>
        </w:rPr>
        <w:t>Ogólne zasady obmiaru robót podano w ST-00.00 "Wymagania ogólne".</w:t>
      </w:r>
    </w:p>
    <w:p w14:paraId="39B5822C" w14:textId="77777777" w:rsidR="00B929C6" w:rsidRPr="00DD3E4A" w:rsidRDefault="00B929C6" w:rsidP="00310DE4">
      <w:pPr>
        <w:pStyle w:val="Nagwek3"/>
        <w:spacing w:before="60"/>
        <w:rPr>
          <w:color w:val="000000" w:themeColor="text1"/>
          <w:sz w:val="22"/>
        </w:rPr>
      </w:pPr>
      <w:r w:rsidRPr="00DD3E4A">
        <w:rPr>
          <w:color w:val="000000" w:themeColor="text1"/>
          <w:sz w:val="22"/>
        </w:rPr>
        <w:t>7.1 Jednostka obmiarowa</w:t>
      </w:r>
    </w:p>
    <w:p w14:paraId="034FB51E" w14:textId="77777777" w:rsidR="00B929C6" w:rsidRPr="00DD3E4A" w:rsidRDefault="00B929C6" w:rsidP="00B929C6">
      <w:pPr>
        <w:jc w:val="both"/>
        <w:rPr>
          <w:rFonts w:ascii="Arial" w:hAnsi="Arial" w:cs="Arial"/>
          <w:color w:val="000000" w:themeColor="text1"/>
          <w:kern w:val="1"/>
          <w:sz w:val="18"/>
        </w:rPr>
      </w:pPr>
      <w:r w:rsidRPr="00DD3E4A">
        <w:rPr>
          <w:rFonts w:ascii="Arial" w:hAnsi="Arial" w:cs="Arial"/>
          <w:color w:val="000000" w:themeColor="text1"/>
          <w:kern w:val="1"/>
          <w:sz w:val="18"/>
        </w:rPr>
        <w:t>Ogólne zasady obmiaru robót budowlanych podano w Specyfikacji Technicznej ST-00.00 „Wymagania Ogólne”</w:t>
      </w:r>
    </w:p>
    <w:p w14:paraId="23E3FF4A" w14:textId="77777777" w:rsidR="00E2575C" w:rsidRPr="00DD3E4A" w:rsidRDefault="00E2575C" w:rsidP="00337E74">
      <w:pPr>
        <w:pStyle w:val="Nagwek2"/>
        <w:rPr>
          <w:i w:val="0"/>
          <w:color w:val="000000" w:themeColor="text1"/>
        </w:rPr>
      </w:pPr>
      <w:r w:rsidRPr="00DD3E4A">
        <w:rPr>
          <w:i w:val="0"/>
          <w:color w:val="000000" w:themeColor="text1"/>
        </w:rPr>
        <w:t>8.ODBIÓR ROBÓT</w:t>
      </w:r>
    </w:p>
    <w:p w14:paraId="7CC586FC" w14:textId="77777777" w:rsidR="00B929C6" w:rsidRPr="00DD3E4A" w:rsidRDefault="00B929C6" w:rsidP="00337E74">
      <w:pPr>
        <w:pStyle w:val="Nagwek3"/>
        <w:spacing w:before="60"/>
        <w:rPr>
          <w:color w:val="000000" w:themeColor="text1"/>
          <w:sz w:val="22"/>
        </w:rPr>
      </w:pPr>
      <w:r w:rsidRPr="00DD3E4A">
        <w:rPr>
          <w:color w:val="000000" w:themeColor="text1"/>
          <w:sz w:val="22"/>
        </w:rPr>
        <w:t>8.1 Ogólne zasady odbioru robót</w:t>
      </w:r>
    </w:p>
    <w:p w14:paraId="40D85EDE" w14:textId="77777777" w:rsidR="00B929C6" w:rsidRPr="00DD3E4A" w:rsidRDefault="00B929C6" w:rsidP="00B929C6">
      <w:pPr>
        <w:jc w:val="both"/>
        <w:rPr>
          <w:rFonts w:ascii="Arial" w:hAnsi="Arial" w:cs="Arial"/>
          <w:color w:val="000000" w:themeColor="text1"/>
          <w:kern w:val="1"/>
          <w:sz w:val="18"/>
        </w:rPr>
      </w:pPr>
      <w:r w:rsidRPr="00DD3E4A">
        <w:rPr>
          <w:rFonts w:ascii="Arial" w:hAnsi="Arial" w:cs="Arial"/>
          <w:color w:val="000000" w:themeColor="text1"/>
          <w:kern w:val="1"/>
          <w:sz w:val="18"/>
        </w:rPr>
        <w:t>Ogólne zasady odbioru prac podano w Specyfikacji Technicznej ST-00.00. “Wymagania Ogólne”.</w:t>
      </w:r>
    </w:p>
    <w:p w14:paraId="47BC4516" w14:textId="77777777" w:rsidR="00B929C6" w:rsidRPr="00DD3E4A" w:rsidRDefault="00B929C6" w:rsidP="00B929C6">
      <w:pPr>
        <w:jc w:val="both"/>
        <w:rPr>
          <w:rFonts w:ascii="Arial" w:hAnsi="Arial" w:cs="Arial"/>
          <w:color w:val="000000" w:themeColor="text1"/>
          <w:kern w:val="1"/>
          <w:sz w:val="18"/>
        </w:rPr>
      </w:pPr>
      <w:r w:rsidRPr="00DD3E4A">
        <w:rPr>
          <w:rFonts w:ascii="Arial" w:hAnsi="Arial" w:cs="Arial"/>
          <w:color w:val="000000" w:themeColor="text1"/>
          <w:kern w:val="1"/>
          <w:sz w:val="18"/>
        </w:rPr>
        <w:t>Odbiorowi robót podlegają wszystkie operacje związane z wykonaniem wykopów i ich zasypaniem wraz z zagęszczeniem. Odbioru robót dokonuje Zamawiający na podstawie zgłoszenia Wykonawcy. Roboty uznaje się za wykonane zgodnie z dokumentacją projektową i Specyfikacją Techniczną, jeżeli wszystkie pomiary i badania z zachowaniem tolerancji wymienionych w punkcie 6 dały wynik pozytywny.</w:t>
      </w:r>
    </w:p>
    <w:p w14:paraId="1CB3400D" w14:textId="77777777" w:rsidR="00B929C6" w:rsidRPr="00DD3E4A" w:rsidRDefault="00B929C6" w:rsidP="00337E74">
      <w:pPr>
        <w:pStyle w:val="Nagwek3"/>
        <w:spacing w:before="60"/>
        <w:rPr>
          <w:color w:val="000000" w:themeColor="text1"/>
          <w:sz w:val="22"/>
        </w:rPr>
      </w:pPr>
      <w:r w:rsidRPr="00DD3E4A">
        <w:rPr>
          <w:color w:val="000000" w:themeColor="text1"/>
          <w:sz w:val="22"/>
        </w:rPr>
        <w:t xml:space="preserve">8.2 Odbiór robót zanikających i ulegających zakryciu </w:t>
      </w:r>
    </w:p>
    <w:p w14:paraId="23ACEB25" w14:textId="77777777" w:rsidR="00B929C6" w:rsidRPr="00DD3E4A" w:rsidRDefault="00B929C6" w:rsidP="00B929C6">
      <w:pPr>
        <w:jc w:val="both"/>
        <w:rPr>
          <w:rFonts w:ascii="Arial" w:hAnsi="Arial" w:cs="Arial"/>
          <w:color w:val="000000" w:themeColor="text1"/>
          <w:kern w:val="1"/>
          <w:sz w:val="18"/>
        </w:rPr>
      </w:pPr>
      <w:r w:rsidRPr="00DD3E4A">
        <w:rPr>
          <w:rFonts w:ascii="Arial" w:hAnsi="Arial" w:cs="Arial"/>
          <w:color w:val="000000" w:themeColor="text1"/>
          <w:kern w:val="1"/>
          <w:sz w:val="18"/>
        </w:rPr>
        <w:t>Odbiorowi robót zanikających i ulegających zakryciu podlegają:</w:t>
      </w:r>
    </w:p>
    <w:p w14:paraId="3BC5BBAA" w14:textId="77777777" w:rsidR="00B929C6" w:rsidRPr="00DD3E4A" w:rsidRDefault="00B929C6" w:rsidP="00B929C6">
      <w:pPr>
        <w:pStyle w:val="Specyfikacje"/>
        <w:numPr>
          <w:ilvl w:val="0"/>
          <w:numId w:val="8"/>
        </w:numPr>
        <w:spacing w:after="0"/>
        <w:ind w:left="142" w:hanging="142"/>
        <w:rPr>
          <w:rFonts w:ascii="Arial" w:hAnsi="Arial" w:cs="Arial"/>
          <w:color w:val="000000" w:themeColor="text1"/>
          <w:sz w:val="18"/>
        </w:rPr>
      </w:pPr>
      <w:r w:rsidRPr="00DD3E4A">
        <w:rPr>
          <w:rFonts w:ascii="Arial" w:hAnsi="Arial" w:cs="Arial"/>
          <w:color w:val="000000" w:themeColor="text1"/>
          <w:sz w:val="18"/>
        </w:rPr>
        <w:t xml:space="preserve">stopień zagęszczenia </w:t>
      </w:r>
      <w:proofErr w:type="spellStart"/>
      <w:r w:rsidRPr="00DD3E4A">
        <w:rPr>
          <w:rFonts w:ascii="Arial" w:hAnsi="Arial" w:cs="Arial"/>
          <w:color w:val="000000" w:themeColor="text1"/>
          <w:sz w:val="18"/>
        </w:rPr>
        <w:t>obsypki</w:t>
      </w:r>
      <w:proofErr w:type="spellEnd"/>
      <w:r w:rsidRPr="00DD3E4A">
        <w:rPr>
          <w:rFonts w:ascii="Arial" w:hAnsi="Arial" w:cs="Arial"/>
          <w:color w:val="000000" w:themeColor="text1"/>
          <w:sz w:val="18"/>
        </w:rPr>
        <w:t xml:space="preserve"> rurociągów,</w:t>
      </w:r>
    </w:p>
    <w:p w14:paraId="2BBD3EB4" w14:textId="77777777" w:rsidR="00B929C6" w:rsidRPr="00DD3E4A" w:rsidRDefault="00B929C6" w:rsidP="00B929C6">
      <w:pPr>
        <w:pStyle w:val="Specyfikacje"/>
        <w:numPr>
          <w:ilvl w:val="0"/>
          <w:numId w:val="8"/>
        </w:numPr>
        <w:spacing w:after="0"/>
        <w:ind w:left="142" w:hanging="142"/>
        <w:rPr>
          <w:rFonts w:cs="Arial"/>
          <w:color w:val="000000" w:themeColor="text1"/>
          <w:sz w:val="20"/>
        </w:rPr>
      </w:pPr>
      <w:r w:rsidRPr="00DD3E4A">
        <w:rPr>
          <w:rFonts w:ascii="Arial" w:hAnsi="Arial" w:cs="Arial"/>
          <w:color w:val="000000" w:themeColor="text1"/>
          <w:sz w:val="18"/>
        </w:rPr>
        <w:t>stopień zagęszczenia zasypki rurociągów.</w:t>
      </w:r>
    </w:p>
    <w:p w14:paraId="161B3FFB" w14:textId="77777777" w:rsidR="00E2575C" w:rsidRPr="00DD3E4A" w:rsidRDefault="00E2575C" w:rsidP="00337E74">
      <w:pPr>
        <w:pStyle w:val="Nagwek2"/>
        <w:rPr>
          <w:i w:val="0"/>
          <w:color w:val="000000" w:themeColor="text1"/>
        </w:rPr>
      </w:pPr>
      <w:r w:rsidRPr="00DD3E4A">
        <w:rPr>
          <w:i w:val="0"/>
          <w:color w:val="000000" w:themeColor="text1"/>
        </w:rPr>
        <w:t>9</w:t>
      </w:r>
      <w:r w:rsidR="00337E74" w:rsidRPr="00DD3E4A">
        <w:rPr>
          <w:i w:val="0"/>
          <w:color w:val="000000" w:themeColor="text1"/>
        </w:rPr>
        <w:t>.</w:t>
      </w:r>
      <w:r w:rsidRPr="00DD3E4A">
        <w:rPr>
          <w:i w:val="0"/>
          <w:color w:val="000000" w:themeColor="text1"/>
        </w:rPr>
        <w:t xml:space="preserve"> PODSTAWA PŁATNOŚCI</w:t>
      </w:r>
    </w:p>
    <w:p w14:paraId="2E7249B1" w14:textId="77777777" w:rsidR="00E2575C" w:rsidRPr="00DD3E4A" w:rsidRDefault="00E2575C" w:rsidP="00E2575C">
      <w:pPr>
        <w:tabs>
          <w:tab w:val="left" w:pos="0"/>
        </w:tabs>
        <w:jc w:val="both"/>
        <w:rPr>
          <w:rFonts w:ascii="Arial" w:hAnsi="Arial" w:cs="Arial"/>
          <w:color w:val="000000" w:themeColor="text1"/>
          <w:sz w:val="20"/>
        </w:rPr>
      </w:pPr>
      <w:r w:rsidRPr="00DD3E4A">
        <w:rPr>
          <w:rFonts w:ascii="Arial" w:hAnsi="Arial" w:cs="Arial"/>
          <w:color w:val="000000" w:themeColor="text1"/>
          <w:sz w:val="20"/>
        </w:rPr>
        <w:t>Ogólne ustalenia dotyczące podstawy płatności podano w ST-00.00 „Wymagania ogólne” .</w:t>
      </w:r>
    </w:p>
    <w:p w14:paraId="7181C60B" w14:textId="77777777" w:rsidR="00E2575C" w:rsidRPr="00DD3E4A" w:rsidRDefault="00E2575C" w:rsidP="00337E74">
      <w:pPr>
        <w:pStyle w:val="Nagwek2"/>
        <w:rPr>
          <w:i w:val="0"/>
          <w:color w:val="000000" w:themeColor="text1"/>
        </w:rPr>
      </w:pPr>
      <w:r w:rsidRPr="00DD3E4A">
        <w:rPr>
          <w:i w:val="0"/>
          <w:color w:val="000000" w:themeColor="text1"/>
        </w:rPr>
        <w:lastRenderedPageBreak/>
        <w:t>10. PRZEPISY ZWIĄZANE</w:t>
      </w:r>
    </w:p>
    <w:p w14:paraId="1A977D6C"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PN-86/B-02480 Grunty budowlane. Określenia. Symbole. Podział i opis gruntów</w:t>
      </w:r>
    </w:p>
    <w:p w14:paraId="40B36197"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PN-99/B-06050 Roboty ziemne budowlane. Wymagania w zakresie wykonania i badania przy odbiorze.</w:t>
      </w:r>
    </w:p>
    <w:p w14:paraId="3CB3B107"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PN-B-02480 Grunty budowlane. Określenia. Symbole. Podział i opis gruntów</w:t>
      </w:r>
    </w:p>
    <w:p w14:paraId="549B24D8"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PN-B-04481 Grunty budowlane. Badania próbek gruntów</w:t>
      </w:r>
    </w:p>
    <w:p w14:paraId="5EE1615C"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PN-B-04493</w:t>
      </w:r>
      <w:r w:rsidRPr="00DD3E4A">
        <w:rPr>
          <w:color w:val="000000" w:themeColor="text1"/>
          <w:sz w:val="18"/>
        </w:rPr>
        <w:tab/>
      </w:r>
      <w:r w:rsidR="00D51CA5" w:rsidRPr="00DD3E4A">
        <w:rPr>
          <w:color w:val="000000" w:themeColor="text1"/>
          <w:sz w:val="18"/>
        </w:rPr>
        <w:t xml:space="preserve"> </w:t>
      </w:r>
      <w:r w:rsidRPr="00DD3E4A">
        <w:rPr>
          <w:color w:val="000000" w:themeColor="text1"/>
          <w:sz w:val="18"/>
        </w:rPr>
        <w:t>Grunty budowlane. Oznaczanie kapilarności biernej</w:t>
      </w:r>
    </w:p>
    <w:p w14:paraId="07610009"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PN-B-10736</w:t>
      </w:r>
      <w:r w:rsidRPr="00DD3E4A">
        <w:rPr>
          <w:color w:val="000000" w:themeColor="text1"/>
          <w:sz w:val="18"/>
        </w:rPr>
        <w:tab/>
      </w:r>
      <w:r w:rsidR="00D51CA5" w:rsidRPr="00DD3E4A">
        <w:rPr>
          <w:color w:val="000000" w:themeColor="text1"/>
          <w:sz w:val="18"/>
        </w:rPr>
        <w:t xml:space="preserve"> </w:t>
      </w:r>
      <w:r w:rsidRPr="00DD3E4A">
        <w:rPr>
          <w:color w:val="000000" w:themeColor="text1"/>
          <w:sz w:val="18"/>
        </w:rPr>
        <w:t>Roboty ziemne. Wykopy otwarte dla przewodów wodociągowych i kanalizacyjnych. Warunki techniczne wykonania</w:t>
      </w:r>
    </w:p>
    <w:p w14:paraId="2F4B052E"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PN-S-02205</w:t>
      </w:r>
      <w:r w:rsidRPr="00DD3E4A">
        <w:rPr>
          <w:color w:val="000000" w:themeColor="text1"/>
          <w:sz w:val="18"/>
        </w:rPr>
        <w:tab/>
      </w:r>
      <w:r w:rsidR="00D51CA5" w:rsidRPr="00DD3E4A">
        <w:rPr>
          <w:color w:val="000000" w:themeColor="text1"/>
          <w:sz w:val="18"/>
        </w:rPr>
        <w:t xml:space="preserve"> </w:t>
      </w:r>
      <w:r w:rsidRPr="00DD3E4A">
        <w:rPr>
          <w:color w:val="000000" w:themeColor="text1"/>
          <w:sz w:val="18"/>
        </w:rPr>
        <w:t>Drogi samochodowe. Roboty ziemne. Wymagania i badania</w:t>
      </w:r>
    </w:p>
    <w:p w14:paraId="6C127A1E"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PN-EN 933-8:2001</w:t>
      </w:r>
      <w:r w:rsidR="00D51CA5" w:rsidRPr="00DD3E4A">
        <w:rPr>
          <w:color w:val="000000" w:themeColor="text1"/>
          <w:sz w:val="18"/>
        </w:rPr>
        <w:t xml:space="preserve"> </w:t>
      </w:r>
      <w:r w:rsidRPr="00DD3E4A">
        <w:rPr>
          <w:color w:val="000000" w:themeColor="text1"/>
          <w:sz w:val="18"/>
        </w:rPr>
        <w:tab/>
        <w:t>Badania geometrycznych właściwości kruszyw. Część 8: Ocena zawartości drobnych cząstek. Badanie wskaźnika piaskowego.</w:t>
      </w:r>
    </w:p>
    <w:p w14:paraId="1BE3CAE2"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PN-S-02205</w:t>
      </w:r>
      <w:r w:rsidR="00D51CA5" w:rsidRPr="00DD3E4A">
        <w:rPr>
          <w:color w:val="000000" w:themeColor="text1"/>
          <w:sz w:val="18"/>
        </w:rPr>
        <w:t xml:space="preserve"> </w:t>
      </w:r>
      <w:r w:rsidRPr="00DD3E4A">
        <w:rPr>
          <w:color w:val="000000" w:themeColor="text1"/>
          <w:sz w:val="18"/>
        </w:rPr>
        <w:tab/>
        <w:t>Drogi samochodowe. Roboty ziemne. Wymagania i badania. Załącznik B.</w:t>
      </w:r>
    </w:p>
    <w:p w14:paraId="0CEB0EDB" w14:textId="77777777" w:rsidR="00B929C6" w:rsidRPr="00DD3E4A" w:rsidRDefault="00B929C6" w:rsidP="00B929C6">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ATV-A127</w:t>
      </w:r>
      <w:r w:rsidR="00D51CA5" w:rsidRPr="00DD3E4A">
        <w:rPr>
          <w:color w:val="000000" w:themeColor="text1"/>
          <w:sz w:val="18"/>
        </w:rPr>
        <w:t xml:space="preserve"> </w:t>
      </w:r>
      <w:r w:rsidRPr="00DD3E4A">
        <w:rPr>
          <w:color w:val="000000" w:themeColor="text1"/>
          <w:sz w:val="18"/>
        </w:rPr>
        <w:tab/>
        <w:t>Obliczenia konstrukcji przewodów kanalizacyjnych</w:t>
      </w:r>
    </w:p>
    <w:p w14:paraId="30A5975D" w14:textId="77777777" w:rsidR="00712CE2" w:rsidRPr="00DD3E4A" w:rsidRDefault="00B929C6" w:rsidP="00712CE2">
      <w:pPr>
        <w:pStyle w:val="00Tekst"/>
        <w:numPr>
          <w:ilvl w:val="0"/>
          <w:numId w:val="6"/>
        </w:numPr>
        <w:tabs>
          <w:tab w:val="clear" w:pos="709"/>
          <w:tab w:val="left" w:pos="57"/>
          <w:tab w:val="num" w:pos="284"/>
        </w:tabs>
        <w:spacing w:line="240" w:lineRule="auto"/>
        <w:rPr>
          <w:color w:val="000000" w:themeColor="text1"/>
          <w:sz w:val="18"/>
        </w:rPr>
      </w:pPr>
      <w:r w:rsidRPr="00DD3E4A">
        <w:rPr>
          <w:color w:val="000000" w:themeColor="text1"/>
          <w:sz w:val="18"/>
        </w:rPr>
        <w:t>BN-77/8931-12</w:t>
      </w:r>
      <w:r w:rsidR="00D51CA5" w:rsidRPr="00DD3E4A">
        <w:rPr>
          <w:color w:val="000000" w:themeColor="text1"/>
          <w:sz w:val="18"/>
        </w:rPr>
        <w:t xml:space="preserve"> </w:t>
      </w:r>
      <w:r w:rsidRPr="00DD3E4A">
        <w:rPr>
          <w:color w:val="000000" w:themeColor="text1"/>
          <w:sz w:val="18"/>
        </w:rPr>
        <w:tab/>
        <w:t>Oznaczenie wskaźnika zagęszczenia gruntu.</w:t>
      </w:r>
    </w:p>
    <w:p w14:paraId="5BACA047" w14:textId="77777777" w:rsidR="00712CE2" w:rsidRPr="00DD3E4A" w:rsidRDefault="00712CE2" w:rsidP="00712CE2">
      <w:pPr>
        <w:tabs>
          <w:tab w:val="left" w:pos="0"/>
        </w:tabs>
        <w:jc w:val="both"/>
        <w:rPr>
          <w:rFonts w:ascii="Arial" w:hAnsi="Arial" w:cs="Arial"/>
          <w:color w:val="000000" w:themeColor="text1"/>
          <w:sz w:val="20"/>
        </w:rPr>
      </w:pPr>
    </w:p>
    <w:p w14:paraId="088DA74D" w14:textId="77777777" w:rsidR="00712CE2" w:rsidRPr="00DD3E4A" w:rsidRDefault="00712CE2" w:rsidP="00712CE2">
      <w:pPr>
        <w:tabs>
          <w:tab w:val="left" w:pos="0"/>
        </w:tabs>
        <w:jc w:val="both"/>
        <w:rPr>
          <w:rFonts w:ascii="Arial" w:hAnsi="Arial" w:cs="Arial"/>
          <w:color w:val="000000" w:themeColor="text1"/>
          <w:sz w:val="20"/>
        </w:rPr>
      </w:pPr>
    </w:p>
    <w:p w14:paraId="3D57F0D7" w14:textId="77777777" w:rsidR="00712CE2" w:rsidRPr="00DD3E4A" w:rsidRDefault="00712CE2" w:rsidP="00712CE2">
      <w:pPr>
        <w:tabs>
          <w:tab w:val="left" w:pos="0"/>
        </w:tabs>
        <w:jc w:val="both"/>
        <w:rPr>
          <w:rFonts w:ascii="Arial" w:hAnsi="Arial" w:cs="Arial"/>
          <w:color w:val="000000" w:themeColor="text1"/>
          <w:sz w:val="20"/>
        </w:rPr>
      </w:pPr>
    </w:p>
    <w:p w14:paraId="71BF46F6" w14:textId="77777777" w:rsidR="00712CE2" w:rsidRPr="00DD3E4A" w:rsidRDefault="00712CE2" w:rsidP="00712CE2">
      <w:pPr>
        <w:tabs>
          <w:tab w:val="left" w:pos="0"/>
        </w:tabs>
        <w:jc w:val="both"/>
        <w:rPr>
          <w:rFonts w:ascii="Arial" w:hAnsi="Arial" w:cs="Arial"/>
          <w:color w:val="000000" w:themeColor="text1"/>
          <w:sz w:val="20"/>
        </w:rPr>
      </w:pPr>
    </w:p>
    <w:p w14:paraId="521249EC" w14:textId="77777777" w:rsidR="00712CE2" w:rsidRPr="00DD3E4A" w:rsidRDefault="00712CE2" w:rsidP="00712CE2">
      <w:pPr>
        <w:tabs>
          <w:tab w:val="left" w:pos="0"/>
        </w:tabs>
        <w:jc w:val="both"/>
        <w:rPr>
          <w:rFonts w:ascii="Arial" w:hAnsi="Arial" w:cs="Arial"/>
          <w:color w:val="000000" w:themeColor="text1"/>
          <w:sz w:val="20"/>
        </w:rPr>
      </w:pPr>
    </w:p>
    <w:p w14:paraId="22AAB4A2" w14:textId="77777777" w:rsidR="00712CE2" w:rsidRPr="00DD3E4A" w:rsidRDefault="00712CE2" w:rsidP="00712CE2">
      <w:pPr>
        <w:tabs>
          <w:tab w:val="left" w:pos="0"/>
        </w:tabs>
        <w:jc w:val="both"/>
        <w:rPr>
          <w:rFonts w:ascii="Arial" w:hAnsi="Arial" w:cs="Arial"/>
          <w:color w:val="000000" w:themeColor="text1"/>
          <w:sz w:val="20"/>
        </w:rPr>
      </w:pPr>
    </w:p>
    <w:p w14:paraId="09E072C9" w14:textId="77777777" w:rsidR="00712CE2" w:rsidRPr="004D7D23" w:rsidRDefault="00712CE2" w:rsidP="00712CE2">
      <w:pPr>
        <w:tabs>
          <w:tab w:val="left" w:pos="0"/>
        </w:tabs>
        <w:jc w:val="both"/>
        <w:rPr>
          <w:rFonts w:ascii="Arial" w:hAnsi="Arial" w:cs="Arial"/>
          <w:color w:val="FF0000"/>
          <w:sz w:val="20"/>
        </w:rPr>
      </w:pPr>
    </w:p>
    <w:p w14:paraId="02A04AE3" w14:textId="77777777" w:rsidR="00712CE2" w:rsidRPr="004D7D23" w:rsidRDefault="00712CE2" w:rsidP="00712CE2">
      <w:pPr>
        <w:tabs>
          <w:tab w:val="left" w:pos="0"/>
        </w:tabs>
        <w:jc w:val="both"/>
        <w:rPr>
          <w:rFonts w:ascii="Arial" w:hAnsi="Arial" w:cs="Arial"/>
          <w:color w:val="FF0000"/>
          <w:sz w:val="20"/>
        </w:rPr>
      </w:pPr>
    </w:p>
    <w:p w14:paraId="5A658CFA" w14:textId="77777777" w:rsidR="00712CE2" w:rsidRPr="004D7D23" w:rsidRDefault="00712CE2" w:rsidP="00712CE2">
      <w:pPr>
        <w:tabs>
          <w:tab w:val="left" w:pos="0"/>
        </w:tabs>
        <w:jc w:val="both"/>
        <w:rPr>
          <w:rFonts w:ascii="Arial" w:hAnsi="Arial" w:cs="Arial"/>
          <w:color w:val="FF0000"/>
          <w:sz w:val="20"/>
        </w:rPr>
      </w:pPr>
    </w:p>
    <w:p w14:paraId="04DE3A9A" w14:textId="77777777" w:rsidR="00712CE2" w:rsidRPr="004D7D23" w:rsidRDefault="00712CE2" w:rsidP="00712CE2">
      <w:pPr>
        <w:tabs>
          <w:tab w:val="left" w:pos="0"/>
        </w:tabs>
        <w:jc w:val="both"/>
        <w:rPr>
          <w:rFonts w:ascii="Arial" w:hAnsi="Arial" w:cs="Arial"/>
          <w:color w:val="FF0000"/>
          <w:sz w:val="20"/>
        </w:rPr>
      </w:pPr>
    </w:p>
    <w:p w14:paraId="5C7AE003" w14:textId="77777777" w:rsidR="00712CE2" w:rsidRPr="004D7D23" w:rsidRDefault="00712CE2" w:rsidP="00712CE2">
      <w:pPr>
        <w:tabs>
          <w:tab w:val="left" w:pos="0"/>
        </w:tabs>
        <w:jc w:val="both"/>
        <w:rPr>
          <w:rFonts w:ascii="Arial" w:hAnsi="Arial" w:cs="Arial"/>
          <w:color w:val="FF0000"/>
          <w:sz w:val="20"/>
        </w:rPr>
      </w:pPr>
    </w:p>
    <w:p w14:paraId="70F0CA86" w14:textId="77777777" w:rsidR="00712CE2" w:rsidRPr="004D7D23" w:rsidRDefault="00712CE2" w:rsidP="00712CE2">
      <w:pPr>
        <w:tabs>
          <w:tab w:val="left" w:pos="0"/>
        </w:tabs>
        <w:jc w:val="both"/>
        <w:rPr>
          <w:rFonts w:ascii="Arial" w:hAnsi="Arial" w:cs="Arial"/>
          <w:color w:val="FF0000"/>
          <w:sz w:val="20"/>
        </w:rPr>
      </w:pPr>
    </w:p>
    <w:p w14:paraId="6096650C" w14:textId="77777777" w:rsidR="00712CE2" w:rsidRPr="004D7D23" w:rsidRDefault="00712CE2" w:rsidP="00712CE2">
      <w:pPr>
        <w:tabs>
          <w:tab w:val="left" w:pos="0"/>
        </w:tabs>
        <w:jc w:val="both"/>
        <w:rPr>
          <w:rFonts w:ascii="Arial" w:hAnsi="Arial" w:cs="Arial"/>
          <w:color w:val="FF0000"/>
          <w:sz w:val="20"/>
        </w:rPr>
      </w:pPr>
    </w:p>
    <w:p w14:paraId="04AF6CA2" w14:textId="77777777" w:rsidR="00712CE2" w:rsidRPr="004D7D23" w:rsidRDefault="00712CE2" w:rsidP="00712CE2">
      <w:pPr>
        <w:tabs>
          <w:tab w:val="left" w:pos="0"/>
        </w:tabs>
        <w:jc w:val="both"/>
        <w:rPr>
          <w:rFonts w:ascii="Arial" w:hAnsi="Arial" w:cs="Arial"/>
          <w:color w:val="FF0000"/>
          <w:sz w:val="20"/>
        </w:rPr>
      </w:pPr>
    </w:p>
    <w:p w14:paraId="58E72C36" w14:textId="77777777" w:rsidR="00712CE2" w:rsidRPr="004D7D23" w:rsidRDefault="00712CE2" w:rsidP="00712CE2">
      <w:pPr>
        <w:tabs>
          <w:tab w:val="left" w:pos="0"/>
        </w:tabs>
        <w:jc w:val="both"/>
        <w:rPr>
          <w:rFonts w:ascii="Arial" w:hAnsi="Arial" w:cs="Arial"/>
          <w:color w:val="FF0000"/>
          <w:sz w:val="20"/>
        </w:rPr>
      </w:pPr>
    </w:p>
    <w:p w14:paraId="3797F7A6" w14:textId="77777777" w:rsidR="00712CE2" w:rsidRPr="004D7D23" w:rsidRDefault="00712CE2" w:rsidP="00712CE2">
      <w:pPr>
        <w:tabs>
          <w:tab w:val="left" w:pos="0"/>
        </w:tabs>
        <w:jc w:val="both"/>
        <w:rPr>
          <w:rFonts w:ascii="Arial" w:hAnsi="Arial" w:cs="Arial"/>
          <w:color w:val="FF0000"/>
          <w:sz w:val="20"/>
        </w:rPr>
      </w:pPr>
    </w:p>
    <w:p w14:paraId="5C046196" w14:textId="77777777" w:rsidR="00712CE2" w:rsidRPr="004D7D23" w:rsidRDefault="00712CE2" w:rsidP="00712CE2">
      <w:pPr>
        <w:tabs>
          <w:tab w:val="left" w:pos="0"/>
        </w:tabs>
        <w:jc w:val="both"/>
        <w:rPr>
          <w:rFonts w:ascii="Arial" w:hAnsi="Arial" w:cs="Arial"/>
          <w:color w:val="FF0000"/>
          <w:sz w:val="20"/>
        </w:rPr>
      </w:pPr>
    </w:p>
    <w:p w14:paraId="2F209FDE" w14:textId="77777777" w:rsidR="00712CE2" w:rsidRPr="004D7D23" w:rsidRDefault="00712CE2" w:rsidP="00712CE2">
      <w:pPr>
        <w:tabs>
          <w:tab w:val="left" w:pos="0"/>
        </w:tabs>
        <w:jc w:val="both"/>
        <w:rPr>
          <w:rFonts w:ascii="Arial" w:hAnsi="Arial" w:cs="Arial"/>
          <w:color w:val="FF0000"/>
          <w:sz w:val="20"/>
        </w:rPr>
      </w:pPr>
    </w:p>
    <w:p w14:paraId="11A1E277" w14:textId="77777777" w:rsidR="00712CE2" w:rsidRPr="004D7D23" w:rsidRDefault="00712CE2" w:rsidP="00712CE2">
      <w:pPr>
        <w:tabs>
          <w:tab w:val="left" w:pos="0"/>
        </w:tabs>
        <w:jc w:val="both"/>
        <w:rPr>
          <w:rFonts w:ascii="Arial" w:hAnsi="Arial" w:cs="Arial"/>
          <w:color w:val="FF0000"/>
          <w:sz w:val="20"/>
        </w:rPr>
      </w:pPr>
    </w:p>
    <w:p w14:paraId="0A79A868" w14:textId="77777777" w:rsidR="00712CE2" w:rsidRPr="004D7D23" w:rsidRDefault="00712CE2" w:rsidP="00712CE2">
      <w:pPr>
        <w:tabs>
          <w:tab w:val="left" w:pos="0"/>
        </w:tabs>
        <w:jc w:val="both"/>
        <w:rPr>
          <w:rFonts w:ascii="Arial" w:hAnsi="Arial" w:cs="Arial"/>
          <w:color w:val="FF0000"/>
          <w:sz w:val="20"/>
        </w:rPr>
      </w:pPr>
    </w:p>
    <w:p w14:paraId="783E4198" w14:textId="77777777" w:rsidR="00712CE2" w:rsidRPr="004D7D23" w:rsidRDefault="00712CE2" w:rsidP="00712CE2">
      <w:pPr>
        <w:tabs>
          <w:tab w:val="left" w:pos="0"/>
        </w:tabs>
        <w:jc w:val="both"/>
        <w:rPr>
          <w:rFonts w:ascii="Arial" w:hAnsi="Arial" w:cs="Arial"/>
          <w:color w:val="FF0000"/>
          <w:sz w:val="20"/>
        </w:rPr>
      </w:pPr>
    </w:p>
    <w:p w14:paraId="07675DAE" w14:textId="77777777" w:rsidR="00712CE2" w:rsidRPr="004D7D23" w:rsidRDefault="00712CE2" w:rsidP="00712CE2">
      <w:pPr>
        <w:tabs>
          <w:tab w:val="left" w:pos="0"/>
        </w:tabs>
        <w:jc w:val="both"/>
        <w:rPr>
          <w:rFonts w:ascii="Arial" w:hAnsi="Arial" w:cs="Arial"/>
          <w:color w:val="FF0000"/>
          <w:sz w:val="20"/>
        </w:rPr>
      </w:pPr>
    </w:p>
    <w:p w14:paraId="2381A09F" w14:textId="77777777" w:rsidR="00712CE2" w:rsidRPr="004D7D23" w:rsidRDefault="00712CE2" w:rsidP="00712CE2">
      <w:pPr>
        <w:tabs>
          <w:tab w:val="left" w:pos="0"/>
        </w:tabs>
        <w:jc w:val="both"/>
        <w:rPr>
          <w:rFonts w:ascii="Arial" w:hAnsi="Arial" w:cs="Arial"/>
          <w:color w:val="FF0000"/>
          <w:sz w:val="20"/>
        </w:rPr>
      </w:pPr>
    </w:p>
    <w:p w14:paraId="3EFBC762" w14:textId="77777777" w:rsidR="00712CE2" w:rsidRPr="004D7D23" w:rsidRDefault="00712CE2" w:rsidP="00712CE2">
      <w:pPr>
        <w:tabs>
          <w:tab w:val="left" w:pos="0"/>
        </w:tabs>
        <w:jc w:val="both"/>
        <w:rPr>
          <w:rFonts w:ascii="Arial" w:hAnsi="Arial" w:cs="Arial"/>
          <w:color w:val="FF0000"/>
          <w:sz w:val="20"/>
        </w:rPr>
      </w:pPr>
    </w:p>
    <w:p w14:paraId="5C1CC95A" w14:textId="77777777" w:rsidR="00712CE2" w:rsidRPr="004D7D23" w:rsidRDefault="00712CE2" w:rsidP="00712CE2">
      <w:pPr>
        <w:tabs>
          <w:tab w:val="left" w:pos="0"/>
        </w:tabs>
        <w:jc w:val="both"/>
        <w:rPr>
          <w:rFonts w:ascii="Arial" w:hAnsi="Arial" w:cs="Arial"/>
          <w:color w:val="FF0000"/>
          <w:sz w:val="20"/>
        </w:rPr>
      </w:pPr>
    </w:p>
    <w:p w14:paraId="576557DD" w14:textId="77777777" w:rsidR="00712CE2" w:rsidRPr="004D7D23" w:rsidRDefault="00712CE2" w:rsidP="00712CE2">
      <w:pPr>
        <w:tabs>
          <w:tab w:val="left" w:pos="0"/>
        </w:tabs>
        <w:jc w:val="both"/>
        <w:rPr>
          <w:rFonts w:ascii="Arial" w:hAnsi="Arial" w:cs="Arial"/>
          <w:color w:val="FF0000"/>
          <w:sz w:val="20"/>
        </w:rPr>
      </w:pPr>
    </w:p>
    <w:p w14:paraId="65E88EC7" w14:textId="77777777" w:rsidR="00712CE2" w:rsidRPr="004D7D23" w:rsidRDefault="00712CE2" w:rsidP="00712CE2">
      <w:pPr>
        <w:tabs>
          <w:tab w:val="left" w:pos="0"/>
        </w:tabs>
        <w:jc w:val="both"/>
        <w:rPr>
          <w:rFonts w:ascii="Arial" w:hAnsi="Arial" w:cs="Arial"/>
          <w:color w:val="FF0000"/>
          <w:sz w:val="20"/>
        </w:rPr>
      </w:pPr>
    </w:p>
    <w:p w14:paraId="25BA4BCD" w14:textId="77777777" w:rsidR="00712CE2" w:rsidRPr="004D7D23" w:rsidRDefault="00712CE2" w:rsidP="00712CE2">
      <w:pPr>
        <w:tabs>
          <w:tab w:val="left" w:pos="0"/>
        </w:tabs>
        <w:jc w:val="both"/>
        <w:rPr>
          <w:rFonts w:ascii="Arial" w:hAnsi="Arial" w:cs="Arial"/>
          <w:color w:val="FF0000"/>
          <w:sz w:val="20"/>
        </w:rPr>
      </w:pPr>
    </w:p>
    <w:p w14:paraId="76FAB356" w14:textId="77777777" w:rsidR="00712CE2" w:rsidRPr="004D7D23" w:rsidRDefault="00712CE2" w:rsidP="00712CE2">
      <w:pPr>
        <w:tabs>
          <w:tab w:val="left" w:pos="0"/>
        </w:tabs>
        <w:jc w:val="both"/>
        <w:rPr>
          <w:rFonts w:ascii="Arial" w:hAnsi="Arial" w:cs="Arial"/>
          <w:color w:val="FF0000"/>
          <w:sz w:val="20"/>
        </w:rPr>
      </w:pPr>
    </w:p>
    <w:p w14:paraId="0ABEEF78" w14:textId="77777777" w:rsidR="00712CE2" w:rsidRPr="004D7D23" w:rsidRDefault="00712CE2" w:rsidP="00712CE2">
      <w:pPr>
        <w:tabs>
          <w:tab w:val="left" w:pos="0"/>
        </w:tabs>
        <w:jc w:val="both"/>
        <w:rPr>
          <w:rFonts w:ascii="Arial" w:hAnsi="Arial" w:cs="Arial"/>
          <w:color w:val="FF0000"/>
          <w:sz w:val="20"/>
        </w:rPr>
      </w:pPr>
    </w:p>
    <w:p w14:paraId="59F58092" w14:textId="77777777" w:rsidR="00712CE2" w:rsidRPr="004D7D23" w:rsidRDefault="00712CE2" w:rsidP="00712CE2">
      <w:pPr>
        <w:tabs>
          <w:tab w:val="left" w:pos="0"/>
        </w:tabs>
        <w:jc w:val="both"/>
        <w:rPr>
          <w:rFonts w:ascii="Arial" w:hAnsi="Arial" w:cs="Arial"/>
          <w:color w:val="FF0000"/>
          <w:sz w:val="20"/>
        </w:rPr>
      </w:pPr>
    </w:p>
    <w:p w14:paraId="3A5240CC" w14:textId="77777777" w:rsidR="00712CE2" w:rsidRPr="004D7D23" w:rsidRDefault="00712CE2" w:rsidP="00712CE2">
      <w:pPr>
        <w:tabs>
          <w:tab w:val="left" w:pos="0"/>
        </w:tabs>
        <w:jc w:val="both"/>
        <w:rPr>
          <w:rFonts w:ascii="Arial" w:hAnsi="Arial" w:cs="Arial"/>
          <w:color w:val="FF0000"/>
          <w:sz w:val="20"/>
        </w:rPr>
      </w:pPr>
    </w:p>
    <w:p w14:paraId="008CB133" w14:textId="77777777" w:rsidR="00712CE2" w:rsidRPr="004D7D23" w:rsidRDefault="00712CE2" w:rsidP="00712CE2">
      <w:pPr>
        <w:tabs>
          <w:tab w:val="left" w:pos="0"/>
        </w:tabs>
        <w:jc w:val="both"/>
        <w:rPr>
          <w:rFonts w:ascii="Arial" w:hAnsi="Arial" w:cs="Arial"/>
          <w:color w:val="FF0000"/>
          <w:sz w:val="20"/>
        </w:rPr>
      </w:pPr>
    </w:p>
    <w:p w14:paraId="307691E6" w14:textId="77777777" w:rsidR="00712CE2" w:rsidRPr="004D7D23" w:rsidRDefault="00712CE2" w:rsidP="00712CE2">
      <w:pPr>
        <w:tabs>
          <w:tab w:val="left" w:pos="0"/>
        </w:tabs>
        <w:jc w:val="both"/>
        <w:rPr>
          <w:rFonts w:ascii="Arial" w:hAnsi="Arial" w:cs="Arial"/>
          <w:color w:val="FF0000"/>
          <w:sz w:val="20"/>
        </w:rPr>
      </w:pPr>
    </w:p>
    <w:p w14:paraId="4FC7EA04" w14:textId="77777777" w:rsidR="00712CE2" w:rsidRPr="004D7D23" w:rsidRDefault="00712CE2" w:rsidP="00712CE2">
      <w:pPr>
        <w:tabs>
          <w:tab w:val="left" w:pos="0"/>
        </w:tabs>
        <w:jc w:val="both"/>
        <w:rPr>
          <w:rFonts w:ascii="Arial" w:hAnsi="Arial" w:cs="Arial"/>
          <w:color w:val="FF0000"/>
          <w:sz w:val="20"/>
        </w:rPr>
      </w:pPr>
    </w:p>
    <w:p w14:paraId="4369690B" w14:textId="77777777" w:rsidR="00712CE2" w:rsidRPr="004D7D23" w:rsidRDefault="00712CE2" w:rsidP="00712CE2">
      <w:pPr>
        <w:tabs>
          <w:tab w:val="left" w:pos="0"/>
        </w:tabs>
        <w:jc w:val="both"/>
        <w:rPr>
          <w:rFonts w:ascii="Arial" w:hAnsi="Arial" w:cs="Arial"/>
          <w:color w:val="FF0000"/>
          <w:sz w:val="20"/>
        </w:rPr>
      </w:pPr>
    </w:p>
    <w:p w14:paraId="3DEF9507" w14:textId="77777777" w:rsidR="00712CE2" w:rsidRPr="004D7D23" w:rsidRDefault="00712CE2" w:rsidP="00712CE2">
      <w:pPr>
        <w:tabs>
          <w:tab w:val="left" w:pos="0"/>
        </w:tabs>
        <w:jc w:val="both"/>
        <w:rPr>
          <w:rFonts w:ascii="Arial" w:hAnsi="Arial" w:cs="Arial"/>
          <w:color w:val="FF0000"/>
          <w:sz w:val="20"/>
        </w:rPr>
      </w:pPr>
    </w:p>
    <w:p w14:paraId="2B34F2B4" w14:textId="77777777" w:rsidR="00712CE2" w:rsidRPr="004D7D23" w:rsidRDefault="00712CE2" w:rsidP="00712CE2">
      <w:pPr>
        <w:tabs>
          <w:tab w:val="left" w:pos="0"/>
        </w:tabs>
        <w:jc w:val="both"/>
        <w:rPr>
          <w:rFonts w:ascii="Arial" w:hAnsi="Arial" w:cs="Arial"/>
          <w:color w:val="FF0000"/>
          <w:sz w:val="20"/>
        </w:rPr>
      </w:pPr>
    </w:p>
    <w:p w14:paraId="294FAFF8" w14:textId="77777777" w:rsidR="00712CE2" w:rsidRPr="004D7D23" w:rsidRDefault="00712CE2" w:rsidP="00712CE2">
      <w:pPr>
        <w:tabs>
          <w:tab w:val="left" w:pos="0"/>
        </w:tabs>
        <w:jc w:val="both"/>
        <w:rPr>
          <w:rFonts w:ascii="Arial" w:hAnsi="Arial" w:cs="Arial"/>
          <w:color w:val="FF0000"/>
          <w:sz w:val="20"/>
        </w:rPr>
      </w:pPr>
    </w:p>
    <w:p w14:paraId="711E88FE" w14:textId="77777777" w:rsidR="00712CE2" w:rsidRPr="004D7D23" w:rsidRDefault="00712CE2" w:rsidP="00712CE2">
      <w:pPr>
        <w:tabs>
          <w:tab w:val="left" w:pos="0"/>
        </w:tabs>
        <w:jc w:val="both"/>
        <w:rPr>
          <w:rFonts w:ascii="Arial" w:hAnsi="Arial" w:cs="Arial"/>
          <w:color w:val="FF0000"/>
          <w:sz w:val="20"/>
        </w:rPr>
      </w:pPr>
    </w:p>
    <w:p w14:paraId="3B7A788D" w14:textId="77777777" w:rsidR="00712CE2" w:rsidRPr="004D7D23" w:rsidRDefault="00712CE2" w:rsidP="00712CE2">
      <w:pPr>
        <w:tabs>
          <w:tab w:val="left" w:pos="0"/>
        </w:tabs>
        <w:jc w:val="both"/>
        <w:rPr>
          <w:rFonts w:ascii="Arial" w:hAnsi="Arial" w:cs="Arial"/>
          <w:color w:val="FF0000"/>
          <w:sz w:val="20"/>
        </w:rPr>
      </w:pPr>
    </w:p>
    <w:p w14:paraId="646F91DC" w14:textId="77777777" w:rsidR="00712CE2" w:rsidRPr="004D7D23" w:rsidRDefault="00712CE2" w:rsidP="00712CE2">
      <w:pPr>
        <w:tabs>
          <w:tab w:val="left" w:pos="0"/>
        </w:tabs>
        <w:jc w:val="both"/>
        <w:rPr>
          <w:rFonts w:ascii="Arial" w:hAnsi="Arial" w:cs="Arial"/>
          <w:color w:val="FF0000"/>
          <w:sz w:val="20"/>
        </w:rPr>
      </w:pPr>
    </w:p>
    <w:p w14:paraId="273BA08E" w14:textId="77777777" w:rsidR="00712CE2" w:rsidRPr="004D7D23" w:rsidRDefault="00712CE2" w:rsidP="00712CE2">
      <w:pPr>
        <w:tabs>
          <w:tab w:val="left" w:pos="0"/>
        </w:tabs>
        <w:jc w:val="both"/>
        <w:rPr>
          <w:rFonts w:ascii="Arial" w:hAnsi="Arial" w:cs="Arial"/>
          <w:color w:val="FF0000"/>
          <w:sz w:val="20"/>
        </w:rPr>
      </w:pPr>
    </w:p>
    <w:p w14:paraId="358B3630" w14:textId="77777777" w:rsidR="00F548B0" w:rsidRPr="004D7D23" w:rsidRDefault="00F548B0" w:rsidP="00712CE2">
      <w:pPr>
        <w:tabs>
          <w:tab w:val="left" w:pos="0"/>
        </w:tabs>
        <w:jc w:val="both"/>
        <w:rPr>
          <w:rFonts w:ascii="Arial" w:hAnsi="Arial" w:cs="Arial"/>
          <w:color w:val="FF0000"/>
          <w:sz w:val="20"/>
        </w:rPr>
      </w:pPr>
    </w:p>
    <w:p w14:paraId="38AA97AB" w14:textId="77777777" w:rsidR="00F548B0" w:rsidRPr="004D7D23" w:rsidRDefault="00F548B0" w:rsidP="00712CE2">
      <w:pPr>
        <w:tabs>
          <w:tab w:val="left" w:pos="0"/>
        </w:tabs>
        <w:jc w:val="both"/>
        <w:rPr>
          <w:rFonts w:ascii="Arial" w:hAnsi="Arial" w:cs="Arial"/>
          <w:color w:val="FF0000"/>
          <w:sz w:val="20"/>
        </w:rPr>
      </w:pPr>
    </w:p>
    <w:p w14:paraId="038958DC" w14:textId="77777777" w:rsidR="00712CE2" w:rsidRPr="004D7D23" w:rsidRDefault="00712CE2" w:rsidP="00712CE2">
      <w:pPr>
        <w:tabs>
          <w:tab w:val="left" w:pos="0"/>
        </w:tabs>
        <w:jc w:val="both"/>
        <w:rPr>
          <w:rFonts w:ascii="Arial" w:hAnsi="Arial" w:cs="Arial"/>
          <w:color w:val="FF0000"/>
          <w:sz w:val="20"/>
        </w:rPr>
      </w:pPr>
    </w:p>
    <w:p w14:paraId="4722AC50" w14:textId="77777777" w:rsidR="00712CE2" w:rsidRPr="004D7D23" w:rsidRDefault="00712CE2" w:rsidP="00712CE2">
      <w:pPr>
        <w:tabs>
          <w:tab w:val="left" w:pos="0"/>
        </w:tabs>
        <w:jc w:val="both"/>
        <w:rPr>
          <w:rFonts w:ascii="Arial" w:hAnsi="Arial" w:cs="Arial"/>
          <w:color w:val="FF0000"/>
          <w:sz w:val="20"/>
        </w:rPr>
      </w:pPr>
    </w:p>
    <w:p w14:paraId="18396257" w14:textId="77777777" w:rsidR="008A1FD5" w:rsidRPr="002D34F3" w:rsidRDefault="008A1FD5" w:rsidP="008A1FD5">
      <w:pPr>
        <w:pStyle w:val="Nagwek1"/>
        <w:jc w:val="center"/>
        <w:rPr>
          <w:color w:val="000000" w:themeColor="text1"/>
          <w:sz w:val="40"/>
          <w:szCs w:val="40"/>
        </w:rPr>
      </w:pPr>
      <w:bookmarkStart w:id="112" w:name="_Toc109801196"/>
      <w:bookmarkStart w:id="113" w:name="_Toc163480792"/>
      <w:bookmarkStart w:id="114" w:name="_Toc163481039"/>
      <w:r w:rsidRPr="002D34F3">
        <w:rPr>
          <w:color w:val="000000" w:themeColor="text1"/>
          <w:sz w:val="40"/>
          <w:szCs w:val="40"/>
        </w:rPr>
        <w:lastRenderedPageBreak/>
        <w:t>ST-00.03. ROBOTY PRZYGOTOWAWCZE, ROBOTY POMIAROWE, PRACE PORZĄDKOWE TERENU PO BUDOWIE</w:t>
      </w:r>
      <w:bookmarkEnd w:id="112"/>
      <w:bookmarkEnd w:id="113"/>
      <w:bookmarkEnd w:id="114"/>
    </w:p>
    <w:p w14:paraId="6C7E5EF2" w14:textId="77777777" w:rsidR="008A1FD5" w:rsidRPr="002D34F3" w:rsidRDefault="008A1FD5" w:rsidP="008A1FD5">
      <w:pPr>
        <w:pStyle w:val="Nagwek2"/>
        <w:rPr>
          <w:i w:val="0"/>
          <w:color w:val="000000" w:themeColor="text1"/>
        </w:rPr>
      </w:pPr>
      <w:r w:rsidRPr="002D34F3">
        <w:rPr>
          <w:i w:val="0"/>
          <w:color w:val="000000" w:themeColor="text1"/>
        </w:rPr>
        <w:t>1. PODSTAWA OPRACOWANIA</w:t>
      </w:r>
    </w:p>
    <w:p w14:paraId="470D64B9"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Zlecenie Inwestora.</w:t>
      </w:r>
    </w:p>
    <w:p w14:paraId="67DDDBF4"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Inwentaryzacja w terenie drzew i krzewów .</w:t>
      </w:r>
    </w:p>
    <w:p w14:paraId="454C1C2C"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Ustawa o Ochronie Przyrody z dnia 16 kwietnia 2004 r z późniejszymi zmianami.</w:t>
      </w:r>
    </w:p>
    <w:p w14:paraId="13E1997B"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Rozporządzenie Ministra Infrastruktury z dnia 29.08.2019 r w sprawie warunków technicznych, jakim powinny odpowiadać drogi publiczne i ich usytuowanie.</w:t>
      </w:r>
    </w:p>
    <w:p w14:paraId="50C9C0D3" w14:textId="77777777" w:rsidR="008A1FD5" w:rsidRPr="002D34F3" w:rsidRDefault="008A1FD5" w:rsidP="008A1FD5">
      <w:pPr>
        <w:pStyle w:val="Nagwek2"/>
        <w:rPr>
          <w:b w:val="0"/>
          <w:i w:val="0"/>
          <w:color w:val="000000" w:themeColor="text1"/>
          <w:sz w:val="20"/>
          <w:szCs w:val="20"/>
        </w:rPr>
      </w:pPr>
      <w:r w:rsidRPr="002D34F3">
        <w:rPr>
          <w:i w:val="0"/>
          <w:color w:val="000000" w:themeColor="text1"/>
        </w:rPr>
        <w:t>2. PRZEDMIOT OPRACOWANIA</w:t>
      </w:r>
    </w:p>
    <w:p w14:paraId="66F740E2" w14:textId="77777777" w:rsidR="008A1FD5"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Przedmiotem ST są wymagania dotyczące wykonania i odbioru robót związanych z zagospodarowaniem terenu: </w:t>
      </w:r>
    </w:p>
    <w:p w14:paraId="3680FCF6"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t>
      </w:r>
      <w:r w:rsidRPr="008A1FD5">
        <w:rPr>
          <w:rFonts w:ascii="Arial" w:hAnsi="Arial" w:cs="Arial"/>
          <w:b/>
          <w:color w:val="000000" w:themeColor="text1"/>
          <w:sz w:val="18"/>
        </w:rPr>
        <w:t xml:space="preserve"> </w:t>
      </w:r>
      <w:r w:rsidRPr="00D13ED1">
        <w:rPr>
          <w:rFonts w:ascii="Arial" w:hAnsi="Arial" w:cs="Arial"/>
          <w:b/>
          <w:color w:val="000000" w:themeColor="text1"/>
          <w:sz w:val="18"/>
        </w:rPr>
        <w:t>Przebudowa sieci wodociągowej w ul. Wincentego Kadłubka w</w:t>
      </w:r>
      <w:r w:rsidRPr="00D13ED1">
        <w:rPr>
          <w:rFonts w:ascii="Arial" w:hAnsi="Arial" w:cs="Arial"/>
          <w:color w:val="000000" w:themeColor="text1"/>
          <w:sz w:val="18"/>
        </w:rPr>
        <w:t xml:space="preserve"> </w:t>
      </w:r>
      <w:r w:rsidRPr="00D13ED1">
        <w:rPr>
          <w:rFonts w:ascii="Arial" w:hAnsi="Arial" w:cs="Arial"/>
          <w:b/>
          <w:color w:val="000000" w:themeColor="text1"/>
          <w:sz w:val="18"/>
        </w:rPr>
        <w:t>Szczecinie</w:t>
      </w:r>
      <w:r w:rsidRPr="002D34F3">
        <w:rPr>
          <w:rFonts w:ascii="Arial" w:hAnsi="Arial" w:cs="Arial"/>
          <w:color w:val="000000" w:themeColor="text1"/>
          <w:kern w:val="1"/>
          <w:sz w:val="18"/>
        </w:rPr>
        <w:t xml:space="preserve"> ". SST stanowi część dokumentów przetargowych i kontraktowych przy zlecaniu i realizacji wym. wyżej robót.</w:t>
      </w:r>
    </w:p>
    <w:p w14:paraId="0D754190" w14:textId="77777777" w:rsidR="008A1FD5" w:rsidRPr="002D34F3" w:rsidRDefault="008A1FD5" w:rsidP="008A1FD5">
      <w:pPr>
        <w:pStyle w:val="Nagwek2"/>
        <w:rPr>
          <w:i w:val="0"/>
          <w:color w:val="000000" w:themeColor="text1"/>
        </w:rPr>
      </w:pPr>
      <w:r w:rsidRPr="002D34F3">
        <w:rPr>
          <w:i w:val="0"/>
          <w:color w:val="000000" w:themeColor="text1"/>
        </w:rPr>
        <w:t>3. WSPÓLNY SŁOWNIK ZAMÓWIEŃ (CPV)</w:t>
      </w:r>
    </w:p>
    <w:p w14:paraId="6660DCC5"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Kody grup, klas i kategorii robót Wspólnego Słownika Zamówień (CPV) dotyczących przedmiotu zamówienia podano w ST-00.00 „Wymagania Ogólne”.</w:t>
      </w:r>
    </w:p>
    <w:p w14:paraId="2D0258E5" w14:textId="77777777" w:rsidR="008A1FD5" w:rsidRPr="002D34F3" w:rsidRDefault="008A1FD5" w:rsidP="008A1FD5">
      <w:pPr>
        <w:pStyle w:val="Nagwek2"/>
        <w:rPr>
          <w:i w:val="0"/>
          <w:color w:val="000000" w:themeColor="text1"/>
        </w:rPr>
      </w:pPr>
      <w:r w:rsidRPr="002D34F3">
        <w:rPr>
          <w:i w:val="0"/>
          <w:color w:val="000000" w:themeColor="text1"/>
        </w:rPr>
        <w:t>4. ZAKRES ROBÓT OBJĘTYCH  ST</w:t>
      </w:r>
    </w:p>
    <w:p w14:paraId="4E190F2D"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Zakresem robót jest objęte:</w:t>
      </w:r>
    </w:p>
    <w:p w14:paraId="3267FDDA" w14:textId="77777777" w:rsidR="008A1FD5" w:rsidRPr="002D34F3" w:rsidRDefault="008A1FD5" w:rsidP="008A1FD5">
      <w:pPr>
        <w:pStyle w:val="Nagwek3"/>
        <w:spacing w:before="60"/>
        <w:rPr>
          <w:color w:val="000000" w:themeColor="text1"/>
          <w:sz w:val="22"/>
        </w:rPr>
      </w:pPr>
      <w:r w:rsidRPr="002D34F3">
        <w:rPr>
          <w:color w:val="000000" w:themeColor="text1"/>
          <w:sz w:val="22"/>
        </w:rPr>
        <w:t>4.1. PRACE PRZYGOTOWAWCZE</w:t>
      </w:r>
    </w:p>
    <w:p w14:paraId="5A825921"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zabezpieczenie terenu budowy;</w:t>
      </w:r>
    </w:p>
    <w:p w14:paraId="55A22506"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 xml:space="preserve">zabezpieczenie na czas budowy pozostających na miejscu drzew; </w:t>
      </w:r>
    </w:p>
    <w:p w14:paraId="48732F72" w14:textId="77777777" w:rsidR="008A1FD5" w:rsidRPr="002D34F3" w:rsidRDefault="008A1FD5" w:rsidP="008A1FD5">
      <w:pPr>
        <w:pStyle w:val="Nagwek2"/>
        <w:rPr>
          <w:i w:val="0"/>
          <w:color w:val="000000" w:themeColor="text1"/>
        </w:rPr>
      </w:pPr>
      <w:r w:rsidRPr="002D34F3">
        <w:rPr>
          <w:i w:val="0"/>
          <w:color w:val="000000" w:themeColor="text1"/>
        </w:rPr>
        <w:t>5. OKREŚLENIA PODSTAWOWE</w:t>
      </w:r>
    </w:p>
    <w:p w14:paraId="05F00135"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Określenia i nazewnictwo użyte w niniejszej szczegółowej specyfikacji technicznej są zgodne z obowiązującymi podanymi w normach PN i przepisach Prawa budowlanego.</w:t>
      </w:r>
    </w:p>
    <w:p w14:paraId="636B0B18" w14:textId="77777777" w:rsidR="008A1FD5" w:rsidRPr="002D34F3" w:rsidRDefault="008A1FD5" w:rsidP="008A1FD5">
      <w:pPr>
        <w:pStyle w:val="Nagwek2"/>
        <w:rPr>
          <w:i w:val="0"/>
          <w:color w:val="000000" w:themeColor="text1"/>
        </w:rPr>
      </w:pPr>
      <w:r w:rsidRPr="002D34F3">
        <w:rPr>
          <w:i w:val="0"/>
          <w:color w:val="000000" w:themeColor="text1"/>
        </w:rPr>
        <w:t>6. MATERIAŁY</w:t>
      </w:r>
    </w:p>
    <w:p w14:paraId="1C958471"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Wymagania dotyczące materiałów podano w ST-00.00 „Wymagania Ogólne”.</w:t>
      </w:r>
    </w:p>
    <w:p w14:paraId="2F06AC08" w14:textId="77777777" w:rsidR="008A1FD5" w:rsidRPr="002D34F3" w:rsidRDefault="008A1FD5" w:rsidP="008A1FD5">
      <w:pPr>
        <w:pStyle w:val="Nagwek2"/>
        <w:rPr>
          <w:i w:val="0"/>
          <w:color w:val="000000" w:themeColor="text1"/>
        </w:rPr>
      </w:pPr>
      <w:r w:rsidRPr="002D34F3">
        <w:rPr>
          <w:i w:val="0"/>
          <w:color w:val="000000" w:themeColor="text1"/>
        </w:rPr>
        <w:t>7. SPRZĘT</w:t>
      </w:r>
    </w:p>
    <w:p w14:paraId="2E02859A" w14:textId="77777777" w:rsidR="008A1FD5" w:rsidRPr="002D34F3" w:rsidRDefault="008A1FD5" w:rsidP="008A1FD5">
      <w:pPr>
        <w:pStyle w:val="Nagwek3"/>
        <w:spacing w:before="60"/>
        <w:rPr>
          <w:color w:val="000000" w:themeColor="text1"/>
          <w:sz w:val="22"/>
        </w:rPr>
      </w:pPr>
      <w:r w:rsidRPr="002D34F3">
        <w:rPr>
          <w:color w:val="000000" w:themeColor="text1"/>
          <w:sz w:val="22"/>
        </w:rPr>
        <w:t>7.1. WYMAGANIA DOTYCZĄCE SPRZĘTU</w:t>
      </w:r>
    </w:p>
    <w:p w14:paraId="31CC1E7E"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Wymagania dotyczące sprzętu podano w ST-00.00 „Wymagania Ogólne”.</w:t>
      </w:r>
    </w:p>
    <w:p w14:paraId="7EBA8E6D" w14:textId="77777777" w:rsidR="008A1FD5" w:rsidRPr="002D34F3" w:rsidRDefault="008A1FD5" w:rsidP="008A1FD5">
      <w:pPr>
        <w:pStyle w:val="Nagwek3"/>
        <w:spacing w:before="60"/>
        <w:rPr>
          <w:color w:val="000000" w:themeColor="text1"/>
          <w:sz w:val="22"/>
        </w:rPr>
      </w:pPr>
      <w:r w:rsidRPr="002D34F3">
        <w:rPr>
          <w:color w:val="000000" w:themeColor="text1"/>
          <w:sz w:val="22"/>
        </w:rPr>
        <w:t>7.2. SPRZĘT DO ROBÓT PRZYGOTOWAWCZYCH ORAZ PRAC ZWIĄZANYCH Z PORZĄDKOWANIEM TERENU</w:t>
      </w:r>
    </w:p>
    <w:p w14:paraId="55F6F6D0"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Do wykonania robót związanych z pracami przygotowawczymi należy stosować drobny sprzęt pomocniczy.</w:t>
      </w:r>
    </w:p>
    <w:p w14:paraId="7E677648" w14:textId="77777777" w:rsidR="008A1FD5" w:rsidRPr="002D34F3" w:rsidRDefault="008A1FD5" w:rsidP="008A1FD5">
      <w:pPr>
        <w:pStyle w:val="Nagwek3"/>
        <w:spacing w:before="60"/>
        <w:rPr>
          <w:color w:val="000000" w:themeColor="text1"/>
          <w:sz w:val="22"/>
        </w:rPr>
      </w:pPr>
      <w:r w:rsidRPr="002D34F3">
        <w:rPr>
          <w:color w:val="000000" w:themeColor="text1"/>
          <w:sz w:val="22"/>
        </w:rPr>
        <w:t>7.3. SPRZĘT DO ROBÓT PORZĄDKOWYCH TERENU PO BUDOWIE</w:t>
      </w:r>
    </w:p>
    <w:p w14:paraId="6231977F"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Do wykonania robót związanych z plantowaniem terenu należy stosować drobny sprzęt pomocniczy.</w:t>
      </w:r>
    </w:p>
    <w:p w14:paraId="238DE058" w14:textId="77777777" w:rsidR="008A1FD5" w:rsidRPr="002D34F3" w:rsidRDefault="008A1FD5" w:rsidP="008A1FD5">
      <w:pPr>
        <w:pStyle w:val="Nagwek2"/>
        <w:rPr>
          <w:i w:val="0"/>
          <w:color w:val="000000" w:themeColor="text1"/>
        </w:rPr>
      </w:pPr>
      <w:r w:rsidRPr="002D34F3">
        <w:rPr>
          <w:i w:val="0"/>
          <w:color w:val="000000" w:themeColor="text1"/>
        </w:rPr>
        <w:t>8. TRANSPORT</w:t>
      </w:r>
    </w:p>
    <w:p w14:paraId="14E45774" w14:textId="77777777" w:rsidR="008A1FD5" w:rsidRPr="002D34F3" w:rsidRDefault="008A1FD5" w:rsidP="008A1FD5">
      <w:pPr>
        <w:pStyle w:val="Nagwek3"/>
        <w:spacing w:before="60"/>
        <w:rPr>
          <w:color w:val="000000" w:themeColor="text1"/>
          <w:sz w:val="22"/>
        </w:rPr>
      </w:pPr>
      <w:r w:rsidRPr="002D34F3">
        <w:rPr>
          <w:color w:val="000000" w:themeColor="text1"/>
          <w:sz w:val="22"/>
        </w:rPr>
        <w:t>8.1. WYMAGANIA DOTYCZĄCE TRANSPORTU</w:t>
      </w:r>
    </w:p>
    <w:p w14:paraId="16FBBB8F"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Wymagania dotyczące transportu podano w ST-00.00 „Wymagania Ogólne”.</w:t>
      </w:r>
    </w:p>
    <w:p w14:paraId="52571C30" w14:textId="77777777" w:rsidR="008A1FD5" w:rsidRPr="002D34F3" w:rsidRDefault="008A1FD5" w:rsidP="008A1FD5">
      <w:pPr>
        <w:pStyle w:val="Nagwek2"/>
        <w:rPr>
          <w:i w:val="0"/>
          <w:color w:val="000000" w:themeColor="text1"/>
        </w:rPr>
      </w:pPr>
      <w:r w:rsidRPr="002D34F3">
        <w:rPr>
          <w:i w:val="0"/>
          <w:color w:val="000000" w:themeColor="text1"/>
        </w:rPr>
        <w:t>9. WYKONANIE ROBÓT</w:t>
      </w:r>
    </w:p>
    <w:p w14:paraId="72E142F6" w14:textId="77777777" w:rsidR="008A1FD5" w:rsidRPr="002D34F3" w:rsidRDefault="008A1FD5" w:rsidP="008A1FD5">
      <w:pPr>
        <w:pStyle w:val="Nagwek3"/>
        <w:spacing w:before="60"/>
        <w:rPr>
          <w:color w:val="000000" w:themeColor="text1"/>
          <w:sz w:val="22"/>
        </w:rPr>
      </w:pPr>
      <w:r w:rsidRPr="002D34F3">
        <w:rPr>
          <w:color w:val="000000" w:themeColor="text1"/>
          <w:sz w:val="22"/>
        </w:rPr>
        <w:t>9.1. OGÓLNE ZASADY WYKONANIA ROBÓT</w:t>
      </w:r>
    </w:p>
    <w:p w14:paraId="46D2DC4A"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Wymagania dotyczące wykonania robót podano w ST-00.00 „Wymagania Ogólne”.</w:t>
      </w:r>
    </w:p>
    <w:p w14:paraId="2259E5B7" w14:textId="77777777" w:rsidR="008A1FD5" w:rsidRPr="002D34F3" w:rsidRDefault="008A1FD5" w:rsidP="008A1FD5">
      <w:pPr>
        <w:pStyle w:val="Nagwek3"/>
        <w:spacing w:before="60"/>
        <w:rPr>
          <w:color w:val="000000" w:themeColor="text1"/>
          <w:sz w:val="22"/>
        </w:rPr>
      </w:pPr>
      <w:r w:rsidRPr="002D34F3">
        <w:rPr>
          <w:color w:val="000000" w:themeColor="text1"/>
          <w:sz w:val="22"/>
        </w:rPr>
        <w:t>9.2. ROBOTY PRZYGOTOWAWCZE</w:t>
      </w:r>
    </w:p>
    <w:p w14:paraId="6DCE675B"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Zabezpieczenie terenu budowy tak by osoby postronne nie mogły wejść na plac, należy zastosować np. ogrodzenie z siatki, taśmy odblaskowe oddzielające strefy zamknięte, słupki i płotki oddzielające;</w:t>
      </w:r>
    </w:p>
    <w:p w14:paraId="22601202" w14:textId="77777777" w:rsidR="008A1FD5" w:rsidRPr="002D34F3" w:rsidRDefault="008A1FD5" w:rsidP="008A1FD5">
      <w:pPr>
        <w:pStyle w:val="Nagwek3"/>
        <w:spacing w:before="60"/>
        <w:rPr>
          <w:color w:val="000000" w:themeColor="text1"/>
          <w:sz w:val="22"/>
        </w:rPr>
      </w:pPr>
      <w:r w:rsidRPr="002D34F3">
        <w:rPr>
          <w:color w:val="000000" w:themeColor="text1"/>
          <w:sz w:val="22"/>
        </w:rPr>
        <w:lastRenderedPageBreak/>
        <w:t>9.3. ZABEZPIECZENIE DRZEW NA CZAS BUDOWY</w:t>
      </w:r>
    </w:p>
    <w:p w14:paraId="5A9FAB9E" w14:textId="77777777" w:rsidR="008A1FD5" w:rsidRPr="002D34F3" w:rsidRDefault="008A1FD5" w:rsidP="00BA5651">
      <w:pPr>
        <w:widowControl/>
        <w:numPr>
          <w:ilvl w:val="0"/>
          <w:numId w:val="338"/>
        </w:numPr>
        <w:suppressAutoHyphens w:val="0"/>
        <w:overflowPunct/>
        <w:autoSpaceDE/>
        <w:ind w:left="283" w:hanging="283"/>
        <w:jc w:val="both"/>
        <w:textAlignment w:val="auto"/>
        <w:rPr>
          <w:rFonts w:ascii="Arial" w:hAnsi="Arial" w:cs="Arial"/>
          <w:color w:val="000000" w:themeColor="text1"/>
          <w:sz w:val="18"/>
        </w:rPr>
      </w:pPr>
      <w:r w:rsidRPr="002D34F3">
        <w:rPr>
          <w:rFonts w:ascii="Arial" w:hAnsi="Arial" w:cs="Arial"/>
          <w:color w:val="000000" w:themeColor="text1"/>
          <w:sz w:val="18"/>
        </w:rPr>
        <w:t>Zabezpieczenie drzew w sposób uniemożliwiający uszkodzenie mechaniczne:</w:t>
      </w:r>
    </w:p>
    <w:p w14:paraId="3A87C4E2" w14:textId="77777777" w:rsidR="008A1FD5" w:rsidRPr="002D34F3" w:rsidRDefault="008A1FD5" w:rsidP="008A1FD5">
      <w:pPr>
        <w:ind w:left="283"/>
        <w:jc w:val="both"/>
        <w:rPr>
          <w:rFonts w:ascii="Arial" w:hAnsi="Arial" w:cs="Arial"/>
          <w:color w:val="000000" w:themeColor="text1"/>
          <w:sz w:val="18"/>
        </w:rPr>
      </w:pPr>
      <w:r w:rsidRPr="002D34F3">
        <w:rPr>
          <w:rFonts w:ascii="Arial" w:hAnsi="Arial" w:cs="Arial"/>
          <w:color w:val="000000" w:themeColor="text1"/>
          <w:sz w:val="18"/>
        </w:rPr>
        <w:t>- owinięcie pnia drzewa matami słomianymi (4 m</w:t>
      </w:r>
      <w:r w:rsidRPr="002D34F3">
        <w:rPr>
          <w:rFonts w:ascii="Arial" w:hAnsi="Arial" w:cs="Arial"/>
          <w:color w:val="000000" w:themeColor="text1"/>
          <w:sz w:val="18"/>
          <w:vertAlign w:val="superscript"/>
        </w:rPr>
        <w:t>2</w:t>
      </w:r>
      <w:r w:rsidRPr="002D34F3">
        <w:rPr>
          <w:rFonts w:ascii="Arial" w:hAnsi="Arial" w:cs="Arial"/>
          <w:color w:val="000000" w:themeColor="text1"/>
          <w:sz w:val="18"/>
        </w:rPr>
        <w:t xml:space="preserve"> na jeden pień), a następnie oszalowanie ich deskami do wysokości pierwszych gałęzi. Dotyczy wszystkich drzew zlokalizowanych w granicach placu budowy. Oszalowanie powinno być otoczone opaskami z drutu lub taśmy stalowej w odległości wzajemnej co 40-60 cm;</w:t>
      </w:r>
    </w:p>
    <w:p w14:paraId="0598EEF1" w14:textId="77777777" w:rsidR="008A1FD5" w:rsidRPr="002D34F3" w:rsidRDefault="008A1FD5" w:rsidP="008A1FD5">
      <w:pPr>
        <w:ind w:left="283"/>
        <w:jc w:val="both"/>
        <w:rPr>
          <w:rFonts w:ascii="Arial" w:hAnsi="Arial" w:cs="Arial"/>
          <w:color w:val="000000" w:themeColor="text1"/>
          <w:sz w:val="18"/>
        </w:rPr>
      </w:pPr>
      <w:r w:rsidRPr="002D34F3">
        <w:rPr>
          <w:rFonts w:ascii="Arial" w:hAnsi="Arial" w:cs="Arial"/>
          <w:color w:val="000000" w:themeColor="text1"/>
          <w:sz w:val="18"/>
        </w:rPr>
        <w:t>- przykrycie odkrytych korzeni matami słomianymi lub folią;</w:t>
      </w:r>
    </w:p>
    <w:p w14:paraId="5713490C" w14:textId="77777777" w:rsidR="008A1FD5" w:rsidRPr="002D34F3" w:rsidRDefault="008A1FD5" w:rsidP="008A1FD5">
      <w:pPr>
        <w:ind w:left="283"/>
        <w:jc w:val="both"/>
        <w:rPr>
          <w:rFonts w:ascii="Arial" w:hAnsi="Arial" w:cs="Arial"/>
          <w:color w:val="000000" w:themeColor="text1"/>
          <w:sz w:val="18"/>
        </w:rPr>
      </w:pPr>
      <w:r w:rsidRPr="002D34F3">
        <w:rPr>
          <w:rFonts w:ascii="Arial" w:hAnsi="Arial" w:cs="Arial"/>
          <w:color w:val="000000" w:themeColor="text1"/>
          <w:sz w:val="18"/>
        </w:rPr>
        <w:t xml:space="preserve">- podlewanie drzew i krzewów wodą przez cały okres trwania robót, w zależności </w:t>
      </w:r>
      <w:r w:rsidRPr="002D34F3">
        <w:rPr>
          <w:rFonts w:ascii="Arial" w:hAnsi="Arial" w:cs="Arial"/>
          <w:color w:val="000000" w:themeColor="text1"/>
          <w:sz w:val="18"/>
        </w:rPr>
        <w:br/>
        <w:t>od warunków atmosferycznych. Nie należy dopuścić do przesuszenia korzeni.</w:t>
      </w:r>
    </w:p>
    <w:p w14:paraId="19E645BA" w14:textId="77777777" w:rsidR="008A1FD5" w:rsidRPr="002D34F3" w:rsidRDefault="008A1FD5" w:rsidP="00BA5651">
      <w:pPr>
        <w:numPr>
          <w:ilvl w:val="0"/>
          <w:numId w:val="338"/>
        </w:numPr>
        <w:overflowPunct/>
        <w:autoSpaceDE/>
        <w:spacing w:before="120" w:after="200"/>
        <w:ind w:left="283" w:hanging="284"/>
        <w:jc w:val="both"/>
        <w:textAlignment w:val="auto"/>
        <w:rPr>
          <w:rFonts w:ascii="Arial" w:hAnsi="Arial" w:cs="Arial"/>
          <w:color w:val="000000" w:themeColor="text1"/>
          <w:sz w:val="18"/>
        </w:rPr>
      </w:pPr>
      <w:r w:rsidRPr="002D34F3">
        <w:rPr>
          <w:rFonts w:ascii="Arial" w:hAnsi="Arial" w:cs="Arial"/>
          <w:color w:val="000000" w:themeColor="text1"/>
          <w:sz w:val="18"/>
        </w:rPr>
        <w:t xml:space="preserve">Prace w wykopach w obrębie strefy korzeniowej drzew, w odległości ok. 2 m na zewnątrz od obrysu korony, należy bezwzględnie prowadzić ręcznie, cięcia grubszych korzeni wykonywać ręcznie. </w:t>
      </w:r>
    </w:p>
    <w:p w14:paraId="320DA76B" w14:textId="77777777" w:rsidR="008A1FD5" w:rsidRPr="002D34F3" w:rsidRDefault="008A1FD5" w:rsidP="00BA5651">
      <w:pPr>
        <w:widowControl/>
        <w:numPr>
          <w:ilvl w:val="0"/>
          <w:numId w:val="338"/>
        </w:numPr>
        <w:suppressAutoHyphens w:val="0"/>
        <w:overflowPunct/>
        <w:autoSpaceDE/>
        <w:spacing w:after="200"/>
        <w:ind w:left="283" w:hanging="283"/>
        <w:jc w:val="both"/>
        <w:textAlignment w:val="auto"/>
        <w:rPr>
          <w:rFonts w:ascii="Arial" w:hAnsi="Arial" w:cs="Arial"/>
          <w:color w:val="000000" w:themeColor="text1"/>
          <w:sz w:val="18"/>
        </w:rPr>
      </w:pPr>
      <w:r w:rsidRPr="002D34F3">
        <w:rPr>
          <w:rFonts w:ascii="Arial" w:hAnsi="Arial" w:cs="Arial"/>
          <w:color w:val="000000" w:themeColor="text1"/>
          <w:sz w:val="18"/>
        </w:rPr>
        <w:t>W obrębie korony i strefy korzeniowej wyjątkowe zastosowanie sprzętu mechanicznego wymaga zgody Inwestora.</w:t>
      </w:r>
    </w:p>
    <w:p w14:paraId="50DC8C36" w14:textId="77777777" w:rsidR="008A1FD5" w:rsidRPr="002D34F3" w:rsidRDefault="008A1FD5" w:rsidP="00BA5651">
      <w:pPr>
        <w:widowControl/>
        <w:numPr>
          <w:ilvl w:val="0"/>
          <w:numId w:val="338"/>
        </w:numPr>
        <w:suppressAutoHyphens w:val="0"/>
        <w:overflowPunct/>
        <w:autoSpaceDE/>
        <w:ind w:left="283" w:hanging="283"/>
        <w:jc w:val="both"/>
        <w:textAlignment w:val="auto"/>
        <w:rPr>
          <w:rFonts w:ascii="Arial" w:hAnsi="Arial" w:cs="Arial"/>
          <w:color w:val="000000" w:themeColor="text1"/>
          <w:sz w:val="18"/>
        </w:rPr>
      </w:pPr>
      <w:r w:rsidRPr="002D34F3">
        <w:rPr>
          <w:rFonts w:ascii="Arial" w:hAnsi="Arial" w:cs="Arial"/>
          <w:color w:val="000000" w:themeColor="text1"/>
          <w:sz w:val="18"/>
        </w:rPr>
        <w:t xml:space="preserve">Podczas prowadzenia prac w okresie wegetacyjnym roślin należy za deskowaniem czasowego wykopu należy wykonać osłonę odkrytych korzeni drzew i krzewów w formie szczeliny o szerokości 0,3-0,5 m i głębokości 1,5-2,0 m wypełnionej kompostem i torfem (ekran korzeniowy). </w:t>
      </w:r>
    </w:p>
    <w:p w14:paraId="37FBD360" w14:textId="77777777" w:rsidR="008A1FD5" w:rsidRPr="002D34F3" w:rsidRDefault="008A1FD5" w:rsidP="008A1FD5">
      <w:pPr>
        <w:pStyle w:val="Nagwek3"/>
        <w:spacing w:before="60"/>
        <w:rPr>
          <w:color w:val="000000" w:themeColor="text1"/>
          <w:sz w:val="22"/>
        </w:rPr>
      </w:pPr>
      <w:r w:rsidRPr="002D34F3">
        <w:rPr>
          <w:color w:val="000000" w:themeColor="text1"/>
          <w:sz w:val="22"/>
        </w:rPr>
        <w:t>9.4. OSZALOWANIE PNI</w:t>
      </w:r>
    </w:p>
    <w:p w14:paraId="52E8E8F5"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Działanie polegające na obłożeniu całej powierzchni pnia materiałem odpornym na uszkodzenie mechaniczne, tj. deskami i uprzednie owiniecie pnia słomianą matą.</w:t>
      </w:r>
    </w:p>
    <w:p w14:paraId="4C3DEC19"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Zabezpieczenie pnia deskami:</w:t>
      </w:r>
    </w:p>
    <w:p w14:paraId="7E9766E6"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Przed położeniem oszalowania zastosowanie maty słomianej (4 m2 na jeden pień);</w:t>
      </w:r>
    </w:p>
    <w:p w14:paraId="1153945F"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Oszalowanie pni do wysokości ponad 170 cm (do wysokości pierwszych gałęzi); deski powinny szczelnie przylegać do siebie na całej powierzchni pnia;</w:t>
      </w:r>
    </w:p>
    <w:p w14:paraId="4E6FBC14"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Obsypanie gruntem dolnej części każdej deski;</w:t>
      </w:r>
    </w:p>
    <w:p w14:paraId="2F8F349E"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Mocowanie w gruncie końcówek desek w sposób nieuszkadzający nabiegów korzeniowych drzewa;</w:t>
      </w:r>
    </w:p>
    <w:p w14:paraId="23E253B6"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Szalunek mocowany do pnia za pomocą drutu lub specjalnej taśmy stalowej;</w:t>
      </w:r>
    </w:p>
    <w:p w14:paraId="3CB23D71"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Opaski mocujące oszalowanie w ilości sztuk nie mniejszej niż 3, rozmieszczone w odległości 40-60 cm;</w:t>
      </w:r>
    </w:p>
    <w:p w14:paraId="1CEBE71A"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Miejsca gdzie płaszczyzna desek nie przylega do pnia (np. na skutek zgrubień pnia) wypełnić „warkoczem” ze słomy;</w:t>
      </w:r>
    </w:p>
    <w:p w14:paraId="210D9C20"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Zastosowanie dodatkowej osłony matą słomianą przed ułożeniem oszalowania z desek (drzewa rosnące w miejscach najbardziej narażonych na działanie maszyn budowlanych).</w:t>
      </w:r>
    </w:p>
    <w:p w14:paraId="222B3CA3" w14:textId="77777777" w:rsidR="008A1FD5" w:rsidRPr="002D34F3" w:rsidRDefault="008A1FD5" w:rsidP="008A1FD5">
      <w:pPr>
        <w:rPr>
          <w:rFonts w:ascii="Arial" w:hAnsi="Arial" w:cs="Arial"/>
          <w:color w:val="000000" w:themeColor="text1"/>
          <w:sz w:val="20"/>
        </w:rPr>
      </w:pPr>
    </w:p>
    <w:p w14:paraId="6FC1F7DA" w14:textId="77777777" w:rsidR="008A1FD5" w:rsidRPr="002D34F3" w:rsidRDefault="008A1FD5" w:rsidP="008A1FD5">
      <w:pPr>
        <w:pStyle w:val="Nagwek3"/>
        <w:spacing w:before="60"/>
        <w:rPr>
          <w:color w:val="000000" w:themeColor="text1"/>
          <w:sz w:val="22"/>
        </w:rPr>
      </w:pPr>
      <w:r w:rsidRPr="002D34F3">
        <w:rPr>
          <w:color w:val="000000" w:themeColor="text1"/>
          <w:sz w:val="22"/>
        </w:rPr>
        <w:t>9.5. ZABEZPIECZENIE KORZENI DRZEW W WYKOPACH</w:t>
      </w:r>
    </w:p>
    <w:p w14:paraId="7F4E60B3"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Doraźne zabezpieczanie korzeni drzew w ścianach wykopów poprzez:</w:t>
      </w:r>
    </w:p>
    <w:p w14:paraId="7CE0B2A0"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Przycinanie korzeni w płaszczyźnie wykopu i bandażowanie ich jutą lub geowłókniną;</w:t>
      </w:r>
    </w:p>
    <w:p w14:paraId="5331B137"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Mocowanie osłony z juty lub geowłókniny kołkiem mocującymi;</w:t>
      </w:r>
    </w:p>
    <w:p w14:paraId="34686605"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Osłonięcie ściany wykopu przed utratą wilgoci matą słomianą.</w:t>
      </w:r>
    </w:p>
    <w:p w14:paraId="241E9BE5"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Zabezpieczenie stabilne poprzez zbudowanie ekranów korzeniowych (szalunek oraz podłoże </w:t>
      </w:r>
      <w:r w:rsidRPr="002D34F3">
        <w:rPr>
          <w:rFonts w:ascii="Arial" w:hAnsi="Arial" w:cs="Arial"/>
          <w:color w:val="000000" w:themeColor="text1"/>
          <w:kern w:val="1"/>
          <w:sz w:val="18"/>
        </w:rPr>
        <w:br/>
        <w:t>z substancjami odżywczymi) z desek lub specjalnych płyt wiórowych syntetyczną żywicą. Wysokość ekranów korzeniowych nie przekracza 100 cm (zależna od głębokości korzeni).</w:t>
      </w:r>
    </w:p>
    <w:p w14:paraId="454F5E02"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Sposób wykonania ekranów korzeniowych:</w:t>
      </w:r>
    </w:p>
    <w:p w14:paraId="10D646F3"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Uformowanie ścian wykopu;</w:t>
      </w:r>
    </w:p>
    <w:p w14:paraId="076C920D"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Przycięcie sekatorem lub piłką ręczną korzeni wystających i zniszczonych w płaszczyźnie ścian wykopu;</w:t>
      </w:r>
    </w:p>
    <w:p w14:paraId="6B2BB1EB"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Zabezpieczenie ran przed infekcją (smarowanie ran i ich krawędzi preparatem emulsyjnym bakterio- i grzybobójczym);</w:t>
      </w:r>
    </w:p>
    <w:p w14:paraId="0655833B"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Przed wykonaniem szalunku odczekać by preparat zabezpieczający stwardniał;</w:t>
      </w:r>
    </w:p>
    <w:p w14:paraId="19980F7B"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 xml:space="preserve">Wykonanie szalunku z desek mocowanego do witych w grunt palików; deski maksymalnie przylegające do siebie; </w:t>
      </w:r>
    </w:p>
    <w:p w14:paraId="79969921"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Wypełnienie przestrzeni między szalunkiem i ścianą wykopu ziemią urodzajną (próchnica, domieszka torfu odkwaszonego w ilości nie przekraczającej 40% całej masy podłoża);</w:t>
      </w:r>
    </w:p>
    <w:p w14:paraId="217D70B7"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W razie mocnego uszkodzenia korzeni zastosowanie podłoża biologicznie czynnego (ziemia urodzajna z kulturami grzybów antagonistycznych);</w:t>
      </w:r>
    </w:p>
    <w:p w14:paraId="6459DB58"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Zraszanie ekranu woda (unikanie silnego nawodnienia by nie wypłukać podłoża i składników pokarmowych oraz nie rozerwać szalunku);</w:t>
      </w:r>
    </w:p>
    <w:p w14:paraId="6640A804"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Uzupełnianie podłoża;</w:t>
      </w:r>
    </w:p>
    <w:p w14:paraId="597A949E"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Kontrola stanu szalunku.</w:t>
      </w:r>
    </w:p>
    <w:p w14:paraId="4EA45235" w14:textId="77777777" w:rsidR="008A1FD5" w:rsidRPr="002D34F3" w:rsidRDefault="008A1FD5" w:rsidP="008A1FD5">
      <w:pPr>
        <w:rPr>
          <w:rFonts w:ascii="Arial" w:hAnsi="Arial" w:cs="Arial"/>
          <w:color w:val="000000" w:themeColor="text1"/>
          <w:sz w:val="20"/>
        </w:rPr>
      </w:pPr>
    </w:p>
    <w:p w14:paraId="10F288CF" w14:textId="77777777" w:rsidR="008A1FD5" w:rsidRPr="002D34F3" w:rsidRDefault="008A1FD5" w:rsidP="008A1FD5">
      <w:pPr>
        <w:pStyle w:val="Nagwek3"/>
        <w:spacing w:before="60"/>
        <w:rPr>
          <w:color w:val="000000" w:themeColor="text1"/>
          <w:sz w:val="20"/>
          <w:szCs w:val="20"/>
        </w:rPr>
      </w:pPr>
      <w:r w:rsidRPr="002D34F3">
        <w:rPr>
          <w:color w:val="000000" w:themeColor="text1"/>
          <w:sz w:val="22"/>
        </w:rPr>
        <w:t>9.6. PIELĘGNACJA DRZEW USZKODZONYCH W CZASIE PROWADZENIA PRAC</w:t>
      </w:r>
    </w:p>
    <w:p w14:paraId="4377209A"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Drzewa uszkodzone w czasie prowadzenia robót należy natychmiast poddać zabiegom pielęgnacyjnym:</w:t>
      </w:r>
    </w:p>
    <w:p w14:paraId="4C2A7EA6" w14:textId="77777777" w:rsidR="008A1FD5" w:rsidRPr="002D34F3" w:rsidRDefault="008A1FD5" w:rsidP="00BA5651">
      <w:pPr>
        <w:widowControl/>
        <w:numPr>
          <w:ilvl w:val="0"/>
          <w:numId w:val="339"/>
        </w:numPr>
        <w:suppressAutoHyphens w:val="0"/>
        <w:overflowPunct/>
        <w:autoSpaceDE/>
        <w:ind w:left="0" w:firstLine="0"/>
        <w:jc w:val="both"/>
        <w:textAlignment w:val="auto"/>
        <w:rPr>
          <w:rFonts w:ascii="Arial" w:hAnsi="Arial" w:cs="Arial"/>
          <w:color w:val="000000" w:themeColor="text1"/>
          <w:sz w:val="18"/>
        </w:rPr>
      </w:pPr>
      <w:r w:rsidRPr="002D34F3">
        <w:rPr>
          <w:rFonts w:ascii="Arial" w:hAnsi="Arial" w:cs="Arial"/>
          <w:color w:val="000000" w:themeColor="text1"/>
          <w:sz w:val="18"/>
        </w:rPr>
        <w:t>Przy uszkodzeniu korzeni:</w:t>
      </w:r>
    </w:p>
    <w:p w14:paraId="154983D1"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zmniejszyć koronę drzewa, proporcjonalnie do ubytku korzeni;</w:t>
      </w:r>
    </w:p>
    <w:p w14:paraId="4052B6C7"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xml:space="preserve">- wykonać cięcia sanitarne korzeni pod kątem prostym, dokonując cięcia tam, gdzie zaczyna </w:t>
      </w:r>
      <w:r w:rsidRPr="002D34F3">
        <w:rPr>
          <w:rFonts w:ascii="Arial" w:hAnsi="Arial" w:cs="Arial"/>
          <w:color w:val="000000" w:themeColor="text1"/>
          <w:sz w:val="18"/>
        </w:rPr>
        <w:br/>
        <w:t>się zdrowy korzeń;</w:t>
      </w:r>
    </w:p>
    <w:p w14:paraId="403ABF91"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lastRenderedPageBreak/>
        <w:t>- zabezpieczyć powierzchnię ran specjalistycznym preparatem bakterio- i grzybobójczym;</w:t>
      </w:r>
    </w:p>
    <w:p w14:paraId="28D3FE43"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obsypać urodzajną glebą zabezpieczone korzenie.</w:t>
      </w:r>
    </w:p>
    <w:p w14:paraId="67CE08FC" w14:textId="77777777" w:rsidR="008A1FD5" w:rsidRPr="002D34F3" w:rsidRDefault="008A1FD5" w:rsidP="00BA5651">
      <w:pPr>
        <w:widowControl/>
        <w:numPr>
          <w:ilvl w:val="0"/>
          <w:numId w:val="339"/>
        </w:numPr>
        <w:suppressAutoHyphens w:val="0"/>
        <w:overflowPunct/>
        <w:autoSpaceDE/>
        <w:ind w:left="0" w:firstLine="0"/>
        <w:jc w:val="both"/>
        <w:textAlignment w:val="auto"/>
        <w:rPr>
          <w:rFonts w:ascii="Arial" w:hAnsi="Arial" w:cs="Arial"/>
          <w:color w:val="000000" w:themeColor="text1"/>
          <w:sz w:val="18"/>
        </w:rPr>
      </w:pPr>
      <w:r w:rsidRPr="002D34F3">
        <w:rPr>
          <w:rFonts w:ascii="Arial" w:hAnsi="Arial" w:cs="Arial"/>
          <w:color w:val="000000" w:themeColor="text1"/>
          <w:sz w:val="18"/>
        </w:rPr>
        <w:t>Przy uszkodzeniu gałęzi</w:t>
      </w:r>
    </w:p>
    <w:p w14:paraId="663B91AC"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wykonać cięcia sanitarne gałęzi do miejsca, gdzie zaczyna się zdrowa tkanka. Cięcia wykonać trzyetapowo;</w:t>
      </w:r>
    </w:p>
    <w:p w14:paraId="1650636E"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zabezpieczyć natychmiast miejsce cięcia specjalistycznym preparatem bakterio- i grzybobójczym.</w:t>
      </w:r>
    </w:p>
    <w:p w14:paraId="250334AD" w14:textId="77777777" w:rsidR="008A1FD5" w:rsidRPr="002D34F3" w:rsidRDefault="008A1FD5" w:rsidP="00BA5651">
      <w:pPr>
        <w:widowControl/>
        <w:numPr>
          <w:ilvl w:val="0"/>
          <w:numId w:val="339"/>
        </w:numPr>
        <w:suppressAutoHyphens w:val="0"/>
        <w:overflowPunct/>
        <w:autoSpaceDE/>
        <w:ind w:left="0" w:firstLine="0"/>
        <w:jc w:val="both"/>
        <w:textAlignment w:val="auto"/>
        <w:rPr>
          <w:rFonts w:ascii="Arial" w:hAnsi="Arial" w:cs="Arial"/>
          <w:color w:val="000000" w:themeColor="text1"/>
          <w:sz w:val="18"/>
        </w:rPr>
      </w:pPr>
      <w:r w:rsidRPr="002D34F3">
        <w:rPr>
          <w:rFonts w:ascii="Arial" w:hAnsi="Arial" w:cs="Arial"/>
          <w:color w:val="000000" w:themeColor="text1"/>
          <w:sz w:val="18"/>
        </w:rPr>
        <w:t>Przy ubytkach powierzchniowych pnia:</w:t>
      </w:r>
    </w:p>
    <w:p w14:paraId="07088FCB"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wygładzić i uformować powierzchnię rany (ubytku);</w:t>
      </w:r>
    </w:p>
    <w:p w14:paraId="6E810209"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uformować krawędź rany (ubytku);</w:t>
      </w:r>
    </w:p>
    <w:p w14:paraId="66380250" w14:textId="77777777" w:rsidR="008A1FD5" w:rsidRPr="002D34F3" w:rsidRDefault="008A1FD5" w:rsidP="008A1FD5">
      <w:pPr>
        <w:rPr>
          <w:rFonts w:ascii="Arial" w:hAnsi="Arial" w:cs="Arial"/>
          <w:color w:val="000000" w:themeColor="text1"/>
          <w:sz w:val="18"/>
        </w:rPr>
      </w:pPr>
      <w:r w:rsidRPr="002D34F3">
        <w:rPr>
          <w:rFonts w:ascii="Arial" w:hAnsi="Arial" w:cs="Arial"/>
          <w:color w:val="000000" w:themeColor="text1"/>
          <w:sz w:val="18"/>
        </w:rPr>
        <w:t>- zabezpieczyć powierzchnię rany specjalistycznym preparatem.</w:t>
      </w:r>
    </w:p>
    <w:p w14:paraId="0DBD9866" w14:textId="77777777" w:rsidR="008A1FD5" w:rsidRPr="002D34F3" w:rsidRDefault="008A1FD5" w:rsidP="008A1FD5">
      <w:pPr>
        <w:pStyle w:val="Nagwek3"/>
        <w:spacing w:before="60"/>
        <w:rPr>
          <w:color w:val="000000" w:themeColor="text1"/>
          <w:sz w:val="22"/>
        </w:rPr>
      </w:pPr>
      <w:r w:rsidRPr="002D34F3">
        <w:rPr>
          <w:color w:val="000000" w:themeColor="text1"/>
          <w:sz w:val="22"/>
        </w:rPr>
        <w:t>9.7. WYTYCZNE DO PRAC NA ODSŁONIĘTEJ BRYLE KORZENIOWEJ</w:t>
      </w:r>
    </w:p>
    <w:p w14:paraId="3D8C32A8"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Systemy korzeniowe dojrzałych drzew są bardzo rozległe, dlatego należy dołożyć wszelkich starań, aby zminimalizować uszkodzenia korzeni, do których może dojść podczas wykonywania prac ziemnych. W pobliżu drzewa należy zrezygnować z wykonywania robót ciężkim sprzętem, </w:t>
      </w:r>
      <w:r w:rsidRPr="002D34F3">
        <w:rPr>
          <w:rFonts w:ascii="Arial" w:hAnsi="Arial" w:cs="Arial"/>
          <w:color w:val="000000" w:themeColor="text1"/>
          <w:kern w:val="1"/>
          <w:sz w:val="18"/>
        </w:rPr>
        <w:br/>
        <w:t>a wykonywać je wyłącznie ręcznie. Minimalna granica przeprowadzania robót ciężkim sprzętem dla drzew z nieformowaną koroną powinna wynosić 2 m od rzutu korony danego drzewa. Dla drzew z koroną ciętą granica wynosi półtora długości obecnej korony.</w:t>
      </w:r>
    </w:p>
    <w:p w14:paraId="46803A50"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Podczas wykonywania prac odsłaniających korzenie należy zadbać o jak najszybsze przykrycie ich gruntem lub zabezpieczyć je przed przesychaniem matami jutowymi. Najlepiej wykonywać takie zabiegi podczas pochmurnej i wilgotnej pogody.</w:t>
      </w:r>
    </w:p>
    <w:p w14:paraId="4049DC64"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Jeżeli wystąpi konieczność uszkodzenia korzeni to należy je ucinać ostrym narzędziem. Do zabezpieczenia ran korzeni należy użyć środka bakterio- i grzybobójczego. Jeżeli masa korzeni uległa znacznemu zmniejszeniu trzeba przeprowadzić, proporcjonalnie zmniejszenie ilości części organów asymilacyjnych (korony). Koronę należy ciąć pod ścisłą kontrolą inspektora nadzoru. Najdogodniejszą porą na przeprowadzenie tego typu robót ziemnych jest pora spoczynku drzew (od listopada do początku marca). Po wykonaniu zabiegów wokół strefy korzeniowej roślinę należy obficie podlać (podlanie jest obowiązkowe i niezależne od panującej w trakcie prac aury).</w:t>
      </w:r>
    </w:p>
    <w:p w14:paraId="6C98AD2F"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Podczas kładzenia instalacji podziemnej w strefie korzeniowej nie wolno doprowadzić </w:t>
      </w:r>
      <w:r w:rsidRPr="002D34F3">
        <w:rPr>
          <w:rFonts w:ascii="Arial" w:hAnsi="Arial" w:cs="Arial"/>
          <w:color w:val="000000" w:themeColor="text1"/>
          <w:kern w:val="1"/>
          <w:sz w:val="18"/>
        </w:rPr>
        <w:br/>
        <w:t>do uszkodzenia lub przecięcia grubych korzeni. Każdy uszczerbek masy korzeniowej spowoduje naruszenie statyki drzewa i w konsekwencji może się bezpośrednio przyczynić do jego wywrócenia. Prace montażowe (również przebieg instalacji) muszą być podporządkowane obecności tego elementu. Wszelkie prace tego typu należy wykonywać wyłącznie ręcznie.</w:t>
      </w:r>
    </w:p>
    <w:p w14:paraId="3838E181" w14:textId="77777777" w:rsidR="008A1FD5" w:rsidRPr="002D34F3" w:rsidRDefault="008A1FD5" w:rsidP="008A1FD5">
      <w:pPr>
        <w:rPr>
          <w:rFonts w:ascii="Arial" w:hAnsi="Arial" w:cs="Arial"/>
          <w:color w:val="000000" w:themeColor="text1"/>
          <w:sz w:val="20"/>
        </w:rPr>
      </w:pPr>
      <w:r w:rsidRPr="002D34F3">
        <w:rPr>
          <w:rFonts w:ascii="Arial" w:hAnsi="Arial" w:cs="Arial"/>
          <w:color w:val="000000" w:themeColor="text1"/>
          <w:sz w:val="20"/>
        </w:rPr>
        <w:t xml:space="preserve"> </w:t>
      </w:r>
    </w:p>
    <w:p w14:paraId="792FEE66" w14:textId="77777777" w:rsidR="008A1FD5" w:rsidRPr="002D34F3" w:rsidRDefault="008A1FD5" w:rsidP="008A1FD5">
      <w:pPr>
        <w:pStyle w:val="Nagwek3"/>
        <w:spacing w:before="60"/>
        <w:rPr>
          <w:color w:val="000000" w:themeColor="text1"/>
          <w:sz w:val="22"/>
        </w:rPr>
      </w:pPr>
      <w:r w:rsidRPr="002D34F3">
        <w:rPr>
          <w:color w:val="000000" w:themeColor="text1"/>
          <w:sz w:val="22"/>
        </w:rPr>
        <w:t>9.8. PRACE PORZĄDKOWE TERENU PO BUDOWIE</w:t>
      </w:r>
    </w:p>
    <w:p w14:paraId="3ED9A568"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zebranie i złożenie zanieczyszczeń (śmieci, gruzu resztek po budowie) w pryzmy;</w:t>
      </w:r>
    </w:p>
    <w:p w14:paraId="3EAB656B"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zamówienie kontenera na śmieci wraz z wywozem;</w:t>
      </w:r>
    </w:p>
    <w:p w14:paraId="505E7D28"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załadowanie kontenera zebranymi zanieczyszczeniami.</w:t>
      </w:r>
    </w:p>
    <w:p w14:paraId="53F445B7" w14:textId="77777777" w:rsidR="008A1FD5" w:rsidRPr="002D34F3" w:rsidRDefault="008A1FD5" w:rsidP="008A1FD5">
      <w:pPr>
        <w:pStyle w:val="Nagwek2"/>
        <w:rPr>
          <w:i w:val="0"/>
          <w:color w:val="000000" w:themeColor="text1"/>
        </w:rPr>
      </w:pPr>
      <w:r w:rsidRPr="002D34F3">
        <w:rPr>
          <w:i w:val="0"/>
          <w:color w:val="000000" w:themeColor="text1"/>
        </w:rPr>
        <w:t>10. KONTROLA JAKOŚCI</w:t>
      </w:r>
    </w:p>
    <w:p w14:paraId="5D2363AE" w14:textId="77777777" w:rsidR="008A1FD5" w:rsidRPr="002D34F3" w:rsidRDefault="008A1FD5" w:rsidP="008A1FD5">
      <w:pPr>
        <w:pStyle w:val="Nagwek3"/>
        <w:spacing w:before="60"/>
        <w:rPr>
          <w:color w:val="000000" w:themeColor="text1"/>
          <w:sz w:val="22"/>
        </w:rPr>
      </w:pPr>
      <w:r w:rsidRPr="002D34F3">
        <w:rPr>
          <w:color w:val="000000" w:themeColor="text1"/>
          <w:sz w:val="22"/>
        </w:rPr>
        <w:t>10.1. ZASADY KONTROLI JAKOŚCI</w:t>
      </w:r>
    </w:p>
    <w:p w14:paraId="31B40120" w14:textId="77777777" w:rsidR="008A1FD5" w:rsidRPr="002D34F3" w:rsidRDefault="008A1FD5" w:rsidP="008A1FD5">
      <w:pPr>
        <w:spacing w:after="240" w:line="276" w:lineRule="auto"/>
        <w:jc w:val="both"/>
        <w:rPr>
          <w:rFonts w:ascii="Arial" w:hAnsi="Arial" w:cs="Arial"/>
          <w:color w:val="000000" w:themeColor="text1"/>
          <w:kern w:val="1"/>
          <w:sz w:val="18"/>
        </w:rPr>
      </w:pPr>
      <w:r w:rsidRPr="002D34F3">
        <w:rPr>
          <w:rFonts w:ascii="Arial" w:hAnsi="Arial" w:cs="Arial"/>
          <w:color w:val="000000" w:themeColor="text1"/>
          <w:kern w:val="1"/>
          <w:sz w:val="18"/>
        </w:rPr>
        <w:t>Wymagania dotyczące kontroli jakości podano w ST-00.00 „Wymagania Ogólne”.</w:t>
      </w:r>
    </w:p>
    <w:p w14:paraId="619BE637" w14:textId="77777777" w:rsidR="008A1FD5" w:rsidRPr="002D34F3" w:rsidRDefault="008A1FD5" w:rsidP="008A1FD5">
      <w:pPr>
        <w:pStyle w:val="Nagwek3"/>
        <w:spacing w:before="60"/>
        <w:rPr>
          <w:color w:val="000000" w:themeColor="text1"/>
          <w:sz w:val="22"/>
        </w:rPr>
      </w:pPr>
      <w:r w:rsidRPr="002D34F3">
        <w:rPr>
          <w:color w:val="000000" w:themeColor="text1"/>
          <w:sz w:val="22"/>
        </w:rPr>
        <w:t xml:space="preserve">10.2. KONTROLA WYKONANIA ROBÓT PRZYGOTOWAWCZYCH I PRAC PORZĄDKOWYCH </w:t>
      </w:r>
    </w:p>
    <w:p w14:paraId="34DBB1A9"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 czasie prowadzenia prac polega na sprawdzeniu:</w:t>
      </w:r>
    </w:p>
    <w:p w14:paraId="6B3B6686"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Prawidłowego zabezpieczenia terenu budowy;</w:t>
      </w:r>
    </w:p>
    <w:p w14:paraId="60D9237B"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Prawidłowego zabezpieczenia na czas budowy drzew pozostających na miejscu;</w:t>
      </w:r>
    </w:p>
    <w:p w14:paraId="053308D1"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Dokładności prac związanych z oczyszczaniem terenu po pracach związanych z gospodarką drzewostanem;</w:t>
      </w:r>
    </w:p>
    <w:p w14:paraId="11E5F951" w14:textId="77777777" w:rsidR="008A1FD5" w:rsidRPr="002D34F3" w:rsidRDefault="008A1FD5" w:rsidP="008A1FD5">
      <w:pPr>
        <w:pStyle w:val="Nagwek3"/>
        <w:spacing w:before="60"/>
        <w:rPr>
          <w:color w:val="000000" w:themeColor="text1"/>
          <w:sz w:val="22"/>
        </w:rPr>
      </w:pPr>
      <w:r w:rsidRPr="002D34F3">
        <w:rPr>
          <w:color w:val="000000" w:themeColor="text1"/>
          <w:sz w:val="22"/>
        </w:rPr>
        <w:t>10.3. KONTROLA PRAC PORZĄDKOWYCH TERENU PO BUDOWIE</w:t>
      </w:r>
    </w:p>
    <w:p w14:paraId="3E9A6587"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 czasie prowadzenia prac polega na:</w:t>
      </w:r>
    </w:p>
    <w:p w14:paraId="4435C25C"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Wizualnej ocenie kompletności oczyszczenia terenu.</w:t>
      </w:r>
    </w:p>
    <w:p w14:paraId="5D6E26DA" w14:textId="77777777" w:rsidR="008A1FD5" w:rsidRPr="002D34F3" w:rsidRDefault="008A1FD5" w:rsidP="008A1FD5">
      <w:pPr>
        <w:pStyle w:val="Nagwek2"/>
        <w:rPr>
          <w:i w:val="0"/>
          <w:color w:val="000000" w:themeColor="text1"/>
        </w:rPr>
      </w:pPr>
      <w:r w:rsidRPr="002D34F3">
        <w:rPr>
          <w:i w:val="0"/>
          <w:color w:val="000000" w:themeColor="text1"/>
        </w:rPr>
        <w:t>11. OBMIAR ROBÓT</w:t>
      </w:r>
    </w:p>
    <w:p w14:paraId="65D55475" w14:textId="77777777" w:rsidR="008A1FD5" w:rsidRPr="002D34F3" w:rsidRDefault="008A1FD5" w:rsidP="008A1FD5">
      <w:pPr>
        <w:ind w:left="360"/>
        <w:jc w:val="both"/>
        <w:rPr>
          <w:rFonts w:ascii="Arial" w:hAnsi="Arial" w:cs="Arial"/>
          <w:color w:val="000000" w:themeColor="text1"/>
          <w:sz w:val="18"/>
        </w:rPr>
      </w:pPr>
      <w:r w:rsidRPr="002D34F3">
        <w:rPr>
          <w:rFonts w:ascii="Arial" w:hAnsi="Arial" w:cs="Arial"/>
          <w:color w:val="000000" w:themeColor="text1"/>
          <w:sz w:val="18"/>
        </w:rPr>
        <w:t>Wymagania dotyczące obmiaru robót podano w ST-00.00 „Wymagania Ogólne”.</w:t>
      </w:r>
    </w:p>
    <w:p w14:paraId="4415EF7C" w14:textId="77777777" w:rsidR="008A1FD5" w:rsidRPr="002D34F3" w:rsidRDefault="008A1FD5" w:rsidP="008A1FD5">
      <w:pPr>
        <w:ind w:firstLine="360"/>
        <w:jc w:val="both"/>
        <w:rPr>
          <w:rFonts w:ascii="Arial" w:hAnsi="Arial" w:cs="Arial"/>
          <w:color w:val="000000" w:themeColor="text1"/>
          <w:sz w:val="18"/>
        </w:rPr>
      </w:pPr>
      <w:r w:rsidRPr="002D34F3">
        <w:rPr>
          <w:rFonts w:ascii="Arial" w:hAnsi="Arial" w:cs="Arial"/>
          <w:color w:val="000000" w:themeColor="text1"/>
          <w:sz w:val="18"/>
        </w:rPr>
        <w:t>Jednostką obmiarową jest :</w:t>
      </w:r>
    </w:p>
    <w:p w14:paraId="18913FDE" w14:textId="77777777" w:rsidR="008A1FD5" w:rsidRPr="002D34F3" w:rsidRDefault="008A1FD5" w:rsidP="008A1FD5">
      <w:pPr>
        <w:ind w:left="360"/>
        <w:jc w:val="both"/>
        <w:rPr>
          <w:rFonts w:ascii="Arial" w:hAnsi="Arial" w:cs="Arial"/>
          <w:color w:val="000000" w:themeColor="text1"/>
          <w:sz w:val="18"/>
        </w:rPr>
      </w:pPr>
      <w:r w:rsidRPr="002D34F3">
        <w:rPr>
          <w:rFonts w:ascii="Arial" w:hAnsi="Arial" w:cs="Arial"/>
          <w:color w:val="000000" w:themeColor="text1"/>
          <w:sz w:val="18"/>
        </w:rPr>
        <w:t>- szt. (sztuka) paliki, repery</w:t>
      </w:r>
    </w:p>
    <w:p w14:paraId="174BD6A2" w14:textId="77777777" w:rsidR="008A1FD5" w:rsidRPr="002D34F3" w:rsidRDefault="008A1FD5" w:rsidP="008A1FD5">
      <w:pPr>
        <w:ind w:left="360"/>
        <w:jc w:val="both"/>
        <w:rPr>
          <w:rFonts w:ascii="Arial" w:hAnsi="Arial" w:cs="Arial"/>
          <w:color w:val="000000" w:themeColor="text1"/>
          <w:sz w:val="18"/>
        </w:rPr>
      </w:pPr>
      <w:r w:rsidRPr="002D34F3">
        <w:rPr>
          <w:rFonts w:ascii="Arial" w:hAnsi="Arial" w:cs="Arial"/>
          <w:color w:val="000000" w:themeColor="text1"/>
          <w:sz w:val="18"/>
        </w:rPr>
        <w:t>- m</w:t>
      </w:r>
      <w:r w:rsidRPr="002D34F3">
        <w:rPr>
          <w:rFonts w:ascii="Arial" w:hAnsi="Arial" w:cs="Arial"/>
          <w:color w:val="000000" w:themeColor="text1"/>
          <w:sz w:val="18"/>
          <w:vertAlign w:val="superscript"/>
        </w:rPr>
        <w:t>2</w:t>
      </w:r>
      <w:r w:rsidRPr="002D34F3">
        <w:rPr>
          <w:rFonts w:ascii="Arial" w:hAnsi="Arial" w:cs="Arial"/>
          <w:color w:val="000000" w:themeColor="text1"/>
          <w:sz w:val="18"/>
        </w:rPr>
        <w:t>/ha powierzchni</w:t>
      </w:r>
    </w:p>
    <w:p w14:paraId="5375B40E" w14:textId="77777777" w:rsidR="008A1FD5" w:rsidRPr="002D34F3" w:rsidRDefault="008A1FD5" w:rsidP="008A1FD5">
      <w:pPr>
        <w:ind w:left="360"/>
        <w:jc w:val="both"/>
        <w:rPr>
          <w:rFonts w:ascii="Arial" w:hAnsi="Arial" w:cs="Arial"/>
          <w:color w:val="000000" w:themeColor="text1"/>
          <w:sz w:val="18"/>
        </w:rPr>
      </w:pPr>
      <w:r w:rsidRPr="002D34F3">
        <w:rPr>
          <w:rFonts w:ascii="Arial" w:hAnsi="Arial" w:cs="Arial"/>
          <w:color w:val="000000" w:themeColor="text1"/>
          <w:sz w:val="18"/>
        </w:rPr>
        <w:t>- m</w:t>
      </w:r>
      <w:r w:rsidRPr="002D34F3">
        <w:rPr>
          <w:rFonts w:ascii="Arial" w:hAnsi="Arial" w:cs="Arial"/>
          <w:color w:val="000000" w:themeColor="text1"/>
          <w:sz w:val="18"/>
          <w:vertAlign w:val="superscript"/>
        </w:rPr>
        <w:t xml:space="preserve">3 </w:t>
      </w:r>
      <w:r w:rsidRPr="002D34F3">
        <w:rPr>
          <w:rFonts w:ascii="Arial" w:hAnsi="Arial" w:cs="Arial"/>
          <w:color w:val="000000" w:themeColor="text1"/>
          <w:sz w:val="18"/>
        </w:rPr>
        <w:t>humusu</w:t>
      </w:r>
    </w:p>
    <w:p w14:paraId="6589678F" w14:textId="77777777" w:rsidR="008A1FD5" w:rsidRPr="002D34F3" w:rsidRDefault="008A1FD5" w:rsidP="008A1FD5">
      <w:pPr>
        <w:pStyle w:val="Nagwek2"/>
        <w:rPr>
          <w:i w:val="0"/>
          <w:color w:val="000000" w:themeColor="text1"/>
        </w:rPr>
      </w:pPr>
      <w:r w:rsidRPr="002D34F3">
        <w:rPr>
          <w:i w:val="0"/>
          <w:color w:val="000000" w:themeColor="text1"/>
        </w:rPr>
        <w:t xml:space="preserve">12. ODBIÓR ROBÓT   </w:t>
      </w:r>
    </w:p>
    <w:p w14:paraId="6356B70F"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Wymagania dotyczące odbioru robót podano w ST-00.00 „Wymagania Ogólne”.</w:t>
      </w:r>
    </w:p>
    <w:p w14:paraId="10B999B0" w14:textId="77777777" w:rsidR="008A1FD5" w:rsidRPr="002D34F3" w:rsidRDefault="008A1FD5" w:rsidP="008A1FD5">
      <w:pPr>
        <w:pStyle w:val="Nagwek2"/>
        <w:rPr>
          <w:i w:val="0"/>
          <w:color w:val="000000" w:themeColor="text1"/>
        </w:rPr>
      </w:pPr>
      <w:r w:rsidRPr="002D34F3">
        <w:rPr>
          <w:i w:val="0"/>
          <w:color w:val="000000" w:themeColor="text1"/>
        </w:rPr>
        <w:t>13. PODSTAWA PŁATNOŚCI</w:t>
      </w:r>
    </w:p>
    <w:p w14:paraId="3B49A33E"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Podstawą płatności jest cena skalkulowana przez Wykonawcę, która obejmować będzie w szczególności:</w:t>
      </w:r>
    </w:p>
    <w:p w14:paraId="1308651B"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lastRenderedPageBreak/>
        <w:t xml:space="preserve">  - Robociznę bezpośrednią wraz z towarzyszącymi kosztami</w:t>
      </w:r>
    </w:p>
    <w:p w14:paraId="441B7FA5"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  - Wartość zużytych materiałów wraz z kosztami zakupu i magazynowania</w:t>
      </w:r>
    </w:p>
    <w:p w14:paraId="6DFCB7AD"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  - Wartość pracy sprzętu wraz z kosztami jednorazowymi</w:t>
      </w:r>
    </w:p>
    <w:p w14:paraId="131F66C7"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  - Koszty pośrednie, zysk kalkulacyjny i ryzyko Wykonawcy</w:t>
      </w:r>
    </w:p>
    <w:p w14:paraId="36B6AEBE"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  - Podatki obliczone zgodnie z obowiązującymi przepisami</w:t>
      </w:r>
    </w:p>
    <w:p w14:paraId="195A8FAF"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 xml:space="preserve">Do cen jednostkowych nie należy wliczać podatku VAT.                  </w:t>
      </w:r>
    </w:p>
    <w:p w14:paraId="4246EC30" w14:textId="77777777" w:rsidR="008A1FD5" w:rsidRPr="002D34F3" w:rsidRDefault="008A1FD5" w:rsidP="008A1FD5">
      <w:pPr>
        <w:pStyle w:val="Nagwek2"/>
        <w:rPr>
          <w:i w:val="0"/>
          <w:color w:val="000000" w:themeColor="text1"/>
          <w:sz w:val="22"/>
          <w:szCs w:val="26"/>
        </w:rPr>
      </w:pPr>
      <w:r w:rsidRPr="002D34F3">
        <w:rPr>
          <w:i w:val="0"/>
          <w:color w:val="000000" w:themeColor="text1"/>
        </w:rPr>
        <w:t>14. PRZEPISY POWIĄZANE</w:t>
      </w:r>
    </w:p>
    <w:p w14:paraId="35DFCF72" w14:textId="77777777" w:rsidR="008A1FD5" w:rsidRPr="002D34F3" w:rsidRDefault="008A1FD5" w:rsidP="008A1FD5">
      <w:pPr>
        <w:autoSpaceDN w:val="0"/>
        <w:adjustRightInd w:val="0"/>
        <w:spacing w:line="276" w:lineRule="auto"/>
        <w:jc w:val="both"/>
        <w:rPr>
          <w:rFonts w:ascii="Arial" w:hAnsi="Arial" w:cs="Arial"/>
          <w:color w:val="000000" w:themeColor="text1"/>
          <w:kern w:val="1"/>
          <w:sz w:val="18"/>
        </w:rPr>
      </w:pPr>
      <w:r w:rsidRPr="002D34F3">
        <w:rPr>
          <w:rFonts w:ascii="Arial" w:hAnsi="Arial" w:cs="Arial"/>
          <w:color w:val="000000" w:themeColor="text1"/>
          <w:kern w:val="1"/>
          <w:sz w:val="18"/>
        </w:rPr>
        <w:t>Nie wymienienie tytułu jakiejkolwiek dziedziny, grupy, podgrupy czy normy nie zwalnia Wykonawcy od obowiązku stosowania wymogów określonych prawem polskim.</w:t>
      </w:r>
    </w:p>
    <w:p w14:paraId="6626125E" w14:textId="77777777" w:rsidR="008A1FD5" w:rsidRPr="002D34F3" w:rsidRDefault="008A1FD5" w:rsidP="008A1FD5">
      <w:pPr>
        <w:autoSpaceDN w:val="0"/>
        <w:adjustRightInd w:val="0"/>
        <w:spacing w:line="276" w:lineRule="auto"/>
        <w:jc w:val="both"/>
        <w:rPr>
          <w:rFonts w:ascii="Arial" w:hAnsi="Arial" w:cs="Arial"/>
          <w:color w:val="000000" w:themeColor="text1"/>
          <w:kern w:val="1"/>
          <w:sz w:val="18"/>
        </w:rPr>
      </w:pPr>
      <w:r w:rsidRPr="002D34F3">
        <w:rPr>
          <w:rFonts w:ascii="Arial" w:hAnsi="Arial" w:cs="Arial"/>
          <w:color w:val="000000" w:themeColor="text1"/>
          <w:kern w:val="1"/>
          <w:sz w:val="18"/>
        </w:rPr>
        <w:t>Wykonawca będzie przestrzegał praw autorskich i patentowych. Jest zobowiązany odpowiedzialności za spełnienie wszystkich wymagań prawnych w odniesieniu do używanych opatentowanych urządzeń lub metod.</w:t>
      </w:r>
    </w:p>
    <w:p w14:paraId="5D9B84B3" w14:textId="77777777" w:rsidR="008A1FD5" w:rsidRPr="002D34F3" w:rsidRDefault="008A1FD5" w:rsidP="008A1FD5">
      <w:pPr>
        <w:pStyle w:val="Specyfikacje"/>
        <w:spacing w:after="0"/>
        <w:ind w:left="0"/>
        <w:rPr>
          <w:rFonts w:ascii="Arial" w:hAnsi="Arial" w:cs="Arial"/>
          <w:color w:val="000000" w:themeColor="text1"/>
          <w:sz w:val="18"/>
        </w:rPr>
      </w:pPr>
    </w:p>
    <w:p w14:paraId="323EBE17" w14:textId="77777777" w:rsidR="008A1FD5" w:rsidRPr="002D34F3" w:rsidRDefault="008A1FD5" w:rsidP="008A1FD5">
      <w:pPr>
        <w:pStyle w:val="Specyfikacje"/>
        <w:spacing w:after="0"/>
        <w:ind w:left="0"/>
        <w:rPr>
          <w:rFonts w:ascii="Arial" w:hAnsi="Arial" w:cs="Arial"/>
          <w:color w:val="000000" w:themeColor="text1"/>
          <w:sz w:val="18"/>
        </w:rPr>
      </w:pPr>
    </w:p>
    <w:p w14:paraId="2C0F43E2" w14:textId="77777777" w:rsidR="008A1FD5" w:rsidRPr="002D34F3" w:rsidRDefault="008A1FD5" w:rsidP="008A1FD5">
      <w:pPr>
        <w:pStyle w:val="Specyfikacje"/>
        <w:spacing w:after="0"/>
        <w:ind w:left="0"/>
        <w:rPr>
          <w:rFonts w:ascii="Arial" w:hAnsi="Arial" w:cs="Arial"/>
          <w:color w:val="000000" w:themeColor="text1"/>
          <w:sz w:val="18"/>
        </w:rPr>
      </w:pPr>
    </w:p>
    <w:p w14:paraId="60AC1289" w14:textId="77777777" w:rsidR="008A1FD5" w:rsidRPr="002D34F3" w:rsidRDefault="008A1FD5" w:rsidP="008A1FD5">
      <w:pPr>
        <w:pStyle w:val="Specyfikacje"/>
        <w:spacing w:after="0"/>
        <w:ind w:left="0"/>
        <w:rPr>
          <w:rFonts w:ascii="Arial" w:hAnsi="Arial" w:cs="Arial"/>
          <w:color w:val="000000" w:themeColor="text1"/>
          <w:sz w:val="18"/>
        </w:rPr>
      </w:pPr>
    </w:p>
    <w:p w14:paraId="444FFF04" w14:textId="77777777" w:rsidR="008A1FD5" w:rsidRPr="002D34F3" w:rsidRDefault="008A1FD5" w:rsidP="008A1FD5">
      <w:pPr>
        <w:pStyle w:val="Specyfikacje"/>
        <w:spacing w:after="0"/>
        <w:ind w:left="0"/>
        <w:rPr>
          <w:rFonts w:ascii="Arial" w:hAnsi="Arial" w:cs="Arial"/>
          <w:color w:val="000000" w:themeColor="text1"/>
          <w:sz w:val="18"/>
        </w:rPr>
      </w:pPr>
    </w:p>
    <w:p w14:paraId="4BF70FD9" w14:textId="77777777" w:rsidR="008A1FD5" w:rsidRPr="002D34F3" w:rsidRDefault="008A1FD5" w:rsidP="008A1FD5">
      <w:pPr>
        <w:pStyle w:val="Specyfikacje"/>
        <w:spacing w:after="0"/>
        <w:ind w:left="0"/>
        <w:rPr>
          <w:rFonts w:ascii="Arial" w:hAnsi="Arial" w:cs="Arial"/>
          <w:color w:val="000000" w:themeColor="text1"/>
          <w:sz w:val="18"/>
        </w:rPr>
      </w:pPr>
    </w:p>
    <w:p w14:paraId="6027D80A" w14:textId="77777777" w:rsidR="008A1FD5" w:rsidRPr="002D34F3" w:rsidRDefault="008A1FD5" w:rsidP="008A1FD5">
      <w:pPr>
        <w:pStyle w:val="Specyfikacje"/>
        <w:spacing w:after="0"/>
        <w:ind w:left="0"/>
        <w:rPr>
          <w:rFonts w:ascii="Arial" w:hAnsi="Arial" w:cs="Arial"/>
          <w:color w:val="000000" w:themeColor="text1"/>
          <w:sz w:val="18"/>
        </w:rPr>
      </w:pPr>
    </w:p>
    <w:p w14:paraId="7397DA29" w14:textId="77777777" w:rsidR="008A1FD5" w:rsidRPr="002D34F3" w:rsidRDefault="008A1FD5" w:rsidP="008A1FD5">
      <w:pPr>
        <w:pStyle w:val="Specyfikacje"/>
        <w:spacing w:after="0"/>
        <w:ind w:left="0"/>
        <w:rPr>
          <w:rFonts w:ascii="Arial" w:hAnsi="Arial" w:cs="Arial"/>
          <w:color w:val="000000" w:themeColor="text1"/>
          <w:sz w:val="18"/>
        </w:rPr>
      </w:pPr>
    </w:p>
    <w:p w14:paraId="239951A1" w14:textId="77777777" w:rsidR="008A1FD5" w:rsidRPr="002D34F3" w:rsidRDefault="008A1FD5" w:rsidP="008A1FD5">
      <w:pPr>
        <w:pStyle w:val="Specyfikacje"/>
        <w:spacing w:after="0"/>
        <w:ind w:left="0"/>
        <w:rPr>
          <w:rFonts w:ascii="Arial" w:hAnsi="Arial" w:cs="Arial"/>
          <w:color w:val="000000" w:themeColor="text1"/>
          <w:sz w:val="18"/>
        </w:rPr>
      </w:pPr>
    </w:p>
    <w:p w14:paraId="4BDD5558" w14:textId="77777777" w:rsidR="008A1FD5" w:rsidRPr="002D34F3" w:rsidRDefault="008A1FD5" w:rsidP="008A1FD5">
      <w:pPr>
        <w:pStyle w:val="Specyfikacje"/>
        <w:spacing w:after="0"/>
        <w:ind w:left="0"/>
        <w:rPr>
          <w:rFonts w:ascii="Arial" w:hAnsi="Arial" w:cs="Arial"/>
          <w:color w:val="000000" w:themeColor="text1"/>
          <w:sz w:val="18"/>
        </w:rPr>
      </w:pPr>
    </w:p>
    <w:p w14:paraId="051FF23B" w14:textId="77777777" w:rsidR="008A1FD5" w:rsidRPr="002D34F3" w:rsidRDefault="008A1FD5" w:rsidP="008A1FD5">
      <w:pPr>
        <w:pStyle w:val="Specyfikacje"/>
        <w:spacing w:after="0"/>
        <w:ind w:left="0"/>
        <w:rPr>
          <w:rFonts w:ascii="Arial" w:hAnsi="Arial" w:cs="Arial"/>
          <w:color w:val="000000" w:themeColor="text1"/>
          <w:sz w:val="18"/>
        </w:rPr>
      </w:pPr>
    </w:p>
    <w:p w14:paraId="359C6C12" w14:textId="77777777" w:rsidR="008A1FD5" w:rsidRPr="002D34F3" w:rsidRDefault="008A1FD5" w:rsidP="008A1FD5">
      <w:pPr>
        <w:pStyle w:val="Specyfikacje"/>
        <w:spacing w:after="0"/>
        <w:ind w:left="0"/>
        <w:rPr>
          <w:rFonts w:ascii="Arial" w:hAnsi="Arial" w:cs="Arial"/>
          <w:color w:val="000000" w:themeColor="text1"/>
          <w:sz w:val="18"/>
        </w:rPr>
      </w:pPr>
    </w:p>
    <w:p w14:paraId="4CEAAF94" w14:textId="77777777" w:rsidR="008A1FD5" w:rsidRPr="002D34F3" w:rsidRDefault="008A1FD5" w:rsidP="008A1FD5">
      <w:pPr>
        <w:pStyle w:val="Specyfikacje"/>
        <w:spacing w:after="0"/>
        <w:ind w:left="0"/>
        <w:rPr>
          <w:rFonts w:ascii="Arial" w:hAnsi="Arial" w:cs="Arial"/>
          <w:color w:val="000000" w:themeColor="text1"/>
          <w:sz w:val="18"/>
        </w:rPr>
      </w:pPr>
    </w:p>
    <w:p w14:paraId="625E8DB7" w14:textId="77777777" w:rsidR="008A1FD5" w:rsidRPr="002D34F3" w:rsidRDefault="008A1FD5" w:rsidP="008A1FD5">
      <w:pPr>
        <w:pStyle w:val="Specyfikacje"/>
        <w:spacing w:after="0"/>
        <w:ind w:left="0"/>
        <w:rPr>
          <w:rFonts w:ascii="Arial" w:hAnsi="Arial" w:cs="Arial"/>
          <w:color w:val="000000" w:themeColor="text1"/>
          <w:sz w:val="18"/>
        </w:rPr>
      </w:pPr>
    </w:p>
    <w:p w14:paraId="606F9439" w14:textId="77777777" w:rsidR="008A1FD5" w:rsidRPr="002D34F3" w:rsidRDefault="008A1FD5" w:rsidP="008A1FD5">
      <w:pPr>
        <w:pStyle w:val="Specyfikacje"/>
        <w:spacing w:after="0"/>
        <w:ind w:left="0"/>
        <w:rPr>
          <w:rFonts w:ascii="Arial" w:hAnsi="Arial" w:cs="Arial"/>
          <w:color w:val="000000" w:themeColor="text1"/>
          <w:sz w:val="18"/>
        </w:rPr>
      </w:pPr>
    </w:p>
    <w:p w14:paraId="33963A61" w14:textId="77777777" w:rsidR="008A1FD5" w:rsidRPr="002D34F3" w:rsidRDefault="008A1FD5" w:rsidP="008A1FD5">
      <w:pPr>
        <w:pStyle w:val="Specyfikacje"/>
        <w:spacing w:after="0"/>
        <w:ind w:left="0"/>
        <w:rPr>
          <w:rFonts w:ascii="Arial" w:hAnsi="Arial" w:cs="Arial"/>
          <w:color w:val="000000" w:themeColor="text1"/>
          <w:sz w:val="18"/>
        </w:rPr>
      </w:pPr>
    </w:p>
    <w:p w14:paraId="254A75C1" w14:textId="77777777" w:rsidR="008A1FD5" w:rsidRPr="002D34F3" w:rsidRDefault="008A1FD5" w:rsidP="008A1FD5">
      <w:pPr>
        <w:pStyle w:val="Specyfikacje"/>
        <w:spacing w:after="0"/>
        <w:ind w:left="0"/>
        <w:rPr>
          <w:rFonts w:ascii="Arial" w:hAnsi="Arial" w:cs="Arial"/>
          <w:color w:val="000000" w:themeColor="text1"/>
          <w:sz w:val="18"/>
        </w:rPr>
      </w:pPr>
    </w:p>
    <w:p w14:paraId="349430C6" w14:textId="77777777" w:rsidR="008A1FD5" w:rsidRPr="002D34F3" w:rsidRDefault="008A1FD5" w:rsidP="008A1FD5">
      <w:pPr>
        <w:pStyle w:val="Specyfikacje"/>
        <w:spacing w:after="0"/>
        <w:ind w:left="0"/>
        <w:rPr>
          <w:rFonts w:ascii="Arial" w:hAnsi="Arial" w:cs="Arial"/>
          <w:color w:val="000000" w:themeColor="text1"/>
          <w:sz w:val="18"/>
        </w:rPr>
      </w:pPr>
    </w:p>
    <w:p w14:paraId="341FF698" w14:textId="77777777" w:rsidR="008A1FD5" w:rsidRPr="002D34F3" w:rsidRDefault="008A1FD5" w:rsidP="008A1FD5">
      <w:pPr>
        <w:pStyle w:val="Specyfikacje"/>
        <w:spacing w:after="0"/>
        <w:ind w:left="0"/>
        <w:rPr>
          <w:rFonts w:ascii="Arial" w:hAnsi="Arial" w:cs="Arial"/>
          <w:color w:val="000000" w:themeColor="text1"/>
          <w:sz w:val="18"/>
        </w:rPr>
      </w:pPr>
    </w:p>
    <w:p w14:paraId="4943F6D1" w14:textId="77777777" w:rsidR="008A1FD5" w:rsidRPr="002D34F3" w:rsidRDefault="008A1FD5" w:rsidP="008A1FD5">
      <w:pPr>
        <w:pStyle w:val="Specyfikacje"/>
        <w:spacing w:after="0"/>
        <w:ind w:left="0"/>
        <w:rPr>
          <w:rFonts w:ascii="Arial" w:hAnsi="Arial" w:cs="Arial"/>
          <w:color w:val="000000" w:themeColor="text1"/>
          <w:sz w:val="18"/>
        </w:rPr>
      </w:pPr>
    </w:p>
    <w:p w14:paraId="4F608259" w14:textId="77777777" w:rsidR="008A1FD5" w:rsidRPr="002D34F3" w:rsidRDefault="008A1FD5" w:rsidP="008A1FD5">
      <w:pPr>
        <w:pStyle w:val="Specyfikacje"/>
        <w:spacing w:after="0"/>
        <w:ind w:left="0"/>
        <w:rPr>
          <w:rFonts w:ascii="Arial" w:hAnsi="Arial" w:cs="Arial"/>
          <w:color w:val="000000" w:themeColor="text1"/>
          <w:sz w:val="18"/>
        </w:rPr>
      </w:pPr>
    </w:p>
    <w:p w14:paraId="447562AE" w14:textId="77777777" w:rsidR="008A1FD5" w:rsidRPr="002D34F3" w:rsidRDefault="008A1FD5" w:rsidP="008A1FD5">
      <w:pPr>
        <w:pStyle w:val="Specyfikacje"/>
        <w:spacing w:after="0"/>
        <w:ind w:left="0"/>
        <w:rPr>
          <w:rFonts w:ascii="Arial" w:hAnsi="Arial" w:cs="Arial"/>
          <w:color w:val="000000" w:themeColor="text1"/>
          <w:sz w:val="18"/>
        </w:rPr>
      </w:pPr>
    </w:p>
    <w:p w14:paraId="66577896" w14:textId="77777777" w:rsidR="008A1FD5" w:rsidRPr="002D34F3" w:rsidRDefault="008A1FD5" w:rsidP="008A1FD5">
      <w:pPr>
        <w:pStyle w:val="Specyfikacje"/>
        <w:spacing w:after="0"/>
        <w:ind w:left="0"/>
        <w:rPr>
          <w:rFonts w:ascii="Arial" w:hAnsi="Arial" w:cs="Arial"/>
          <w:color w:val="000000" w:themeColor="text1"/>
          <w:sz w:val="18"/>
        </w:rPr>
      </w:pPr>
    </w:p>
    <w:p w14:paraId="44BA085B" w14:textId="77777777" w:rsidR="008A1FD5" w:rsidRPr="002D34F3" w:rsidRDefault="008A1FD5" w:rsidP="008A1FD5">
      <w:pPr>
        <w:pStyle w:val="Specyfikacje"/>
        <w:spacing w:after="0"/>
        <w:ind w:left="0"/>
        <w:rPr>
          <w:rFonts w:ascii="Arial" w:hAnsi="Arial" w:cs="Arial"/>
          <w:color w:val="000000" w:themeColor="text1"/>
          <w:sz w:val="18"/>
        </w:rPr>
      </w:pPr>
    </w:p>
    <w:p w14:paraId="2FDF5A2F" w14:textId="77777777" w:rsidR="008A1FD5" w:rsidRPr="002D34F3" w:rsidRDefault="008A1FD5" w:rsidP="008A1FD5">
      <w:pPr>
        <w:pStyle w:val="Specyfikacje"/>
        <w:spacing w:after="0"/>
        <w:ind w:left="0"/>
        <w:rPr>
          <w:rFonts w:ascii="Arial" w:hAnsi="Arial" w:cs="Arial"/>
          <w:color w:val="000000" w:themeColor="text1"/>
          <w:sz w:val="18"/>
        </w:rPr>
      </w:pPr>
    </w:p>
    <w:p w14:paraId="26938FB9" w14:textId="77777777" w:rsidR="008A1FD5" w:rsidRPr="002D34F3" w:rsidRDefault="008A1FD5" w:rsidP="008A1FD5">
      <w:pPr>
        <w:pStyle w:val="Specyfikacje"/>
        <w:spacing w:after="0"/>
        <w:ind w:left="0"/>
        <w:rPr>
          <w:rFonts w:ascii="Arial" w:hAnsi="Arial" w:cs="Arial"/>
          <w:color w:val="FF0000"/>
          <w:sz w:val="18"/>
        </w:rPr>
      </w:pPr>
    </w:p>
    <w:p w14:paraId="05FD6D19" w14:textId="77777777" w:rsidR="008A1FD5" w:rsidRPr="002D34F3" w:rsidRDefault="008A1FD5" w:rsidP="008A1FD5">
      <w:pPr>
        <w:pStyle w:val="Specyfikacje"/>
        <w:spacing w:after="0"/>
        <w:ind w:left="0"/>
        <w:rPr>
          <w:rFonts w:ascii="Arial" w:hAnsi="Arial" w:cs="Arial"/>
          <w:color w:val="FF0000"/>
          <w:sz w:val="18"/>
        </w:rPr>
      </w:pPr>
    </w:p>
    <w:p w14:paraId="664F1718" w14:textId="77777777" w:rsidR="008A1FD5" w:rsidRPr="002D34F3" w:rsidRDefault="008A1FD5" w:rsidP="008A1FD5">
      <w:pPr>
        <w:pStyle w:val="Specyfikacje"/>
        <w:spacing w:after="0"/>
        <w:ind w:left="0"/>
        <w:rPr>
          <w:rFonts w:ascii="Arial" w:hAnsi="Arial" w:cs="Arial"/>
          <w:color w:val="FF0000"/>
          <w:sz w:val="18"/>
        </w:rPr>
      </w:pPr>
    </w:p>
    <w:p w14:paraId="0335EAB5" w14:textId="77777777" w:rsidR="008A1FD5" w:rsidRPr="002D34F3" w:rsidRDefault="008A1FD5" w:rsidP="008A1FD5">
      <w:pPr>
        <w:pStyle w:val="Specyfikacje"/>
        <w:spacing w:after="0"/>
        <w:ind w:left="0"/>
        <w:rPr>
          <w:rFonts w:ascii="Arial" w:hAnsi="Arial" w:cs="Arial"/>
          <w:color w:val="FF0000"/>
          <w:sz w:val="18"/>
        </w:rPr>
      </w:pPr>
    </w:p>
    <w:p w14:paraId="4679E650" w14:textId="77777777" w:rsidR="008A1FD5" w:rsidRPr="002D34F3" w:rsidRDefault="008A1FD5" w:rsidP="008A1FD5">
      <w:pPr>
        <w:pStyle w:val="Specyfikacje"/>
        <w:spacing w:after="0"/>
        <w:ind w:left="0"/>
        <w:rPr>
          <w:rFonts w:ascii="Arial" w:hAnsi="Arial" w:cs="Arial"/>
          <w:color w:val="FF0000"/>
          <w:sz w:val="18"/>
        </w:rPr>
      </w:pPr>
    </w:p>
    <w:p w14:paraId="4D856C9F" w14:textId="77777777" w:rsidR="008A1FD5" w:rsidRPr="002D34F3" w:rsidRDefault="008A1FD5" w:rsidP="008A1FD5">
      <w:pPr>
        <w:pStyle w:val="Specyfikacje"/>
        <w:spacing w:after="0"/>
        <w:ind w:left="0"/>
        <w:rPr>
          <w:rFonts w:ascii="Arial" w:hAnsi="Arial" w:cs="Arial"/>
          <w:color w:val="FF0000"/>
          <w:sz w:val="18"/>
        </w:rPr>
      </w:pPr>
    </w:p>
    <w:p w14:paraId="12A4ED46" w14:textId="77777777" w:rsidR="008A1FD5" w:rsidRPr="002D34F3" w:rsidRDefault="008A1FD5" w:rsidP="008A1FD5">
      <w:pPr>
        <w:pStyle w:val="Specyfikacje"/>
        <w:spacing w:after="0"/>
        <w:ind w:left="0"/>
        <w:rPr>
          <w:rFonts w:ascii="Arial" w:hAnsi="Arial" w:cs="Arial"/>
          <w:color w:val="FF0000"/>
          <w:sz w:val="18"/>
        </w:rPr>
      </w:pPr>
    </w:p>
    <w:p w14:paraId="5C2F6447" w14:textId="77777777" w:rsidR="008A1FD5" w:rsidRPr="002D34F3" w:rsidRDefault="008A1FD5" w:rsidP="008A1FD5">
      <w:pPr>
        <w:pStyle w:val="Specyfikacje"/>
        <w:spacing w:after="0"/>
        <w:ind w:left="0"/>
        <w:rPr>
          <w:rFonts w:ascii="Arial" w:hAnsi="Arial" w:cs="Arial"/>
          <w:color w:val="FF0000"/>
          <w:sz w:val="18"/>
        </w:rPr>
      </w:pPr>
    </w:p>
    <w:p w14:paraId="2126ED6F" w14:textId="77777777" w:rsidR="008A1FD5" w:rsidRPr="002D34F3" w:rsidRDefault="008A1FD5" w:rsidP="008A1FD5">
      <w:pPr>
        <w:pStyle w:val="Specyfikacje"/>
        <w:spacing w:after="0"/>
        <w:ind w:left="0"/>
        <w:rPr>
          <w:rFonts w:ascii="Arial" w:hAnsi="Arial" w:cs="Arial"/>
          <w:color w:val="FF0000"/>
          <w:sz w:val="18"/>
        </w:rPr>
      </w:pPr>
    </w:p>
    <w:p w14:paraId="6D6F758B" w14:textId="77777777" w:rsidR="008A1FD5" w:rsidRPr="002D34F3" w:rsidRDefault="008A1FD5" w:rsidP="008A1FD5">
      <w:pPr>
        <w:pStyle w:val="Specyfikacje"/>
        <w:spacing w:after="0"/>
        <w:ind w:left="0"/>
        <w:rPr>
          <w:rFonts w:ascii="Arial" w:hAnsi="Arial" w:cs="Arial"/>
          <w:color w:val="FF0000"/>
          <w:sz w:val="18"/>
        </w:rPr>
      </w:pPr>
    </w:p>
    <w:p w14:paraId="67FD3481" w14:textId="77777777" w:rsidR="008A1FD5" w:rsidRPr="002D34F3" w:rsidRDefault="008A1FD5" w:rsidP="008A1FD5">
      <w:pPr>
        <w:pStyle w:val="Specyfikacje"/>
        <w:spacing w:after="0"/>
        <w:ind w:left="0"/>
        <w:rPr>
          <w:rFonts w:ascii="Arial" w:hAnsi="Arial" w:cs="Arial"/>
          <w:color w:val="FF0000"/>
          <w:sz w:val="18"/>
        </w:rPr>
      </w:pPr>
    </w:p>
    <w:p w14:paraId="77D41EFD" w14:textId="77777777" w:rsidR="008A1FD5" w:rsidRPr="002D34F3" w:rsidRDefault="008A1FD5" w:rsidP="008A1FD5">
      <w:pPr>
        <w:pStyle w:val="Specyfikacje"/>
        <w:spacing w:after="0"/>
        <w:ind w:left="0"/>
        <w:rPr>
          <w:rFonts w:ascii="Arial" w:hAnsi="Arial" w:cs="Arial"/>
          <w:color w:val="FF0000"/>
          <w:sz w:val="18"/>
        </w:rPr>
      </w:pPr>
    </w:p>
    <w:p w14:paraId="1FB5BFDB" w14:textId="77777777" w:rsidR="008A1FD5" w:rsidRPr="002D34F3" w:rsidRDefault="008A1FD5" w:rsidP="008A1FD5">
      <w:pPr>
        <w:pStyle w:val="Specyfikacje"/>
        <w:spacing w:after="0"/>
        <w:ind w:left="0"/>
        <w:rPr>
          <w:rFonts w:ascii="Arial" w:hAnsi="Arial" w:cs="Arial"/>
          <w:color w:val="FF0000"/>
          <w:sz w:val="18"/>
        </w:rPr>
      </w:pPr>
    </w:p>
    <w:p w14:paraId="1A8DF66C" w14:textId="77777777" w:rsidR="008A1FD5" w:rsidRPr="002D34F3" w:rsidRDefault="008A1FD5" w:rsidP="008A1FD5">
      <w:pPr>
        <w:pStyle w:val="Specyfikacje"/>
        <w:spacing w:after="0"/>
        <w:ind w:left="0"/>
        <w:rPr>
          <w:rFonts w:ascii="Arial" w:hAnsi="Arial" w:cs="Arial"/>
          <w:color w:val="FF0000"/>
          <w:sz w:val="18"/>
        </w:rPr>
      </w:pPr>
    </w:p>
    <w:p w14:paraId="53335A1C" w14:textId="77777777" w:rsidR="008A1FD5" w:rsidRPr="002D34F3" w:rsidRDefault="008A1FD5" w:rsidP="008A1FD5">
      <w:pPr>
        <w:pStyle w:val="Specyfikacje"/>
        <w:spacing w:after="0"/>
        <w:ind w:left="0"/>
        <w:rPr>
          <w:rFonts w:ascii="Arial" w:hAnsi="Arial" w:cs="Arial"/>
          <w:color w:val="FF0000"/>
          <w:sz w:val="18"/>
        </w:rPr>
      </w:pPr>
    </w:p>
    <w:p w14:paraId="7414CBF2" w14:textId="77777777" w:rsidR="008A1FD5" w:rsidRPr="002D34F3" w:rsidRDefault="008A1FD5" w:rsidP="008A1FD5">
      <w:pPr>
        <w:pStyle w:val="Specyfikacje"/>
        <w:spacing w:after="0"/>
        <w:ind w:left="0"/>
        <w:rPr>
          <w:rFonts w:ascii="Arial" w:hAnsi="Arial" w:cs="Arial"/>
          <w:color w:val="FF0000"/>
          <w:sz w:val="18"/>
        </w:rPr>
      </w:pPr>
    </w:p>
    <w:p w14:paraId="5CE0F2B5" w14:textId="77777777" w:rsidR="008A1FD5" w:rsidRPr="002D34F3" w:rsidRDefault="008A1FD5" w:rsidP="008A1FD5">
      <w:pPr>
        <w:pStyle w:val="Specyfikacje"/>
        <w:spacing w:after="0"/>
        <w:ind w:left="0"/>
        <w:rPr>
          <w:rFonts w:ascii="Arial" w:hAnsi="Arial" w:cs="Arial"/>
          <w:color w:val="FF0000"/>
          <w:sz w:val="18"/>
        </w:rPr>
      </w:pPr>
    </w:p>
    <w:p w14:paraId="3CCBE3E5" w14:textId="77777777" w:rsidR="008A1FD5" w:rsidRPr="002D34F3" w:rsidRDefault="008A1FD5" w:rsidP="008A1FD5">
      <w:pPr>
        <w:pStyle w:val="Specyfikacje"/>
        <w:spacing w:after="0"/>
        <w:ind w:left="0"/>
        <w:rPr>
          <w:rFonts w:ascii="Arial" w:hAnsi="Arial" w:cs="Arial"/>
          <w:color w:val="FF0000"/>
          <w:sz w:val="18"/>
        </w:rPr>
      </w:pPr>
    </w:p>
    <w:p w14:paraId="74F28F5F" w14:textId="77777777" w:rsidR="008A1FD5" w:rsidRPr="002D34F3" w:rsidRDefault="008A1FD5" w:rsidP="008A1FD5">
      <w:pPr>
        <w:pStyle w:val="Specyfikacje"/>
        <w:spacing w:after="0"/>
        <w:ind w:left="0"/>
        <w:rPr>
          <w:rFonts w:ascii="Arial" w:hAnsi="Arial" w:cs="Arial"/>
          <w:color w:val="FF0000"/>
          <w:sz w:val="18"/>
        </w:rPr>
      </w:pPr>
    </w:p>
    <w:p w14:paraId="18731EC8" w14:textId="77777777" w:rsidR="008A1FD5" w:rsidRPr="002D34F3" w:rsidRDefault="008A1FD5" w:rsidP="008A1FD5">
      <w:pPr>
        <w:pStyle w:val="Specyfikacje"/>
        <w:spacing w:after="0"/>
        <w:ind w:left="0"/>
        <w:rPr>
          <w:rFonts w:ascii="Arial" w:hAnsi="Arial" w:cs="Arial"/>
          <w:color w:val="FF0000"/>
          <w:sz w:val="18"/>
        </w:rPr>
      </w:pPr>
    </w:p>
    <w:p w14:paraId="1370AE75" w14:textId="77777777" w:rsidR="008A1FD5" w:rsidRPr="002D34F3" w:rsidRDefault="008A1FD5" w:rsidP="008A1FD5">
      <w:pPr>
        <w:pStyle w:val="Specyfikacje"/>
        <w:spacing w:after="0"/>
        <w:ind w:left="0"/>
        <w:rPr>
          <w:rFonts w:ascii="Arial" w:hAnsi="Arial" w:cs="Arial"/>
          <w:color w:val="FF0000"/>
          <w:sz w:val="18"/>
        </w:rPr>
      </w:pPr>
    </w:p>
    <w:p w14:paraId="64E18323" w14:textId="77777777" w:rsidR="008A1FD5" w:rsidRPr="002D34F3" w:rsidRDefault="008A1FD5" w:rsidP="008A1FD5">
      <w:pPr>
        <w:pStyle w:val="Specyfikacje"/>
        <w:spacing w:after="0"/>
        <w:ind w:left="0"/>
        <w:rPr>
          <w:rFonts w:ascii="Arial" w:hAnsi="Arial" w:cs="Arial"/>
          <w:color w:val="FF0000"/>
          <w:sz w:val="18"/>
        </w:rPr>
      </w:pPr>
    </w:p>
    <w:p w14:paraId="3A70BE3E" w14:textId="77777777" w:rsidR="008A1FD5" w:rsidRPr="002D34F3" w:rsidRDefault="008A1FD5" w:rsidP="008A1FD5">
      <w:pPr>
        <w:pStyle w:val="Specyfikacje"/>
        <w:spacing w:after="0"/>
        <w:ind w:left="0"/>
        <w:rPr>
          <w:rFonts w:ascii="Arial" w:hAnsi="Arial" w:cs="Arial"/>
          <w:color w:val="FF0000"/>
          <w:sz w:val="18"/>
        </w:rPr>
      </w:pPr>
    </w:p>
    <w:p w14:paraId="123F12EA" w14:textId="77777777" w:rsidR="008A1FD5" w:rsidRPr="002D34F3" w:rsidRDefault="008A1FD5" w:rsidP="008A1FD5">
      <w:pPr>
        <w:pStyle w:val="Specyfikacje"/>
        <w:spacing w:after="0"/>
        <w:ind w:left="0"/>
        <w:rPr>
          <w:rFonts w:ascii="Arial" w:hAnsi="Arial" w:cs="Arial"/>
          <w:color w:val="FF0000"/>
          <w:sz w:val="18"/>
        </w:rPr>
      </w:pPr>
    </w:p>
    <w:p w14:paraId="18C54BF0" w14:textId="77777777" w:rsidR="008A1FD5" w:rsidRPr="002D34F3" w:rsidRDefault="008A1FD5" w:rsidP="008A1FD5">
      <w:pPr>
        <w:pStyle w:val="Specyfikacje"/>
        <w:spacing w:after="0"/>
        <w:ind w:left="0"/>
        <w:rPr>
          <w:rFonts w:ascii="Arial" w:hAnsi="Arial" w:cs="Arial"/>
          <w:color w:val="FF0000"/>
          <w:sz w:val="18"/>
        </w:rPr>
      </w:pPr>
    </w:p>
    <w:p w14:paraId="63FF011D" w14:textId="77777777" w:rsidR="008A1FD5" w:rsidRPr="002D34F3" w:rsidRDefault="008A1FD5" w:rsidP="008A1FD5">
      <w:pPr>
        <w:pStyle w:val="Specyfikacje"/>
        <w:spacing w:after="0"/>
        <w:ind w:left="0"/>
        <w:rPr>
          <w:rFonts w:ascii="Arial" w:hAnsi="Arial" w:cs="Arial"/>
          <w:color w:val="FF0000"/>
          <w:sz w:val="18"/>
        </w:rPr>
      </w:pPr>
    </w:p>
    <w:p w14:paraId="48DAA7F3" w14:textId="77777777" w:rsidR="008A1FD5" w:rsidRPr="002D34F3" w:rsidRDefault="008A1FD5" w:rsidP="008A1FD5">
      <w:pPr>
        <w:pStyle w:val="Specyfikacje"/>
        <w:spacing w:after="0"/>
        <w:ind w:left="0"/>
        <w:rPr>
          <w:rFonts w:ascii="Arial" w:hAnsi="Arial" w:cs="Arial"/>
          <w:color w:val="FF0000"/>
          <w:sz w:val="18"/>
        </w:rPr>
      </w:pPr>
    </w:p>
    <w:p w14:paraId="0769FD22" w14:textId="77777777" w:rsidR="008A1FD5" w:rsidRPr="002D34F3" w:rsidRDefault="008A1FD5" w:rsidP="008A1FD5">
      <w:pPr>
        <w:pStyle w:val="Specyfikacje"/>
        <w:spacing w:after="0"/>
        <w:ind w:left="0"/>
        <w:rPr>
          <w:rFonts w:ascii="Arial" w:hAnsi="Arial" w:cs="Arial"/>
          <w:color w:val="FF0000"/>
          <w:sz w:val="18"/>
        </w:rPr>
      </w:pPr>
    </w:p>
    <w:p w14:paraId="0820AB64" w14:textId="77777777" w:rsidR="008A1FD5" w:rsidRPr="002D34F3" w:rsidRDefault="008A1FD5" w:rsidP="008A1FD5">
      <w:pPr>
        <w:pStyle w:val="Specyfikacje"/>
        <w:spacing w:after="0"/>
        <w:ind w:left="0"/>
        <w:rPr>
          <w:rFonts w:ascii="Arial" w:hAnsi="Arial" w:cs="Arial"/>
          <w:color w:val="FF0000"/>
          <w:sz w:val="18"/>
        </w:rPr>
      </w:pPr>
    </w:p>
    <w:p w14:paraId="685BCAFB" w14:textId="77777777" w:rsidR="008A1FD5" w:rsidRPr="002D34F3" w:rsidRDefault="008A1FD5" w:rsidP="008A1FD5">
      <w:pPr>
        <w:pStyle w:val="Nagwek1"/>
        <w:jc w:val="center"/>
        <w:rPr>
          <w:color w:val="000000" w:themeColor="text1"/>
          <w:sz w:val="40"/>
          <w:szCs w:val="40"/>
        </w:rPr>
      </w:pPr>
      <w:bookmarkStart w:id="115" w:name="_Toc109801197"/>
      <w:bookmarkStart w:id="116" w:name="_Toc163480793"/>
      <w:bookmarkStart w:id="117" w:name="_Toc163481040"/>
      <w:r w:rsidRPr="002D34F3">
        <w:rPr>
          <w:color w:val="000000" w:themeColor="text1"/>
          <w:sz w:val="40"/>
          <w:szCs w:val="40"/>
        </w:rPr>
        <w:lastRenderedPageBreak/>
        <w:t>ST-00.04 GOSPODARKA DRZEWOSTANEM</w:t>
      </w:r>
      <w:bookmarkEnd w:id="115"/>
      <w:bookmarkEnd w:id="116"/>
      <w:bookmarkEnd w:id="117"/>
    </w:p>
    <w:p w14:paraId="2486ED1B" w14:textId="77777777" w:rsidR="008A1FD5" w:rsidRPr="002D34F3" w:rsidRDefault="008A1FD5" w:rsidP="008A1FD5">
      <w:pPr>
        <w:pStyle w:val="Nagwek2"/>
        <w:rPr>
          <w:i w:val="0"/>
          <w:color w:val="000000" w:themeColor="text1"/>
        </w:rPr>
      </w:pPr>
      <w:r w:rsidRPr="002D34F3">
        <w:rPr>
          <w:i w:val="0"/>
          <w:color w:val="000000" w:themeColor="text1"/>
        </w:rPr>
        <w:t>1. PODSTAWA OPRACOWANIA</w:t>
      </w:r>
    </w:p>
    <w:p w14:paraId="6742EA31"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Zlecenie Inwestora.</w:t>
      </w:r>
    </w:p>
    <w:p w14:paraId="0D1F3B49"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Inwentaryzacja w terenie drzew i krzewów .</w:t>
      </w:r>
    </w:p>
    <w:p w14:paraId="02321F10"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2D34F3">
        <w:rPr>
          <w:color w:val="000000" w:themeColor="text1"/>
          <w:sz w:val="18"/>
        </w:rPr>
        <w:t>Ustawa o Ochronie Przyrody z dnia 16 kwietnia 2004 r z późniejszymi zmianami.</w:t>
      </w:r>
    </w:p>
    <w:p w14:paraId="57DE5D7C" w14:textId="77777777" w:rsidR="008A1FD5" w:rsidRPr="002D34F3" w:rsidRDefault="008A1FD5" w:rsidP="008A1FD5">
      <w:pPr>
        <w:pStyle w:val="00Tekst"/>
        <w:numPr>
          <w:ilvl w:val="0"/>
          <w:numId w:val="6"/>
        </w:numPr>
        <w:tabs>
          <w:tab w:val="clear" w:pos="709"/>
          <w:tab w:val="left" w:pos="57"/>
          <w:tab w:val="num" w:pos="284"/>
        </w:tabs>
        <w:spacing w:line="240" w:lineRule="auto"/>
        <w:rPr>
          <w:color w:val="000000" w:themeColor="text1"/>
          <w:sz w:val="18"/>
        </w:rPr>
      </w:pPr>
      <w:proofErr w:type="spellStart"/>
      <w:r w:rsidRPr="002D34F3">
        <w:rPr>
          <w:color w:val="000000" w:themeColor="text1"/>
          <w:sz w:val="18"/>
        </w:rPr>
        <w:t>Rozporzadzenie</w:t>
      </w:r>
      <w:proofErr w:type="spellEnd"/>
      <w:r w:rsidRPr="002D34F3">
        <w:rPr>
          <w:color w:val="000000" w:themeColor="text1"/>
          <w:sz w:val="18"/>
        </w:rPr>
        <w:t xml:space="preserve"> Ministra Infrastruktury z dnia 29.08.2019 r w sprawie warunków technicznych, jakim powinny odpowiadać drogi publiczne i ich usytuowanie.</w:t>
      </w:r>
    </w:p>
    <w:p w14:paraId="08B5527E" w14:textId="77777777" w:rsidR="008A1FD5" w:rsidRPr="002D34F3" w:rsidRDefault="008A1FD5" w:rsidP="008A1FD5">
      <w:pPr>
        <w:pStyle w:val="Nagwek2"/>
        <w:rPr>
          <w:i w:val="0"/>
          <w:color w:val="000000" w:themeColor="text1"/>
        </w:rPr>
      </w:pPr>
      <w:r w:rsidRPr="002D34F3">
        <w:rPr>
          <w:i w:val="0"/>
          <w:color w:val="000000" w:themeColor="text1"/>
        </w:rPr>
        <w:t>2. PRZEDMIOT OPRACOWANIA</w:t>
      </w:r>
    </w:p>
    <w:p w14:paraId="2F2A5A3B"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Przedmiotem  ST są  wymagania dotyczące wykonania i odbioru robót związanych z gospodarką drzewostanem oraz wykonaniem nowej zieleni w ramach inwestycji: „</w:t>
      </w:r>
      <w:r w:rsidRPr="00D13ED1">
        <w:rPr>
          <w:rFonts w:ascii="Arial" w:hAnsi="Arial" w:cs="Arial"/>
          <w:b/>
          <w:color w:val="000000" w:themeColor="text1"/>
          <w:sz w:val="18"/>
        </w:rPr>
        <w:t>Przebudowa sieci wodociągowej w ul. Wincentego Kadłubka w</w:t>
      </w:r>
      <w:r w:rsidRPr="00D13ED1">
        <w:rPr>
          <w:rFonts w:ascii="Arial" w:hAnsi="Arial" w:cs="Arial"/>
          <w:color w:val="000000" w:themeColor="text1"/>
          <w:sz w:val="18"/>
        </w:rPr>
        <w:t xml:space="preserve"> </w:t>
      </w:r>
      <w:r w:rsidRPr="00D13ED1">
        <w:rPr>
          <w:rFonts w:ascii="Arial" w:hAnsi="Arial" w:cs="Arial"/>
          <w:b/>
          <w:color w:val="000000" w:themeColor="text1"/>
          <w:sz w:val="18"/>
        </w:rPr>
        <w:t>Szczecinie</w:t>
      </w:r>
      <w:r w:rsidRPr="002D34F3">
        <w:rPr>
          <w:rFonts w:ascii="Arial" w:hAnsi="Arial" w:cs="Arial"/>
          <w:color w:val="000000" w:themeColor="text1"/>
          <w:kern w:val="1"/>
          <w:sz w:val="18"/>
        </w:rPr>
        <w:t xml:space="preserve"> ". SST stanowi część dokumentów przetargowych i kontraktowych przy zlecaniu i realizacji wym. wyżej robót.</w:t>
      </w:r>
    </w:p>
    <w:p w14:paraId="06D45497" w14:textId="77777777" w:rsidR="008A1FD5" w:rsidRPr="002D34F3" w:rsidRDefault="008A1FD5" w:rsidP="008A1FD5">
      <w:pPr>
        <w:pStyle w:val="Nagwek2"/>
        <w:rPr>
          <w:i w:val="0"/>
          <w:color w:val="000000" w:themeColor="text1"/>
        </w:rPr>
      </w:pPr>
      <w:r w:rsidRPr="002D34F3">
        <w:rPr>
          <w:i w:val="0"/>
          <w:color w:val="000000" w:themeColor="text1"/>
        </w:rPr>
        <w:t>3. WSPÓLNY SŁOWNIK ZAMÓWIEŃ (CPV)</w:t>
      </w:r>
    </w:p>
    <w:p w14:paraId="1ABDDF74" w14:textId="77777777" w:rsidR="008A1FD5" w:rsidRPr="002D34F3" w:rsidRDefault="008A1FD5" w:rsidP="008A1FD5">
      <w:pPr>
        <w:jc w:val="both"/>
        <w:rPr>
          <w:rFonts w:ascii="Arial" w:hAnsi="Arial" w:cs="Arial"/>
          <w:color w:val="000000" w:themeColor="text1"/>
          <w:kern w:val="1"/>
          <w:sz w:val="18"/>
        </w:rPr>
      </w:pPr>
      <w:r w:rsidRPr="002D34F3">
        <w:rPr>
          <w:rFonts w:ascii="Arial" w:hAnsi="Arial" w:cs="Arial"/>
          <w:color w:val="000000" w:themeColor="text1"/>
          <w:kern w:val="1"/>
          <w:sz w:val="18"/>
        </w:rPr>
        <w:t>Kody grup, klas i kategorii robót Wspólnego Słownika Zamówień (CPV) dotyczących przedmiotu zamówienia podano w ST-00.00 „Wymagania Ogólne”.</w:t>
      </w:r>
    </w:p>
    <w:p w14:paraId="01321A45" w14:textId="77777777" w:rsidR="008A1FD5" w:rsidRPr="00E5649F" w:rsidRDefault="008A1FD5" w:rsidP="008A1FD5">
      <w:pPr>
        <w:pStyle w:val="Nagwek2"/>
        <w:rPr>
          <w:i w:val="0"/>
          <w:color w:val="000000" w:themeColor="text1"/>
        </w:rPr>
      </w:pPr>
      <w:r w:rsidRPr="002D34F3">
        <w:rPr>
          <w:i w:val="0"/>
          <w:color w:val="000000" w:themeColor="text1"/>
        </w:rPr>
        <w:t xml:space="preserve">4. </w:t>
      </w:r>
      <w:r w:rsidRPr="00E5649F">
        <w:rPr>
          <w:i w:val="0"/>
          <w:color w:val="000000" w:themeColor="text1"/>
        </w:rPr>
        <w:t>ZAKRES ROBÓT OBJĘTYCH ST</w:t>
      </w:r>
    </w:p>
    <w:p w14:paraId="7A267439"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Zakresem robót jest objęte:</w:t>
      </w:r>
    </w:p>
    <w:p w14:paraId="3045A087" w14:textId="77777777" w:rsidR="008A1FD5" w:rsidRPr="00E5649F" w:rsidRDefault="008A1FD5" w:rsidP="008A1FD5">
      <w:pPr>
        <w:pStyle w:val="Nagwek3"/>
        <w:spacing w:before="60"/>
        <w:rPr>
          <w:color w:val="000000" w:themeColor="text1"/>
          <w:sz w:val="22"/>
        </w:rPr>
      </w:pPr>
      <w:r w:rsidRPr="00E5649F">
        <w:rPr>
          <w:color w:val="000000" w:themeColor="text1"/>
          <w:sz w:val="22"/>
        </w:rPr>
        <w:t xml:space="preserve">4.1. Usunięcie drzew I krzewów </w:t>
      </w:r>
    </w:p>
    <w:p w14:paraId="7A2C16C2"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oznaczenie drzew i do usunięcia; </w:t>
      </w:r>
    </w:p>
    <w:p w14:paraId="087207C4"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usunięcie drzew i krzewów;</w:t>
      </w:r>
    </w:p>
    <w:p w14:paraId="19A0A446"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karczowanie drzew, krzewów;</w:t>
      </w:r>
    </w:p>
    <w:p w14:paraId="42CAE281"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pocięcie dłużyc na drewno opałowe;</w:t>
      </w:r>
    </w:p>
    <w:p w14:paraId="7C6036DE"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w:t>
      </w:r>
      <w:proofErr w:type="spellStart"/>
      <w:r w:rsidRPr="00E5649F">
        <w:rPr>
          <w:rFonts w:ascii="Arial" w:hAnsi="Arial" w:cs="Arial"/>
          <w:color w:val="000000" w:themeColor="text1"/>
          <w:kern w:val="1"/>
          <w:sz w:val="18"/>
        </w:rPr>
        <w:t>zrębkowanie</w:t>
      </w:r>
      <w:proofErr w:type="spellEnd"/>
      <w:r w:rsidRPr="00E5649F">
        <w:rPr>
          <w:rFonts w:ascii="Arial" w:hAnsi="Arial" w:cs="Arial"/>
          <w:color w:val="000000" w:themeColor="text1"/>
          <w:kern w:val="1"/>
          <w:sz w:val="18"/>
        </w:rPr>
        <w:t xml:space="preserve"> karpin, konarów i gałęzi;</w:t>
      </w:r>
    </w:p>
    <w:p w14:paraId="1225D1D8"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w:t>
      </w:r>
      <w:proofErr w:type="spellStart"/>
      <w:r w:rsidRPr="00E5649F">
        <w:rPr>
          <w:rFonts w:ascii="Arial" w:hAnsi="Arial" w:cs="Arial"/>
          <w:color w:val="000000" w:themeColor="text1"/>
          <w:kern w:val="1"/>
          <w:sz w:val="18"/>
        </w:rPr>
        <w:t>zrębkowanie</w:t>
      </w:r>
      <w:proofErr w:type="spellEnd"/>
      <w:r w:rsidRPr="00E5649F">
        <w:rPr>
          <w:rFonts w:ascii="Arial" w:hAnsi="Arial" w:cs="Arial"/>
          <w:color w:val="000000" w:themeColor="text1"/>
          <w:kern w:val="1"/>
          <w:sz w:val="18"/>
        </w:rPr>
        <w:t xml:space="preserve"> krzewów;</w:t>
      </w:r>
    </w:p>
    <w:p w14:paraId="4FF01439"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złożenie </w:t>
      </w:r>
      <w:proofErr w:type="spellStart"/>
      <w:r w:rsidRPr="00E5649F">
        <w:rPr>
          <w:rFonts w:ascii="Arial" w:hAnsi="Arial" w:cs="Arial"/>
          <w:color w:val="000000" w:themeColor="text1"/>
          <w:kern w:val="1"/>
          <w:sz w:val="18"/>
        </w:rPr>
        <w:t>mulczu</w:t>
      </w:r>
      <w:proofErr w:type="spellEnd"/>
      <w:r w:rsidRPr="00E5649F">
        <w:rPr>
          <w:rFonts w:ascii="Arial" w:hAnsi="Arial" w:cs="Arial"/>
          <w:color w:val="000000" w:themeColor="text1"/>
          <w:kern w:val="1"/>
          <w:sz w:val="18"/>
        </w:rPr>
        <w:t xml:space="preserve"> w pryzmę do późniejszego wykorzystania;</w:t>
      </w:r>
    </w:p>
    <w:p w14:paraId="4844B6DB"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rozrzucenie </w:t>
      </w:r>
      <w:proofErr w:type="spellStart"/>
      <w:r w:rsidRPr="00E5649F">
        <w:rPr>
          <w:rFonts w:ascii="Arial" w:hAnsi="Arial" w:cs="Arial"/>
          <w:color w:val="000000" w:themeColor="text1"/>
          <w:kern w:val="1"/>
          <w:sz w:val="18"/>
        </w:rPr>
        <w:t>mulczu</w:t>
      </w:r>
      <w:proofErr w:type="spellEnd"/>
      <w:r w:rsidRPr="00E5649F">
        <w:rPr>
          <w:rFonts w:ascii="Arial" w:hAnsi="Arial" w:cs="Arial"/>
          <w:color w:val="000000" w:themeColor="text1"/>
          <w:kern w:val="1"/>
          <w:sz w:val="18"/>
        </w:rPr>
        <w:t xml:space="preserve"> ze </w:t>
      </w:r>
      <w:proofErr w:type="spellStart"/>
      <w:r w:rsidRPr="00E5649F">
        <w:rPr>
          <w:rFonts w:ascii="Arial" w:hAnsi="Arial" w:cs="Arial"/>
          <w:color w:val="000000" w:themeColor="text1"/>
          <w:kern w:val="1"/>
          <w:sz w:val="18"/>
        </w:rPr>
        <w:t>zrębkowania</w:t>
      </w:r>
      <w:proofErr w:type="spellEnd"/>
      <w:r w:rsidRPr="00E5649F">
        <w:rPr>
          <w:rFonts w:ascii="Arial" w:hAnsi="Arial" w:cs="Arial"/>
          <w:color w:val="000000" w:themeColor="text1"/>
          <w:kern w:val="1"/>
          <w:sz w:val="18"/>
        </w:rPr>
        <w:t xml:space="preserve"> w istniejące tereny zieleni;</w:t>
      </w:r>
    </w:p>
    <w:p w14:paraId="0F27DBD5"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wywiezienie drewna;</w:t>
      </w:r>
    </w:p>
    <w:p w14:paraId="07293FEB"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oczyszczanie terenu po wykarczowaniu.</w:t>
      </w:r>
    </w:p>
    <w:p w14:paraId="5485BD10" w14:textId="77777777" w:rsidR="008A1FD5" w:rsidRPr="00E5649F" w:rsidRDefault="008A1FD5" w:rsidP="008A1FD5">
      <w:pPr>
        <w:pStyle w:val="Nagwek3"/>
        <w:spacing w:before="60"/>
        <w:rPr>
          <w:color w:val="000000" w:themeColor="text1"/>
          <w:sz w:val="22"/>
        </w:rPr>
      </w:pPr>
      <w:r w:rsidRPr="00E5649F">
        <w:rPr>
          <w:color w:val="000000" w:themeColor="text1"/>
          <w:sz w:val="22"/>
        </w:rPr>
        <w:t>4.2. PRACE PORZĄDKOWE</w:t>
      </w:r>
    </w:p>
    <w:p w14:paraId="29B2EC79"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prace porządkowe po pracach w drzewostanie.</w:t>
      </w:r>
    </w:p>
    <w:p w14:paraId="5026B9BE" w14:textId="77777777" w:rsidR="008A1FD5" w:rsidRPr="00E5649F" w:rsidRDefault="008A1FD5" w:rsidP="008A1FD5">
      <w:pPr>
        <w:pStyle w:val="Nagwek2"/>
        <w:rPr>
          <w:i w:val="0"/>
          <w:color w:val="000000" w:themeColor="text1"/>
        </w:rPr>
      </w:pPr>
      <w:r w:rsidRPr="00E5649F">
        <w:rPr>
          <w:i w:val="0"/>
          <w:color w:val="000000" w:themeColor="text1"/>
        </w:rPr>
        <w:t>5. OKREŚLENIA PODSTAWOWE</w:t>
      </w:r>
    </w:p>
    <w:p w14:paraId="78B09B6A"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Określenia i nazewnictwo użyte w niniejszej szczegółowej specyfikacji technicznej są zgodne z obowiązującymi podanymi w normach PN i przepisach Prawa budowlanego.</w:t>
      </w:r>
    </w:p>
    <w:p w14:paraId="2A473934" w14:textId="77777777" w:rsidR="008A1FD5" w:rsidRPr="00E5649F" w:rsidRDefault="008A1FD5" w:rsidP="008A1FD5">
      <w:pPr>
        <w:autoSpaceDN w:val="0"/>
        <w:adjustRightInd w:val="0"/>
        <w:jc w:val="both"/>
        <w:rPr>
          <w:rFonts w:ascii="Arial" w:hAnsi="Arial" w:cs="Arial"/>
          <w:color w:val="000000" w:themeColor="text1"/>
          <w:sz w:val="18"/>
        </w:rPr>
      </w:pPr>
      <w:r w:rsidRPr="00E5649F">
        <w:rPr>
          <w:rFonts w:ascii="Arial" w:hAnsi="Arial" w:cs="Arial"/>
          <w:b/>
          <w:color w:val="000000" w:themeColor="text1"/>
          <w:sz w:val="18"/>
        </w:rPr>
        <w:t>Drzewo</w:t>
      </w:r>
      <w:r w:rsidRPr="00E5649F">
        <w:rPr>
          <w:rFonts w:ascii="Arial" w:hAnsi="Arial" w:cs="Arial"/>
          <w:color w:val="000000" w:themeColor="text1"/>
          <w:sz w:val="18"/>
        </w:rPr>
        <w:t xml:space="preserve"> - roślina wieloletnia dużych rozmiarów o wyraźnie wykształconym pniu, który na pewnej wysokości nad ziemią rozgałęzia się w koronę.</w:t>
      </w:r>
    </w:p>
    <w:p w14:paraId="096A57EF" w14:textId="77777777" w:rsidR="008A1FD5" w:rsidRPr="00E5649F" w:rsidRDefault="008A1FD5" w:rsidP="008A1FD5">
      <w:pPr>
        <w:autoSpaceDN w:val="0"/>
        <w:adjustRightInd w:val="0"/>
        <w:jc w:val="both"/>
        <w:rPr>
          <w:rFonts w:ascii="Arial" w:hAnsi="Arial" w:cs="Arial"/>
          <w:color w:val="000000" w:themeColor="text1"/>
          <w:sz w:val="18"/>
        </w:rPr>
      </w:pPr>
      <w:r w:rsidRPr="00E5649F">
        <w:rPr>
          <w:rFonts w:ascii="Arial" w:hAnsi="Arial" w:cs="Arial"/>
          <w:b/>
          <w:color w:val="000000" w:themeColor="text1"/>
          <w:sz w:val="18"/>
        </w:rPr>
        <w:t>Krzew</w:t>
      </w:r>
      <w:r w:rsidRPr="00E5649F">
        <w:rPr>
          <w:rFonts w:ascii="Arial" w:hAnsi="Arial" w:cs="Arial"/>
          <w:color w:val="000000" w:themeColor="text1"/>
          <w:sz w:val="18"/>
        </w:rPr>
        <w:t xml:space="preserve"> - wielopędowa zdrewniała roślina, której główne pędy wyrastają nie więcej niż</w:t>
      </w:r>
    </w:p>
    <w:p w14:paraId="4FBC2FB5" w14:textId="77777777" w:rsidR="008A1FD5" w:rsidRPr="00E5649F" w:rsidRDefault="008A1FD5" w:rsidP="008A1FD5">
      <w:pPr>
        <w:autoSpaceDN w:val="0"/>
        <w:adjustRightInd w:val="0"/>
        <w:jc w:val="both"/>
        <w:rPr>
          <w:rFonts w:ascii="Arial" w:hAnsi="Arial" w:cs="Arial"/>
          <w:color w:val="000000" w:themeColor="text1"/>
          <w:sz w:val="18"/>
        </w:rPr>
      </w:pPr>
      <w:r w:rsidRPr="00E5649F">
        <w:rPr>
          <w:rFonts w:ascii="Arial" w:hAnsi="Arial" w:cs="Arial"/>
          <w:color w:val="000000" w:themeColor="text1"/>
          <w:sz w:val="18"/>
        </w:rPr>
        <w:t>10 cm nad szyjką korzeniową.</w:t>
      </w:r>
    </w:p>
    <w:p w14:paraId="017F2254" w14:textId="77777777" w:rsidR="008A1FD5" w:rsidRPr="00E5649F" w:rsidRDefault="008A1FD5" w:rsidP="008A1FD5">
      <w:pPr>
        <w:pStyle w:val="tekst"/>
        <w:jc w:val="both"/>
        <w:rPr>
          <w:rFonts w:ascii="Arial" w:hAnsi="Arial" w:cs="Arial"/>
          <w:color w:val="000000" w:themeColor="text1"/>
          <w:sz w:val="18"/>
          <w:szCs w:val="20"/>
        </w:rPr>
      </w:pPr>
      <w:r w:rsidRPr="00E5649F">
        <w:rPr>
          <w:rFonts w:ascii="Arial" w:hAnsi="Arial" w:cs="Arial"/>
          <w:b/>
          <w:color w:val="000000" w:themeColor="text1"/>
          <w:sz w:val="18"/>
          <w:szCs w:val="20"/>
        </w:rPr>
        <w:t>Pień</w:t>
      </w:r>
      <w:r w:rsidRPr="00E5649F">
        <w:rPr>
          <w:rFonts w:ascii="Arial" w:hAnsi="Arial" w:cs="Arial"/>
          <w:color w:val="000000" w:themeColor="text1"/>
          <w:sz w:val="18"/>
          <w:szCs w:val="20"/>
        </w:rPr>
        <w:t>- nieugałęziona dolna część przewodnika.</w:t>
      </w:r>
    </w:p>
    <w:p w14:paraId="05548F64" w14:textId="77777777" w:rsidR="008A1FD5" w:rsidRPr="00E5649F" w:rsidRDefault="008A1FD5" w:rsidP="008A1FD5">
      <w:pPr>
        <w:pStyle w:val="tekst"/>
        <w:jc w:val="both"/>
        <w:rPr>
          <w:rFonts w:ascii="Arial" w:hAnsi="Arial" w:cs="Arial"/>
          <w:color w:val="000000" w:themeColor="text1"/>
          <w:sz w:val="18"/>
          <w:szCs w:val="20"/>
        </w:rPr>
      </w:pPr>
      <w:r w:rsidRPr="00E5649F">
        <w:rPr>
          <w:rFonts w:ascii="Arial" w:hAnsi="Arial" w:cs="Arial"/>
          <w:b/>
          <w:color w:val="000000" w:themeColor="text1"/>
          <w:sz w:val="18"/>
          <w:szCs w:val="20"/>
        </w:rPr>
        <w:t>Dłużyca</w:t>
      </w:r>
      <w:r w:rsidRPr="00E5649F">
        <w:rPr>
          <w:rFonts w:ascii="Arial" w:hAnsi="Arial" w:cs="Arial"/>
          <w:color w:val="000000" w:themeColor="text1"/>
          <w:sz w:val="18"/>
          <w:szCs w:val="20"/>
        </w:rPr>
        <w:t xml:space="preserve"> – drewno okrągłe, wielkowymiarowe o min. Średnicy 20 cm i długości min. 9 m dla gat. iglastych i 6 m dla gat. liściastych.</w:t>
      </w:r>
    </w:p>
    <w:p w14:paraId="180D9C84" w14:textId="77777777" w:rsidR="008A1FD5" w:rsidRPr="00E5649F" w:rsidRDefault="008A1FD5" w:rsidP="008A1FD5">
      <w:pPr>
        <w:pStyle w:val="tekst"/>
        <w:jc w:val="both"/>
        <w:rPr>
          <w:rFonts w:ascii="Arial" w:hAnsi="Arial" w:cs="Arial"/>
          <w:color w:val="000000" w:themeColor="text1"/>
          <w:sz w:val="18"/>
          <w:szCs w:val="20"/>
        </w:rPr>
      </w:pPr>
      <w:r w:rsidRPr="00E5649F">
        <w:rPr>
          <w:rFonts w:ascii="Arial" w:hAnsi="Arial" w:cs="Arial"/>
          <w:b/>
          <w:color w:val="000000" w:themeColor="text1"/>
          <w:sz w:val="18"/>
          <w:szCs w:val="20"/>
        </w:rPr>
        <w:t>Karpina</w:t>
      </w:r>
      <w:r w:rsidRPr="00E5649F">
        <w:rPr>
          <w:rFonts w:ascii="Arial" w:hAnsi="Arial" w:cs="Arial"/>
          <w:color w:val="000000" w:themeColor="text1"/>
          <w:sz w:val="18"/>
          <w:szCs w:val="20"/>
        </w:rPr>
        <w:t xml:space="preserve"> – podziemna część pnia wraz z korzeniami oraz z fragmentem nadziemnej części pnia drzewa.</w:t>
      </w:r>
    </w:p>
    <w:p w14:paraId="5D3A20DE" w14:textId="77777777" w:rsidR="008A1FD5" w:rsidRPr="00E5649F" w:rsidRDefault="008A1FD5" w:rsidP="008A1FD5">
      <w:pPr>
        <w:pStyle w:val="tekst"/>
        <w:jc w:val="both"/>
        <w:rPr>
          <w:rFonts w:ascii="Arial" w:hAnsi="Arial" w:cs="Arial"/>
          <w:color w:val="000000" w:themeColor="text1"/>
          <w:sz w:val="18"/>
          <w:szCs w:val="20"/>
        </w:rPr>
      </w:pPr>
      <w:r w:rsidRPr="00E5649F">
        <w:rPr>
          <w:rFonts w:ascii="Arial" w:hAnsi="Arial" w:cs="Arial"/>
          <w:b/>
          <w:color w:val="000000" w:themeColor="text1"/>
          <w:sz w:val="18"/>
          <w:szCs w:val="20"/>
        </w:rPr>
        <w:t>Ścinanie pni</w:t>
      </w:r>
      <w:r w:rsidRPr="00E5649F">
        <w:rPr>
          <w:rFonts w:ascii="Arial" w:hAnsi="Arial" w:cs="Arial"/>
          <w:color w:val="000000" w:themeColor="text1"/>
          <w:sz w:val="18"/>
          <w:szCs w:val="20"/>
        </w:rPr>
        <w:t xml:space="preserve"> – usunięcie, oddzielenie od korzenie, części nadziemnej drzewa tj. pnia z koroną.</w:t>
      </w:r>
    </w:p>
    <w:p w14:paraId="1A0BC5F7" w14:textId="77777777" w:rsidR="008A1FD5" w:rsidRPr="00E5649F" w:rsidRDefault="008A1FD5" w:rsidP="008A1FD5">
      <w:pPr>
        <w:pStyle w:val="tekst"/>
        <w:jc w:val="both"/>
        <w:rPr>
          <w:rFonts w:ascii="Arial" w:hAnsi="Arial" w:cs="Arial"/>
          <w:color w:val="000000" w:themeColor="text1"/>
          <w:sz w:val="18"/>
          <w:szCs w:val="20"/>
        </w:rPr>
      </w:pPr>
      <w:r w:rsidRPr="00E5649F">
        <w:rPr>
          <w:rFonts w:ascii="Arial" w:hAnsi="Arial" w:cs="Arial"/>
          <w:b/>
          <w:color w:val="000000" w:themeColor="text1"/>
          <w:sz w:val="18"/>
          <w:szCs w:val="20"/>
        </w:rPr>
        <w:t>Karczowanie</w:t>
      </w:r>
      <w:r w:rsidRPr="00E5649F">
        <w:rPr>
          <w:rFonts w:ascii="Arial" w:hAnsi="Arial" w:cs="Arial"/>
          <w:color w:val="000000" w:themeColor="text1"/>
          <w:sz w:val="18"/>
          <w:szCs w:val="20"/>
        </w:rPr>
        <w:t xml:space="preserve"> – wydobywanie z gruntu karpiny oraz pnia drzewa pozostałego po ścięciu.</w:t>
      </w:r>
    </w:p>
    <w:p w14:paraId="50B64E33" w14:textId="77777777" w:rsidR="008A1FD5" w:rsidRPr="00E5649F" w:rsidRDefault="008A1FD5" w:rsidP="008A1FD5">
      <w:pPr>
        <w:pStyle w:val="tekst"/>
        <w:jc w:val="both"/>
        <w:rPr>
          <w:rFonts w:ascii="Arial" w:hAnsi="Arial" w:cs="Arial"/>
          <w:color w:val="000000" w:themeColor="text1"/>
          <w:sz w:val="18"/>
          <w:szCs w:val="20"/>
        </w:rPr>
      </w:pPr>
      <w:proofErr w:type="spellStart"/>
      <w:r w:rsidRPr="00E5649F">
        <w:rPr>
          <w:rFonts w:ascii="Arial" w:hAnsi="Arial" w:cs="Arial"/>
          <w:b/>
          <w:color w:val="000000" w:themeColor="text1"/>
          <w:sz w:val="18"/>
          <w:szCs w:val="20"/>
        </w:rPr>
        <w:t>Zrębkowanie</w:t>
      </w:r>
      <w:proofErr w:type="spellEnd"/>
      <w:r w:rsidRPr="00E5649F">
        <w:rPr>
          <w:rFonts w:ascii="Arial" w:hAnsi="Arial" w:cs="Arial"/>
          <w:color w:val="000000" w:themeColor="text1"/>
          <w:sz w:val="18"/>
          <w:szCs w:val="20"/>
        </w:rPr>
        <w:t xml:space="preserve"> – rozdrabnianie mechaniczne gałęzi drzew i krzewów;</w:t>
      </w:r>
    </w:p>
    <w:p w14:paraId="7CE2E094" w14:textId="77777777" w:rsidR="008A1FD5" w:rsidRPr="00E5649F" w:rsidRDefault="008A1FD5" w:rsidP="008A1FD5">
      <w:pPr>
        <w:jc w:val="both"/>
        <w:rPr>
          <w:rFonts w:ascii="Arial" w:hAnsi="Arial" w:cs="Arial"/>
          <w:color w:val="000000" w:themeColor="text1"/>
          <w:sz w:val="18"/>
        </w:rPr>
      </w:pPr>
      <w:r w:rsidRPr="00E5649F">
        <w:rPr>
          <w:rFonts w:ascii="Arial" w:hAnsi="Arial" w:cs="Arial"/>
          <w:b/>
          <w:color w:val="000000" w:themeColor="text1"/>
          <w:sz w:val="18"/>
        </w:rPr>
        <w:t>Zagajnik, zadrzewienia</w:t>
      </w:r>
      <w:r w:rsidRPr="00E5649F">
        <w:rPr>
          <w:rFonts w:ascii="Arial" w:hAnsi="Arial" w:cs="Arial"/>
          <w:color w:val="000000" w:themeColor="text1"/>
          <w:sz w:val="18"/>
        </w:rPr>
        <w:t xml:space="preserve"> – skupienia drzew i krzewów niebędące zbiorowiskami leśnymi;</w:t>
      </w:r>
    </w:p>
    <w:p w14:paraId="26CE76BE" w14:textId="77777777" w:rsidR="008A1FD5" w:rsidRPr="00E5649F" w:rsidRDefault="008A1FD5" w:rsidP="008A1FD5">
      <w:pPr>
        <w:pStyle w:val="tekst"/>
        <w:jc w:val="both"/>
        <w:rPr>
          <w:rFonts w:ascii="Arial" w:hAnsi="Arial" w:cs="Arial"/>
          <w:color w:val="000000" w:themeColor="text1"/>
          <w:sz w:val="18"/>
          <w:szCs w:val="20"/>
        </w:rPr>
      </w:pPr>
      <w:r w:rsidRPr="00E5649F">
        <w:rPr>
          <w:rFonts w:ascii="Arial" w:hAnsi="Arial" w:cs="Arial"/>
          <w:b/>
          <w:color w:val="000000" w:themeColor="text1"/>
          <w:sz w:val="18"/>
          <w:szCs w:val="20"/>
        </w:rPr>
        <w:t>Zarośla</w:t>
      </w:r>
      <w:r w:rsidRPr="00E5649F">
        <w:rPr>
          <w:rFonts w:ascii="Arial" w:hAnsi="Arial" w:cs="Arial"/>
          <w:color w:val="000000" w:themeColor="text1"/>
          <w:sz w:val="18"/>
          <w:szCs w:val="20"/>
        </w:rPr>
        <w:t xml:space="preserve"> – gęste zbiorowiska krzewiaste z możliwością udziału młodych drzew.  </w:t>
      </w:r>
    </w:p>
    <w:p w14:paraId="59AE1CEE" w14:textId="77777777" w:rsidR="008A1FD5" w:rsidRPr="00E5649F" w:rsidRDefault="008A1FD5" w:rsidP="008A1FD5">
      <w:pPr>
        <w:pStyle w:val="tekst"/>
        <w:rPr>
          <w:rFonts w:ascii="Arial" w:hAnsi="Arial" w:cs="Arial"/>
          <w:color w:val="000000" w:themeColor="text1"/>
          <w:sz w:val="18"/>
          <w:szCs w:val="20"/>
          <w:u w:val="single"/>
        </w:rPr>
      </w:pPr>
      <w:r w:rsidRPr="00E5649F">
        <w:rPr>
          <w:rFonts w:ascii="Arial" w:hAnsi="Arial" w:cs="Arial"/>
          <w:b/>
          <w:color w:val="000000" w:themeColor="text1"/>
          <w:sz w:val="18"/>
          <w:szCs w:val="20"/>
        </w:rPr>
        <w:t>GD</w:t>
      </w:r>
      <w:r w:rsidRPr="00E5649F">
        <w:rPr>
          <w:rFonts w:ascii="Arial" w:hAnsi="Arial" w:cs="Arial"/>
          <w:color w:val="000000" w:themeColor="text1"/>
          <w:sz w:val="18"/>
          <w:szCs w:val="20"/>
        </w:rPr>
        <w:t xml:space="preserve"> – grupa drzew (drzewa, których obwody przekraczają wartość 0,10 m; na mapie inwentaryzacyjnej zaznaczony jest zakres ich występowania w terenie, liczbę rozgałęzień pnia na wysokości 130 cm rozdzielono znakiem: ” / „);</w:t>
      </w:r>
    </w:p>
    <w:p w14:paraId="0798C25D" w14:textId="77777777" w:rsidR="008A1FD5" w:rsidRPr="00E5649F" w:rsidRDefault="008A1FD5" w:rsidP="008A1FD5">
      <w:pPr>
        <w:pStyle w:val="tekst"/>
        <w:rPr>
          <w:rFonts w:ascii="Arial" w:hAnsi="Arial" w:cs="Arial"/>
          <w:color w:val="000000" w:themeColor="text1"/>
          <w:sz w:val="18"/>
          <w:szCs w:val="20"/>
        </w:rPr>
      </w:pPr>
      <w:r w:rsidRPr="00E5649F">
        <w:rPr>
          <w:rFonts w:ascii="Arial" w:hAnsi="Arial" w:cs="Arial"/>
          <w:b/>
          <w:color w:val="000000" w:themeColor="text1"/>
          <w:sz w:val="18"/>
          <w:szCs w:val="20"/>
        </w:rPr>
        <w:t>GK</w:t>
      </w:r>
      <w:r w:rsidRPr="00E5649F">
        <w:rPr>
          <w:rFonts w:ascii="Arial" w:hAnsi="Arial" w:cs="Arial"/>
          <w:color w:val="000000" w:themeColor="text1"/>
          <w:sz w:val="18"/>
          <w:szCs w:val="20"/>
        </w:rPr>
        <w:t xml:space="preserve"> – grupa krzewów (skupisko krzewów lub forma drzewa bez wyraźnego pnia);</w:t>
      </w:r>
    </w:p>
    <w:p w14:paraId="0A650C7B" w14:textId="77777777" w:rsidR="008A1FD5" w:rsidRPr="00E5649F" w:rsidRDefault="008A1FD5" w:rsidP="008A1FD5">
      <w:pPr>
        <w:pStyle w:val="Nagwek2"/>
        <w:rPr>
          <w:i w:val="0"/>
          <w:color w:val="000000" w:themeColor="text1"/>
        </w:rPr>
      </w:pPr>
      <w:r w:rsidRPr="00E5649F">
        <w:rPr>
          <w:i w:val="0"/>
          <w:color w:val="000000" w:themeColor="text1"/>
        </w:rPr>
        <w:t>6. MATERIAŁY</w:t>
      </w:r>
    </w:p>
    <w:p w14:paraId="619C81FB" w14:textId="77777777" w:rsidR="008A1FD5" w:rsidRPr="00E5649F" w:rsidRDefault="008A1FD5" w:rsidP="008A1FD5">
      <w:pPr>
        <w:spacing w:line="276" w:lineRule="auto"/>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materiałów podano w ST-00.00 „Wymagania Ogólne”.</w:t>
      </w:r>
    </w:p>
    <w:p w14:paraId="4C3355F8" w14:textId="77777777" w:rsidR="008A1FD5" w:rsidRPr="00E5649F" w:rsidRDefault="008A1FD5" w:rsidP="008A1FD5">
      <w:pPr>
        <w:pStyle w:val="Nagwek2"/>
        <w:rPr>
          <w:i w:val="0"/>
          <w:color w:val="000000" w:themeColor="text1"/>
        </w:rPr>
      </w:pPr>
      <w:r w:rsidRPr="00E5649F">
        <w:rPr>
          <w:i w:val="0"/>
          <w:color w:val="000000" w:themeColor="text1"/>
        </w:rPr>
        <w:lastRenderedPageBreak/>
        <w:t>7. SPRZĘT</w:t>
      </w:r>
    </w:p>
    <w:p w14:paraId="6875F87D" w14:textId="77777777" w:rsidR="008A1FD5" w:rsidRPr="00E5649F" w:rsidRDefault="008A1FD5" w:rsidP="008A1FD5">
      <w:pPr>
        <w:pStyle w:val="Nagwek3"/>
        <w:spacing w:before="60"/>
        <w:rPr>
          <w:color w:val="000000" w:themeColor="text1"/>
          <w:sz w:val="22"/>
        </w:rPr>
      </w:pPr>
      <w:r w:rsidRPr="00E5649F">
        <w:rPr>
          <w:color w:val="000000" w:themeColor="text1"/>
          <w:sz w:val="22"/>
        </w:rPr>
        <w:t>7.1. WYMAGANIA DOTYCZĄCE SPRZĘTU</w:t>
      </w:r>
    </w:p>
    <w:p w14:paraId="10CAB4BF" w14:textId="77777777" w:rsidR="008A1FD5" w:rsidRPr="00E5649F" w:rsidRDefault="008A1FD5" w:rsidP="008A1FD5">
      <w:pPr>
        <w:spacing w:line="276" w:lineRule="auto"/>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sprzętu podano w ST-00.00 „Wymagania Ogólne”.</w:t>
      </w:r>
    </w:p>
    <w:p w14:paraId="4B84B4FD" w14:textId="77777777" w:rsidR="008A1FD5" w:rsidRPr="00E5649F" w:rsidRDefault="008A1FD5" w:rsidP="008A1FD5">
      <w:pPr>
        <w:pStyle w:val="Nagwek3"/>
        <w:spacing w:before="60"/>
        <w:rPr>
          <w:color w:val="000000" w:themeColor="text1"/>
          <w:sz w:val="22"/>
        </w:rPr>
      </w:pPr>
      <w:r w:rsidRPr="00E5649F">
        <w:rPr>
          <w:color w:val="000000" w:themeColor="text1"/>
          <w:sz w:val="22"/>
        </w:rPr>
        <w:t>7.2. SPRZĘT DO USUNIĘCIA ROŚLIN</w:t>
      </w:r>
    </w:p>
    <w:p w14:paraId="3D203131"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Do wykonania robót związanych z usunięciem drzew i krzewów należy stosować:</w:t>
      </w:r>
    </w:p>
    <w:p w14:paraId="170BF221"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piły mechaniczne;</w:t>
      </w:r>
    </w:p>
    <w:p w14:paraId="4054A0D9"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spycharki;</w:t>
      </w:r>
    </w:p>
    <w:p w14:paraId="09AB7BE7"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specjalne maszyny przeznaczone do karczowania pni oraz ich usunięcia z pasa drogowego;</w:t>
      </w:r>
    </w:p>
    <w:p w14:paraId="12BD02F2"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koparki lub ciągniki ze specjalnymi osprzętami do prowadzenia prac związanych z wyrębem drzew;</w:t>
      </w:r>
    </w:p>
    <w:p w14:paraId="7826AFF7"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urządzenia do zmielenia gałęzi, liści, krzewów.</w:t>
      </w:r>
    </w:p>
    <w:p w14:paraId="7F397D74" w14:textId="77777777" w:rsidR="008A1FD5" w:rsidRPr="00E5649F" w:rsidRDefault="008A1FD5" w:rsidP="008A1FD5">
      <w:pPr>
        <w:pStyle w:val="Nagwek2"/>
        <w:rPr>
          <w:i w:val="0"/>
          <w:color w:val="000000" w:themeColor="text1"/>
        </w:rPr>
      </w:pPr>
      <w:r w:rsidRPr="00E5649F">
        <w:rPr>
          <w:i w:val="0"/>
          <w:color w:val="000000" w:themeColor="text1"/>
        </w:rPr>
        <w:t>8. TRANSPORT</w:t>
      </w:r>
    </w:p>
    <w:p w14:paraId="5B8ECC8A" w14:textId="77777777" w:rsidR="008A1FD5" w:rsidRPr="00E5649F" w:rsidRDefault="008A1FD5" w:rsidP="008A1FD5">
      <w:pPr>
        <w:pStyle w:val="Nagwek3"/>
        <w:spacing w:before="60"/>
        <w:rPr>
          <w:color w:val="000000" w:themeColor="text1"/>
          <w:sz w:val="22"/>
        </w:rPr>
      </w:pPr>
      <w:r w:rsidRPr="00E5649F">
        <w:rPr>
          <w:color w:val="000000" w:themeColor="text1"/>
          <w:sz w:val="22"/>
        </w:rPr>
        <w:t>8.1. WYMAGANIA DOTYCZĄCE TRANSPORTU</w:t>
      </w:r>
    </w:p>
    <w:p w14:paraId="1049BEA6" w14:textId="77777777" w:rsidR="008A1FD5" w:rsidRPr="00E5649F" w:rsidRDefault="008A1FD5" w:rsidP="008A1FD5">
      <w:pPr>
        <w:spacing w:line="276" w:lineRule="auto"/>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transportu podano w ST-00.00 „Wymagania Ogólne”.</w:t>
      </w:r>
    </w:p>
    <w:p w14:paraId="7823AB16" w14:textId="77777777" w:rsidR="008A1FD5" w:rsidRPr="00E5649F" w:rsidRDefault="008A1FD5" w:rsidP="008A1FD5">
      <w:pPr>
        <w:pStyle w:val="Nagwek3"/>
        <w:spacing w:before="60"/>
        <w:rPr>
          <w:color w:val="000000" w:themeColor="text1"/>
          <w:sz w:val="22"/>
        </w:rPr>
      </w:pPr>
      <w:r w:rsidRPr="00E5649F">
        <w:rPr>
          <w:color w:val="000000" w:themeColor="text1"/>
          <w:sz w:val="22"/>
        </w:rPr>
        <w:t>8.2. TRANSPORT ŚCIĘTYCH DRZEW, KARPINY, GAŁĘZI</w:t>
      </w:r>
    </w:p>
    <w:p w14:paraId="0B676175"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Pnie ściętych drzew, karpina i gałęzie mogą być przewożone dowolnymi środkami transportu.</w:t>
      </w:r>
    </w:p>
    <w:p w14:paraId="18127FBA"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Materiał (dłużyca) z wycinki drzew i krzewów jest własnością Zamawiającego. Gałęzie i karpiny stanowią własność Wykonawcy. W czasie trwania transportu Wykonawca powinien zabezpieczyć ładunki przed możliwością przesuwania się. Ścięte drzewa i grube gałęzie będą wywiezione przez Wykonawcę na odległość do 20 km na miejsce wskazane przez Inżyniera/Inwestora.</w:t>
      </w:r>
    </w:p>
    <w:p w14:paraId="18BABB38" w14:textId="77777777" w:rsidR="008A1FD5" w:rsidRPr="00E5649F" w:rsidRDefault="008A1FD5" w:rsidP="008A1FD5">
      <w:pPr>
        <w:pStyle w:val="Nagwek2"/>
        <w:rPr>
          <w:b w:val="0"/>
          <w:i w:val="0"/>
          <w:color w:val="000000" w:themeColor="text1"/>
          <w:sz w:val="20"/>
          <w:szCs w:val="20"/>
        </w:rPr>
      </w:pPr>
      <w:r w:rsidRPr="00E5649F">
        <w:rPr>
          <w:i w:val="0"/>
          <w:color w:val="000000" w:themeColor="text1"/>
        </w:rPr>
        <w:t>9. WYKONANIE ROBÓT</w:t>
      </w:r>
    </w:p>
    <w:p w14:paraId="4EAD131B" w14:textId="77777777" w:rsidR="008A1FD5" w:rsidRPr="00E5649F" w:rsidRDefault="008A1FD5" w:rsidP="008A1FD5">
      <w:pPr>
        <w:pStyle w:val="Nagwek3"/>
        <w:spacing w:before="60"/>
        <w:rPr>
          <w:color w:val="000000" w:themeColor="text1"/>
          <w:sz w:val="22"/>
        </w:rPr>
      </w:pPr>
      <w:r w:rsidRPr="00E5649F">
        <w:rPr>
          <w:color w:val="000000" w:themeColor="text1"/>
          <w:sz w:val="22"/>
        </w:rPr>
        <w:t>9.1. OGÓLNE ZASADY WYKONANIA ROBÓT</w:t>
      </w:r>
    </w:p>
    <w:p w14:paraId="60C2E2C0"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wykonania robót podano w ST-00.00 „Wymagania Ogólne”.</w:t>
      </w:r>
    </w:p>
    <w:p w14:paraId="2F81C7D4" w14:textId="77777777" w:rsidR="008A1FD5" w:rsidRPr="00E5649F" w:rsidRDefault="008A1FD5" w:rsidP="008A1FD5">
      <w:pPr>
        <w:pStyle w:val="Nagwek3"/>
        <w:spacing w:before="60"/>
        <w:rPr>
          <w:color w:val="000000" w:themeColor="text1"/>
          <w:sz w:val="22"/>
        </w:rPr>
      </w:pPr>
      <w:r w:rsidRPr="00E5649F">
        <w:rPr>
          <w:color w:val="000000" w:themeColor="text1"/>
          <w:sz w:val="22"/>
        </w:rPr>
        <w:t xml:space="preserve">9.2. OZNACZENIE ROŚLIN DO USUNIĘCIA </w:t>
      </w:r>
    </w:p>
    <w:p w14:paraId="20DBCEF5"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Przed przystąpieniem do prac związanych z usunięciem drzew i krzewów należy, trwale i w sposób odróżniający się, oznaczyć wyznaczone drzewa i krzewy.</w:t>
      </w:r>
    </w:p>
    <w:p w14:paraId="2B9F56A9" w14:textId="77777777" w:rsidR="008A1FD5" w:rsidRPr="00E5649F" w:rsidRDefault="008A1FD5" w:rsidP="008A1FD5">
      <w:pPr>
        <w:pStyle w:val="Nagwek3"/>
        <w:spacing w:before="60"/>
        <w:rPr>
          <w:color w:val="000000" w:themeColor="text1"/>
          <w:sz w:val="22"/>
        </w:rPr>
      </w:pPr>
      <w:r w:rsidRPr="00E5649F">
        <w:rPr>
          <w:color w:val="000000" w:themeColor="text1"/>
          <w:sz w:val="22"/>
        </w:rPr>
        <w:t xml:space="preserve">9.3. USUNIĘCIE DRZEW I KRZEWÓW </w:t>
      </w:r>
    </w:p>
    <w:p w14:paraId="1ACC5A14"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Roboty związane z usunięciem drzew obejmują:</w:t>
      </w:r>
    </w:p>
    <w:p w14:paraId="2CA86C16"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ścięcie drzewa, ocięcie wierzchołka i gałęzi, odciągnięcie gałęzi i ułożenie w stosy, przetoczenie dłużycy i ułożenie na podkładach;</w:t>
      </w:r>
    </w:p>
    <w:p w14:paraId="54475205"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odrąbanie grubych korzeni, wydobycie karpiny, odsunięcie karpiny i ułożenie w stosy, zasypanie dołu;</w:t>
      </w:r>
    </w:p>
    <w:p w14:paraId="4F227557"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wykarczowanie krzewów, odsunięcie ich, ułożenie w stosy;</w:t>
      </w:r>
    </w:p>
    <w:p w14:paraId="77FC572E"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pocięcie dłużyc na drewno opałowe;</w:t>
      </w:r>
    </w:p>
    <w:p w14:paraId="26A971FA"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zgrabienie na stosy drobnych gałęzi, korzeni i kory, usunięcie warstwy ściółki, ułożenie w stosy, wywiezienie pozostałości;</w:t>
      </w:r>
    </w:p>
    <w:p w14:paraId="4D865DCF"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proofErr w:type="spellStart"/>
      <w:r w:rsidRPr="00E5649F">
        <w:rPr>
          <w:color w:val="000000" w:themeColor="text1"/>
          <w:sz w:val="18"/>
        </w:rPr>
        <w:t>zrębkowanie</w:t>
      </w:r>
      <w:proofErr w:type="spellEnd"/>
      <w:r w:rsidRPr="00E5649F">
        <w:rPr>
          <w:color w:val="000000" w:themeColor="text1"/>
          <w:sz w:val="18"/>
        </w:rPr>
        <w:t xml:space="preserve"> gałęzi drzew i krzewów.</w:t>
      </w:r>
    </w:p>
    <w:p w14:paraId="36C9ADCF"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wykorzystanie zrębków do ściółkowania istniejących terenów zieleni;</w:t>
      </w:r>
    </w:p>
    <w:p w14:paraId="721DAF58"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wywiezienie drewna w miejsce wskazane przez Inwestora.</w:t>
      </w:r>
    </w:p>
    <w:p w14:paraId="77DCB84E"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poza miejscami wykopów doły po wykarczowanych pniach powinny być wypełnione gruntem przydatnym do budowy nasypów i zagęszczone zgodnie z wymaganiami wg PN-S-02205.</w:t>
      </w:r>
    </w:p>
    <w:p w14:paraId="6997738E"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doły po wykarczowanych pniach w obrębie wykopów należy tymczasowo zabezpieczyć przed gromadzeniem się w nich wody.</w:t>
      </w:r>
    </w:p>
    <w:p w14:paraId="72390C17" w14:textId="77777777" w:rsidR="008A1FD5" w:rsidRPr="00E5649F" w:rsidRDefault="008A1FD5" w:rsidP="008A1FD5">
      <w:pPr>
        <w:pStyle w:val="Nagwek3"/>
        <w:spacing w:before="60"/>
        <w:rPr>
          <w:color w:val="000000" w:themeColor="text1"/>
          <w:sz w:val="22"/>
        </w:rPr>
      </w:pPr>
      <w:r w:rsidRPr="00E5649F">
        <w:rPr>
          <w:color w:val="000000" w:themeColor="text1"/>
          <w:sz w:val="22"/>
        </w:rPr>
        <w:t>9.4. SKŁADOWANIE DREWNA Z WYCINEK</w:t>
      </w:r>
    </w:p>
    <w:p w14:paraId="1191B1B7"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Drewno powinno być składowane w miejscu wskazanym przez Inżyniera w sposób uporządkowany.</w:t>
      </w:r>
    </w:p>
    <w:p w14:paraId="1D5B6790" w14:textId="77777777" w:rsidR="008A1FD5" w:rsidRPr="00E5649F" w:rsidRDefault="008A1FD5" w:rsidP="008A1FD5">
      <w:pPr>
        <w:pStyle w:val="Nagwek3"/>
        <w:spacing w:before="60"/>
        <w:rPr>
          <w:color w:val="000000" w:themeColor="text1"/>
          <w:sz w:val="22"/>
        </w:rPr>
      </w:pPr>
      <w:r w:rsidRPr="00E5649F">
        <w:rPr>
          <w:color w:val="000000" w:themeColor="text1"/>
          <w:sz w:val="22"/>
        </w:rPr>
        <w:t>9.5. LIKWIDACJA POZOSTAŁOŚCI PO USUNIĘCIU DRZEW</w:t>
      </w:r>
    </w:p>
    <w:p w14:paraId="56A0CDFC"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Sposób zniszczenia pozostałości po usunięciu roślinności powinien być zgodny ze wskazaniami Inspektora Nadzoru Terenów Zieleni. Jeżeli Inspektor nie postanowi inaczej, to w przystosowanych do tego urządzeniach, a materiał po zmieleniu należy złożyć na hałdach do wykorzystania przy sadzeniu drzew i krzewów.</w:t>
      </w:r>
    </w:p>
    <w:p w14:paraId="720B321B"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W przypadku dopuszczenia przerobienia gałęzi na korę drzewną za pomocą specjalistycznego sprzętu, to sposób wykonania powinien odpowiadać zaleceniom producenta sprzętu. </w:t>
      </w:r>
    </w:p>
    <w:p w14:paraId="328E35CA"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Drobne gałęzie drzew, liście i krzewy powinny być rozdrobnione na miejscu. Nieużyteczne pozostałości po przeróbce powinny być usunięte przez Wykonawcę z terenu budowy.</w:t>
      </w:r>
    </w:p>
    <w:p w14:paraId="14B24327" w14:textId="77777777" w:rsidR="008A1FD5" w:rsidRPr="00E5649F" w:rsidRDefault="008A1FD5" w:rsidP="008A1FD5">
      <w:pPr>
        <w:pStyle w:val="Nagwek2"/>
        <w:rPr>
          <w:i w:val="0"/>
          <w:color w:val="000000" w:themeColor="text1"/>
        </w:rPr>
      </w:pPr>
      <w:r w:rsidRPr="00E5649F">
        <w:rPr>
          <w:i w:val="0"/>
          <w:color w:val="000000" w:themeColor="text1"/>
        </w:rPr>
        <w:t>10. KONTROLA JAKOŚCI</w:t>
      </w:r>
    </w:p>
    <w:p w14:paraId="15C6EE8F" w14:textId="77777777" w:rsidR="008A1FD5" w:rsidRPr="00E5649F" w:rsidRDefault="008A1FD5" w:rsidP="008A1FD5">
      <w:pPr>
        <w:pStyle w:val="Nagwek3"/>
        <w:spacing w:before="60"/>
        <w:rPr>
          <w:color w:val="000000" w:themeColor="text1"/>
          <w:sz w:val="22"/>
        </w:rPr>
      </w:pPr>
      <w:r w:rsidRPr="00E5649F">
        <w:rPr>
          <w:color w:val="000000" w:themeColor="text1"/>
          <w:sz w:val="22"/>
        </w:rPr>
        <w:t>10.1. ZASADY KONTROLI JAKOŚCI</w:t>
      </w:r>
    </w:p>
    <w:p w14:paraId="0BBAB10E"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kontroli jakości podano w ST-00.00 „Wymagania Ogólne”.</w:t>
      </w:r>
    </w:p>
    <w:p w14:paraId="1427160B" w14:textId="77777777" w:rsidR="008A1FD5" w:rsidRPr="00E5649F" w:rsidRDefault="008A1FD5" w:rsidP="008A1FD5">
      <w:pPr>
        <w:pStyle w:val="Nagwek3"/>
        <w:spacing w:before="60"/>
        <w:rPr>
          <w:color w:val="000000" w:themeColor="text1"/>
          <w:sz w:val="22"/>
        </w:rPr>
      </w:pPr>
      <w:r w:rsidRPr="00E5649F">
        <w:rPr>
          <w:color w:val="000000" w:themeColor="text1"/>
          <w:sz w:val="22"/>
        </w:rPr>
        <w:lastRenderedPageBreak/>
        <w:t>10.2. KONTROLA USUWANIA DRZEW I KRZEWÓW</w:t>
      </w:r>
    </w:p>
    <w:p w14:paraId="3A856110"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 czasie prowadzenia prac polega na sprawdzeniu:</w:t>
      </w:r>
    </w:p>
    <w:p w14:paraId="29E97E14"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Zgodności z projektem gospodarki drzewostanem wyznaczonych do usunięcia krzewów;</w:t>
      </w:r>
    </w:p>
    <w:p w14:paraId="7D9681E1"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Prawidłowego oznaczenia drzew, krzewów do usunięcia;</w:t>
      </w:r>
    </w:p>
    <w:p w14:paraId="120192EC"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Prawidłowego zabezpieczenie drzew niewyznaczonych do usunięcia;</w:t>
      </w:r>
    </w:p>
    <w:p w14:paraId="616E16B6"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Zasypania dołów po wykarczowaniu pni;</w:t>
      </w:r>
    </w:p>
    <w:p w14:paraId="576A400C"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proofErr w:type="spellStart"/>
      <w:r w:rsidRPr="00E5649F">
        <w:rPr>
          <w:color w:val="000000" w:themeColor="text1"/>
          <w:sz w:val="18"/>
        </w:rPr>
        <w:t>Zrębkowania</w:t>
      </w:r>
      <w:proofErr w:type="spellEnd"/>
      <w:r w:rsidRPr="00E5649F">
        <w:rPr>
          <w:color w:val="000000" w:themeColor="text1"/>
          <w:sz w:val="18"/>
        </w:rPr>
        <w:t xml:space="preserve"> gałęzi, spryzmowania;</w:t>
      </w:r>
    </w:p>
    <w:p w14:paraId="2227F6D6"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Pocięcia dłużyc na drewno opałowe;</w:t>
      </w:r>
    </w:p>
    <w:p w14:paraId="7235277C"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Wywiezienia z terenu pozostałości po usunięciu drzew.</w:t>
      </w:r>
    </w:p>
    <w:p w14:paraId="7C38C5A4" w14:textId="77777777" w:rsidR="008A1FD5" w:rsidRPr="00E5649F" w:rsidRDefault="008A1FD5" w:rsidP="00BA5651">
      <w:pPr>
        <w:pStyle w:val="Akapitzlist"/>
        <w:widowControl/>
        <w:numPr>
          <w:ilvl w:val="0"/>
          <w:numId w:val="340"/>
        </w:numPr>
        <w:tabs>
          <w:tab w:val="left" w:pos="851"/>
        </w:tabs>
        <w:suppressAutoHyphens w:val="0"/>
        <w:overflowPunct/>
        <w:autoSpaceDE/>
        <w:spacing w:line="360" w:lineRule="auto"/>
        <w:contextualSpacing w:val="0"/>
        <w:textAlignment w:val="auto"/>
        <w:rPr>
          <w:rFonts w:ascii="Arial" w:hAnsi="Arial" w:cs="Arial"/>
          <w:vanish/>
          <w:color w:val="000000" w:themeColor="text1"/>
          <w:sz w:val="20"/>
        </w:rPr>
      </w:pPr>
    </w:p>
    <w:p w14:paraId="29031FB0" w14:textId="77777777" w:rsidR="008A1FD5" w:rsidRPr="00E5649F" w:rsidRDefault="008A1FD5" w:rsidP="00BA5651">
      <w:pPr>
        <w:pStyle w:val="Akapitzlist"/>
        <w:widowControl/>
        <w:numPr>
          <w:ilvl w:val="0"/>
          <w:numId w:val="340"/>
        </w:numPr>
        <w:tabs>
          <w:tab w:val="left" w:pos="851"/>
        </w:tabs>
        <w:suppressAutoHyphens w:val="0"/>
        <w:overflowPunct/>
        <w:autoSpaceDE/>
        <w:spacing w:line="360" w:lineRule="auto"/>
        <w:contextualSpacing w:val="0"/>
        <w:textAlignment w:val="auto"/>
        <w:rPr>
          <w:rFonts w:ascii="Arial" w:hAnsi="Arial" w:cs="Arial"/>
          <w:vanish/>
          <w:color w:val="000000" w:themeColor="text1"/>
          <w:sz w:val="20"/>
        </w:rPr>
      </w:pPr>
    </w:p>
    <w:p w14:paraId="77E36732" w14:textId="77777777" w:rsidR="008A1FD5" w:rsidRPr="00E5649F" w:rsidRDefault="008A1FD5" w:rsidP="00BA5651">
      <w:pPr>
        <w:pStyle w:val="Akapitzlist"/>
        <w:widowControl/>
        <w:numPr>
          <w:ilvl w:val="1"/>
          <w:numId w:val="340"/>
        </w:numPr>
        <w:tabs>
          <w:tab w:val="left" w:pos="851"/>
        </w:tabs>
        <w:suppressAutoHyphens w:val="0"/>
        <w:overflowPunct/>
        <w:autoSpaceDE/>
        <w:spacing w:line="360" w:lineRule="auto"/>
        <w:contextualSpacing w:val="0"/>
        <w:textAlignment w:val="auto"/>
        <w:rPr>
          <w:rFonts w:ascii="Arial" w:hAnsi="Arial" w:cs="Arial"/>
          <w:vanish/>
          <w:color w:val="000000" w:themeColor="text1"/>
          <w:sz w:val="20"/>
        </w:rPr>
      </w:pPr>
    </w:p>
    <w:p w14:paraId="69FAD535" w14:textId="77777777" w:rsidR="008A1FD5" w:rsidRPr="00E5649F" w:rsidRDefault="008A1FD5" w:rsidP="00BA5651">
      <w:pPr>
        <w:pStyle w:val="Akapitzlist"/>
        <w:widowControl/>
        <w:numPr>
          <w:ilvl w:val="1"/>
          <w:numId w:val="340"/>
        </w:numPr>
        <w:tabs>
          <w:tab w:val="left" w:pos="851"/>
        </w:tabs>
        <w:suppressAutoHyphens w:val="0"/>
        <w:overflowPunct/>
        <w:autoSpaceDE/>
        <w:spacing w:line="360" w:lineRule="auto"/>
        <w:contextualSpacing w:val="0"/>
        <w:textAlignment w:val="auto"/>
        <w:rPr>
          <w:rFonts w:ascii="Arial" w:hAnsi="Arial" w:cs="Arial"/>
          <w:vanish/>
          <w:color w:val="000000" w:themeColor="text1"/>
          <w:sz w:val="20"/>
        </w:rPr>
      </w:pPr>
    </w:p>
    <w:p w14:paraId="56D24FC2" w14:textId="77777777" w:rsidR="008A1FD5" w:rsidRPr="00E5649F" w:rsidRDefault="008A1FD5" w:rsidP="00BA5651">
      <w:pPr>
        <w:pStyle w:val="Akapitzlist"/>
        <w:widowControl/>
        <w:numPr>
          <w:ilvl w:val="1"/>
          <w:numId w:val="340"/>
        </w:numPr>
        <w:tabs>
          <w:tab w:val="left" w:pos="851"/>
        </w:tabs>
        <w:suppressAutoHyphens w:val="0"/>
        <w:overflowPunct/>
        <w:autoSpaceDE/>
        <w:spacing w:line="360" w:lineRule="auto"/>
        <w:contextualSpacing w:val="0"/>
        <w:textAlignment w:val="auto"/>
        <w:rPr>
          <w:rFonts w:ascii="Arial" w:hAnsi="Arial" w:cs="Arial"/>
          <w:vanish/>
          <w:color w:val="000000" w:themeColor="text1"/>
          <w:sz w:val="20"/>
        </w:rPr>
      </w:pPr>
    </w:p>
    <w:p w14:paraId="5D4AA8D4" w14:textId="77777777" w:rsidR="008A1FD5" w:rsidRPr="00E5649F" w:rsidRDefault="008A1FD5" w:rsidP="00BA5651">
      <w:pPr>
        <w:pStyle w:val="Akapitzlist"/>
        <w:widowControl/>
        <w:numPr>
          <w:ilvl w:val="1"/>
          <w:numId w:val="340"/>
        </w:numPr>
        <w:tabs>
          <w:tab w:val="left" w:pos="851"/>
        </w:tabs>
        <w:suppressAutoHyphens w:val="0"/>
        <w:overflowPunct/>
        <w:autoSpaceDE/>
        <w:spacing w:line="360" w:lineRule="auto"/>
        <w:contextualSpacing w:val="0"/>
        <w:textAlignment w:val="auto"/>
        <w:rPr>
          <w:rFonts w:ascii="Arial" w:hAnsi="Arial" w:cs="Arial"/>
          <w:vanish/>
          <w:color w:val="000000" w:themeColor="text1"/>
          <w:sz w:val="20"/>
        </w:rPr>
      </w:pPr>
    </w:p>
    <w:p w14:paraId="143BC7AD" w14:textId="77777777" w:rsidR="008A1FD5" w:rsidRPr="00E5649F" w:rsidRDefault="008A1FD5" w:rsidP="008A1FD5">
      <w:pPr>
        <w:pStyle w:val="Nagwek3"/>
        <w:spacing w:before="60"/>
        <w:rPr>
          <w:b w:val="0"/>
          <w:color w:val="000000" w:themeColor="text1"/>
          <w:sz w:val="20"/>
        </w:rPr>
      </w:pPr>
      <w:r w:rsidRPr="00E5649F">
        <w:rPr>
          <w:color w:val="000000" w:themeColor="text1"/>
          <w:sz w:val="22"/>
        </w:rPr>
        <w:t>10.3. ZASADY POSTĘPOWANIA Z WADLIWIE WYKONANYMI PRACAMI</w:t>
      </w:r>
    </w:p>
    <w:p w14:paraId="5467F896"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Jeżeli Inżynier/Inwestor/Nadzór Autorski stwierdzą wadliwe wykonanie prac, to Wykonawca powinien na własny koszt wykonać wszelkie poprawki.</w:t>
      </w:r>
    </w:p>
    <w:p w14:paraId="33B869EF" w14:textId="77777777" w:rsidR="008A1FD5" w:rsidRPr="00E5649F" w:rsidRDefault="008A1FD5" w:rsidP="008A1FD5">
      <w:pPr>
        <w:pStyle w:val="Nagwek2"/>
        <w:rPr>
          <w:i w:val="0"/>
          <w:color w:val="000000" w:themeColor="text1"/>
        </w:rPr>
      </w:pPr>
      <w:r w:rsidRPr="00E5649F">
        <w:rPr>
          <w:i w:val="0"/>
          <w:color w:val="000000" w:themeColor="text1"/>
        </w:rPr>
        <w:t>11. OBMIAR ROBÓT</w:t>
      </w:r>
    </w:p>
    <w:p w14:paraId="44C4CEB0"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obmiaru robót podano w ST-00.00 „Wymagania Ogólne”.</w:t>
      </w:r>
    </w:p>
    <w:p w14:paraId="4D3A201C"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Jednostką obmiarową jest:</w:t>
      </w:r>
    </w:p>
    <w:p w14:paraId="49EEBAC6"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szt. (sztuka) drzew i krzewów</w:t>
      </w:r>
    </w:p>
    <w:p w14:paraId="66800748"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m2/ha krzewów, gałęzi, ściółki</w:t>
      </w:r>
    </w:p>
    <w:p w14:paraId="58A44EB0"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m3 wody, ściółki, bryły</w:t>
      </w:r>
    </w:p>
    <w:p w14:paraId="326BA79B"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w:t>
      </w:r>
      <w:proofErr w:type="spellStart"/>
      <w:r w:rsidRPr="00E5649F">
        <w:rPr>
          <w:rFonts w:ascii="Arial" w:hAnsi="Arial" w:cs="Arial"/>
          <w:color w:val="000000" w:themeColor="text1"/>
          <w:kern w:val="1"/>
          <w:sz w:val="18"/>
        </w:rPr>
        <w:t>mp</w:t>
      </w:r>
      <w:proofErr w:type="spellEnd"/>
      <w:r w:rsidRPr="00E5649F">
        <w:rPr>
          <w:rFonts w:ascii="Arial" w:hAnsi="Arial" w:cs="Arial"/>
          <w:color w:val="000000" w:themeColor="text1"/>
          <w:kern w:val="1"/>
          <w:sz w:val="18"/>
        </w:rPr>
        <w:t xml:space="preserve"> karpiny, gałęzi</w:t>
      </w:r>
    </w:p>
    <w:p w14:paraId="6709ADD6" w14:textId="77777777" w:rsidR="008A1FD5" w:rsidRPr="00E5649F" w:rsidRDefault="008A1FD5" w:rsidP="008A1FD5">
      <w:pPr>
        <w:pStyle w:val="Nagwek2"/>
        <w:rPr>
          <w:i w:val="0"/>
          <w:color w:val="000000" w:themeColor="text1"/>
        </w:rPr>
      </w:pPr>
      <w:r w:rsidRPr="00E5649F">
        <w:rPr>
          <w:i w:val="0"/>
          <w:color w:val="000000" w:themeColor="text1"/>
        </w:rPr>
        <w:t xml:space="preserve">12. ODBIÓR ROBÓT   </w:t>
      </w:r>
    </w:p>
    <w:p w14:paraId="795EE459"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Wymagania dotyczące odbioru robót podano w ST-00.00 „Wymagania Ogólne”.</w:t>
      </w:r>
    </w:p>
    <w:p w14:paraId="486B22F7" w14:textId="77777777" w:rsidR="008A1FD5" w:rsidRPr="00E5649F" w:rsidRDefault="008A1FD5" w:rsidP="008A1FD5">
      <w:pPr>
        <w:pStyle w:val="Nagwek2"/>
        <w:rPr>
          <w:i w:val="0"/>
          <w:color w:val="000000" w:themeColor="text1"/>
        </w:rPr>
      </w:pPr>
      <w:r w:rsidRPr="00E5649F">
        <w:rPr>
          <w:i w:val="0"/>
          <w:color w:val="000000" w:themeColor="text1"/>
        </w:rPr>
        <w:t>13. PODSTAWA PŁATNOŚCI</w:t>
      </w:r>
    </w:p>
    <w:p w14:paraId="512948A7"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Podstawą płatności jest cena skalkulowana przez Wykonawcę, która obejmować będzie </w:t>
      </w:r>
    </w:p>
    <w:p w14:paraId="37D5103A"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 szczególności:</w:t>
      </w:r>
    </w:p>
    <w:p w14:paraId="03DC4795"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 Robociznę bezpośrednią wraz z towarzyszącymi kosztami</w:t>
      </w:r>
    </w:p>
    <w:p w14:paraId="34B2CFAF"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 Wartość zużytych materiałów wraz z kosztami zakupu i magazynowania</w:t>
      </w:r>
    </w:p>
    <w:p w14:paraId="4AD63B06"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 Wartość pracy sprzętu wraz z kosztami jednorazowymi</w:t>
      </w:r>
    </w:p>
    <w:p w14:paraId="17A335D7"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 Koszty pośrednie, zysk kalkulacyjny i ryzyko Wykonawcy</w:t>
      </w:r>
    </w:p>
    <w:p w14:paraId="6B5538B8"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  - Podatki obliczone zgodnie z obowiązującymi przepisami</w:t>
      </w:r>
    </w:p>
    <w:p w14:paraId="3F6DCCDA"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 xml:space="preserve">Do cen jednostkowych nie należy wliczać podatku VAT.                                                          </w:t>
      </w:r>
    </w:p>
    <w:p w14:paraId="72589126" w14:textId="77777777" w:rsidR="008A1FD5" w:rsidRPr="00E5649F" w:rsidRDefault="008A1FD5" w:rsidP="008A1FD5">
      <w:pPr>
        <w:pStyle w:val="Nagwek2"/>
        <w:rPr>
          <w:i w:val="0"/>
          <w:color w:val="000000" w:themeColor="text1"/>
        </w:rPr>
      </w:pPr>
      <w:r w:rsidRPr="00E5649F">
        <w:rPr>
          <w:i w:val="0"/>
          <w:color w:val="000000" w:themeColor="text1"/>
        </w:rPr>
        <w:t>14. PRZEPISY POWIĄZANE</w:t>
      </w:r>
    </w:p>
    <w:p w14:paraId="4AC5435C"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proofErr w:type="spellStart"/>
      <w:r w:rsidRPr="00E5649F">
        <w:rPr>
          <w:color w:val="000000" w:themeColor="text1"/>
          <w:sz w:val="18"/>
        </w:rPr>
        <w:t>WTWiOR</w:t>
      </w:r>
      <w:proofErr w:type="spellEnd"/>
      <w:r w:rsidRPr="00E5649F">
        <w:rPr>
          <w:color w:val="000000" w:themeColor="text1"/>
          <w:sz w:val="18"/>
        </w:rPr>
        <w:t xml:space="preserve"> - Warunki Techniczne Wykonania i Odbioru Robót ITB</w:t>
      </w:r>
    </w:p>
    <w:p w14:paraId="0CB5F146"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Rozporządzenie Ministra Infrastruktury z dnia 6 lutego 2003 roku w sprawie bezpieczeństwa i higieny pracy podczas wykonywania robót budowlanych (Dz. U. z dnia 2003 r. nr 48 poz.401).</w:t>
      </w:r>
    </w:p>
    <w:p w14:paraId="3AF5BD88"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Ustawa z dnia 27.07.2001r. o wprowadzeniu ustawy — Prawo ochrony środowiska, ustawy odpadach oraz o zmianie niektórych ustaw. Dz. U. Nr 100 poz. 1085.</w:t>
      </w:r>
    </w:p>
    <w:p w14:paraId="0074DF9B"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 xml:space="preserve">Ustawa z dnia 16.04.2004 r. o ochronie przyrody. Dz. U. Nr 92 poz. 880 </w:t>
      </w:r>
    </w:p>
    <w:p w14:paraId="1EB2DE94" w14:textId="77777777" w:rsidR="008A1FD5" w:rsidRPr="00E5649F" w:rsidRDefault="008A1FD5" w:rsidP="008A1FD5">
      <w:pPr>
        <w:pStyle w:val="00Tekst"/>
        <w:numPr>
          <w:ilvl w:val="0"/>
          <w:numId w:val="6"/>
        </w:numPr>
        <w:tabs>
          <w:tab w:val="clear" w:pos="709"/>
          <w:tab w:val="left" w:pos="57"/>
          <w:tab w:val="num" w:pos="284"/>
        </w:tabs>
        <w:spacing w:line="240" w:lineRule="auto"/>
        <w:rPr>
          <w:color w:val="000000" w:themeColor="text1"/>
          <w:sz w:val="18"/>
        </w:rPr>
      </w:pPr>
      <w:r w:rsidRPr="00E5649F">
        <w:rPr>
          <w:color w:val="000000" w:themeColor="text1"/>
          <w:sz w:val="18"/>
        </w:rPr>
        <w:t>Rozporządzenie Ministra Środowiska z dnia 13.10.2004 r. w sprawie stawek opłat dla poszczególnych rodzajów i gatunków drzew. Dz. U. Nr 228 poz.2306</w:t>
      </w:r>
    </w:p>
    <w:p w14:paraId="4F11A01E" w14:textId="77777777" w:rsidR="008A1FD5" w:rsidRPr="00E5649F"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Nie wymienienie tytułu jakiejkolwiek dziedziny, grupy, podgrupy czy normy nie zwalnia Wykonawcy od obowiązku stosowania wymogów określonych prawem polskim.</w:t>
      </w:r>
    </w:p>
    <w:p w14:paraId="723887C2" w14:textId="77777777" w:rsidR="008A1FD5" w:rsidRDefault="008A1FD5" w:rsidP="008A1FD5">
      <w:pPr>
        <w:jc w:val="both"/>
        <w:rPr>
          <w:rFonts w:ascii="Arial" w:hAnsi="Arial" w:cs="Arial"/>
          <w:color w:val="000000" w:themeColor="text1"/>
          <w:kern w:val="1"/>
          <w:sz w:val="18"/>
        </w:rPr>
      </w:pPr>
      <w:r w:rsidRPr="00E5649F">
        <w:rPr>
          <w:rFonts w:ascii="Arial" w:hAnsi="Arial" w:cs="Arial"/>
          <w:color w:val="000000" w:themeColor="text1"/>
          <w:kern w:val="1"/>
          <w:sz w:val="18"/>
        </w:rPr>
        <w:t>Wykonawca będzie przestrzegał praw autorskich i patentowych. Jest zobowiązany odpowiedzialności za spełnienie wszystkich wymagań prawnych w odniesieniu do używanych opatentowanych urządzeń lub metod.</w:t>
      </w:r>
    </w:p>
    <w:p w14:paraId="485E4D75" w14:textId="64CE556C" w:rsidR="000E1E7B" w:rsidRDefault="000E1E7B">
      <w:pPr>
        <w:widowControl/>
        <w:suppressAutoHyphens w:val="0"/>
        <w:overflowPunct/>
        <w:autoSpaceDE/>
        <w:textAlignment w:val="auto"/>
        <w:rPr>
          <w:rFonts w:ascii="Arial" w:hAnsi="Arial" w:cs="Arial"/>
          <w:color w:val="000000" w:themeColor="text1"/>
          <w:kern w:val="1"/>
          <w:sz w:val="18"/>
        </w:rPr>
      </w:pPr>
      <w:r>
        <w:rPr>
          <w:rFonts w:ascii="Arial" w:hAnsi="Arial" w:cs="Arial"/>
          <w:color w:val="000000" w:themeColor="text1"/>
          <w:kern w:val="1"/>
          <w:sz w:val="18"/>
        </w:rPr>
        <w:br w:type="page"/>
      </w:r>
    </w:p>
    <w:p w14:paraId="36785141" w14:textId="77777777" w:rsidR="00F548B0" w:rsidRPr="00DD3E4A" w:rsidRDefault="00F548B0" w:rsidP="00F548B0">
      <w:pPr>
        <w:pStyle w:val="Nagwek1"/>
        <w:jc w:val="center"/>
        <w:rPr>
          <w:color w:val="000000" w:themeColor="text1"/>
          <w:sz w:val="40"/>
          <w:szCs w:val="40"/>
        </w:rPr>
      </w:pPr>
      <w:bookmarkStart w:id="118" w:name="_Toc163481041"/>
      <w:r w:rsidRPr="00DD3E4A">
        <w:rPr>
          <w:color w:val="000000" w:themeColor="text1"/>
          <w:sz w:val="40"/>
          <w:szCs w:val="40"/>
        </w:rPr>
        <w:lastRenderedPageBreak/>
        <w:t>ST-00.0</w:t>
      </w:r>
      <w:r w:rsidR="008A1FD5">
        <w:rPr>
          <w:color w:val="000000" w:themeColor="text1"/>
          <w:sz w:val="40"/>
          <w:szCs w:val="40"/>
        </w:rPr>
        <w:t>5</w:t>
      </w:r>
      <w:r w:rsidRPr="00DD3E4A">
        <w:rPr>
          <w:color w:val="000000" w:themeColor="text1"/>
          <w:sz w:val="40"/>
          <w:szCs w:val="40"/>
        </w:rPr>
        <w:t>. ROBOTY MONTAŻOWE NA SIECI WODOCIĄGOWEJ</w:t>
      </w:r>
      <w:bookmarkEnd w:id="118"/>
    </w:p>
    <w:p w14:paraId="40D1ECED" w14:textId="77777777" w:rsidR="00F548B0" w:rsidRPr="00DD3E4A" w:rsidRDefault="00F548B0" w:rsidP="00F548B0">
      <w:pPr>
        <w:pStyle w:val="Nagwek2"/>
        <w:rPr>
          <w:i w:val="0"/>
          <w:color w:val="000000" w:themeColor="text1"/>
        </w:rPr>
      </w:pPr>
      <w:r w:rsidRPr="00DD3E4A">
        <w:rPr>
          <w:i w:val="0"/>
          <w:color w:val="000000" w:themeColor="text1"/>
        </w:rPr>
        <w:t>1. WSTĘP.</w:t>
      </w:r>
    </w:p>
    <w:p w14:paraId="507B106C" w14:textId="77777777" w:rsidR="00F548B0" w:rsidRPr="00DD3E4A" w:rsidRDefault="00F548B0" w:rsidP="00F548B0">
      <w:pPr>
        <w:pStyle w:val="Nagwek3"/>
        <w:spacing w:before="60"/>
        <w:rPr>
          <w:color w:val="000000" w:themeColor="text1"/>
          <w:sz w:val="22"/>
        </w:rPr>
      </w:pPr>
      <w:r w:rsidRPr="00DD3E4A">
        <w:rPr>
          <w:color w:val="000000" w:themeColor="text1"/>
          <w:sz w:val="22"/>
        </w:rPr>
        <w:t>1.1. Przedmiot ST.</w:t>
      </w:r>
    </w:p>
    <w:p w14:paraId="1C31CE49" w14:textId="77777777" w:rsidR="00F548B0" w:rsidRPr="00DD3E4A" w:rsidRDefault="00F548B0" w:rsidP="00F548B0">
      <w:pPr>
        <w:pStyle w:val="Specyfikacje"/>
        <w:ind w:left="0"/>
        <w:rPr>
          <w:rFonts w:ascii="Arial" w:hAnsi="Arial" w:cs="Arial"/>
          <w:color w:val="000000" w:themeColor="text1"/>
          <w:sz w:val="18"/>
        </w:rPr>
      </w:pPr>
      <w:r w:rsidRPr="00DD3E4A">
        <w:rPr>
          <w:rFonts w:ascii="Arial" w:hAnsi="Arial" w:cs="Arial"/>
          <w:color w:val="000000" w:themeColor="text1"/>
          <w:sz w:val="18"/>
        </w:rPr>
        <w:t xml:space="preserve">Przedmiotem niniejszej Specyfikacji Technicznej są wymagania dotyczące </w:t>
      </w:r>
      <w:r w:rsidR="00556603" w:rsidRPr="00DD3E4A">
        <w:rPr>
          <w:rFonts w:ascii="Arial" w:hAnsi="Arial" w:cs="Arial"/>
          <w:color w:val="000000" w:themeColor="text1"/>
          <w:sz w:val="18"/>
        </w:rPr>
        <w:t>wykonania i odbioru robót związanych z realizacją przedsięwzięcia</w:t>
      </w:r>
      <w:r w:rsidRPr="00DD3E4A">
        <w:rPr>
          <w:rFonts w:ascii="Arial" w:hAnsi="Arial" w:cs="Arial"/>
          <w:color w:val="000000" w:themeColor="text1"/>
          <w:sz w:val="18"/>
        </w:rPr>
        <w:t xml:space="preserve"> pn. „</w:t>
      </w:r>
      <w:r w:rsidR="00DD3E4A" w:rsidRPr="00DD3E4A">
        <w:rPr>
          <w:rFonts w:ascii="Arial" w:hAnsi="Arial" w:cs="Arial"/>
          <w:b/>
          <w:color w:val="000000" w:themeColor="text1"/>
          <w:sz w:val="18"/>
        </w:rPr>
        <w:t>Przebudowa sieci wodociągowej w ul. Wincentego Kadłubka w</w:t>
      </w:r>
      <w:r w:rsidR="00DD3E4A" w:rsidRPr="00DD3E4A">
        <w:rPr>
          <w:rFonts w:ascii="Arial" w:hAnsi="Arial" w:cs="Arial"/>
          <w:color w:val="000000" w:themeColor="text1"/>
          <w:sz w:val="18"/>
        </w:rPr>
        <w:t xml:space="preserve"> </w:t>
      </w:r>
      <w:r w:rsidR="00DD3E4A" w:rsidRPr="00DD3E4A">
        <w:rPr>
          <w:rFonts w:ascii="Arial" w:hAnsi="Arial" w:cs="Arial"/>
          <w:b/>
          <w:color w:val="000000" w:themeColor="text1"/>
          <w:sz w:val="18"/>
        </w:rPr>
        <w:t>Szczecinie</w:t>
      </w:r>
      <w:r w:rsidRPr="00DD3E4A">
        <w:rPr>
          <w:rFonts w:ascii="Arial" w:hAnsi="Arial" w:cs="Arial"/>
          <w:color w:val="000000" w:themeColor="text1"/>
          <w:sz w:val="18"/>
        </w:rPr>
        <w:t>”.</w:t>
      </w:r>
    </w:p>
    <w:p w14:paraId="3DC39233" w14:textId="77777777" w:rsidR="00F548B0" w:rsidRPr="00DD3E4A" w:rsidRDefault="00F548B0" w:rsidP="00F548B0">
      <w:pPr>
        <w:pStyle w:val="Nagwek3"/>
        <w:spacing w:before="60"/>
        <w:rPr>
          <w:color w:val="000000" w:themeColor="text1"/>
          <w:sz w:val="22"/>
        </w:rPr>
      </w:pPr>
      <w:r w:rsidRPr="00DD3E4A">
        <w:rPr>
          <w:color w:val="000000" w:themeColor="text1"/>
          <w:sz w:val="22"/>
        </w:rPr>
        <w:t>1.2. Zakres stosowania ST.</w:t>
      </w:r>
    </w:p>
    <w:p w14:paraId="12CC738A" w14:textId="77777777" w:rsidR="00F548B0" w:rsidRPr="00DD3E4A" w:rsidRDefault="00F548B0" w:rsidP="00F548B0">
      <w:pPr>
        <w:pStyle w:val="Specyfikacje"/>
        <w:ind w:left="0"/>
        <w:rPr>
          <w:rFonts w:ascii="Arial" w:hAnsi="Arial" w:cs="Arial"/>
          <w:color w:val="000000" w:themeColor="text1"/>
          <w:sz w:val="18"/>
        </w:rPr>
      </w:pPr>
      <w:r w:rsidRPr="00DD3E4A">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487933C6" w14:textId="77777777" w:rsidR="00F548B0" w:rsidRPr="00DD3E4A" w:rsidRDefault="00F548B0" w:rsidP="00F548B0">
      <w:pPr>
        <w:pStyle w:val="Nagwek3"/>
        <w:spacing w:before="60"/>
        <w:rPr>
          <w:color w:val="000000" w:themeColor="text1"/>
          <w:sz w:val="22"/>
        </w:rPr>
      </w:pPr>
      <w:r w:rsidRPr="00DD3E4A">
        <w:rPr>
          <w:color w:val="000000" w:themeColor="text1"/>
          <w:sz w:val="22"/>
        </w:rPr>
        <w:t>1.3. Zakres robót objętych ST.</w:t>
      </w:r>
    </w:p>
    <w:p w14:paraId="6CC40712" w14:textId="77777777" w:rsidR="00556603" w:rsidRPr="00486DA7" w:rsidRDefault="00556603" w:rsidP="00556603">
      <w:pPr>
        <w:rPr>
          <w:rFonts w:ascii="Arial" w:hAnsi="Arial" w:cs="Arial"/>
          <w:color w:val="000000" w:themeColor="text1"/>
          <w:sz w:val="20"/>
        </w:rPr>
      </w:pPr>
      <w:r w:rsidRPr="00DD3E4A">
        <w:rPr>
          <w:rFonts w:ascii="Arial" w:hAnsi="Arial" w:cs="Arial"/>
          <w:color w:val="000000" w:themeColor="text1"/>
          <w:sz w:val="20"/>
        </w:rPr>
        <w:t xml:space="preserve">Ustalenia zawarte w niniejszej specyfikacji dotyczą prowadzenia robót przy wykonaniu sieci </w:t>
      </w:r>
      <w:r w:rsidRPr="00486DA7">
        <w:rPr>
          <w:rFonts w:ascii="Arial" w:hAnsi="Arial" w:cs="Arial"/>
          <w:color w:val="000000" w:themeColor="text1"/>
          <w:sz w:val="20"/>
        </w:rPr>
        <w:t>wodociągowych i obejmują dostawę oraz montaż następujących elementów:</w:t>
      </w:r>
    </w:p>
    <w:p w14:paraId="37503D11" w14:textId="77777777" w:rsidR="00556603" w:rsidRPr="00486DA7" w:rsidRDefault="00556603" w:rsidP="00556603">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rur i kształtek z PE,</w:t>
      </w:r>
    </w:p>
    <w:p w14:paraId="1C439503" w14:textId="77777777" w:rsidR="00556603" w:rsidRPr="00486DA7" w:rsidRDefault="00556603" w:rsidP="00556603">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rur i k</w:t>
      </w:r>
      <w:r w:rsidR="00E4179E" w:rsidRPr="00486DA7">
        <w:rPr>
          <w:color w:val="000000" w:themeColor="text1"/>
          <w:sz w:val="18"/>
        </w:rPr>
        <w:t>ształtek z żeliwa sferoidalnego,</w:t>
      </w:r>
    </w:p>
    <w:p w14:paraId="67B853C7" w14:textId="77777777" w:rsidR="00FE2EFB" w:rsidRPr="00486DA7" w:rsidRDefault="00FE2EFB" w:rsidP="00556603">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studzienki wodomierzowej</w:t>
      </w:r>
    </w:p>
    <w:p w14:paraId="2572E245" w14:textId="77777777" w:rsidR="00E4179E" w:rsidRPr="00486DA7" w:rsidRDefault="000C7B34" w:rsidP="000C7B34">
      <w:pPr>
        <w:pStyle w:val="00Tekst"/>
        <w:numPr>
          <w:ilvl w:val="0"/>
          <w:numId w:val="6"/>
        </w:numPr>
        <w:tabs>
          <w:tab w:val="clear" w:pos="709"/>
          <w:tab w:val="left" w:pos="57"/>
          <w:tab w:val="num" w:pos="284"/>
        </w:tabs>
        <w:spacing w:line="240" w:lineRule="auto"/>
        <w:rPr>
          <w:color w:val="000000" w:themeColor="text1"/>
          <w:sz w:val="18"/>
        </w:rPr>
      </w:pPr>
      <w:r w:rsidRPr="00486DA7">
        <w:rPr>
          <w:rFonts w:cs="Arial"/>
          <w:color w:val="000000" w:themeColor="text1"/>
          <w:sz w:val="18"/>
        </w:rPr>
        <w:t>wykonanie prze</w:t>
      </w:r>
      <w:r w:rsidR="006E3518" w:rsidRPr="00486DA7">
        <w:rPr>
          <w:rFonts w:cs="Arial"/>
          <w:color w:val="000000" w:themeColor="text1"/>
          <w:sz w:val="18"/>
        </w:rPr>
        <w:t>wiertów</w:t>
      </w:r>
      <w:r w:rsidR="003E64C5" w:rsidRPr="00486DA7">
        <w:rPr>
          <w:rFonts w:cs="Arial"/>
          <w:color w:val="000000" w:themeColor="text1"/>
          <w:sz w:val="18"/>
        </w:rPr>
        <w:t xml:space="preserve"> sterowanych oraz </w:t>
      </w:r>
      <w:proofErr w:type="spellStart"/>
      <w:r w:rsidR="003E64C5" w:rsidRPr="00486DA7">
        <w:rPr>
          <w:rFonts w:cs="Arial"/>
          <w:color w:val="000000" w:themeColor="text1"/>
          <w:sz w:val="18"/>
        </w:rPr>
        <w:t>przecisków</w:t>
      </w:r>
      <w:proofErr w:type="spellEnd"/>
    </w:p>
    <w:p w14:paraId="435F36E6" w14:textId="77777777" w:rsidR="00F548B0" w:rsidRPr="00486DA7" w:rsidRDefault="00F548B0" w:rsidP="00F548B0">
      <w:pPr>
        <w:pStyle w:val="Nagwek3"/>
        <w:spacing w:before="60"/>
        <w:rPr>
          <w:color w:val="000000" w:themeColor="text1"/>
          <w:sz w:val="22"/>
        </w:rPr>
      </w:pPr>
      <w:r w:rsidRPr="00486DA7">
        <w:rPr>
          <w:color w:val="000000" w:themeColor="text1"/>
          <w:sz w:val="22"/>
        </w:rPr>
        <w:t>1.4. Określenia podstawowe.</w:t>
      </w:r>
    </w:p>
    <w:p w14:paraId="36C9FA7C" w14:textId="77777777" w:rsidR="00014912" w:rsidRPr="00486DA7"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wodociąg – rurociąg, w którym woda transportowana jest pod ciśnieniem,</w:t>
      </w:r>
    </w:p>
    <w:p w14:paraId="7D9B3438" w14:textId="77777777" w:rsidR="00014912" w:rsidRPr="00486DA7"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połączenie elastyczne kielichowe – powstaje w wyniku wsunięcia końca bosego jednego elementu przez uszczelkę elastyczną do kielicha następnego elementu,</w:t>
      </w:r>
    </w:p>
    <w:p w14:paraId="462F4BFE" w14:textId="77777777" w:rsidR="00014912" w:rsidRPr="00486DA7"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połączenia kołnierzowe – połączenie dwóch końców wyposażonych w kołnierze,</w:t>
      </w:r>
    </w:p>
    <w:p w14:paraId="1F832EA9" w14:textId="77777777" w:rsidR="00014912" w:rsidRPr="00486DA7"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próba ciśnieniowa hydrauliczna – próba, w której czynnikiem jest woda,</w:t>
      </w:r>
    </w:p>
    <w:p w14:paraId="06A1C5A4" w14:textId="77777777" w:rsidR="00014912" w:rsidRPr="00486DA7" w:rsidRDefault="00014912" w:rsidP="00014912">
      <w:pPr>
        <w:pStyle w:val="00Tekst"/>
        <w:numPr>
          <w:ilvl w:val="0"/>
          <w:numId w:val="6"/>
        </w:numPr>
        <w:tabs>
          <w:tab w:val="clear" w:pos="709"/>
          <w:tab w:val="left" w:pos="57"/>
          <w:tab w:val="num" w:pos="284"/>
        </w:tabs>
        <w:spacing w:line="240" w:lineRule="auto"/>
        <w:rPr>
          <w:color w:val="000000" w:themeColor="text1"/>
          <w:sz w:val="18"/>
        </w:rPr>
      </w:pPr>
      <w:r w:rsidRPr="00486DA7">
        <w:rPr>
          <w:color w:val="000000" w:themeColor="text1"/>
          <w:sz w:val="18"/>
        </w:rPr>
        <w:t>ciśnienie robocze – wysokość ciśnienia określona w dokumentacji technicznej, będąca maksymalną różnicą rzędnych linii ciśnienia w najwyższym położeniu nad badanym odcinkiem przewodu a jego osią,</w:t>
      </w:r>
    </w:p>
    <w:p w14:paraId="0727D98E" w14:textId="77777777" w:rsidR="00014912" w:rsidRPr="00486DA7" w:rsidRDefault="00F548B0" w:rsidP="00014912">
      <w:pPr>
        <w:pStyle w:val="Specyfikacje"/>
        <w:spacing w:before="120" w:after="0"/>
        <w:ind w:left="0"/>
        <w:rPr>
          <w:rFonts w:ascii="Arial" w:hAnsi="Arial" w:cs="Arial"/>
          <w:color w:val="000000" w:themeColor="text1"/>
          <w:sz w:val="18"/>
        </w:rPr>
      </w:pPr>
      <w:r w:rsidRPr="00486DA7">
        <w:rPr>
          <w:rFonts w:ascii="Arial" w:hAnsi="Arial" w:cs="Arial"/>
          <w:color w:val="000000" w:themeColor="text1"/>
          <w:sz w:val="18"/>
        </w:rPr>
        <w:t>Pozostałe określenia podstawowe są zgodne z obowiązującymi, odpowiednimi polskimi normami i z definicjami podanymi w Specyfikacji Technicz</w:t>
      </w:r>
      <w:r w:rsidR="00014912" w:rsidRPr="00486DA7">
        <w:rPr>
          <w:rFonts w:ascii="Arial" w:hAnsi="Arial" w:cs="Arial"/>
          <w:color w:val="000000" w:themeColor="text1"/>
          <w:sz w:val="18"/>
        </w:rPr>
        <w:t>nej ST.00.00 “Wymagania ogólne”.</w:t>
      </w:r>
    </w:p>
    <w:p w14:paraId="1ED1E02C" w14:textId="77777777" w:rsidR="00014912" w:rsidRPr="00486DA7" w:rsidRDefault="00014912" w:rsidP="00014912">
      <w:pPr>
        <w:pStyle w:val="Nagwek3"/>
        <w:spacing w:before="60"/>
        <w:rPr>
          <w:color w:val="000000" w:themeColor="text1"/>
          <w:sz w:val="22"/>
        </w:rPr>
      </w:pPr>
      <w:r w:rsidRPr="00486DA7">
        <w:rPr>
          <w:color w:val="000000" w:themeColor="text1"/>
          <w:sz w:val="22"/>
        </w:rPr>
        <w:t>1.5. Ogólne wymagania dotyczące robót</w:t>
      </w:r>
    </w:p>
    <w:p w14:paraId="7491CBAD" w14:textId="77777777" w:rsidR="00014912" w:rsidRPr="00486DA7" w:rsidRDefault="00014912" w:rsidP="00014912">
      <w:pPr>
        <w:pStyle w:val="Specyfikacje"/>
        <w:spacing w:after="0"/>
        <w:ind w:left="0"/>
        <w:rPr>
          <w:rFonts w:ascii="Arial" w:hAnsi="Arial" w:cs="Arial"/>
          <w:color w:val="000000" w:themeColor="text1"/>
          <w:sz w:val="18"/>
        </w:rPr>
      </w:pPr>
      <w:r w:rsidRPr="00486DA7">
        <w:rPr>
          <w:rFonts w:ascii="Arial" w:hAnsi="Arial" w:cs="Arial"/>
          <w:color w:val="000000" w:themeColor="text1"/>
          <w:sz w:val="18"/>
        </w:rPr>
        <w:t>Wykonawca robót jest odpowiedzialny za jakość ich wykonania oraz za zgodność z Dokumentacją Projektową ST i poleceniami Inżyniera.</w:t>
      </w:r>
    </w:p>
    <w:p w14:paraId="183FA7EF" w14:textId="77777777" w:rsidR="00014912" w:rsidRPr="00486DA7" w:rsidRDefault="00014912" w:rsidP="00014912">
      <w:pPr>
        <w:pStyle w:val="Specyfikacje"/>
        <w:spacing w:after="0"/>
        <w:ind w:left="0"/>
        <w:rPr>
          <w:rFonts w:ascii="Arial" w:hAnsi="Arial" w:cs="Arial"/>
          <w:color w:val="000000" w:themeColor="text1"/>
          <w:sz w:val="18"/>
        </w:rPr>
      </w:pPr>
      <w:r w:rsidRPr="00486DA7">
        <w:rPr>
          <w:rFonts w:ascii="Arial" w:hAnsi="Arial" w:cs="Arial"/>
          <w:color w:val="000000" w:themeColor="text1"/>
          <w:sz w:val="18"/>
        </w:rPr>
        <w:t>Ogólne wymagania dotyczące robót podano w ST-00.00 "Wymagania ogólne".</w:t>
      </w:r>
    </w:p>
    <w:p w14:paraId="5D1A2782" w14:textId="77777777" w:rsidR="00F548B0" w:rsidRPr="00486DA7" w:rsidRDefault="00F548B0" w:rsidP="00F548B0">
      <w:pPr>
        <w:pStyle w:val="Nagwek2"/>
        <w:rPr>
          <w:i w:val="0"/>
          <w:color w:val="000000" w:themeColor="text1"/>
        </w:rPr>
      </w:pPr>
      <w:r w:rsidRPr="00486DA7">
        <w:rPr>
          <w:i w:val="0"/>
          <w:color w:val="000000" w:themeColor="text1"/>
        </w:rPr>
        <w:t>2. MATERIAŁY</w:t>
      </w:r>
    </w:p>
    <w:p w14:paraId="4F6A7C18" w14:textId="77777777" w:rsidR="00014912" w:rsidRPr="00486DA7" w:rsidRDefault="00014912" w:rsidP="00014912">
      <w:pPr>
        <w:pStyle w:val="Specyfikacje"/>
        <w:spacing w:before="120" w:after="0"/>
        <w:ind w:left="0"/>
        <w:rPr>
          <w:rFonts w:ascii="Arial" w:hAnsi="Arial" w:cs="Arial"/>
          <w:color w:val="000000" w:themeColor="text1"/>
          <w:sz w:val="20"/>
        </w:rPr>
      </w:pPr>
      <w:r w:rsidRPr="00486DA7">
        <w:rPr>
          <w:rFonts w:ascii="Arial" w:hAnsi="Arial" w:cs="Arial"/>
          <w:color w:val="000000" w:themeColor="text1"/>
          <w:sz w:val="18"/>
        </w:rPr>
        <w:t xml:space="preserve">Materiałami stosowanymi przy wykonaniu robót według zasad niniejszej ST są: </w:t>
      </w:r>
    </w:p>
    <w:p w14:paraId="432784B4" w14:textId="77777777" w:rsidR="00014912" w:rsidRPr="00A43FE3" w:rsidRDefault="00014912" w:rsidP="00014912">
      <w:pPr>
        <w:pStyle w:val="Nagwek3"/>
        <w:spacing w:before="60"/>
        <w:rPr>
          <w:color w:val="000000" w:themeColor="text1"/>
          <w:sz w:val="20"/>
          <w:szCs w:val="20"/>
        </w:rPr>
      </w:pPr>
      <w:r w:rsidRPr="00A43FE3">
        <w:rPr>
          <w:color w:val="000000" w:themeColor="text1"/>
          <w:sz w:val="22"/>
        </w:rPr>
        <w:t>2.1. Rury i kształtki z PEHD</w:t>
      </w:r>
    </w:p>
    <w:p w14:paraId="5E1ABB04" w14:textId="77777777" w:rsidR="00014912" w:rsidRPr="00A43FE3" w:rsidRDefault="00014912" w:rsidP="00014912">
      <w:pPr>
        <w:pStyle w:val="Specyfikacje"/>
        <w:spacing w:before="120" w:after="0"/>
        <w:ind w:left="0"/>
        <w:rPr>
          <w:rFonts w:ascii="Arial" w:hAnsi="Arial" w:cs="Arial"/>
          <w:color w:val="000000" w:themeColor="text1"/>
          <w:sz w:val="18"/>
        </w:rPr>
      </w:pPr>
      <w:r w:rsidRPr="00A43FE3">
        <w:rPr>
          <w:rFonts w:ascii="Arial" w:hAnsi="Arial" w:cs="Arial"/>
          <w:color w:val="000000" w:themeColor="text1"/>
          <w:sz w:val="18"/>
        </w:rPr>
        <w:t>Stosować rury i kształtki systemowe z:</w:t>
      </w:r>
    </w:p>
    <w:p w14:paraId="42856930"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PE 100 RC SDR11 PN16 do wody pitnej.</w:t>
      </w:r>
    </w:p>
    <w:p w14:paraId="13211D06" w14:textId="77777777" w:rsidR="00014912" w:rsidRPr="00A43FE3" w:rsidRDefault="00014912" w:rsidP="00014912">
      <w:pPr>
        <w:pStyle w:val="Nagwek3"/>
        <w:spacing w:before="60"/>
        <w:rPr>
          <w:color w:val="000000" w:themeColor="text1"/>
          <w:sz w:val="22"/>
        </w:rPr>
      </w:pPr>
      <w:r w:rsidRPr="00A43FE3">
        <w:rPr>
          <w:color w:val="000000" w:themeColor="text1"/>
          <w:sz w:val="22"/>
        </w:rPr>
        <w:t xml:space="preserve">2.2. </w:t>
      </w:r>
      <w:r w:rsidR="00A43FE3" w:rsidRPr="00A43FE3">
        <w:rPr>
          <w:color w:val="000000" w:themeColor="text1"/>
          <w:sz w:val="22"/>
        </w:rPr>
        <w:t>Rury i k</w:t>
      </w:r>
      <w:r w:rsidRPr="00A43FE3">
        <w:rPr>
          <w:color w:val="000000" w:themeColor="text1"/>
          <w:sz w:val="22"/>
        </w:rPr>
        <w:t>ształtki z żeliwa sferoidalnego</w:t>
      </w:r>
      <w:r w:rsidR="007C2044" w:rsidRPr="00A43FE3">
        <w:rPr>
          <w:color w:val="000000" w:themeColor="text1"/>
          <w:sz w:val="22"/>
        </w:rPr>
        <w:t xml:space="preserve"> </w:t>
      </w:r>
    </w:p>
    <w:p w14:paraId="786326B3" w14:textId="6A8D044C" w:rsidR="00A43FE3" w:rsidRPr="00A43FE3" w:rsidRDefault="00A43FE3" w:rsidP="00A43FE3">
      <w:pPr>
        <w:pStyle w:val="Specyfikacje"/>
        <w:spacing w:after="0"/>
        <w:ind w:left="0"/>
        <w:rPr>
          <w:rFonts w:ascii="Arial" w:hAnsi="Arial" w:cs="Arial"/>
          <w:color w:val="000000" w:themeColor="text1"/>
          <w:sz w:val="18"/>
        </w:rPr>
      </w:pPr>
      <w:r w:rsidRPr="00A43FE3">
        <w:rPr>
          <w:rFonts w:ascii="Arial" w:hAnsi="Arial" w:cs="Arial"/>
          <w:color w:val="000000" w:themeColor="text1"/>
          <w:sz w:val="18"/>
        </w:rPr>
        <w:t>Wodociągi i przyłącza DN250-80mm należy wykonać z rur kielichowych z żeliwa sferoidalnego klasy min. C40 z</w:t>
      </w:r>
      <w:r w:rsidR="000E1E7B">
        <w:rPr>
          <w:rFonts w:ascii="Arial" w:hAnsi="Arial" w:cs="Arial"/>
          <w:color w:val="000000" w:themeColor="text1"/>
          <w:sz w:val="18"/>
        </w:rPr>
        <w:t> </w:t>
      </w:r>
      <w:r w:rsidRPr="00A43FE3">
        <w:rPr>
          <w:rFonts w:ascii="Arial" w:hAnsi="Arial" w:cs="Arial"/>
          <w:color w:val="000000" w:themeColor="text1"/>
          <w:sz w:val="18"/>
        </w:rPr>
        <w:t xml:space="preserve">uszczelnieniami elastomerowymi typu </w:t>
      </w:r>
      <w:proofErr w:type="spellStart"/>
      <w:r w:rsidRPr="00A43FE3">
        <w:rPr>
          <w:rFonts w:ascii="Arial" w:hAnsi="Arial" w:cs="Arial"/>
          <w:color w:val="000000" w:themeColor="text1"/>
          <w:sz w:val="18"/>
        </w:rPr>
        <w:t>tyton</w:t>
      </w:r>
      <w:proofErr w:type="spellEnd"/>
      <w:r w:rsidRPr="00A43FE3">
        <w:rPr>
          <w:rFonts w:ascii="Arial" w:hAnsi="Arial" w:cs="Arial"/>
          <w:color w:val="000000" w:themeColor="text1"/>
          <w:sz w:val="18"/>
        </w:rPr>
        <w:t>/standard.</w:t>
      </w:r>
    </w:p>
    <w:p w14:paraId="0ED091B9" w14:textId="51BC7FDD" w:rsidR="00A43FE3" w:rsidRPr="00A43FE3" w:rsidRDefault="00A43FE3" w:rsidP="00A43FE3">
      <w:pPr>
        <w:pStyle w:val="Specyfikacje"/>
        <w:spacing w:after="0"/>
        <w:ind w:left="0"/>
        <w:rPr>
          <w:rFonts w:ascii="Arial" w:hAnsi="Arial" w:cs="Arial"/>
          <w:color w:val="000000" w:themeColor="text1"/>
          <w:sz w:val="18"/>
        </w:rPr>
      </w:pPr>
      <w:r w:rsidRPr="00A43FE3">
        <w:rPr>
          <w:rFonts w:ascii="Arial" w:hAnsi="Arial" w:cs="Arial"/>
          <w:color w:val="000000" w:themeColor="text1"/>
          <w:sz w:val="18"/>
        </w:rPr>
        <w:t>Projektowany wodociąg i przyłącza, na odcinkach wskazanych na profilach podłużnych, należy wykonać z rur o</w:t>
      </w:r>
      <w:r w:rsidR="000E1E7B">
        <w:rPr>
          <w:rFonts w:ascii="Arial" w:hAnsi="Arial" w:cs="Arial"/>
          <w:color w:val="000000" w:themeColor="text1"/>
          <w:sz w:val="18"/>
        </w:rPr>
        <w:t> </w:t>
      </w:r>
      <w:r w:rsidRPr="00A43FE3">
        <w:rPr>
          <w:rFonts w:ascii="Arial" w:hAnsi="Arial" w:cs="Arial"/>
          <w:color w:val="000000" w:themeColor="text1"/>
          <w:sz w:val="18"/>
        </w:rPr>
        <w:t>połączeniach blokowanych, realizowanych w oparciu o uszczelkę z gumy elastomerowej EPDM wyposażoną we wkładki pazurowe uniemożliwiające samoczynne rozłączenie rur w stanie zmontowanym. Dopuszcza się realizację odcinków przewidzianych do wykonania z rur o połączeniach kielichowych blokowanych z rur z systemem blokującym opartym na napawanym garbie na trzonie rury i pierścieniu blokującym.</w:t>
      </w:r>
    </w:p>
    <w:p w14:paraId="727320E0" w14:textId="77777777" w:rsidR="00A43FE3" w:rsidRPr="00A43FE3" w:rsidRDefault="00A43FE3" w:rsidP="00A43FE3">
      <w:pPr>
        <w:pStyle w:val="Specyfikacje"/>
        <w:spacing w:after="0"/>
        <w:ind w:left="0"/>
        <w:rPr>
          <w:rFonts w:ascii="Arial" w:hAnsi="Arial" w:cs="Arial"/>
          <w:color w:val="000000" w:themeColor="text1"/>
          <w:sz w:val="18"/>
        </w:rPr>
      </w:pPr>
      <w:r w:rsidRPr="00A43FE3">
        <w:rPr>
          <w:rFonts w:ascii="Arial" w:hAnsi="Arial" w:cs="Arial"/>
          <w:color w:val="000000" w:themeColor="text1"/>
          <w:sz w:val="18"/>
        </w:rPr>
        <w:t>Wewnętrzna wykładzina rur cementowa, według PN-EN 545:2010 z kielichami cynkowanymi od wewnątrz. Zewnętrzna powierzchnia rur pokryta aktywną warstwą stopu cynku z glinem Zn-Al. Warstwę wykończeniową stanowi powłoka półprzepuszczalna z lakieru akrylowego lub epoksydowego.</w:t>
      </w:r>
    </w:p>
    <w:p w14:paraId="45C113D5" w14:textId="77777777" w:rsidR="00A43FE3" w:rsidRPr="00A43FE3" w:rsidRDefault="00A43FE3" w:rsidP="00A43FE3">
      <w:pPr>
        <w:pStyle w:val="Specyfikacje"/>
        <w:spacing w:after="0"/>
        <w:ind w:left="0"/>
        <w:rPr>
          <w:rFonts w:ascii="Arial" w:hAnsi="Arial" w:cs="Arial"/>
          <w:color w:val="000000" w:themeColor="text1"/>
          <w:sz w:val="18"/>
        </w:rPr>
      </w:pPr>
      <w:r w:rsidRPr="00A43FE3">
        <w:rPr>
          <w:rFonts w:ascii="Arial" w:hAnsi="Arial" w:cs="Arial"/>
          <w:color w:val="000000" w:themeColor="text1"/>
          <w:sz w:val="18"/>
        </w:rPr>
        <w:t>Kształtki kielichowe i kołnierzowe wykonane jako monolityczne odlewy z żeliwa sferoidalnego, przeznaczone do transportu wody pitnej o parametrach zgodnych z PN-EN 545:2010.</w:t>
      </w:r>
    </w:p>
    <w:p w14:paraId="1B229FEF" w14:textId="77777777" w:rsidR="00A43FE3" w:rsidRPr="00A43FE3" w:rsidRDefault="00A43FE3" w:rsidP="00A43FE3">
      <w:pPr>
        <w:pStyle w:val="Specyfikacje"/>
        <w:spacing w:after="0"/>
        <w:ind w:left="0"/>
        <w:rPr>
          <w:rFonts w:ascii="Arial" w:hAnsi="Arial" w:cs="Arial"/>
          <w:color w:val="000000" w:themeColor="text1"/>
          <w:sz w:val="18"/>
        </w:rPr>
      </w:pPr>
      <w:r w:rsidRPr="00A43FE3">
        <w:rPr>
          <w:rFonts w:ascii="Arial" w:hAnsi="Arial" w:cs="Arial"/>
          <w:color w:val="000000" w:themeColor="text1"/>
          <w:sz w:val="18"/>
        </w:rPr>
        <w:t>Kształtki kielichowe z połączeniami blokowanymi jak w rurach oraz na ciśnienie robocze takie same jak dla rur.</w:t>
      </w:r>
    </w:p>
    <w:p w14:paraId="1A5E473A" w14:textId="77777777" w:rsidR="00014912" w:rsidRPr="00A43FE3" w:rsidRDefault="00014912" w:rsidP="00014912">
      <w:pPr>
        <w:pStyle w:val="Specyfikacje"/>
        <w:spacing w:after="0"/>
        <w:ind w:left="0"/>
        <w:rPr>
          <w:rFonts w:ascii="Arial" w:hAnsi="Arial" w:cs="Arial"/>
          <w:color w:val="000000" w:themeColor="text1"/>
          <w:sz w:val="18"/>
        </w:rPr>
      </w:pPr>
      <w:r w:rsidRPr="00A43FE3">
        <w:rPr>
          <w:rFonts w:ascii="Arial" w:hAnsi="Arial" w:cs="Arial"/>
          <w:color w:val="000000" w:themeColor="text1"/>
          <w:sz w:val="18"/>
        </w:rPr>
        <w:t>Wszystkie uszczelki powinny być zgodne z normą PN-EN 681-1: 2002 i posiadać ocechowanie zgodne z tą normą.</w:t>
      </w:r>
    </w:p>
    <w:p w14:paraId="2DDF46C6" w14:textId="77777777" w:rsidR="00014912" w:rsidRPr="00A43FE3" w:rsidRDefault="00014912" w:rsidP="00014912">
      <w:pPr>
        <w:pStyle w:val="Specyfikacje"/>
        <w:spacing w:after="0"/>
        <w:ind w:left="0"/>
        <w:rPr>
          <w:rFonts w:ascii="Arial" w:hAnsi="Arial" w:cs="Arial"/>
          <w:iCs/>
          <w:color w:val="000000" w:themeColor="text1"/>
          <w:sz w:val="20"/>
        </w:rPr>
      </w:pPr>
      <w:r w:rsidRPr="00A43FE3">
        <w:rPr>
          <w:rFonts w:ascii="Arial" w:hAnsi="Arial" w:cs="Arial"/>
          <w:color w:val="000000" w:themeColor="text1"/>
          <w:sz w:val="18"/>
        </w:rPr>
        <w:t>Wszystkie kształtki powinny być oznakowane w sposób czytelny i trwały zgodnie z PN-EN 545: 2010.</w:t>
      </w:r>
    </w:p>
    <w:p w14:paraId="69AAF770" w14:textId="77777777" w:rsidR="00014912" w:rsidRPr="00A43FE3" w:rsidRDefault="00014912" w:rsidP="00014912">
      <w:pPr>
        <w:pStyle w:val="Nagwek3"/>
        <w:spacing w:before="60"/>
        <w:rPr>
          <w:color w:val="000000" w:themeColor="text1"/>
          <w:sz w:val="22"/>
        </w:rPr>
      </w:pPr>
      <w:r w:rsidRPr="00A43FE3">
        <w:rPr>
          <w:color w:val="000000" w:themeColor="text1"/>
          <w:sz w:val="22"/>
        </w:rPr>
        <w:t>2.3. Armatura – rozwiązania materiałowe</w:t>
      </w:r>
    </w:p>
    <w:p w14:paraId="5EE377E6" w14:textId="77777777" w:rsidR="00014912" w:rsidRPr="00A43FE3" w:rsidRDefault="00014912" w:rsidP="00014912">
      <w:pPr>
        <w:pStyle w:val="Specyfikacje"/>
        <w:spacing w:after="0"/>
        <w:ind w:left="0"/>
        <w:rPr>
          <w:rFonts w:ascii="Arial" w:hAnsi="Arial" w:cs="Arial"/>
          <w:color w:val="000000" w:themeColor="text1"/>
          <w:sz w:val="18"/>
          <w:u w:val="single"/>
        </w:rPr>
      </w:pPr>
      <w:r w:rsidRPr="00A43FE3">
        <w:rPr>
          <w:rFonts w:ascii="Arial" w:hAnsi="Arial" w:cs="Arial"/>
          <w:color w:val="000000" w:themeColor="text1"/>
          <w:sz w:val="18"/>
          <w:u w:val="single"/>
        </w:rPr>
        <w:t>Zasuwa kołnierzowa długa:</w:t>
      </w:r>
    </w:p>
    <w:p w14:paraId="577BA831"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lastRenderedPageBreak/>
        <w:t>zasuwy powyżej średnicy Ø500mm powinny być wyposażone w elementy służące do   wyeliminowania uderzeń hydraulicznych przy otwieraniu i zamykaniu przepływu np. w zawór obejściowy (by-pass) lub ze zmiennym momentem obrotowym, ze zmienną prędkością domykania, otwierania</w:t>
      </w:r>
    </w:p>
    <w:p w14:paraId="3DF04062"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korpus, głowica oraz element zamykający (serce, klin) wykonane z żeliwa sferoidalnego o gatunku minimum GGG-40</w:t>
      </w:r>
    </w:p>
    <w:p w14:paraId="44E2CE9C"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opcjonalnie korpus i głowica monolityczna jednoczęściowa wykonana jw.</w:t>
      </w:r>
    </w:p>
    <w:p w14:paraId="4C1D1CCC"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 xml:space="preserve">powłoka ochronna korpusu i głowicy za pomocą powłok z proszków epoksydowych o grubości min. 250 </w:t>
      </w:r>
      <w:proofErr w:type="spellStart"/>
      <w:r w:rsidRPr="00A43FE3">
        <w:rPr>
          <w:rFonts w:ascii="Arial" w:hAnsi="Arial" w:cs="Arial"/>
          <w:color w:val="000000" w:themeColor="text1"/>
          <w:sz w:val="18"/>
        </w:rPr>
        <w:t>um</w:t>
      </w:r>
      <w:proofErr w:type="spellEnd"/>
    </w:p>
    <w:p w14:paraId="13E6AE0E"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 xml:space="preserve">element zamykający (serce, klin) wykonany z żeliwa sferoidalnego o gatunku minimum GGG-40 z wewnętrznie i zewnętrznie </w:t>
      </w:r>
      <w:proofErr w:type="spellStart"/>
      <w:r w:rsidRPr="00A43FE3">
        <w:rPr>
          <w:rFonts w:ascii="Arial" w:hAnsi="Arial" w:cs="Arial"/>
          <w:color w:val="000000" w:themeColor="text1"/>
          <w:sz w:val="18"/>
        </w:rPr>
        <w:t>nawulkanizowaną</w:t>
      </w:r>
      <w:proofErr w:type="spellEnd"/>
      <w:r w:rsidRPr="00A43FE3">
        <w:rPr>
          <w:rFonts w:ascii="Arial" w:hAnsi="Arial" w:cs="Arial"/>
          <w:color w:val="000000" w:themeColor="text1"/>
          <w:sz w:val="18"/>
        </w:rPr>
        <w:t xml:space="preserve"> powłoką EPDM lub NBR</w:t>
      </w:r>
    </w:p>
    <w:p w14:paraId="13B010CD"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opcjonalnie element zamykający (serce, klin) wykonany z żeliwa jw. z powłoką ochronną jw., uszczelnieniem pomiędzy klinem a korpusem za pomocą uszczelnień elastomerowych trwale połączonych z konstrukcją klina z powłokami ochronnymi</w:t>
      </w:r>
    </w:p>
    <w:p w14:paraId="64814769"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wrzeciono ze stali nierdzewnej z gwintem walcowanym, w strefie o-ringowej polerowane</w:t>
      </w:r>
    </w:p>
    <w:p w14:paraId="4E9D7729"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kostka zasuwowa mosiężna kuta oszlifowana bez ostrych krawędzi, lub kostka zalana w klinie na stałe w zależności od konstrukcji klina (serca)</w:t>
      </w:r>
    </w:p>
    <w:p w14:paraId="09F14EF1"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przelot zasuwy prosty bez gniazda</w:t>
      </w:r>
    </w:p>
    <w:p w14:paraId="096E2E60"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zasuwa powinna posiadać minimum 2 główne o-ringi</w:t>
      </w:r>
    </w:p>
    <w:p w14:paraId="62F5BC8A"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o-ringi wykonane z gumy EPDM lub NBR</w:t>
      </w:r>
    </w:p>
    <w:p w14:paraId="084EE5A9"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gwint w głowicy, w którą wkręcona jest tuleja uszczelniająca wrzeciona (mosiężna), odseparowana od kontaktu z wodą</w:t>
      </w:r>
    </w:p>
    <w:p w14:paraId="55CD2A9B"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 xml:space="preserve">opcjonalnie, uszczelnienie </w:t>
      </w:r>
      <w:proofErr w:type="spellStart"/>
      <w:r w:rsidRPr="00A43FE3">
        <w:rPr>
          <w:rFonts w:ascii="Arial" w:hAnsi="Arial" w:cs="Arial"/>
          <w:color w:val="000000" w:themeColor="text1"/>
          <w:sz w:val="18"/>
        </w:rPr>
        <w:t>bezgwintowe</w:t>
      </w:r>
      <w:proofErr w:type="spellEnd"/>
      <w:r w:rsidRPr="00A43FE3">
        <w:rPr>
          <w:rFonts w:ascii="Arial" w:hAnsi="Arial" w:cs="Arial"/>
          <w:color w:val="000000" w:themeColor="text1"/>
          <w:sz w:val="18"/>
        </w:rPr>
        <w:t xml:space="preserve">, pomiędzy tuleją wrzeciona a korpusem, z </w:t>
      </w:r>
      <w:proofErr w:type="spellStart"/>
      <w:r w:rsidRPr="00A43FE3">
        <w:rPr>
          <w:rFonts w:ascii="Arial" w:hAnsi="Arial" w:cs="Arial"/>
          <w:color w:val="000000" w:themeColor="text1"/>
          <w:sz w:val="18"/>
        </w:rPr>
        <w:t>zabezpieczaeniem</w:t>
      </w:r>
      <w:proofErr w:type="spellEnd"/>
      <w:r w:rsidRPr="00A43FE3">
        <w:rPr>
          <w:rFonts w:ascii="Arial" w:hAnsi="Arial" w:cs="Arial"/>
          <w:color w:val="000000" w:themeColor="text1"/>
          <w:sz w:val="18"/>
        </w:rPr>
        <w:t xml:space="preserve"> przed penetracją wody lub połączenie korpusu z głowicą w systemie </w:t>
      </w:r>
      <w:proofErr w:type="spellStart"/>
      <w:r w:rsidRPr="00A43FE3">
        <w:rPr>
          <w:rFonts w:ascii="Arial" w:hAnsi="Arial" w:cs="Arial"/>
          <w:color w:val="000000" w:themeColor="text1"/>
          <w:sz w:val="18"/>
        </w:rPr>
        <w:t>bezśrubowym</w:t>
      </w:r>
      <w:proofErr w:type="spellEnd"/>
      <w:r w:rsidRPr="00A43FE3">
        <w:rPr>
          <w:rFonts w:ascii="Arial" w:hAnsi="Arial" w:cs="Arial"/>
          <w:color w:val="000000" w:themeColor="text1"/>
          <w:sz w:val="18"/>
        </w:rPr>
        <w:t xml:space="preserve"> z zapewnieniem szczelności 1,6 </w:t>
      </w:r>
      <w:proofErr w:type="spellStart"/>
      <w:r w:rsidRPr="00A43FE3">
        <w:rPr>
          <w:rFonts w:ascii="Arial" w:hAnsi="Arial" w:cs="Arial"/>
          <w:color w:val="000000" w:themeColor="text1"/>
          <w:sz w:val="18"/>
        </w:rPr>
        <w:t>MPa</w:t>
      </w:r>
      <w:proofErr w:type="spellEnd"/>
    </w:p>
    <w:p w14:paraId="3AE86E93"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zabezpieczenie przed korozją oraz dostępem wody gruntowej do łbów śrub łączących głowicę z korpusem, poprzez ich zalanie masą plastyczną na gorąco (jeżeli takie połączenie przewiduje konstrukcja zasuwy)</w:t>
      </w:r>
    </w:p>
    <w:p w14:paraId="01E6D752"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kolor zasuwy niebieski</w:t>
      </w:r>
    </w:p>
    <w:p w14:paraId="0FDF1712" w14:textId="0888107B"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 xml:space="preserve">trzpień łączący teleskopowy tego samego producenta co zasuwa, zabezpieczony przed wysunięciem z gniazda główki wrzeciona zasuwy </w:t>
      </w:r>
      <w:r w:rsidR="000E1E7B" w:rsidRPr="00A43FE3">
        <w:rPr>
          <w:rFonts w:ascii="Arial" w:hAnsi="Arial" w:cs="Arial"/>
          <w:color w:val="000000" w:themeColor="text1"/>
          <w:sz w:val="18"/>
        </w:rPr>
        <w:t>nierdzewną</w:t>
      </w:r>
      <w:r w:rsidRPr="00A43FE3">
        <w:rPr>
          <w:rFonts w:ascii="Arial" w:hAnsi="Arial" w:cs="Arial"/>
          <w:color w:val="000000" w:themeColor="text1"/>
          <w:sz w:val="18"/>
        </w:rPr>
        <w:t xml:space="preserve"> zawleczką lub w inny sposób umożliwiający jego wysunięcie</w:t>
      </w:r>
    </w:p>
    <w:p w14:paraId="7C84BC71"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należy stosować zasuwy kołnierzowe długie F-5</w:t>
      </w:r>
    </w:p>
    <w:p w14:paraId="0B3E4705" w14:textId="27F071C1"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 xml:space="preserve">skrzynka uliczna żeliwna typu </w:t>
      </w:r>
      <w:r w:rsidR="000E1E7B" w:rsidRPr="00A43FE3">
        <w:rPr>
          <w:rFonts w:ascii="Arial" w:hAnsi="Arial" w:cs="Arial"/>
          <w:color w:val="000000" w:themeColor="text1"/>
          <w:sz w:val="18"/>
        </w:rPr>
        <w:t>ciężkiego, korpus</w:t>
      </w:r>
      <w:r w:rsidRPr="00A43FE3">
        <w:rPr>
          <w:rFonts w:ascii="Arial" w:hAnsi="Arial" w:cs="Arial"/>
          <w:color w:val="000000" w:themeColor="text1"/>
          <w:sz w:val="18"/>
        </w:rPr>
        <w:t xml:space="preserve"> wykonany z żeliwa lub HDPE oraz podstawa pod skrzynkę z HDPE przenoszącą odpowiednie obciążenie</w:t>
      </w:r>
    </w:p>
    <w:p w14:paraId="6F3749FA"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połączenie trzpienia teleskopowego z głowicą zasuwy powinno być szczelne, zabezpieczone przed zamulaniem ziemią</w:t>
      </w:r>
    </w:p>
    <w:p w14:paraId="371E00BE" w14:textId="77777777" w:rsidR="00014912" w:rsidRPr="00A43FE3" w:rsidRDefault="00014912" w:rsidP="00014912">
      <w:pPr>
        <w:pStyle w:val="Specyfikacje"/>
        <w:numPr>
          <w:ilvl w:val="0"/>
          <w:numId w:val="8"/>
        </w:numPr>
        <w:spacing w:after="0"/>
        <w:ind w:left="142" w:hanging="142"/>
        <w:rPr>
          <w:rFonts w:ascii="Arial" w:hAnsi="Arial" w:cs="Arial"/>
          <w:color w:val="000000" w:themeColor="text1"/>
          <w:sz w:val="18"/>
        </w:rPr>
      </w:pPr>
      <w:r w:rsidRPr="00A43FE3">
        <w:rPr>
          <w:rFonts w:ascii="Arial" w:hAnsi="Arial" w:cs="Arial"/>
          <w:color w:val="000000" w:themeColor="text1"/>
          <w:sz w:val="18"/>
        </w:rPr>
        <w:t>w przypadku, gdy zasuwa nie będzie montowana w komorze, należy uwzględnić jej przeznaczenie do stosowania doziemnego</w:t>
      </w:r>
    </w:p>
    <w:p w14:paraId="150F5BDB" w14:textId="77777777" w:rsidR="00325D97" w:rsidRPr="00C41043" w:rsidRDefault="00325D97" w:rsidP="00325D97">
      <w:pPr>
        <w:pStyle w:val="Specyfikacje"/>
        <w:spacing w:after="0"/>
        <w:ind w:left="0"/>
        <w:rPr>
          <w:rFonts w:ascii="Arial" w:hAnsi="Arial" w:cs="Arial"/>
          <w:color w:val="000000" w:themeColor="text1"/>
          <w:sz w:val="20"/>
          <w:u w:val="single"/>
        </w:rPr>
      </w:pPr>
      <w:r w:rsidRPr="00C41043">
        <w:rPr>
          <w:rFonts w:ascii="Arial" w:hAnsi="Arial" w:cs="Arial"/>
          <w:color w:val="000000" w:themeColor="text1"/>
          <w:sz w:val="18"/>
          <w:u w:val="single"/>
        </w:rPr>
        <w:t>Hydrant p.poż, nadziemny</w:t>
      </w:r>
    </w:p>
    <w:p w14:paraId="0943AA71"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hydrant w wykonaniu zabezpieczającym przed wypływem wody w przypadku jego złamania,</w:t>
      </w:r>
    </w:p>
    <w:p w14:paraId="03EE6847"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 xml:space="preserve">korpus (kolumna) i głowica wykonane z żeliwa sferoidalnego minimum GGG-40 pokryty wewnątrz i na zewnątrz powłoką ochronną z proszków epoksydowych o grubości powłoki min. 250 </w:t>
      </w:r>
      <w:proofErr w:type="spellStart"/>
      <w:r w:rsidRPr="00C41043">
        <w:rPr>
          <w:rFonts w:ascii="Arial" w:hAnsi="Arial" w:cs="Arial"/>
          <w:color w:val="000000" w:themeColor="text1"/>
          <w:sz w:val="18"/>
        </w:rPr>
        <w:t>um</w:t>
      </w:r>
      <w:proofErr w:type="spellEnd"/>
      <w:r w:rsidRPr="00C41043">
        <w:rPr>
          <w:rFonts w:ascii="Arial" w:hAnsi="Arial" w:cs="Arial"/>
          <w:color w:val="000000" w:themeColor="text1"/>
          <w:sz w:val="18"/>
        </w:rPr>
        <w:t>; w części nadziemnej dodatkowa powłoka poliestrowa zabezpieczająca przed działaniem promieni UV,</w:t>
      </w:r>
    </w:p>
    <w:p w14:paraId="6C231A3F"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 xml:space="preserve">opcjonalnie korpus wykonany ze stali nierdzewnej, głowica z odlewu aluminiowego lub z żeliwa sferoidalnego w powłokach ochronnych jak wyżej, stopa (część podziemna z zamknięciem) z żeliwa sferoidalnego w powłokach ochronnych </w:t>
      </w:r>
      <w:proofErr w:type="spellStart"/>
      <w:r w:rsidRPr="00C41043">
        <w:rPr>
          <w:rFonts w:ascii="Arial" w:hAnsi="Arial" w:cs="Arial"/>
          <w:color w:val="000000" w:themeColor="text1"/>
          <w:sz w:val="18"/>
        </w:rPr>
        <w:t>j.w</w:t>
      </w:r>
      <w:proofErr w:type="spellEnd"/>
      <w:r w:rsidRPr="00C41043">
        <w:rPr>
          <w:rFonts w:ascii="Arial" w:hAnsi="Arial" w:cs="Arial"/>
          <w:color w:val="000000" w:themeColor="text1"/>
          <w:sz w:val="18"/>
        </w:rPr>
        <w:t>.,</w:t>
      </w:r>
    </w:p>
    <w:p w14:paraId="19B2D468"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opcjonalnie korpus wykonany ze stopów aluminiowych, pokryty powłoką ochronną,</w:t>
      </w:r>
    </w:p>
    <w:p w14:paraId="7C8B5472"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hydrant z obrotową głowicą lub korpusem, umożliwiający ustawienie równoległe do jezdni lub osi wodociągu,</w:t>
      </w:r>
    </w:p>
    <w:p w14:paraId="0833A23D"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przyłącze do węża strażackiego, nasada typu B(75) z aluminium – 2 szt.,</w:t>
      </w:r>
    </w:p>
    <w:p w14:paraId="3FE3A559"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głowica zamykająca dostosowana do kluczy normatywnych służb p.poż.,</w:t>
      </w:r>
    </w:p>
    <w:p w14:paraId="1B4B2119"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zawór napowietrzający umieszczony w głowicy hydrantu,</w:t>
      </w:r>
    </w:p>
    <w:p w14:paraId="2C4186C9"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uszczelnienia hydrantu typu o-ring,</w:t>
      </w:r>
    </w:p>
    <w:p w14:paraId="68DCAA87"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czop spustowy z tworzywa sztucznego lub materiałów niekorozyjnych,</w:t>
      </w:r>
    </w:p>
    <w:p w14:paraId="7486F141"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odwodnienie powinno działać tylko przy pełnym zamknięciu hydrantu; w położeniach pośrednich odwodnienie ma być szczelne; czas odwodnienia zgodnie z PN-EN 1074-6,</w:t>
      </w:r>
    </w:p>
    <w:p w14:paraId="77E2403F"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wrzeciono, trzpień uruchamiający i element zabezpieczający ze stali nierdzewnej; gwint walcowany w części uszczelniającej, szlifowany,</w:t>
      </w:r>
    </w:p>
    <w:p w14:paraId="3DC7B7FC"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kostka (nakrętka) wrzeciona mosiężna, wykonana metodą prasowania,</w:t>
      </w:r>
    </w:p>
    <w:p w14:paraId="31EA0535"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śruby łączące ze stali nierdzewnej A2/70, nakrętki A4/80,</w:t>
      </w:r>
    </w:p>
    <w:p w14:paraId="79D680BE"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w hydrantach z żeliwa sferoidalnego tuleja uszczelniająca wrzeciona wykonana z mosiądzu</w:t>
      </w:r>
    </w:p>
    <w:p w14:paraId="3515E598"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 xml:space="preserve">stożek zaworu zamykającego z żeliwa białego, szarego, sferoidalnego zabezpieczony </w:t>
      </w:r>
      <w:proofErr w:type="spellStart"/>
      <w:r w:rsidRPr="00C41043">
        <w:rPr>
          <w:rFonts w:ascii="Arial" w:hAnsi="Arial" w:cs="Arial"/>
          <w:color w:val="000000" w:themeColor="text1"/>
          <w:sz w:val="18"/>
        </w:rPr>
        <w:t>nawulkanizowaną</w:t>
      </w:r>
      <w:proofErr w:type="spellEnd"/>
      <w:r w:rsidRPr="00C41043">
        <w:rPr>
          <w:rFonts w:ascii="Arial" w:hAnsi="Arial" w:cs="Arial"/>
          <w:color w:val="000000" w:themeColor="text1"/>
          <w:sz w:val="18"/>
        </w:rPr>
        <w:t xml:space="preserve"> warstwą mieszanek opartych na bazie kauczuków lub elastomeru,</w:t>
      </w:r>
    </w:p>
    <w:p w14:paraId="2415D9B4"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montaż hydrantu pionowo, zgodnie z instrukcją producenta (górna krawędź kołnierza łączącego część podziemną hydrantu z częścią nadziemną od 10-15 cm nad powierzchnią),</w:t>
      </w:r>
    </w:p>
    <w:p w14:paraId="754D8DED"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napisy na głowicy i kolumnie w języku polskim,</w:t>
      </w:r>
    </w:p>
    <w:p w14:paraId="3B4ABE80"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kolor hydrantu – czerwony,</w:t>
      </w:r>
    </w:p>
    <w:p w14:paraId="3D7B02A7"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minimalna odległość projektowanych hydrantów od granic posesji winna wynosić 0,5 m,</w:t>
      </w:r>
    </w:p>
    <w:p w14:paraId="33218574" w14:textId="77777777" w:rsidR="00325D97" w:rsidRPr="00C41043" w:rsidRDefault="00325D97" w:rsidP="00325D97">
      <w:pPr>
        <w:pStyle w:val="Specyfikacje"/>
        <w:numPr>
          <w:ilvl w:val="0"/>
          <w:numId w:val="8"/>
        </w:numPr>
        <w:spacing w:after="0"/>
        <w:ind w:left="142" w:hanging="142"/>
        <w:rPr>
          <w:rFonts w:ascii="Arial" w:hAnsi="Arial" w:cs="Arial"/>
          <w:color w:val="000000" w:themeColor="text1"/>
          <w:sz w:val="18"/>
        </w:rPr>
      </w:pPr>
      <w:r w:rsidRPr="00C41043">
        <w:rPr>
          <w:rFonts w:ascii="Arial" w:hAnsi="Arial" w:cs="Arial"/>
          <w:color w:val="000000" w:themeColor="text1"/>
          <w:sz w:val="18"/>
        </w:rPr>
        <w:t>hydrant z pojedynczym zamknięciem; dopuszcza się odlewy hydrantu wykonane z podwójnym zamknięciem po usunięciu kuli zamykającej.</w:t>
      </w:r>
    </w:p>
    <w:p w14:paraId="2809833E" w14:textId="77777777" w:rsidR="0062468D" w:rsidRPr="00C41043" w:rsidRDefault="0062468D" w:rsidP="0062468D">
      <w:pPr>
        <w:pStyle w:val="Specyfikacje"/>
        <w:spacing w:after="0"/>
        <w:ind w:left="0"/>
        <w:rPr>
          <w:rFonts w:ascii="Arial" w:hAnsi="Arial" w:cs="Arial"/>
          <w:color w:val="000000" w:themeColor="text1"/>
          <w:sz w:val="20"/>
          <w:u w:val="single"/>
        </w:rPr>
      </w:pPr>
      <w:r w:rsidRPr="00C41043">
        <w:rPr>
          <w:rFonts w:ascii="Arial" w:hAnsi="Arial" w:cs="Arial"/>
          <w:color w:val="000000" w:themeColor="text1"/>
          <w:sz w:val="18"/>
          <w:u w:val="single"/>
        </w:rPr>
        <w:t>Hydrant p.poż, podziemny</w:t>
      </w:r>
      <w:r w:rsidR="0008062A" w:rsidRPr="00C41043">
        <w:rPr>
          <w:rFonts w:ascii="Arial" w:hAnsi="Arial" w:cs="Arial"/>
          <w:color w:val="000000" w:themeColor="text1"/>
          <w:sz w:val="18"/>
          <w:u w:val="single"/>
        </w:rPr>
        <w:t xml:space="preserve"> </w:t>
      </w:r>
      <w:proofErr w:type="spellStart"/>
      <w:r w:rsidR="0008062A" w:rsidRPr="00C41043">
        <w:rPr>
          <w:rFonts w:ascii="Arial" w:hAnsi="Arial" w:cs="Arial"/>
          <w:color w:val="000000" w:themeColor="text1"/>
          <w:sz w:val="18"/>
          <w:u w:val="single"/>
        </w:rPr>
        <w:t>wolnoprzelotowy</w:t>
      </w:r>
      <w:proofErr w:type="spellEnd"/>
    </w:p>
    <w:p w14:paraId="0FFC9BAC" w14:textId="6DCD115D" w:rsidR="0062468D" w:rsidRDefault="00154941" w:rsidP="0062468D">
      <w:pPr>
        <w:pStyle w:val="Specyfikacje"/>
        <w:numPr>
          <w:ilvl w:val="0"/>
          <w:numId w:val="8"/>
        </w:numPr>
        <w:spacing w:after="0"/>
        <w:ind w:left="142" w:hanging="142"/>
        <w:rPr>
          <w:rFonts w:ascii="Arial" w:hAnsi="Arial" w:cs="Arial"/>
          <w:color w:val="000000" w:themeColor="text1"/>
          <w:sz w:val="18"/>
        </w:rPr>
      </w:pPr>
      <w:r w:rsidRPr="00AD2F51">
        <w:rPr>
          <w:rFonts w:ascii="Arial" w:hAnsi="Arial" w:cs="Arial"/>
          <w:color w:val="000000" w:themeColor="text1"/>
          <w:sz w:val="18"/>
        </w:rPr>
        <w:t>kolumna hydrantu wykonana ze stali nierdzewnej, epoksydowanej</w:t>
      </w:r>
      <w:r w:rsidR="00AD2F51">
        <w:rPr>
          <w:rFonts w:ascii="Arial" w:hAnsi="Arial" w:cs="Arial"/>
          <w:color w:val="000000" w:themeColor="text1"/>
          <w:sz w:val="18"/>
        </w:rPr>
        <w:t>,</w:t>
      </w:r>
    </w:p>
    <w:p w14:paraId="172E5DA9" w14:textId="6F200562" w:rsidR="00AD2F51" w:rsidRDefault="00AD2F51"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rura ochronna wykonana z polipropylenu,</w:t>
      </w:r>
    </w:p>
    <w:p w14:paraId="3A7B7052" w14:textId="59B9B678" w:rsidR="00AD2F51" w:rsidRDefault="00AD2F51"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 xml:space="preserve">nasadka wrzeciona </w:t>
      </w:r>
      <w:r w:rsidR="000C5020">
        <w:rPr>
          <w:rFonts w:ascii="Arial" w:hAnsi="Arial" w:cs="Arial"/>
          <w:color w:val="000000" w:themeColor="text1"/>
          <w:sz w:val="18"/>
        </w:rPr>
        <w:t xml:space="preserve">ocynkowana </w:t>
      </w:r>
      <w:r>
        <w:rPr>
          <w:rFonts w:ascii="Arial" w:hAnsi="Arial" w:cs="Arial"/>
          <w:color w:val="000000" w:themeColor="text1"/>
          <w:sz w:val="18"/>
        </w:rPr>
        <w:t>z żeliwa sferoidalnego</w:t>
      </w:r>
      <w:r w:rsidR="000C5020">
        <w:rPr>
          <w:rFonts w:ascii="Arial" w:hAnsi="Arial" w:cs="Arial"/>
          <w:color w:val="000000" w:themeColor="text1"/>
          <w:sz w:val="18"/>
        </w:rPr>
        <w:t>,</w:t>
      </w:r>
    </w:p>
    <w:p w14:paraId="7F3CC760" w14:textId="4E439C67" w:rsidR="000C5020" w:rsidRDefault="000C5020"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korpus przekładni z żeliwa sferoidalnego,</w:t>
      </w:r>
    </w:p>
    <w:p w14:paraId="630EEA69" w14:textId="2D72A739" w:rsidR="000C5020" w:rsidRDefault="000C5020"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przekładnia płyty odcinającej ze stali nierdzewnej,</w:t>
      </w:r>
    </w:p>
    <w:p w14:paraId="4B4B93D1" w14:textId="5A69EA63" w:rsidR="000C5020" w:rsidRDefault="000C5020"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lastRenderedPageBreak/>
        <w:t>zaciskowy pierścień śrubowy z poliamidu,</w:t>
      </w:r>
    </w:p>
    <w:p w14:paraId="415AFB5D" w14:textId="31E162B8" w:rsidR="000C5020" w:rsidRDefault="00CC122D"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z</w:t>
      </w:r>
      <w:r w:rsidR="00B70C80">
        <w:rPr>
          <w:rFonts w:ascii="Arial" w:hAnsi="Arial" w:cs="Arial"/>
          <w:color w:val="000000" w:themeColor="text1"/>
          <w:sz w:val="18"/>
        </w:rPr>
        <w:t>abierak ślimakowy z mosiądzu,</w:t>
      </w:r>
    </w:p>
    <w:p w14:paraId="4C8AE93A" w14:textId="250066D4" w:rsidR="00B70C80" w:rsidRDefault="00CC122D"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g</w:t>
      </w:r>
      <w:r w:rsidR="00B70C80">
        <w:rPr>
          <w:rFonts w:ascii="Arial" w:hAnsi="Arial" w:cs="Arial"/>
          <w:color w:val="000000" w:themeColor="text1"/>
          <w:sz w:val="18"/>
        </w:rPr>
        <w:t>órna część cokołu z żeliwa sferoidalnego, epoksydowanego,</w:t>
      </w:r>
    </w:p>
    <w:p w14:paraId="4CBDD5CD" w14:textId="083F2FBB" w:rsidR="00B70C80" w:rsidRDefault="00CC122D"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o</w:t>
      </w:r>
      <w:r w:rsidR="00B70C80">
        <w:rPr>
          <w:rFonts w:ascii="Arial" w:hAnsi="Arial" w:cs="Arial"/>
          <w:color w:val="000000" w:themeColor="text1"/>
          <w:sz w:val="18"/>
        </w:rPr>
        <w:t>dwodnienie z PE,</w:t>
      </w:r>
    </w:p>
    <w:p w14:paraId="6DDD1747" w14:textId="363C37D7" w:rsidR="008579BC" w:rsidRPr="00AD2F51" w:rsidRDefault="00CC122D" w:rsidP="0062468D">
      <w:pPr>
        <w:pStyle w:val="Specyfikacje"/>
        <w:numPr>
          <w:ilvl w:val="0"/>
          <w:numId w:val="8"/>
        </w:numPr>
        <w:spacing w:after="0"/>
        <w:ind w:left="142" w:hanging="142"/>
        <w:rPr>
          <w:rFonts w:ascii="Arial" w:hAnsi="Arial" w:cs="Arial"/>
          <w:color w:val="000000" w:themeColor="text1"/>
          <w:sz w:val="18"/>
        </w:rPr>
      </w:pPr>
      <w:r>
        <w:rPr>
          <w:rFonts w:ascii="Arial" w:hAnsi="Arial" w:cs="Arial"/>
          <w:color w:val="000000" w:themeColor="text1"/>
          <w:sz w:val="18"/>
        </w:rPr>
        <w:t>d</w:t>
      </w:r>
      <w:r w:rsidR="008579BC">
        <w:rPr>
          <w:rFonts w:ascii="Arial" w:hAnsi="Arial" w:cs="Arial"/>
          <w:color w:val="000000" w:themeColor="text1"/>
          <w:sz w:val="18"/>
        </w:rPr>
        <w:t>olna część cokołu z przyłączem kołnierzowym z żeliwa sferoidalnego, epoksydowanego,</w:t>
      </w:r>
    </w:p>
    <w:p w14:paraId="68ECC729" w14:textId="77777777" w:rsidR="0062468D" w:rsidRPr="00B47C62" w:rsidRDefault="0062468D" w:rsidP="0062468D">
      <w:pPr>
        <w:pStyle w:val="Specyfikacje"/>
        <w:numPr>
          <w:ilvl w:val="0"/>
          <w:numId w:val="8"/>
        </w:numPr>
        <w:spacing w:after="0"/>
        <w:ind w:left="142" w:hanging="142"/>
        <w:rPr>
          <w:rFonts w:ascii="Arial" w:hAnsi="Arial" w:cs="Arial"/>
          <w:color w:val="000000" w:themeColor="text1"/>
          <w:sz w:val="18"/>
        </w:rPr>
      </w:pPr>
      <w:r w:rsidRPr="00B47C62">
        <w:rPr>
          <w:rFonts w:ascii="Arial" w:hAnsi="Arial" w:cs="Arial"/>
          <w:color w:val="000000" w:themeColor="text1"/>
          <w:sz w:val="18"/>
        </w:rPr>
        <w:t xml:space="preserve">powłoka ochronna korpusu i głowicy o grubości min. 250 </w:t>
      </w:r>
      <w:proofErr w:type="spellStart"/>
      <w:r w:rsidRPr="00B47C62">
        <w:rPr>
          <w:rFonts w:ascii="Arial" w:hAnsi="Arial" w:cs="Arial"/>
          <w:color w:val="000000" w:themeColor="text1"/>
          <w:sz w:val="18"/>
        </w:rPr>
        <w:t>um</w:t>
      </w:r>
      <w:proofErr w:type="spellEnd"/>
      <w:r w:rsidRPr="00B47C62">
        <w:rPr>
          <w:rFonts w:ascii="Arial" w:hAnsi="Arial" w:cs="Arial"/>
          <w:color w:val="000000" w:themeColor="text1"/>
          <w:sz w:val="18"/>
        </w:rPr>
        <w:t>, wewnątrz emaliowana lub z proszków epoksydowych,</w:t>
      </w:r>
    </w:p>
    <w:p w14:paraId="3B67D38A" w14:textId="0A56EFF7" w:rsidR="0062468D" w:rsidRPr="00B47C62" w:rsidRDefault="00977569" w:rsidP="00B47C62">
      <w:pPr>
        <w:pStyle w:val="Specyfikacje"/>
        <w:numPr>
          <w:ilvl w:val="0"/>
          <w:numId w:val="8"/>
        </w:numPr>
        <w:spacing w:after="0"/>
        <w:ind w:left="142" w:hanging="142"/>
        <w:rPr>
          <w:rFonts w:ascii="Arial" w:hAnsi="Arial" w:cs="Arial"/>
          <w:color w:val="000000" w:themeColor="text1"/>
          <w:sz w:val="18"/>
        </w:rPr>
      </w:pPr>
      <w:r w:rsidRPr="000C5020">
        <w:rPr>
          <w:rFonts w:ascii="Arial" w:hAnsi="Arial" w:cs="Arial"/>
          <w:color w:val="000000" w:themeColor="text1"/>
          <w:sz w:val="18"/>
        </w:rPr>
        <w:t xml:space="preserve">płyta </w:t>
      </w:r>
      <w:r w:rsidRPr="00B47C62">
        <w:rPr>
          <w:rFonts w:ascii="Arial" w:hAnsi="Arial" w:cs="Arial"/>
          <w:color w:val="000000" w:themeColor="text1"/>
          <w:sz w:val="18"/>
        </w:rPr>
        <w:t>odcinająca (nóż) ze stali nierdzewnej</w:t>
      </w:r>
    </w:p>
    <w:p w14:paraId="192B28AE" w14:textId="0882E71D" w:rsidR="0062468D" w:rsidRPr="00AB34B4" w:rsidRDefault="0062468D" w:rsidP="0062468D">
      <w:pPr>
        <w:pStyle w:val="Specyfikacje"/>
        <w:numPr>
          <w:ilvl w:val="0"/>
          <w:numId w:val="8"/>
        </w:numPr>
        <w:spacing w:after="0"/>
        <w:ind w:left="142" w:hanging="142"/>
        <w:rPr>
          <w:rFonts w:ascii="Arial" w:hAnsi="Arial" w:cs="Arial"/>
          <w:color w:val="000000" w:themeColor="text1"/>
          <w:sz w:val="18"/>
        </w:rPr>
      </w:pPr>
      <w:r w:rsidRPr="00B47C62">
        <w:rPr>
          <w:rFonts w:ascii="Arial" w:hAnsi="Arial" w:cs="Arial"/>
          <w:color w:val="000000" w:themeColor="text1"/>
          <w:sz w:val="18"/>
        </w:rPr>
        <w:t xml:space="preserve">odwodnienie powinno </w:t>
      </w:r>
      <w:r w:rsidR="00460177" w:rsidRPr="00B47C62">
        <w:rPr>
          <w:rFonts w:ascii="Arial" w:hAnsi="Arial" w:cs="Arial"/>
          <w:color w:val="000000" w:themeColor="text1"/>
          <w:sz w:val="18"/>
        </w:rPr>
        <w:t>działać</w:t>
      </w:r>
      <w:r w:rsidRPr="00B47C62">
        <w:rPr>
          <w:rFonts w:ascii="Arial" w:hAnsi="Arial" w:cs="Arial"/>
          <w:color w:val="000000" w:themeColor="text1"/>
          <w:sz w:val="18"/>
        </w:rPr>
        <w:t xml:space="preserve"> tylko przy pełnym zamknięciu hydrantu. W położeniach pośrednich odwodnienie ma być szczelne,</w:t>
      </w:r>
    </w:p>
    <w:p w14:paraId="34168490" w14:textId="77777777" w:rsidR="003948C5" w:rsidRPr="00AB34B4" w:rsidRDefault="003948C5" w:rsidP="0062468D">
      <w:pPr>
        <w:pStyle w:val="Specyfikacje"/>
        <w:numPr>
          <w:ilvl w:val="0"/>
          <w:numId w:val="8"/>
        </w:numPr>
        <w:spacing w:after="0"/>
        <w:ind w:left="142" w:hanging="142"/>
        <w:rPr>
          <w:rFonts w:ascii="Arial" w:hAnsi="Arial" w:cs="Arial"/>
          <w:color w:val="000000" w:themeColor="text1"/>
          <w:sz w:val="18"/>
        </w:rPr>
      </w:pPr>
      <w:r w:rsidRPr="00AB34B4">
        <w:rPr>
          <w:rFonts w:ascii="Arial" w:hAnsi="Arial" w:cs="Arial"/>
          <w:color w:val="000000" w:themeColor="text1"/>
          <w:sz w:val="18"/>
        </w:rPr>
        <w:t>uch</w:t>
      </w:r>
      <w:r w:rsidR="0008062A" w:rsidRPr="00AB34B4">
        <w:rPr>
          <w:rFonts w:ascii="Arial" w:hAnsi="Arial" w:cs="Arial"/>
          <w:color w:val="000000" w:themeColor="text1"/>
          <w:sz w:val="18"/>
        </w:rPr>
        <w:t>w</w:t>
      </w:r>
      <w:r w:rsidRPr="00AB34B4">
        <w:rPr>
          <w:rFonts w:ascii="Arial" w:hAnsi="Arial" w:cs="Arial"/>
          <w:color w:val="000000" w:themeColor="text1"/>
          <w:sz w:val="18"/>
        </w:rPr>
        <w:t>yt kłowy i czop uruchamiający z żeliwa sferoidalnego,</w:t>
      </w:r>
    </w:p>
    <w:p w14:paraId="5EE85D6E" w14:textId="631FFD74" w:rsidR="00154941" w:rsidRPr="00AB34B4" w:rsidRDefault="00154941" w:rsidP="0062468D">
      <w:pPr>
        <w:pStyle w:val="Specyfikacje"/>
        <w:numPr>
          <w:ilvl w:val="0"/>
          <w:numId w:val="8"/>
        </w:numPr>
        <w:spacing w:after="0"/>
        <w:ind w:left="142" w:hanging="142"/>
        <w:rPr>
          <w:rFonts w:ascii="Arial" w:hAnsi="Arial" w:cs="Arial"/>
          <w:color w:val="000000" w:themeColor="text1"/>
          <w:sz w:val="18"/>
        </w:rPr>
      </w:pPr>
      <w:r w:rsidRPr="00AB34B4">
        <w:rPr>
          <w:rFonts w:ascii="Arial" w:hAnsi="Arial" w:cs="Arial"/>
          <w:color w:val="000000" w:themeColor="text1"/>
          <w:sz w:val="18"/>
        </w:rPr>
        <w:t xml:space="preserve">samoczynne całkowite odwodnienie z </w:t>
      </w:r>
      <w:r w:rsidR="00AB34B4" w:rsidRPr="00AB34B4">
        <w:rPr>
          <w:rFonts w:ascii="Arial" w:hAnsi="Arial" w:cs="Arial"/>
          <w:color w:val="000000" w:themeColor="text1"/>
          <w:sz w:val="18"/>
        </w:rPr>
        <w:t>odcięciem ciśnienia wody,</w:t>
      </w:r>
    </w:p>
    <w:p w14:paraId="13552BFE" w14:textId="77777777" w:rsidR="0062468D" w:rsidRPr="00AB34B4" w:rsidRDefault="0062468D" w:rsidP="0062468D">
      <w:pPr>
        <w:pStyle w:val="Specyfikacje"/>
        <w:numPr>
          <w:ilvl w:val="0"/>
          <w:numId w:val="8"/>
        </w:numPr>
        <w:spacing w:after="0"/>
        <w:ind w:left="142" w:hanging="142"/>
        <w:rPr>
          <w:rFonts w:ascii="Arial" w:hAnsi="Arial" w:cs="Arial"/>
          <w:color w:val="000000" w:themeColor="text1"/>
          <w:sz w:val="18"/>
        </w:rPr>
      </w:pPr>
      <w:r w:rsidRPr="00AB34B4">
        <w:rPr>
          <w:rFonts w:ascii="Arial" w:hAnsi="Arial" w:cs="Arial"/>
          <w:color w:val="000000" w:themeColor="text1"/>
          <w:sz w:val="18"/>
        </w:rPr>
        <w:t>na zewnątrz powłoka z proszków epoksydowych,</w:t>
      </w:r>
    </w:p>
    <w:p w14:paraId="7A55214A" w14:textId="77777777" w:rsidR="0062468D" w:rsidRPr="00AB34B4" w:rsidRDefault="0062468D" w:rsidP="0062468D">
      <w:pPr>
        <w:pStyle w:val="Specyfikacje"/>
        <w:numPr>
          <w:ilvl w:val="0"/>
          <w:numId w:val="8"/>
        </w:numPr>
        <w:spacing w:after="0"/>
        <w:ind w:left="142" w:hanging="142"/>
        <w:rPr>
          <w:rFonts w:ascii="Arial" w:hAnsi="Arial" w:cs="Arial"/>
          <w:color w:val="000000" w:themeColor="text1"/>
          <w:sz w:val="18"/>
        </w:rPr>
      </w:pPr>
      <w:r w:rsidRPr="00AB34B4">
        <w:rPr>
          <w:rFonts w:ascii="Arial" w:hAnsi="Arial" w:cs="Arial"/>
          <w:color w:val="000000" w:themeColor="text1"/>
          <w:sz w:val="18"/>
        </w:rPr>
        <w:t>śruby łączące ze stali nierdzewnej A2/70, nakrętki A4/80,</w:t>
      </w:r>
    </w:p>
    <w:p w14:paraId="086C0467" w14:textId="0467FC34" w:rsidR="0062468D" w:rsidRPr="00AB34B4" w:rsidRDefault="0062468D" w:rsidP="0062468D">
      <w:pPr>
        <w:pStyle w:val="Specyfikacje"/>
        <w:numPr>
          <w:ilvl w:val="0"/>
          <w:numId w:val="8"/>
        </w:numPr>
        <w:spacing w:after="0"/>
        <w:ind w:left="142" w:hanging="142"/>
        <w:rPr>
          <w:rFonts w:ascii="Arial" w:hAnsi="Arial" w:cs="Arial"/>
          <w:color w:val="000000" w:themeColor="text1"/>
          <w:sz w:val="18"/>
        </w:rPr>
      </w:pPr>
      <w:r w:rsidRPr="00AB34B4">
        <w:rPr>
          <w:rFonts w:ascii="Arial" w:hAnsi="Arial" w:cs="Arial"/>
          <w:color w:val="000000" w:themeColor="text1"/>
          <w:sz w:val="18"/>
        </w:rPr>
        <w:t>skrzynka uliczna żeliwna typu ciężkiego,</w:t>
      </w:r>
    </w:p>
    <w:p w14:paraId="78FA4393" w14:textId="77777777" w:rsidR="007E0C17" w:rsidRPr="00C41043" w:rsidRDefault="007E0C17" w:rsidP="007E0C17">
      <w:pPr>
        <w:pStyle w:val="Nagwek3"/>
        <w:spacing w:before="60"/>
        <w:rPr>
          <w:color w:val="000000" w:themeColor="text1"/>
          <w:sz w:val="22"/>
        </w:rPr>
      </w:pPr>
      <w:r w:rsidRPr="00C41043">
        <w:rPr>
          <w:color w:val="000000" w:themeColor="text1"/>
          <w:sz w:val="22"/>
        </w:rPr>
        <w:t xml:space="preserve">2.4. </w:t>
      </w:r>
      <w:r>
        <w:rPr>
          <w:color w:val="000000" w:themeColor="text1"/>
          <w:sz w:val="22"/>
        </w:rPr>
        <w:t>Studzienka wodomierzowa</w:t>
      </w:r>
    </w:p>
    <w:p w14:paraId="33FF67F9" w14:textId="77777777" w:rsidR="007E0C17" w:rsidRPr="007E0C17" w:rsidRDefault="007E0C17" w:rsidP="007E0C17">
      <w:pPr>
        <w:pStyle w:val="Specyfikacje"/>
        <w:spacing w:after="0"/>
        <w:ind w:left="0"/>
        <w:rPr>
          <w:rFonts w:ascii="Arial" w:hAnsi="Arial" w:cs="Arial"/>
          <w:color w:val="000000" w:themeColor="text1"/>
          <w:sz w:val="18"/>
        </w:rPr>
      </w:pPr>
      <w:r w:rsidRPr="007E0C17">
        <w:rPr>
          <w:rFonts w:ascii="Arial" w:hAnsi="Arial" w:cs="Arial"/>
          <w:color w:val="000000" w:themeColor="text1"/>
          <w:sz w:val="18"/>
        </w:rPr>
        <w:t xml:space="preserve">Studzienka składa się z prefabrykowanych elementów, to jest: studni betonowej, kręgów betonowych, płyty pokrywowej, pierścieni dystansowych połączonych ze sobą za pomocą odpowiednich uszczelek. Styki kręgów łączonych na uszczelkę gumową muszą być zatarte na gładko z obu stron zaprawą szybkowiążącą. Prefabrykowane elementy betonowe i żelbetowe wykonane muszą być z betonu C35/45, wodoszczelnego (W8), mało nasiąkliwego </w:t>
      </w:r>
      <w:proofErr w:type="spellStart"/>
      <w:r w:rsidRPr="007E0C17">
        <w:rPr>
          <w:rFonts w:ascii="Arial" w:hAnsi="Arial" w:cs="Arial"/>
          <w:color w:val="000000" w:themeColor="text1"/>
          <w:sz w:val="18"/>
        </w:rPr>
        <w:t>nw</w:t>
      </w:r>
      <w:proofErr w:type="spellEnd"/>
      <w:r w:rsidRPr="007E0C17">
        <w:rPr>
          <w:rFonts w:ascii="Arial" w:hAnsi="Arial" w:cs="Arial"/>
          <w:color w:val="000000" w:themeColor="text1"/>
          <w:sz w:val="18"/>
        </w:rPr>
        <w:t>&lt;6%, mrozoodpornego (F-50).</w:t>
      </w:r>
    </w:p>
    <w:p w14:paraId="684481D0" w14:textId="77777777" w:rsidR="007E0C17" w:rsidRPr="007E0C17" w:rsidRDefault="007E0C17" w:rsidP="007E0C17">
      <w:pPr>
        <w:pStyle w:val="Specyfikacje"/>
        <w:spacing w:after="0"/>
        <w:ind w:left="0"/>
        <w:rPr>
          <w:rFonts w:ascii="Arial" w:hAnsi="Arial" w:cs="Arial"/>
          <w:color w:val="000000" w:themeColor="text1"/>
          <w:sz w:val="18"/>
        </w:rPr>
      </w:pPr>
      <w:r w:rsidRPr="007E0C17">
        <w:rPr>
          <w:rFonts w:ascii="Arial" w:hAnsi="Arial" w:cs="Arial"/>
          <w:color w:val="000000" w:themeColor="text1"/>
          <w:sz w:val="18"/>
        </w:rPr>
        <w:t>Zwieńczenie studni stanowić będzie żeliwny właz kanałowy ciężki typu D400, szczelny, z pokrywą wypełnioną betonem. Głębokość osadzania pokrywy włazu w korpusie min. 50mm, z zabezpieczeniem przed obrotem. Pokrywa min. Ø670mm.</w:t>
      </w:r>
    </w:p>
    <w:p w14:paraId="2734F7E8" w14:textId="77777777" w:rsidR="007E0C17" w:rsidRDefault="007E0C17" w:rsidP="007E0C17">
      <w:pPr>
        <w:pStyle w:val="Specyfikacje"/>
        <w:spacing w:after="0"/>
        <w:ind w:left="0"/>
        <w:rPr>
          <w:rFonts w:ascii="Arial" w:hAnsi="Arial" w:cs="Arial"/>
          <w:color w:val="000000" w:themeColor="text1"/>
          <w:sz w:val="18"/>
        </w:rPr>
      </w:pPr>
      <w:r w:rsidRPr="007E0C17">
        <w:rPr>
          <w:rFonts w:ascii="Arial" w:hAnsi="Arial" w:cs="Arial"/>
          <w:color w:val="000000" w:themeColor="text1"/>
          <w:sz w:val="18"/>
        </w:rPr>
        <w:t>Zaprojektowano wodomierz dn20 z nakładką radiową zgodny z wytycznymi określonymi przez eksploatatora.</w:t>
      </w:r>
    </w:p>
    <w:p w14:paraId="361755F9" w14:textId="51196FA6" w:rsidR="008A62DC" w:rsidRPr="00C41043" w:rsidRDefault="008A62DC" w:rsidP="008A62DC">
      <w:pPr>
        <w:pStyle w:val="Nagwek3"/>
        <w:spacing w:before="60"/>
        <w:rPr>
          <w:color w:val="000000" w:themeColor="text1"/>
          <w:sz w:val="22"/>
        </w:rPr>
      </w:pPr>
      <w:r w:rsidRPr="00C41043">
        <w:rPr>
          <w:color w:val="000000" w:themeColor="text1"/>
          <w:sz w:val="22"/>
        </w:rPr>
        <w:t>2.</w:t>
      </w:r>
      <w:r>
        <w:rPr>
          <w:color w:val="000000" w:themeColor="text1"/>
          <w:sz w:val="22"/>
        </w:rPr>
        <w:t>5</w:t>
      </w:r>
      <w:r w:rsidRPr="00C41043">
        <w:rPr>
          <w:color w:val="000000" w:themeColor="text1"/>
          <w:sz w:val="22"/>
        </w:rPr>
        <w:t xml:space="preserve">. </w:t>
      </w:r>
      <w:r w:rsidR="000E1E7B">
        <w:rPr>
          <w:color w:val="000000" w:themeColor="text1"/>
          <w:sz w:val="22"/>
        </w:rPr>
        <w:t>Zawór</w:t>
      </w:r>
      <w:r>
        <w:rPr>
          <w:color w:val="000000" w:themeColor="text1"/>
          <w:sz w:val="22"/>
        </w:rPr>
        <w:t xml:space="preserve"> napowietrzająco - odpowietrzający</w:t>
      </w:r>
    </w:p>
    <w:p w14:paraId="384A115E" w14:textId="77777777" w:rsidR="008A62DC" w:rsidRDefault="008A62DC" w:rsidP="008A62DC">
      <w:pPr>
        <w:pStyle w:val="Specyfikacje"/>
        <w:spacing w:after="0"/>
        <w:ind w:left="0"/>
        <w:rPr>
          <w:rFonts w:ascii="Arial" w:hAnsi="Arial" w:cs="Arial"/>
          <w:color w:val="000000" w:themeColor="text1"/>
          <w:sz w:val="18"/>
        </w:rPr>
      </w:pPr>
      <w:r>
        <w:rPr>
          <w:rFonts w:ascii="Arial" w:hAnsi="Arial" w:cs="Arial"/>
          <w:color w:val="000000" w:themeColor="text1"/>
          <w:sz w:val="18"/>
        </w:rPr>
        <w:t>Z</w:t>
      </w:r>
      <w:r w:rsidRPr="008A62DC">
        <w:rPr>
          <w:rFonts w:ascii="Arial" w:hAnsi="Arial" w:cs="Arial"/>
          <w:color w:val="000000" w:themeColor="text1"/>
          <w:sz w:val="18"/>
        </w:rPr>
        <w:t>awór napowietrzająco – odpowietrzający do bezpośredniej zabudowy w ziemi w kolumnie osłonowej ze stali nierdzewnej. Zawór z samoczynnym zamknięciem umożliwiający demontaż pod ciśnieniem. W komplecie do zaworu należy stosować skrzynkę uliczną o otworze min. 30cm. W projekcie założono zastosowanie zaworu o wysokości zabudowy L=1,055m, a na potrzeby ewentualnej regulacji wysokościowej w celu montażu zgodnie z wytycznymi producenta, należy przewidzieć dodatkową kształtkę dwukołnierzową Dn50mm.</w:t>
      </w:r>
    </w:p>
    <w:p w14:paraId="6CD68AFF" w14:textId="4BE68DB5" w:rsidR="00274298" w:rsidRPr="00C41043" w:rsidRDefault="00274298" w:rsidP="00274298">
      <w:pPr>
        <w:pStyle w:val="Nagwek3"/>
        <w:spacing w:before="60"/>
        <w:rPr>
          <w:color w:val="000000" w:themeColor="text1"/>
          <w:sz w:val="22"/>
        </w:rPr>
      </w:pPr>
      <w:r w:rsidRPr="00C41043">
        <w:rPr>
          <w:color w:val="000000" w:themeColor="text1"/>
          <w:sz w:val="22"/>
        </w:rPr>
        <w:t>2.</w:t>
      </w:r>
      <w:r>
        <w:rPr>
          <w:color w:val="000000" w:themeColor="text1"/>
          <w:sz w:val="22"/>
        </w:rPr>
        <w:t>6</w:t>
      </w:r>
      <w:r w:rsidRPr="00C41043">
        <w:rPr>
          <w:color w:val="000000" w:themeColor="text1"/>
          <w:sz w:val="22"/>
        </w:rPr>
        <w:t xml:space="preserve">. </w:t>
      </w:r>
      <w:r>
        <w:rPr>
          <w:color w:val="000000" w:themeColor="text1"/>
          <w:sz w:val="22"/>
        </w:rPr>
        <w:t>Zdrój uliczny</w:t>
      </w:r>
    </w:p>
    <w:p w14:paraId="303C293D" w14:textId="5264B607" w:rsidR="00274298" w:rsidRPr="00274298" w:rsidRDefault="00274298" w:rsidP="00274298">
      <w:pPr>
        <w:spacing w:before="120"/>
        <w:jc w:val="both"/>
        <w:rPr>
          <w:rFonts w:ascii="Arial" w:hAnsi="Arial" w:cs="Arial"/>
          <w:color w:val="000000" w:themeColor="text1"/>
          <w:kern w:val="1"/>
          <w:sz w:val="18"/>
        </w:rPr>
      </w:pPr>
      <w:r>
        <w:rPr>
          <w:rFonts w:ascii="Arial" w:hAnsi="Arial" w:cs="Arial"/>
          <w:color w:val="000000" w:themeColor="text1"/>
          <w:kern w:val="1"/>
          <w:sz w:val="18"/>
        </w:rPr>
        <w:t>Z</w:t>
      </w:r>
      <w:r w:rsidRPr="00274298">
        <w:rPr>
          <w:rFonts w:ascii="Arial" w:hAnsi="Arial" w:cs="Arial"/>
          <w:color w:val="000000" w:themeColor="text1"/>
          <w:kern w:val="1"/>
          <w:sz w:val="18"/>
        </w:rPr>
        <w:t>drój uliczny wody kranowej w wersji z poidłem dla zwierząt. Urządzenie przystosowane jest do użytku całorocznego – pełna mrozoodporność. Postument wykonany ze zbrojonego betonu z żwirowym wykończeniem powierzchni w kolorze brązowym. Misy ociekowe ze stali nierdzewnej. Wewnątrz misy zlokalizowane są wylewki z polerowanej stali nierdzewnej zabezpieczone przed obracaniem, o łagodnym strumieniu wody.</w:t>
      </w:r>
    </w:p>
    <w:p w14:paraId="0F06E45A" w14:textId="77777777" w:rsidR="00274298" w:rsidRPr="00274298" w:rsidRDefault="00274298" w:rsidP="00274298">
      <w:pPr>
        <w:jc w:val="both"/>
        <w:rPr>
          <w:rFonts w:ascii="Arial" w:hAnsi="Arial" w:cs="Arial"/>
          <w:color w:val="000000" w:themeColor="text1"/>
          <w:kern w:val="1"/>
          <w:sz w:val="18"/>
        </w:rPr>
      </w:pPr>
      <w:r w:rsidRPr="00274298">
        <w:rPr>
          <w:rFonts w:ascii="Arial" w:hAnsi="Arial" w:cs="Arial"/>
          <w:color w:val="000000" w:themeColor="text1"/>
          <w:kern w:val="1"/>
          <w:sz w:val="18"/>
        </w:rPr>
        <w:t xml:space="preserve">Zaprojektowano opcjonalnie zdrój wody kranowej w oparciu o urządzenie firmy </w:t>
      </w:r>
      <w:proofErr w:type="spellStart"/>
      <w:r w:rsidRPr="00274298">
        <w:rPr>
          <w:rFonts w:ascii="Arial" w:hAnsi="Arial" w:cs="Arial"/>
          <w:color w:val="000000" w:themeColor="text1"/>
          <w:kern w:val="1"/>
          <w:sz w:val="18"/>
        </w:rPr>
        <w:t>Murdock</w:t>
      </w:r>
      <w:proofErr w:type="spellEnd"/>
      <w:r w:rsidRPr="00274298">
        <w:rPr>
          <w:rFonts w:ascii="Arial" w:hAnsi="Arial" w:cs="Arial"/>
          <w:color w:val="000000" w:themeColor="text1"/>
          <w:kern w:val="1"/>
          <w:sz w:val="18"/>
        </w:rPr>
        <w:t xml:space="preserve"> serii GU, model GUF-PF w opcji z miską do pojenia zwierząt. Dopuszcza się zastosowanie zdroju równoważnego technicznie, po uzgodnieniu modelu z Inwestorem.</w:t>
      </w:r>
    </w:p>
    <w:p w14:paraId="0C8909CF" w14:textId="77777777" w:rsidR="00014912" w:rsidRPr="00C41043" w:rsidRDefault="00014912" w:rsidP="00094B72">
      <w:pPr>
        <w:pStyle w:val="Nagwek3"/>
        <w:spacing w:before="60"/>
        <w:rPr>
          <w:color w:val="000000" w:themeColor="text1"/>
          <w:sz w:val="22"/>
        </w:rPr>
      </w:pPr>
      <w:r w:rsidRPr="00C41043">
        <w:rPr>
          <w:color w:val="000000" w:themeColor="text1"/>
          <w:sz w:val="22"/>
        </w:rPr>
        <w:t>2.</w:t>
      </w:r>
      <w:r w:rsidR="008A62DC">
        <w:rPr>
          <w:color w:val="000000" w:themeColor="text1"/>
          <w:sz w:val="22"/>
        </w:rPr>
        <w:t>6</w:t>
      </w:r>
      <w:r w:rsidR="00094B72" w:rsidRPr="00C41043">
        <w:rPr>
          <w:color w:val="000000" w:themeColor="text1"/>
          <w:sz w:val="22"/>
        </w:rPr>
        <w:t>.</w:t>
      </w:r>
      <w:r w:rsidRPr="00C41043">
        <w:rPr>
          <w:color w:val="000000" w:themeColor="text1"/>
          <w:sz w:val="22"/>
        </w:rPr>
        <w:t xml:space="preserve"> Materiały sypkie na wykonanie podłoża</w:t>
      </w:r>
    </w:p>
    <w:p w14:paraId="004A08B2" w14:textId="77777777" w:rsidR="00014912" w:rsidRPr="00C41043" w:rsidRDefault="00014912" w:rsidP="00094B72">
      <w:pPr>
        <w:pStyle w:val="Specyfikacje"/>
        <w:spacing w:after="0"/>
        <w:ind w:left="0"/>
        <w:rPr>
          <w:rFonts w:ascii="Arial" w:hAnsi="Arial" w:cs="Arial"/>
          <w:color w:val="000000" w:themeColor="text1"/>
          <w:sz w:val="18"/>
        </w:rPr>
      </w:pPr>
      <w:r w:rsidRPr="00C41043">
        <w:rPr>
          <w:rFonts w:ascii="Arial" w:hAnsi="Arial" w:cs="Arial"/>
          <w:color w:val="000000" w:themeColor="text1"/>
          <w:sz w:val="18"/>
        </w:rPr>
        <w:t>Stosować piasek średnioziarnisty według PN–86/B-0248 oraz mieszankę piaskowo-żwirową o granulacji 2-10 mm, 2-16 mm i 2-63 mm.</w:t>
      </w:r>
    </w:p>
    <w:p w14:paraId="333C3482" w14:textId="77777777" w:rsidR="00014912" w:rsidRPr="00C41043" w:rsidRDefault="00014912" w:rsidP="00094B72">
      <w:pPr>
        <w:pStyle w:val="Nagwek3"/>
        <w:spacing w:before="60"/>
        <w:rPr>
          <w:color w:val="000000" w:themeColor="text1"/>
          <w:sz w:val="22"/>
        </w:rPr>
      </w:pPr>
      <w:r w:rsidRPr="00C41043">
        <w:rPr>
          <w:color w:val="000000" w:themeColor="text1"/>
          <w:sz w:val="22"/>
        </w:rPr>
        <w:t>2.</w:t>
      </w:r>
      <w:r w:rsidR="008A62DC">
        <w:rPr>
          <w:color w:val="000000" w:themeColor="text1"/>
          <w:sz w:val="22"/>
        </w:rPr>
        <w:t>7</w:t>
      </w:r>
      <w:r w:rsidR="00094B72" w:rsidRPr="00C41043">
        <w:rPr>
          <w:color w:val="000000" w:themeColor="text1"/>
          <w:sz w:val="22"/>
        </w:rPr>
        <w:t>.</w:t>
      </w:r>
      <w:r w:rsidRPr="00C41043">
        <w:rPr>
          <w:color w:val="000000" w:themeColor="text1"/>
          <w:sz w:val="22"/>
        </w:rPr>
        <w:t xml:space="preserve"> Śruby i nakrętki</w:t>
      </w:r>
    </w:p>
    <w:p w14:paraId="27B740A3" w14:textId="77777777" w:rsidR="00014912" w:rsidRPr="00C41043" w:rsidRDefault="00014912" w:rsidP="00094B72">
      <w:pPr>
        <w:pStyle w:val="Specyfikacje"/>
        <w:spacing w:after="0"/>
        <w:ind w:left="0"/>
        <w:rPr>
          <w:rFonts w:ascii="Arial" w:hAnsi="Arial" w:cs="Arial"/>
          <w:color w:val="000000" w:themeColor="text1"/>
          <w:sz w:val="20"/>
        </w:rPr>
      </w:pPr>
      <w:r w:rsidRPr="00C41043">
        <w:rPr>
          <w:rFonts w:ascii="Arial" w:hAnsi="Arial" w:cs="Arial"/>
          <w:color w:val="000000" w:themeColor="text1"/>
          <w:sz w:val="18"/>
        </w:rPr>
        <w:t>Stosować śruby ze stali nierdzewnej A2 i nakrętki oraz podkładki  ze stali nierdzewnej  A4.</w:t>
      </w:r>
    </w:p>
    <w:p w14:paraId="3C37742C" w14:textId="77777777" w:rsidR="00014912" w:rsidRPr="00C41043" w:rsidRDefault="00014912" w:rsidP="00094B72">
      <w:pPr>
        <w:pStyle w:val="Nagwek3"/>
        <w:spacing w:before="60"/>
        <w:rPr>
          <w:color w:val="000000" w:themeColor="text1"/>
          <w:sz w:val="22"/>
        </w:rPr>
      </w:pPr>
      <w:r w:rsidRPr="00C41043">
        <w:rPr>
          <w:color w:val="000000" w:themeColor="text1"/>
          <w:sz w:val="22"/>
        </w:rPr>
        <w:t>2.</w:t>
      </w:r>
      <w:r w:rsidR="008A62DC">
        <w:rPr>
          <w:color w:val="000000" w:themeColor="text1"/>
          <w:sz w:val="22"/>
        </w:rPr>
        <w:t>8</w:t>
      </w:r>
      <w:r w:rsidR="00094B72" w:rsidRPr="00C41043">
        <w:rPr>
          <w:color w:val="000000" w:themeColor="text1"/>
          <w:sz w:val="22"/>
        </w:rPr>
        <w:t>.</w:t>
      </w:r>
      <w:r w:rsidRPr="00C41043">
        <w:rPr>
          <w:color w:val="000000" w:themeColor="text1"/>
          <w:sz w:val="22"/>
        </w:rPr>
        <w:t xml:space="preserve"> Oznakowanie trasy rurociągu</w:t>
      </w:r>
    </w:p>
    <w:p w14:paraId="36709659" w14:textId="77777777" w:rsidR="00014912" w:rsidRPr="00C41043" w:rsidRDefault="00014912" w:rsidP="00094B72">
      <w:pPr>
        <w:pStyle w:val="Specyfikacje"/>
        <w:spacing w:after="0"/>
        <w:ind w:left="0"/>
        <w:rPr>
          <w:rFonts w:ascii="Arial" w:hAnsi="Arial" w:cs="Arial"/>
          <w:color w:val="000000" w:themeColor="text1"/>
          <w:sz w:val="18"/>
        </w:rPr>
      </w:pPr>
      <w:r w:rsidRPr="00C41043">
        <w:rPr>
          <w:rFonts w:ascii="Arial" w:hAnsi="Arial" w:cs="Arial"/>
          <w:color w:val="000000" w:themeColor="text1"/>
          <w:sz w:val="18"/>
        </w:rPr>
        <w:t>Do oznakowania trasy rurociągów z PE stosować taśmę PEHD z wkładką metaliczną. Oznaczenia lokalizacyjne na powierzchni terenu - słupki z PE wypełnione betonem DN 50 z tabliczkami, lub tabliczki na obiektach stałych np. budynki.</w:t>
      </w:r>
    </w:p>
    <w:p w14:paraId="1844B06C" w14:textId="77777777" w:rsidR="00014912" w:rsidRPr="00C41043" w:rsidRDefault="00014912" w:rsidP="00094B72">
      <w:pPr>
        <w:pStyle w:val="Nagwek3"/>
        <w:spacing w:before="60"/>
        <w:rPr>
          <w:color w:val="000000" w:themeColor="text1"/>
          <w:sz w:val="22"/>
        </w:rPr>
      </w:pPr>
      <w:r w:rsidRPr="00C41043">
        <w:rPr>
          <w:color w:val="000000" w:themeColor="text1"/>
          <w:sz w:val="22"/>
        </w:rPr>
        <w:t>2.</w:t>
      </w:r>
      <w:r w:rsidR="008A62DC">
        <w:rPr>
          <w:color w:val="000000" w:themeColor="text1"/>
          <w:sz w:val="22"/>
        </w:rPr>
        <w:t>9</w:t>
      </w:r>
      <w:r w:rsidRPr="00C41043">
        <w:rPr>
          <w:color w:val="000000" w:themeColor="text1"/>
          <w:sz w:val="22"/>
        </w:rPr>
        <w:t xml:space="preserve">  Zaprawy szybkowiążące</w:t>
      </w:r>
    </w:p>
    <w:p w14:paraId="1E30DBC7" w14:textId="77777777" w:rsidR="00014912" w:rsidRPr="00C41043" w:rsidRDefault="00014912" w:rsidP="00094B72">
      <w:pPr>
        <w:pStyle w:val="Specyfikacje"/>
        <w:spacing w:after="0"/>
        <w:ind w:left="0"/>
        <w:rPr>
          <w:rFonts w:ascii="Arial" w:hAnsi="Arial" w:cs="Arial"/>
          <w:color w:val="000000" w:themeColor="text1"/>
          <w:sz w:val="18"/>
        </w:rPr>
      </w:pPr>
      <w:r w:rsidRPr="00C41043">
        <w:rPr>
          <w:rFonts w:ascii="Arial" w:hAnsi="Arial" w:cs="Arial"/>
          <w:color w:val="000000" w:themeColor="text1"/>
          <w:sz w:val="18"/>
        </w:rPr>
        <w:t>Stosować wyłącznie produkty chemii budowlanej.</w:t>
      </w:r>
    </w:p>
    <w:p w14:paraId="536C3224" w14:textId="77777777" w:rsidR="00014912" w:rsidRPr="00C41043" w:rsidRDefault="00014912" w:rsidP="00094B72">
      <w:pPr>
        <w:pStyle w:val="Nagwek3"/>
        <w:spacing w:before="60"/>
        <w:rPr>
          <w:color w:val="000000" w:themeColor="text1"/>
          <w:sz w:val="22"/>
        </w:rPr>
      </w:pPr>
      <w:r w:rsidRPr="00C41043">
        <w:rPr>
          <w:color w:val="000000" w:themeColor="text1"/>
          <w:sz w:val="22"/>
        </w:rPr>
        <w:t>2.</w:t>
      </w:r>
      <w:r w:rsidR="008A62DC">
        <w:rPr>
          <w:color w:val="000000" w:themeColor="text1"/>
          <w:sz w:val="22"/>
        </w:rPr>
        <w:t>10</w:t>
      </w:r>
      <w:r w:rsidR="00094B72" w:rsidRPr="00C41043">
        <w:rPr>
          <w:color w:val="000000" w:themeColor="text1"/>
          <w:sz w:val="22"/>
        </w:rPr>
        <w:t>.</w:t>
      </w:r>
      <w:r w:rsidRPr="00C41043">
        <w:rPr>
          <w:color w:val="000000" w:themeColor="text1"/>
          <w:sz w:val="22"/>
        </w:rPr>
        <w:t xml:space="preserve">  Beton</w:t>
      </w:r>
    </w:p>
    <w:p w14:paraId="78CC688A" w14:textId="77777777" w:rsidR="00014912" w:rsidRPr="00C41043" w:rsidRDefault="00014912" w:rsidP="00094B72">
      <w:pPr>
        <w:pStyle w:val="Specyfikacje"/>
        <w:spacing w:after="0"/>
        <w:ind w:left="0"/>
        <w:rPr>
          <w:rFonts w:ascii="Arial" w:hAnsi="Arial" w:cs="Arial"/>
          <w:color w:val="000000" w:themeColor="text1"/>
          <w:sz w:val="18"/>
        </w:rPr>
      </w:pPr>
      <w:r w:rsidRPr="00C41043">
        <w:rPr>
          <w:rFonts w:ascii="Arial" w:hAnsi="Arial" w:cs="Arial"/>
          <w:color w:val="000000" w:themeColor="text1"/>
          <w:sz w:val="18"/>
        </w:rPr>
        <w:t>W zależności od rodzaju robót stosować beton klasy C8/10, C25/30, C30/37 zgodnie z projektem.</w:t>
      </w:r>
    </w:p>
    <w:p w14:paraId="54D371B0" w14:textId="77777777" w:rsidR="00F548B0" w:rsidRPr="00444CD1" w:rsidRDefault="00F548B0" w:rsidP="00F548B0">
      <w:pPr>
        <w:pStyle w:val="Nagwek2"/>
        <w:rPr>
          <w:i w:val="0"/>
          <w:color w:val="000000" w:themeColor="text1"/>
        </w:rPr>
      </w:pPr>
      <w:r w:rsidRPr="00444CD1">
        <w:rPr>
          <w:i w:val="0"/>
          <w:color w:val="000000" w:themeColor="text1"/>
        </w:rPr>
        <w:t>3. SPRZĘT</w:t>
      </w:r>
    </w:p>
    <w:p w14:paraId="4EBD5B02"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Ogólne wymagania dotyczące sprzętu podano w Specyfikacji Technicznej ST-00.00 “Wymagania Ogólne".</w:t>
      </w:r>
    </w:p>
    <w:p w14:paraId="51592F0C"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Sprzęt budowlany powinien odpowiadać pod względem typów i ilości wymaganiom zawartym w projekcie organizacji robót, zaakceptowanym przez </w:t>
      </w:r>
      <w:r w:rsidR="006440D2" w:rsidRPr="00444CD1">
        <w:rPr>
          <w:rFonts w:ascii="Arial" w:hAnsi="Arial" w:cs="Arial"/>
          <w:color w:val="000000" w:themeColor="text1"/>
          <w:sz w:val="18"/>
        </w:rPr>
        <w:t>Zamawiającego</w:t>
      </w:r>
      <w:r w:rsidRPr="00444CD1">
        <w:rPr>
          <w:rFonts w:ascii="Arial" w:hAnsi="Arial" w:cs="Arial"/>
          <w:color w:val="000000" w:themeColor="text1"/>
          <w:sz w:val="18"/>
        </w:rPr>
        <w:t xml:space="preserve">. </w:t>
      </w:r>
    </w:p>
    <w:p w14:paraId="656EB899"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Zgodnie z technologią założoną w Dokumentacji Projektowej do wykonania robót proponuje się użyć następującego sprzętu:</w:t>
      </w:r>
    </w:p>
    <w:p w14:paraId="63ACAC3B"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koparki na podwoziu gąsienicowym o pojemności łyżki 0.6 m3,</w:t>
      </w:r>
    </w:p>
    <w:p w14:paraId="72584DCA"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żuraw na podwoziu samochodowym o udźwigu 6,0-15,0 ton,</w:t>
      </w:r>
    </w:p>
    <w:p w14:paraId="40AD2FF9"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zagęszczarki płytowe,</w:t>
      </w:r>
    </w:p>
    <w:p w14:paraId="4F164B62"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wiertnice,</w:t>
      </w:r>
    </w:p>
    <w:p w14:paraId="2556C5F8"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lastRenderedPageBreak/>
        <w:t xml:space="preserve">zgrzewarki doczołowe </w:t>
      </w:r>
    </w:p>
    <w:p w14:paraId="0CF58CFE"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agregat prądotwórczy,</w:t>
      </w:r>
    </w:p>
    <w:p w14:paraId="432EB434"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agregaty spawalnicze.</w:t>
      </w:r>
    </w:p>
    <w:p w14:paraId="71C4171D" w14:textId="77777777" w:rsidR="00F548B0" w:rsidRPr="00444CD1" w:rsidRDefault="00F548B0" w:rsidP="00F548B0">
      <w:pPr>
        <w:pStyle w:val="Nagwek2"/>
        <w:rPr>
          <w:i w:val="0"/>
          <w:color w:val="000000" w:themeColor="text1"/>
        </w:rPr>
      </w:pPr>
      <w:r w:rsidRPr="00444CD1">
        <w:rPr>
          <w:i w:val="0"/>
          <w:color w:val="000000" w:themeColor="text1"/>
        </w:rPr>
        <w:t>4. TRANSPORT</w:t>
      </w:r>
    </w:p>
    <w:p w14:paraId="0AB7A6C7"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Ogólne wymagania dotyczące transportu podano w Specyfikacji Technicznej ST-00.00 “Wymagania Ogólne". </w:t>
      </w:r>
    </w:p>
    <w:p w14:paraId="4285E1DB"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Zgodnie z technologią założoną w Dokumentacji Projektowej do transportu proponuje się użyć takich środków transportu, jak:</w:t>
      </w:r>
    </w:p>
    <w:p w14:paraId="253665ED"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samochody samowyładowcze 10-20 ton,</w:t>
      </w:r>
    </w:p>
    <w:p w14:paraId="32F106FF"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samochód dostawczy do 0,9 tony,</w:t>
      </w:r>
    </w:p>
    <w:p w14:paraId="63A62C91"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samochód skrzyniowy do 5 ton,</w:t>
      </w:r>
    </w:p>
    <w:p w14:paraId="79089EE6"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dłużyca,</w:t>
      </w:r>
    </w:p>
    <w:p w14:paraId="5AC4D0CB"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ciągnik siodłowy do 30,0 ton.</w:t>
      </w:r>
    </w:p>
    <w:p w14:paraId="4B8AE3AC"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Rury, kształtki i armaturę należy przewozić w pozycji poziomej i zabezpieczyć przed przesuwaniem i przetaczaniem w czasie ruchu pojazdu. </w:t>
      </w:r>
    </w:p>
    <w:p w14:paraId="2A4D14DA"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Przy przewozie należy przestrzegać przepisów obowiązujących w publicznym transporcie drogowym i kołowym.</w:t>
      </w:r>
    </w:p>
    <w:p w14:paraId="6A25C117"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Transport powinien zapewniać:</w:t>
      </w:r>
    </w:p>
    <w:p w14:paraId="456D7DA6"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stabilność pozycji załadowanych materiałów,</w:t>
      </w:r>
    </w:p>
    <w:p w14:paraId="147A3188" w14:textId="77777777" w:rsidR="00BB04E2" w:rsidRPr="00444CD1" w:rsidRDefault="00BB04E2" w:rsidP="00BB04E2">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kontrolę załadunku i wyładunku.</w:t>
      </w:r>
    </w:p>
    <w:p w14:paraId="2ECAFB49" w14:textId="77777777" w:rsidR="00BB04E2" w:rsidRPr="00444CD1" w:rsidRDefault="00BB04E2" w:rsidP="00BB04E2">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Należy zadbać o właściwe zabezpieczenie ładunku i bezpieczeństwo transportu.</w:t>
      </w:r>
    </w:p>
    <w:p w14:paraId="3C16E0EF" w14:textId="77777777" w:rsidR="00F548B0" w:rsidRPr="00444CD1" w:rsidRDefault="00F548B0" w:rsidP="00F548B0">
      <w:pPr>
        <w:pStyle w:val="Nagwek2"/>
        <w:rPr>
          <w:i w:val="0"/>
          <w:color w:val="000000" w:themeColor="text1"/>
        </w:rPr>
      </w:pPr>
      <w:r w:rsidRPr="00444CD1">
        <w:rPr>
          <w:i w:val="0"/>
          <w:color w:val="000000" w:themeColor="text1"/>
        </w:rPr>
        <w:t>5. WYKONANIE ROBÓT</w:t>
      </w:r>
    </w:p>
    <w:p w14:paraId="54BFFA41" w14:textId="77777777" w:rsidR="00F548B0" w:rsidRPr="00444CD1" w:rsidRDefault="00F548B0" w:rsidP="00F548B0">
      <w:pPr>
        <w:pStyle w:val="Nagwek3"/>
        <w:spacing w:before="60"/>
        <w:rPr>
          <w:color w:val="000000" w:themeColor="text1"/>
          <w:sz w:val="22"/>
        </w:rPr>
      </w:pPr>
      <w:r w:rsidRPr="00444CD1">
        <w:rPr>
          <w:color w:val="000000" w:themeColor="text1"/>
          <w:sz w:val="22"/>
        </w:rPr>
        <w:t>5.1. Ogólne warunki wykonania robót</w:t>
      </w:r>
    </w:p>
    <w:p w14:paraId="63F069C0" w14:textId="77777777" w:rsidR="00F8508E" w:rsidRPr="00444CD1" w:rsidRDefault="00F8508E" w:rsidP="00F8508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Ogólne wymagania dotyczące wykonania robót podano w ST-00.00 "Wymagania ogólne" i Warunkach Technicznych.</w:t>
      </w:r>
    </w:p>
    <w:p w14:paraId="1915D84C" w14:textId="77777777" w:rsidR="00F8508E" w:rsidRPr="00444CD1" w:rsidRDefault="00F8508E" w:rsidP="00F8508E">
      <w:pPr>
        <w:pStyle w:val="Nagwek3"/>
        <w:spacing w:before="60"/>
        <w:rPr>
          <w:color w:val="000000" w:themeColor="text1"/>
          <w:sz w:val="22"/>
        </w:rPr>
      </w:pPr>
      <w:r w:rsidRPr="00444CD1">
        <w:rPr>
          <w:color w:val="000000" w:themeColor="text1"/>
          <w:sz w:val="22"/>
        </w:rPr>
        <w:t>5.2 Wykonanie podłoża</w:t>
      </w:r>
    </w:p>
    <w:p w14:paraId="7617A483" w14:textId="77777777" w:rsidR="00F8508E" w:rsidRPr="00444CD1" w:rsidRDefault="00F8508E" w:rsidP="00F8508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Posadowienie rurociągów; wg. opisów podanych na profilach i w opisach branżowych.</w:t>
      </w:r>
    </w:p>
    <w:p w14:paraId="040F2BAE" w14:textId="77777777" w:rsidR="00F8508E" w:rsidRPr="00444CD1" w:rsidRDefault="00F8508E" w:rsidP="00F8508E">
      <w:pPr>
        <w:pStyle w:val="Nagwek3"/>
        <w:spacing w:before="60"/>
        <w:rPr>
          <w:color w:val="000000" w:themeColor="text1"/>
          <w:sz w:val="22"/>
        </w:rPr>
      </w:pPr>
      <w:r w:rsidRPr="00444CD1">
        <w:rPr>
          <w:color w:val="000000" w:themeColor="text1"/>
          <w:sz w:val="22"/>
        </w:rPr>
        <w:t>5.3 Montaż rur</w:t>
      </w:r>
    </w:p>
    <w:p w14:paraId="550B6FE0" w14:textId="77777777" w:rsidR="00F8508E" w:rsidRPr="00444CD1" w:rsidRDefault="00F8508E" w:rsidP="00913CCE">
      <w:pPr>
        <w:pStyle w:val="Nagwek4"/>
        <w:spacing w:line="240" w:lineRule="auto"/>
        <w:jc w:val="both"/>
        <w:rPr>
          <w:color w:val="000000" w:themeColor="text1"/>
          <w:sz w:val="20"/>
        </w:rPr>
      </w:pPr>
      <w:r w:rsidRPr="00444CD1">
        <w:rPr>
          <w:b/>
          <w:color w:val="000000" w:themeColor="text1"/>
          <w:sz w:val="20"/>
          <w:u w:val="none"/>
        </w:rPr>
        <w:t>5.3.1 Ogólne zasady montażu</w:t>
      </w:r>
    </w:p>
    <w:p w14:paraId="32CFD106"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Rury układać na wcześniej przygotowanym podłożu w temperaturze powietrza 0 - 30 °C.</w:t>
      </w:r>
    </w:p>
    <w:p w14:paraId="69929530"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Przed rozpoczęciem montażu rur należy wykonać wstępne rozmieszczenie rur w wykopie. </w:t>
      </w:r>
    </w:p>
    <w:p w14:paraId="3772539D"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Montaż należy wykonywać zgodnie z projektowanym spadkiem pomiędzy węzłami od punktu o rzędnej niższej do wyższej. </w:t>
      </w:r>
    </w:p>
    <w:p w14:paraId="37FE8D92"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Zmiany kierunku wykonywać wyłącznie za pomocą kształtek systemowych lub dla rur z PEHD poprzez wygięcie rur na zimno przy uwzględnieniu wytycznych producenta rur co do promienia gięcia. </w:t>
      </w:r>
    </w:p>
    <w:p w14:paraId="3B89E438"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Przejścia rurociągów przez ściany studni wykonywać w rurach ochronnych. </w:t>
      </w:r>
    </w:p>
    <w:p w14:paraId="34050B71"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Przy połączeniach kołnierzowych używać uszczelek odpornych na działanie ścieków i stosować następujące zasady: </w:t>
      </w:r>
    </w:p>
    <w:p w14:paraId="4094B263" w14:textId="77777777" w:rsidR="00F8508E" w:rsidRPr="00444CD1" w:rsidRDefault="00F8508E" w:rsidP="00813847">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przeciwległe śruby należy dokręcać parami równomiernie na całym obwodzie, </w:t>
      </w:r>
    </w:p>
    <w:p w14:paraId="238C4C9E" w14:textId="77777777" w:rsidR="00F8508E" w:rsidRPr="00444CD1" w:rsidRDefault="00F8508E" w:rsidP="00813847">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gwintowany rdzeń śruby powinien wystawać ponad nakrętkę na wysokość równą średnicy </w:t>
      </w:r>
      <w:r w:rsidRPr="00444CD1">
        <w:rPr>
          <w:rFonts w:ascii="Arial" w:hAnsi="Arial" w:cs="Arial"/>
          <w:color w:val="000000" w:themeColor="text1"/>
          <w:sz w:val="18"/>
        </w:rPr>
        <w:tab/>
        <w:t xml:space="preserve">śruby, nie więcej jednak niż 25mm. </w:t>
      </w:r>
    </w:p>
    <w:p w14:paraId="58641C45" w14:textId="77777777" w:rsidR="00F8508E" w:rsidRPr="00444CD1" w:rsidRDefault="00F8508E" w:rsidP="00913CCE">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W czasie wykonywania połączeń kołnierzowych nie wolno: </w:t>
      </w:r>
    </w:p>
    <w:p w14:paraId="139D58DD" w14:textId="77777777" w:rsidR="00F8508E" w:rsidRPr="00444CD1" w:rsidRDefault="00F8508E" w:rsidP="00813847">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dociągać śrubami połączeń mających po założeniu uszczelki luz początkowy przekraczający 2mm, z </w:t>
      </w:r>
      <w:r w:rsidRPr="00444CD1">
        <w:rPr>
          <w:rFonts w:ascii="Arial" w:hAnsi="Arial" w:cs="Arial"/>
          <w:color w:val="000000" w:themeColor="text1"/>
          <w:sz w:val="18"/>
        </w:rPr>
        <w:tab/>
        <w:t xml:space="preserve">wyjątkiem przypadków, gdy wymagają tego względy kompensacji wydłużeń, </w:t>
      </w:r>
    </w:p>
    <w:p w14:paraId="1666C8F1" w14:textId="77777777" w:rsidR="00F8508E" w:rsidRPr="00444CD1" w:rsidRDefault="00F8508E" w:rsidP="00813847">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pozostawiać śruby nie dokręcone, </w:t>
      </w:r>
    </w:p>
    <w:p w14:paraId="003770F0" w14:textId="77777777" w:rsidR="00F8508E" w:rsidRPr="00444CD1" w:rsidRDefault="00F8508E" w:rsidP="00813847">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pozostawiać w kołnierzach śruby montażowe. </w:t>
      </w:r>
    </w:p>
    <w:p w14:paraId="69F4612E" w14:textId="77777777" w:rsidR="00F8508E" w:rsidRPr="00444CD1" w:rsidRDefault="00F8508E" w:rsidP="00913CCE">
      <w:pPr>
        <w:pStyle w:val="Specyfikacje"/>
        <w:spacing w:after="0"/>
        <w:ind w:left="0"/>
        <w:rPr>
          <w:rFonts w:ascii="Arial" w:hAnsi="Arial" w:cs="Arial"/>
          <w:color w:val="000000" w:themeColor="text1"/>
          <w:sz w:val="20"/>
        </w:rPr>
      </w:pPr>
      <w:r w:rsidRPr="00444CD1">
        <w:rPr>
          <w:rFonts w:ascii="Arial" w:hAnsi="Arial" w:cs="Arial"/>
          <w:color w:val="000000" w:themeColor="text1"/>
          <w:sz w:val="18"/>
        </w:rPr>
        <w:t>Roboty ziemne związane z budową rurociągów ujęto w Specyfikacji Technicznej ST-00.02.</w:t>
      </w:r>
      <w:r w:rsidRPr="00444CD1">
        <w:rPr>
          <w:rFonts w:ascii="Arial" w:hAnsi="Arial" w:cs="Arial"/>
          <w:color w:val="000000" w:themeColor="text1"/>
          <w:sz w:val="20"/>
        </w:rPr>
        <w:t xml:space="preserve"> </w:t>
      </w:r>
    </w:p>
    <w:p w14:paraId="5F41122E" w14:textId="77777777" w:rsidR="00F8508E" w:rsidRPr="00444CD1" w:rsidRDefault="00F8508E" w:rsidP="00813847">
      <w:pPr>
        <w:pStyle w:val="Nagwek4"/>
        <w:spacing w:line="240" w:lineRule="auto"/>
        <w:jc w:val="both"/>
        <w:rPr>
          <w:b/>
          <w:color w:val="000000" w:themeColor="text1"/>
          <w:sz w:val="20"/>
          <w:u w:val="none"/>
        </w:rPr>
      </w:pPr>
      <w:r w:rsidRPr="00444CD1">
        <w:rPr>
          <w:b/>
          <w:color w:val="000000" w:themeColor="text1"/>
          <w:sz w:val="20"/>
          <w:u w:val="none"/>
        </w:rPr>
        <w:t>5.3.2 Montaż rur i kształtek z PEHD</w:t>
      </w:r>
    </w:p>
    <w:p w14:paraId="5E634939" w14:textId="77777777" w:rsidR="00F8508E" w:rsidRPr="00444CD1" w:rsidRDefault="00F8508E" w:rsidP="00813847">
      <w:pPr>
        <w:pStyle w:val="Specyfikacje"/>
        <w:spacing w:after="0"/>
        <w:ind w:left="0"/>
        <w:rPr>
          <w:rFonts w:ascii="Arial" w:hAnsi="Arial" w:cs="Arial"/>
          <w:color w:val="000000" w:themeColor="text1"/>
          <w:sz w:val="20"/>
        </w:rPr>
      </w:pPr>
      <w:r w:rsidRPr="00444CD1">
        <w:rPr>
          <w:rFonts w:ascii="Arial" w:hAnsi="Arial" w:cs="Arial"/>
          <w:color w:val="000000" w:themeColor="text1"/>
          <w:sz w:val="18"/>
        </w:rPr>
        <w:t xml:space="preserve">Rury i kształtki z PEHD łączyć w technologii zgrzewania doczołowego, oraz za pomocą </w:t>
      </w:r>
      <w:proofErr w:type="spellStart"/>
      <w:r w:rsidRPr="00444CD1">
        <w:rPr>
          <w:rFonts w:ascii="Arial" w:hAnsi="Arial" w:cs="Arial"/>
          <w:color w:val="000000" w:themeColor="text1"/>
          <w:sz w:val="18"/>
        </w:rPr>
        <w:t>elektromuf</w:t>
      </w:r>
      <w:proofErr w:type="spellEnd"/>
      <w:r w:rsidRPr="00444CD1">
        <w:rPr>
          <w:rFonts w:ascii="Arial" w:hAnsi="Arial" w:cs="Arial"/>
          <w:color w:val="000000" w:themeColor="text1"/>
          <w:sz w:val="18"/>
        </w:rPr>
        <w:t xml:space="preserve">. Do zgrzewania używać zgrzewarek dostarczonych przez producenta rur. Zgrzewanie prowadzić zgodnie z instrukcją obsługi zgrzewarki oraz sposobu zgrzewania. Podczas zgrzewania parametry techniczne tego procesu muszą być zapisywane na karcie kontrolnej </w:t>
      </w:r>
      <w:proofErr w:type="spellStart"/>
      <w:r w:rsidRPr="00444CD1">
        <w:rPr>
          <w:rFonts w:ascii="Arial" w:hAnsi="Arial" w:cs="Arial"/>
          <w:color w:val="000000" w:themeColor="text1"/>
          <w:sz w:val="18"/>
        </w:rPr>
        <w:t>zgrzewu</w:t>
      </w:r>
      <w:proofErr w:type="spellEnd"/>
      <w:r w:rsidRPr="00444CD1">
        <w:rPr>
          <w:rFonts w:ascii="Arial" w:hAnsi="Arial" w:cs="Arial"/>
          <w:color w:val="000000" w:themeColor="text1"/>
          <w:sz w:val="18"/>
        </w:rPr>
        <w:t>. Po zakończeniu procesu zgrzewania wszystkie zapisane parametry powinny być porównywane z wartościami ustalonymi przez wymagania techniczne. Każda zgrzeina jest numerowana i musi być zaakceptowana przez Inżyniera.</w:t>
      </w:r>
      <w:r w:rsidR="00813847" w:rsidRPr="00444CD1">
        <w:rPr>
          <w:rFonts w:ascii="Arial" w:hAnsi="Arial" w:cs="Arial"/>
          <w:color w:val="000000" w:themeColor="text1"/>
          <w:sz w:val="18"/>
        </w:rPr>
        <w:t xml:space="preserve"> </w:t>
      </w:r>
      <w:r w:rsidRPr="00444CD1">
        <w:rPr>
          <w:rFonts w:ascii="Arial" w:hAnsi="Arial" w:cs="Arial"/>
          <w:color w:val="000000" w:themeColor="text1"/>
          <w:sz w:val="18"/>
        </w:rPr>
        <w:t>Połączenia rurociągów PEHD z armaturą kołnierzową wykonywać za pomocą kołnierzy dogrzewanych i luźnych.</w:t>
      </w:r>
    </w:p>
    <w:p w14:paraId="21FCF9BC" w14:textId="77777777" w:rsidR="00F8508E" w:rsidRPr="00444CD1" w:rsidRDefault="00F8508E" w:rsidP="00813847">
      <w:pPr>
        <w:pStyle w:val="Nagwek4"/>
        <w:spacing w:line="240" w:lineRule="auto"/>
        <w:jc w:val="both"/>
        <w:rPr>
          <w:b/>
          <w:color w:val="000000" w:themeColor="text1"/>
          <w:sz w:val="20"/>
          <w:u w:val="none"/>
        </w:rPr>
      </w:pPr>
      <w:r w:rsidRPr="00444CD1">
        <w:rPr>
          <w:b/>
          <w:color w:val="000000" w:themeColor="text1"/>
          <w:sz w:val="20"/>
          <w:u w:val="none"/>
        </w:rPr>
        <w:t>5.3.3 Montaż armatury</w:t>
      </w:r>
    </w:p>
    <w:p w14:paraId="0105559A" w14:textId="77777777" w:rsidR="00F8508E" w:rsidRPr="00444CD1" w:rsidRDefault="00F8508E" w:rsidP="00813847">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Armaturę łączyć z rurociągami za pomocą połączeń kołnierzowych. </w:t>
      </w:r>
    </w:p>
    <w:p w14:paraId="44B1A02E" w14:textId="77777777" w:rsidR="00F8508E" w:rsidRPr="00444CD1" w:rsidRDefault="00F8508E" w:rsidP="00813847">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Armaturę w komorach technologicznych montować na blokach podporowych wykonanych z betonu minimum B25 lub na wspornikach stalowych.</w:t>
      </w:r>
    </w:p>
    <w:p w14:paraId="6D5AD721" w14:textId="77777777" w:rsidR="00F8508E" w:rsidRPr="00444CD1" w:rsidRDefault="00F8508E" w:rsidP="00813847">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 xml:space="preserve">Zasuwy i hydranty należy </w:t>
      </w:r>
      <w:proofErr w:type="spellStart"/>
      <w:r w:rsidRPr="00444CD1">
        <w:rPr>
          <w:rFonts w:ascii="Arial" w:hAnsi="Arial" w:cs="Arial"/>
          <w:color w:val="000000" w:themeColor="text1"/>
          <w:sz w:val="18"/>
        </w:rPr>
        <w:t>posadawiać</w:t>
      </w:r>
      <w:proofErr w:type="spellEnd"/>
      <w:r w:rsidRPr="00444CD1">
        <w:rPr>
          <w:rFonts w:ascii="Arial" w:hAnsi="Arial" w:cs="Arial"/>
          <w:color w:val="000000" w:themeColor="text1"/>
          <w:sz w:val="18"/>
        </w:rPr>
        <w:t xml:space="preserve"> na blokach podporowych - np. płytkach chodnikowych betonowych</w:t>
      </w:r>
      <w:r w:rsidR="00813847" w:rsidRPr="00444CD1">
        <w:rPr>
          <w:rFonts w:ascii="Arial" w:hAnsi="Arial" w:cs="Arial"/>
          <w:color w:val="000000" w:themeColor="text1"/>
          <w:sz w:val="18"/>
        </w:rPr>
        <w:t>.</w:t>
      </w:r>
      <w:r w:rsidRPr="00444CD1">
        <w:rPr>
          <w:rFonts w:ascii="Arial" w:hAnsi="Arial" w:cs="Arial"/>
          <w:color w:val="000000" w:themeColor="text1"/>
          <w:sz w:val="18"/>
        </w:rPr>
        <w:t xml:space="preserve"> </w:t>
      </w:r>
    </w:p>
    <w:p w14:paraId="50FC1129" w14:textId="77777777" w:rsidR="00F8508E" w:rsidRPr="00444CD1" w:rsidRDefault="00F8508E" w:rsidP="00AC25D1">
      <w:pPr>
        <w:pStyle w:val="Nagwek4"/>
        <w:spacing w:line="240" w:lineRule="auto"/>
        <w:jc w:val="both"/>
        <w:rPr>
          <w:b/>
          <w:color w:val="000000" w:themeColor="text1"/>
          <w:sz w:val="20"/>
          <w:u w:val="none"/>
        </w:rPr>
      </w:pPr>
      <w:r w:rsidRPr="00444CD1">
        <w:rPr>
          <w:b/>
          <w:color w:val="000000" w:themeColor="text1"/>
          <w:sz w:val="20"/>
          <w:u w:val="none"/>
        </w:rPr>
        <w:t>5.4 Wykonanie próby szczelności</w:t>
      </w:r>
    </w:p>
    <w:p w14:paraId="712B3B9E" w14:textId="77777777" w:rsidR="00F8508E" w:rsidRPr="00444CD1" w:rsidRDefault="00F8508E" w:rsidP="00AC25D1">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Po wykonaniu sieci i zainstalowaniu hydrantu należy dokonać próby ciśnienia (min. 0,2MPa) i wydajności (min. 10l/s) na każdym zaworze hydrantowym przy pomocy specjalistycznego urządzenia.</w:t>
      </w:r>
    </w:p>
    <w:p w14:paraId="229B018E" w14:textId="77777777" w:rsidR="00F8508E" w:rsidRPr="00444CD1" w:rsidRDefault="00F8508E" w:rsidP="00AC25D1">
      <w:pPr>
        <w:pStyle w:val="Nagwek4"/>
        <w:spacing w:line="240" w:lineRule="auto"/>
        <w:jc w:val="both"/>
        <w:rPr>
          <w:color w:val="000000" w:themeColor="text1"/>
          <w:sz w:val="20"/>
        </w:rPr>
      </w:pPr>
      <w:r w:rsidRPr="00444CD1">
        <w:rPr>
          <w:b/>
          <w:color w:val="000000" w:themeColor="text1"/>
          <w:sz w:val="20"/>
          <w:u w:val="none"/>
        </w:rPr>
        <w:lastRenderedPageBreak/>
        <w:t>5.5 Skrzyżowania z istniejącym uzbrojeniem podziemnym</w:t>
      </w:r>
    </w:p>
    <w:p w14:paraId="2F976074" w14:textId="77777777" w:rsidR="00F8508E" w:rsidRPr="00444CD1" w:rsidRDefault="00F8508E" w:rsidP="00AC25D1">
      <w:pPr>
        <w:pStyle w:val="Specyfikacje"/>
        <w:spacing w:after="0"/>
        <w:ind w:left="0"/>
        <w:rPr>
          <w:rFonts w:ascii="Arial" w:hAnsi="Arial" w:cs="Arial"/>
          <w:iCs/>
          <w:color w:val="000000" w:themeColor="text1"/>
          <w:sz w:val="20"/>
        </w:rPr>
      </w:pPr>
      <w:r w:rsidRPr="00444CD1">
        <w:rPr>
          <w:rFonts w:ascii="Arial" w:hAnsi="Arial" w:cs="Arial"/>
          <w:color w:val="000000" w:themeColor="text1"/>
          <w:sz w:val="18"/>
        </w:rPr>
        <w:t>Roboty montażowe w obrębie istniejącego uzbrojenia podziemnego należy prowadzić z należytą starannością aby nie doszło do jego uszkodzenia w uzgodnieniu i pod nadzorem właścicieli poszczególnych sieci.</w:t>
      </w:r>
    </w:p>
    <w:p w14:paraId="5D5C2100" w14:textId="77777777" w:rsidR="00F8508E" w:rsidRPr="00444CD1" w:rsidRDefault="00F8508E" w:rsidP="00AC25D1">
      <w:pPr>
        <w:pStyle w:val="Nagwek4"/>
        <w:spacing w:line="240" w:lineRule="auto"/>
        <w:jc w:val="both"/>
        <w:rPr>
          <w:color w:val="000000" w:themeColor="text1"/>
          <w:sz w:val="20"/>
        </w:rPr>
      </w:pPr>
      <w:r w:rsidRPr="00444CD1">
        <w:rPr>
          <w:b/>
          <w:color w:val="000000" w:themeColor="text1"/>
          <w:sz w:val="20"/>
          <w:u w:val="none"/>
        </w:rPr>
        <w:t>5.6 Oznakowanie trasy rurociągu i armatury</w:t>
      </w:r>
    </w:p>
    <w:p w14:paraId="326AD531" w14:textId="77777777" w:rsidR="00F548B0" w:rsidRPr="00444CD1" w:rsidRDefault="00F8508E" w:rsidP="00F8508E">
      <w:pPr>
        <w:pStyle w:val="Specyfikacje"/>
        <w:spacing w:after="0"/>
        <w:ind w:left="0"/>
        <w:rPr>
          <w:rFonts w:ascii="Arial" w:hAnsi="Arial" w:cs="Arial"/>
          <w:color w:val="000000" w:themeColor="text1"/>
          <w:sz w:val="20"/>
        </w:rPr>
      </w:pPr>
      <w:r w:rsidRPr="00444CD1">
        <w:rPr>
          <w:rFonts w:ascii="Arial" w:hAnsi="Arial" w:cs="Arial"/>
          <w:color w:val="000000" w:themeColor="text1"/>
          <w:sz w:val="18"/>
        </w:rPr>
        <w:t>Trasa rurociągów tłocznych musi być oznakowana za pomocą taśmy z PE z wkładką metaliczną mocowaną do obudów zasuw. Armaturę oznakować za pomocą tabliczek z PEHD umieszczonych na stałych obiektach lub na słupkach stalowych.</w:t>
      </w:r>
    </w:p>
    <w:p w14:paraId="47818A9F" w14:textId="77777777" w:rsidR="00F548B0" w:rsidRPr="00444CD1" w:rsidRDefault="00F548B0" w:rsidP="00F548B0">
      <w:pPr>
        <w:pStyle w:val="Nagwek2"/>
        <w:rPr>
          <w:i w:val="0"/>
          <w:color w:val="000000" w:themeColor="text1"/>
        </w:rPr>
      </w:pPr>
      <w:r w:rsidRPr="00444CD1">
        <w:rPr>
          <w:i w:val="0"/>
          <w:color w:val="000000" w:themeColor="text1"/>
        </w:rPr>
        <w:t>6. KONTROLA JAKOŚCI ROBÓT</w:t>
      </w:r>
    </w:p>
    <w:p w14:paraId="4FAFDD16" w14:textId="77777777" w:rsidR="0091047D" w:rsidRPr="00444CD1" w:rsidRDefault="0091047D" w:rsidP="0091047D">
      <w:pPr>
        <w:pStyle w:val="Nagwek4"/>
        <w:spacing w:line="240" w:lineRule="auto"/>
        <w:jc w:val="both"/>
        <w:rPr>
          <w:color w:val="000000" w:themeColor="text1"/>
          <w:sz w:val="20"/>
        </w:rPr>
      </w:pPr>
      <w:r w:rsidRPr="00444CD1">
        <w:rPr>
          <w:b/>
          <w:color w:val="000000" w:themeColor="text1"/>
          <w:sz w:val="20"/>
          <w:u w:val="none"/>
        </w:rPr>
        <w:t xml:space="preserve">6.1 Ogólne zasady kontroli jakości robót </w:t>
      </w:r>
    </w:p>
    <w:p w14:paraId="28C18157" w14:textId="77777777" w:rsidR="0091047D" w:rsidRPr="00444CD1" w:rsidRDefault="0091047D" w:rsidP="0091047D">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Ogólne zasady kontroli jakości robót podano w ST-00.00 "Wymagania ogólne".</w:t>
      </w:r>
    </w:p>
    <w:p w14:paraId="228BB31C" w14:textId="77777777" w:rsidR="0091047D" w:rsidRPr="00444CD1" w:rsidRDefault="0091047D" w:rsidP="0091047D">
      <w:pPr>
        <w:pStyle w:val="Specyfikacje"/>
        <w:spacing w:after="0"/>
        <w:ind w:left="0"/>
        <w:rPr>
          <w:rFonts w:ascii="Arial" w:hAnsi="Arial" w:cs="Arial"/>
          <w:iCs/>
          <w:color w:val="000000" w:themeColor="text1"/>
          <w:sz w:val="20"/>
        </w:rPr>
      </w:pPr>
      <w:r w:rsidRPr="00444CD1">
        <w:rPr>
          <w:rFonts w:ascii="Arial" w:hAnsi="Arial" w:cs="Arial"/>
          <w:color w:val="000000" w:themeColor="text1"/>
          <w:sz w:val="18"/>
        </w:rPr>
        <w:t>Kontroli podlegają wszystkie operacje związane z wykonaniem podłoża, montażem rurociągów, armatury, wykonaniem skrzyżowań z uzbrojeniem podziemnym i próbą szczelności.</w:t>
      </w:r>
    </w:p>
    <w:p w14:paraId="6462FE1B" w14:textId="77777777" w:rsidR="0091047D" w:rsidRPr="00444CD1" w:rsidRDefault="0091047D" w:rsidP="0091047D">
      <w:pPr>
        <w:pStyle w:val="Nagwek4"/>
        <w:spacing w:line="240" w:lineRule="auto"/>
        <w:jc w:val="both"/>
        <w:rPr>
          <w:color w:val="000000" w:themeColor="text1"/>
          <w:sz w:val="20"/>
        </w:rPr>
      </w:pPr>
      <w:r w:rsidRPr="00444CD1">
        <w:rPr>
          <w:b/>
          <w:color w:val="000000" w:themeColor="text1"/>
          <w:sz w:val="20"/>
          <w:u w:val="none"/>
        </w:rPr>
        <w:t>6.2 Kontrola, pomiary i badania</w:t>
      </w:r>
    </w:p>
    <w:p w14:paraId="44BB2FD8" w14:textId="77777777" w:rsidR="0091047D" w:rsidRPr="00444CD1" w:rsidRDefault="0091047D" w:rsidP="0091047D">
      <w:pPr>
        <w:pStyle w:val="00Tekst"/>
        <w:numPr>
          <w:ilvl w:val="0"/>
          <w:numId w:val="6"/>
        </w:numPr>
        <w:tabs>
          <w:tab w:val="clear" w:pos="709"/>
          <w:tab w:val="left" w:pos="57"/>
          <w:tab w:val="num" w:pos="284"/>
        </w:tabs>
        <w:spacing w:line="240" w:lineRule="auto"/>
        <w:rPr>
          <w:rFonts w:eastAsia="Times New Roman" w:cs="Arial"/>
          <w:color w:val="000000" w:themeColor="text1"/>
          <w:sz w:val="18"/>
          <w:szCs w:val="20"/>
        </w:rPr>
      </w:pPr>
      <w:r w:rsidRPr="00444CD1">
        <w:rPr>
          <w:color w:val="000000" w:themeColor="text1"/>
          <w:sz w:val="18"/>
        </w:rPr>
        <w:t>Badanie</w:t>
      </w:r>
      <w:r w:rsidRPr="00444CD1">
        <w:rPr>
          <w:rFonts w:eastAsia="Times New Roman" w:cs="Arial"/>
          <w:color w:val="000000" w:themeColor="text1"/>
          <w:sz w:val="18"/>
          <w:szCs w:val="20"/>
        </w:rPr>
        <w:t xml:space="preserve"> materiałów użytych do budowy rurociągów.</w:t>
      </w:r>
    </w:p>
    <w:p w14:paraId="5C2749BC" w14:textId="77777777" w:rsidR="0091047D" w:rsidRPr="00444CD1" w:rsidRDefault="0091047D" w:rsidP="0091047D">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Badanie to następuje poprzez porównanie cech materiałów z wymaganiami Specyfikacji Technicznej, Dokumentacji Projektowej i odpowiednich norm materiałowych podanych w  niniejszej Specyfikacji.</w:t>
      </w:r>
    </w:p>
    <w:p w14:paraId="6A448A16" w14:textId="77777777" w:rsidR="0091047D" w:rsidRPr="00444CD1" w:rsidRDefault="0091047D" w:rsidP="0091047D">
      <w:pPr>
        <w:pStyle w:val="00Tekst"/>
        <w:numPr>
          <w:ilvl w:val="0"/>
          <w:numId w:val="6"/>
        </w:numPr>
        <w:tabs>
          <w:tab w:val="clear" w:pos="709"/>
          <w:tab w:val="left" w:pos="57"/>
          <w:tab w:val="num" w:pos="284"/>
        </w:tabs>
        <w:spacing w:line="240" w:lineRule="auto"/>
        <w:rPr>
          <w:rFonts w:cs="Arial"/>
          <w:color w:val="000000" w:themeColor="text1"/>
          <w:sz w:val="18"/>
          <w:szCs w:val="20"/>
        </w:rPr>
      </w:pPr>
      <w:r w:rsidRPr="00444CD1">
        <w:rPr>
          <w:color w:val="000000" w:themeColor="text1"/>
          <w:sz w:val="18"/>
        </w:rPr>
        <w:t>Kontrola</w:t>
      </w:r>
      <w:r w:rsidRPr="00444CD1">
        <w:rPr>
          <w:rFonts w:eastAsia="Times New Roman" w:cs="Arial"/>
          <w:color w:val="000000" w:themeColor="text1"/>
          <w:sz w:val="18"/>
          <w:szCs w:val="20"/>
        </w:rPr>
        <w:t>, pomiary i badania w czasie robót</w:t>
      </w:r>
    </w:p>
    <w:p w14:paraId="62725132" w14:textId="77777777" w:rsidR="0091047D" w:rsidRPr="00444CD1" w:rsidRDefault="0091047D" w:rsidP="0091047D">
      <w:pPr>
        <w:pStyle w:val="Specyfikacje"/>
        <w:spacing w:after="0"/>
        <w:ind w:left="0"/>
        <w:rPr>
          <w:rFonts w:ascii="Arial" w:hAnsi="Arial" w:cs="Arial"/>
          <w:color w:val="000000" w:themeColor="text1"/>
          <w:sz w:val="18"/>
        </w:rPr>
      </w:pPr>
      <w:r w:rsidRPr="00444CD1">
        <w:rPr>
          <w:rFonts w:ascii="Arial" w:hAnsi="Arial" w:cs="Arial"/>
          <w:color w:val="000000" w:themeColor="text1"/>
          <w:sz w:val="18"/>
        </w:rPr>
        <w:t>Wykonawca jest zobowiązany do stałej i systematycznej kontroli robót. Kontrola powinna być prowadzona według PN-81/B-10725, PN-EN 598 i PN-EN 1671 i w szczególności powinna obejmować:</w:t>
      </w:r>
    </w:p>
    <w:p w14:paraId="56A1D7E2"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badanie i zabezpieczenie wykopów przed zalaniem wodą,</w:t>
      </w:r>
    </w:p>
    <w:p w14:paraId="19E3E873"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sprawdzenie rzędnych ław celowniczych w nawiązaniu do podanych punktów </w:t>
      </w:r>
      <w:proofErr w:type="spellStart"/>
      <w:r w:rsidRPr="00444CD1">
        <w:rPr>
          <w:rFonts w:ascii="Arial" w:hAnsi="Arial" w:cs="Arial"/>
          <w:color w:val="000000" w:themeColor="text1"/>
          <w:sz w:val="18"/>
        </w:rPr>
        <w:t>punktów</w:t>
      </w:r>
      <w:proofErr w:type="spellEnd"/>
      <w:r w:rsidRPr="00444CD1">
        <w:rPr>
          <w:rFonts w:ascii="Arial" w:hAnsi="Arial" w:cs="Arial"/>
          <w:color w:val="000000" w:themeColor="text1"/>
          <w:sz w:val="18"/>
        </w:rPr>
        <w:t xml:space="preserve"> </w:t>
      </w:r>
      <w:r w:rsidRPr="00444CD1">
        <w:rPr>
          <w:rFonts w:ascii="Arial" w:hAnsi="Arial" w:cs="Arial"/>
          <w:color w:val="000000" w:themeColor="text1"/>
          <w:sz w:val="18"/>
        </w:rPr>
        <w:tab/>
        <w:t>wysokościowych z dokładnością do 1cm,</w:t>
      </w:r>
    </w:p>
    <w:p w14:paraId="5759341B"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badania i pomiary szerokości, grubości i zagęszczenia podłoża,</w:t>
      </w:r>
    </w:p>
    <w:p w14:paraId="1430CFB8"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badania odchylenia osi rurociągów,</w:t>
      </w:r>
    </w:p>
    <w:p w14:paraId="2F9D8C81"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sprawdzenie zgodności z dokumentacją projektową usytuowania rurociągów i uzbrojenia,</w:t>
      </w:r>
    </w:p>
    <w:p w14:paraId="4A23EF5A"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badanie odchylenia spadku rurociągów,</w:t>
      </w:r>
    </w:p>
    <w:p w14:paraId="5FA23C44"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badanie połączeń rurociągów,</w:t>
      </w:r>
    </w:p>
    <w:p w14:paraId="6DEEDE1C"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badanie stopnia zagęszczenia poszczególnych warstw zasypu,</w:t>
      </w:r>
    </w:p>
    <w:p w14:paraId="7FCBB71A"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sprawdzenie rzędnych posadowienia ułożonych rurociągów,</w:t>
      </w:r>
    </w:p>
    <w:p w14:paraId="453C660B"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 xml:space="preserve">wykonanie hydraulicznej próby szczelności odcinka rurociągu przy ciśnieniu próbnym 1,0 </w:t>
      </w:r>
      <w:proofErr w:type="spellStart"/>
      <w:r w:rsidRPr="00444CD1">
        <w:rPr>
          <w:rFonts w:ascii="Arial" w:hAnsi="Arial" w:cs="Arial"/>
          <w:color w:val="000000" w:themeColor="text1"/>
          <w:sz w:val="18"/>
        </w:rPr>
        <w:t>MPa</w:t>
      </w:r>
      <w:proofErr w:type="spellEnd"/>
      <w:r w:rsidRPr="00444CD1">
        <w:rPr>
          <w:rFonts w:ascii="Arial" w:hAnsi="Arial" w:cs="Arial"/>
          <w:color w:val="000000" w:themeColor="text1"/>
          <w:sz w:val="18"/>
        </w:rPr>
        <w:t>.</w:t>
      </w:r>
    </w:p>
    <w:p w14:paraId="392388BE" w14:textId="77777777" w:rsidR="0091047D" w:rsidRPr="00444CD1" w:rsidRDefault="0091047D" w:rsidP="0091047D">
      <w:pPr>
        <w:pStyle w:val="00Tekst"/>
        <w:numPr>
          <w:ilvl w:val="0"/>
          <w:numId w:val="6"/>
        </w:numPr>
        <w:tabs>
          <w:tab w:val="clear" w:pos="709"/>
          <w:tab w:val="left" w:pos="57"/>
          <w:tab w:val="num" w:pos="284"/>
        </w:tabs>
        <w:spacing w:line="240" w:lineRule="auto"/>
        <w:rPr>
          <w:color w:val="000000" w:themeColor="text1"/>
          <w:sz w:val="18"/>
        </w:rPr>
      </w:pPr>
      <w:r w:rsidRPr="00444CD1">
        <w:rPr>
          <w:color w:val="000000" w:themeColor="text1"/>
          <w:sz w:val="18"/>
        </w:rPr>
        <w:t>Dopuszczalne tolerancje i wymagania</w:t>
      </w:r>
    </w:p>
    <w:p w14:paraId="2341A536"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odchylenie grubości warstwy podłoża nie powinno przekraczać ± 2cm,</w:t>
      </w:r>
    </w:p>
    <w:p w14:paraId="286BC755"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odchylenie szerokości warstwy podłoża nie powinno przekraczać ± 5cm,</w:t>
      </w:r>
    </w:p>
    <w:p w14:paraId="49CAE2FE"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odchylenie rzędnych podłoża nie powinno przekraczać± 2cm,</w:t>
      </w:r>
    </w:p>
    <w:p w14:paraId="0772FF52"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odchylenie w planie osi ułożonego rurociągu nie powinno przekraczać ± 2cm dla rur żeliwnych i ± 10cm dla rur PEHD,</w:t>
      </w:r>
    </w:p>
    <w:p w14:paraId="61B9A67B"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różnice rzędnych w profilu nie powinno przekraczać dla rurociągów żeliwnych ± 2cm i ±5cm dla rur PEHD,</w:t>
      </w:r>
    </w:p>
    <w:p w14:paraId="2A34B7A4" w14:textId="77777777" w:rsidR="0091047D"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proces zgrzewania rur PEHD musi być zapisywany w karcie kontrolnej zgrzewania doczołowego a każda zgrzeina musi być numerowana i akceptowana przez Inżyniera,</w:t>
      </w:r>
    </w:p>
    <w:p w14:paraId="4375EB31" w14:textId="77777777" w:rsidR="00F548B0" w:rsidRPr="00444CD1" w:rsidRDefault="0091047D" w:rsidP="0091047D">
      <w:pPr>
        <w:pStyle w:val="Specyfikacje"/>
        <w:numPr>
          <w:ilvl w:val="0"/>
          <w:numId w:val="8"/>
        </w:numPr>
        <w:spacing w:after="0"/>
        <w:ind w:left="142" w:hanging="142"/>
        <w:rPr>
          <w:rFonts w:ascii="Arial" w:hAnsi="Arial" w:cs="Arial"/>
          <w:color w:val="000000" w:themeColor="text1"/>
          <w:sz w:val="18"/>
        </w:rPr>
      </w:pPr>
      <w:r w:rsidRPr="00444CD1">
        <w:rPr>
          <w:rFonts w:ascii="Arial" w:hAnsi="Arial" w:cs="Arial"/>
          <w:color w:val="000000" w:themeColor="text1"/>
          <w:sz w:val="18"/>
        </w:rPr>
        <w:t>ciśnienie wykazane na manometrze w przeciągu 30 min nie może spaść poniżej ciśnienia próbnego (badanie odcinka przewodu).</w:t>
      </w:r>
    </w:p>
    <w:p w14:paraId="1DCC7DC3" w14:textId="77777777" w:rsidR="00F548B0" w:rsidRPr="005944F4" w:rsidRDefault="00F548B0" w:rsidP="00F548B0">
      <w:pPr>
        <w:pStyle w:val="Nagwek2"/>
        <w:rPr>
          <w:i w:val="0"/>
          <w:color w:val="000000" w:themeColor="text1"/>
        </w:rPr>
      </w:pPr>
      <w:r w:rsidRPr="005944F4">
        <w:rPr>
          <w:i w:val="0"/>
          <w:color w:val="000000" w:themeColor="text1"/>
        </w:rPr>
        <w:t>7. OBMIAR ROBÓT</w:t>
      </w:r>
    </w:p>
    <w:p w14:paraId="490155D7" w14:textId="77777777" w:rsidR="006A155D" w:rsidRPr="005944F4" w:rsidRDefault="006A155D" w:rsidP="006A155D">
      <w:pPr>
        <w:pStyle w:val="Nagwek4"/>
        <w:spacing w:line="240" w:lineRule="auto"/>
        <w:jc w:val="both"/>
        <w:rPr>
          <w:b/>
          <w:color w:val="000000" w:themeColor="text1"/>
          <w:sz w:val="20"/>
          <w:u w:val="none"/>
        </w:rPr>
      </w:pPr>
      <w:r w:rsidRPr="005944F4">
        <w:rPr>
          <w:b/>
          <w:color w:val="000000" w:themeColor="text1"/>
          <w:sz w:val="20"/>
          <w:u w:val="none"/>
        </w:rPr>
        <w:t>7.1 Ogólne zasady obmiaru robót</w:t>
      </w:r>
    </w:p>
    <w:p w14:paraId="5346F531"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Ogólne zasady obmiaru robót podano w ST-00.00 "Wymagania ogólne".</w:t>
      </w:r>
    </w:p>
    <w:p w14:paraId="64393BB4" w14:textId="77777777" w:rsidR="006A155D" w:rsidRPr="005944F4" w:rsidRDefault="006A155D" w:rsidP="006A155D">
      <w:pPr>
        <w:pStyle w:val="Nagwek4"/>
        <w:spacing w:line="240" w:lineRule="auto"/>
        <w:jc w:val="both"/>
        <w:rPr>
          <w:b/>
          <w:color w:val="000000" w:themeColor="text1"/>
          <w:sz w:val="20"/>
          <w:u w:val="none"/>
        </w:rPr>
      </w:pPr>
      <w:r w:rsidRPr="005944F4">
        <w:rPr>
          <w:b/>
          <w:color w:val="000000" w:themeColor="text1"/>
          <w:sz w:val="20"/>
          <w:u w:val="none"/>
        </w:rPr>
        <w:t>7.2 Jednostka obmiarowa</w:t>
      </w:r>
    </w:p>
    <w:p w14:paraId="02B45F9B"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Jednostką obmiaru robót jest:</w:t>
      </w:r>
    </w:p>
    <w:p w14:paraId="5CC47069" w14:textId="77777777" w:rsidR="006A155D" w:rsidRPr="005944F4" w:rsidRDefault="006A155D"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1 m wodociągu,</w:t>
      </w:r>
    </w:p>
    <w:p w14:paraId="77194156" w14:textId="77777777" w:rsidR="006A155D" w:rsidRPr="005944F4" w:rsidRDefault="006A155D"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1 komplet montażu węzła przyłączeniowego do istniejącej sieci wodociągowej,</w:t>
      </w:r>
    </w:p>
    <w:p w14:paraId="1EEC853E" w14:textId="77777777" w:rsidR="006A155D" w:rsidRPr="005944F4" w:rsidRDefault="006A155D"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1 komplet zestawu hydrantowego,</w:t>
      </w:r>
    </w:p>
    <w:p w14:paraId="72C05EE2" w14:textId="77777777" w:rsidR="005944F4" w:rsidRPr="005944F4" w:rsidRDefault="005944F4" w:rsidP="005944F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1 komplet studzienki wodomierzowej betonowej,</w:t>
      </w:r>
    </w:p>
    <w:p w14:paraId="5904E941" w14:textId="77777777" w:rsidR="00CB78AF" w:rsidRPr="005944F4" w:rsidRDefault="00CB78AF"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1 m rury przewiertowej</w:t>
      </w:r>
    </w:p>
    <w:p w14:paraId="2C7544D9" w14:textId="77777777" w:rsidR="00530EF4" w:rsidRPr="005944F4" w:rsidRDefault="00530EF4"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 xml:space="preserve">1 m rury </w:t>
      </w:r>
      <w:proofErr w:type="spellStart"/>
      <w:r w:rsidRPr="005944F4">
        <w:rPr>
          <w:rFonts w:ascii="Arial" w:hAnsi="Arial" w:cs="Arial"/>
          <w:color w:val="000000" w:themeColor="text1"/>
          <w:sz w:val="18"/>
        </w:rPr>
        <w:t>przeciskowej</w:t>
      </w:r>
      <w:proofErr w:type="spellEnd"/>
      <w:r w:rsidRPr="005944F4">
        <w:rPr>
          <w:rFonts w:ascii="Arial" w:hAnsi="Arial" w:cs="Arial"/>
          <w:color w:val="000000" w:themeColor="text1"/>
          <w:sz w:val="18"/>
        </w:rPr>
        <w:t>.</w:t>
      </w:r>
    </w:p>
    <w:p w14:paraId="29DEF154" w14:textId="77777777" w:rsidR="00F548B0" w:rsidRPr="005944F4" w:rsidRDefault="00F548B0" w:rsidP="00F548B0">
      <w:pPr>
        <w:pStyle w:val="Nagwek2"/>
        <w:rPr>
          <w:i w:val="0"/>
          <w:color w:val="000000" w:themeColor="text1"/>
        </w:rPr>
      </w:pPr>
      <w:r w:rsidRPr="005944F4">
        <w:rPr>
          <w:i w:val="0"/>
          <w:color w:val="000000" w:themeColor="text1"/>
        </w:rPr>
        <w:t>8.ODBIÓR ROBÓT</w:t>
      </w:r>
    </w:p>
    <w:p w14:paraId="68DCFBB4"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Ogólne zasady odbioru robót podano w ST-00.00 "Wymagania ogólne".</w:t>
      </w:r>
    </w:p>
    <w:p w14:paraId="00B12094"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Odbiorom robót podlegają wszystkie operacje związane z wykonaniem podłoża, montażem rurociągów i jego uzbrojenia. Odbioru dokonuje Inżynier na podstawie zgłoszenia Wykonawcy.</w:t>
      </w:r>
    </w:p>
    <w:p w14:paraId="263B8EBB"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 xml:space="preserve">Roboty uznaje się za wykonane zgodnie z dokumentacją projektową i Specyfikacją Techniczną, jeżeli wszystkie pomiary i badania z zachowaniem tolerancji w punkcie 6 dały wyniki pozytywne. </w:t>
      </w:r>
    </w:p>
    <w:p w14:paraId="55DF61EB"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Odbiorowi robót zanikających i ulegających zakryciu podlegają:</w:t>
      </w:r>
    </w:p>
    <w:p w14:paraId="75BC4C5F" w14:textId="77777777" w:rsidR="006A155D" w:rsidRPr="005944F4" w:rsidRDefault="006A155D"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podłoża,</w:t>
      </w:r>
    </w:p>
    <w:p w14:paraId="53CAD27E" w14:textId="77777777" w:rsidR="006A155D" w:rsidRPr="005944F4" w:rsidRDefault="006A155D" w:rsidP="006A155D">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roboty montażowe rurociągów wraz z odcinkową próbą szczelności,</w:t>
      </w:r>
    </w:p>
    <w:p w14:paraId="26FA20E3" w14:textId="77777777" w:rsidR="006A155D"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Odbiór robót zanikających powinien być dokonany w czasie umożliwiającym wykonanie korekt i poprawek, bez hamowania ogólnego postępu robót.</w:t>
      </w:r>
    </w:p>
    <w:p w14:paraId="64CC7AA1" w14:textId="77777777" w:rsidR="00F548B0" w:rsidRPr="005944F4" w:rsidRDefault="006A155D" w:rsidP="006A155D">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Odbiór ostateczny powinien być dokonany po rocznej eksploatacji rurociągów.</w:t>
      </w:r>
    </w:p>
    <w:p w14:paraId="13896E59" w14:textId="77777777" w:rsidR="00F548B0" w:rsidRPr="005944F4" w:rsidRDefault="00F548B0" w:rsidP="00F548B0">
      <w:pPr>
        <w:pStyle w:val="Nagwek2"/>
        <w:rPr>
          <w:i w:val="0"/>
          <w:color w:val="000000" w:themeColor="text1"/>
        </w:rPr>
      </w:pPr>
      <w:r w:rsidRPr="005944F4">
        <w:rPr>
          <w:i w:val="0"/>
          <w:color w:val="000000" w:themeColor="text1"/>
        </w:rPr>
        <w:lastRenderedPageBreak/>
        <w:t>9. PODSTAWA PŁATNOŚCI</w:t>
      </w:r>
    </w:p>
    <w:p w14:paraId="1A5B097A" w14:textId="77777777" w:rsidR="001A7344" w:rsidRPr="005944F4" w:rsidRDefault="001A7344" w:rsidP="001A7344">
      <w:pPr>
        <w:pStyle w:val="Nagwek4"/>
        <w:spacing w:line="240" w:lineRule="auto"/>
        <w:jc w:val="both"/>
        <w:rPr>
          <w:b/>
          <w:color w:val="000000" w:themeColor="text1"/>
          <w:sz w:val="20"/>
          <w:u w:val="none"/>
        </w:rPr>
      </w:pPr>
      <w:r w:rsidRPr="005944F4">
        <w:rPr>
          <w:b/>
          <w:color w:val="000000" w:themeColor="text1"/>
          <w:sz w:val="20"/>
          <w:u w:val="none"/>
        </w:rPr>
        <w:t>9.1 Ogólne zasady dotyczące płatności</w:t>
      </w:r>
    </w:p>
    <w:p w14:paraId="31874930" w14:textId="77777777" w:rsidR="001A7344" w:rsidRPr="005944F4" w:rsidRDefault="001A7344" w:rsidP="001A7344">
      <w:pPr>
        <w:pStyle w:val="Specyfikacje"/>
        <w:spacing w:after="0"/>
        <w:ind w:left="0"/>
        <w:rPr>
          <w:rFonts w:ascii="Arial" w:hAnsi="Arial" w:cs="Arial"/>
          <w:iCs/>
          <w:color w:val="000000" w:themeColor="text1"/>
          <w:sz w:val="20"/>
        </w:rPr>
      </w:pPr>
      <w:r w:rsidRPr="005944F4">
        <w:rPr>
          <w:rFonts w:ascii="Arial" w:hAnsi="Arial" w:cs="Arial"/>
          <w:color w:val="000000" w:themeColor="text1"/>
          <w:sz w:val="18"/>
        </w:rPr>
        <w:t xml:space="preserve">Ogólne wymagania dotyczące płatności podano w ST-00.00 "Wymagania ogólne". </w:t>
      </w:r>
    </w:p>
    <w:p w14:paraId="2E0F954C" w14:textId="77777777" w:rsidR="001A7344" w:rsidRPr="005944F4" w:rsidRDefault="001A7344" w:rsidP="001A7344">
      <w:pPr>
        <w:pStyle w:val="Nagwek4"/>
        <w:spacing w:line="240" w:lineRule="auto"/>
        <w:jc w:val="both"/>
        <w:rPr>
          <w:b/>
          <w:color w:val="000000" w:themeColor="text1"/>
          <w:sz w:val="20"/>
          <w:u w:val="none"/>
        </w:rPr>
      </w:pPr>
      <w:r w:rsidRPr="005944F4">
        <w:rPr>
          <w:b/>
          <w:color w:val="000000" w:themeColor="text1"/>
          <w:sz w:val="20"/>
          <w:u w:val="none"/>
        </w:rPr>
        <w:t xml:space="preserve">9.2  Jednostka obmiarowa </w:t>
      </w:r>
    </w:p>
    <w:p w14:paraId="26DF5CCD" w14:textId="77777777" w:rsidR="001A7344" w:rsidRPr="005944F4" w:rsidRDefault="001A7344" w:rsidP="001A7344">
      <w:pPr>
        <w:pStyle w:val="Specyfikacje"/>
        <w:spacing w:after="0"/>
        <w:ind w:left="0"/>
        <w:rPr>
          <w:rFonts w:ascii="Arial" w:hAnsi="Arial" w:cs="Arial"/>
          <w:color w:val="000000" w:themeColor="text1"/>
          <w:sz w:val="20"/>
        </w:rPr>
      </w:pPr>
      <w:r w:rsidRPr="005944F4">
        <w:rPr>
          <w:rFonts w:ascii="Arial" w:hAnsi="Arial" w:cs="Arial"/>
          <w:color w:val="000000" w:themeColor="text1"/>
          <w:sz w:val="18"/>
        </w:rPr>
        <w:t>Cena 1 m wodociągu, obejmuje:</w:t>
      </w:r>
    </w:p>
    <w:p w14:paraId="61F7F64B"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wyznaczenie robót w terenie (wg ST-00.01 Wyznaczenie trasy i punktów wysokościowych dla robót sieciowych)</w:t>
      </w:r>
    </w:p>
    <w:p w14:paraId="00B08294"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wykopu (wg ST-00.02 Roboty ziemne dla robót sieciowych) wraz z szalowaniem i odwodnieniem,</w:t>
      </w:r>
    </w:p>
    <w:p w14:paraId="0E8E0764"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podsypki posadowienia</w:t>
      </w:r>
    </w:p>
    <w:p w14:paraId="79BE2D77"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montaż rurociągu w wykopie,</w:t>
      </w:r>
    </w:p>
    <w:p w14:paraId="0FE32508"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montaż kształtek i armatury,</w:t>
      </w:r>
    </w:p>
    <w:p w14:paraId="18106A44"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mycia, płukania i dezynfekcji wodociągu wraz z badaniem fizykochemicznym i bakteriologicznym wody,</w:t>
      </w:r>
    </w:p>
    <w:p w14:paraId="48C97BAF"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pomiarów geodezyjnych przed zakryciem (wg ST-00.01 Wyznaczenie trasy i punktów wysokościowych dla robót sieciowych)</w:t>
      </w:r>
    </w:p>
    <w:p w14:paraId="749ABF43"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przeprowadzenie pomiarów i badań wymaganych w specyfikacji technicznej</w:t>
      </w:r>
    </w:p>
    <w:p w14:paraId="6FA8739C"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zasypanie wykopu (wg ST-00.02 Roboty ziemne dla robót sieciowych),</w:t>
      </w:r>
    </w:p>
    <w:p w14:paraId="2C6814B2" w14:textId="77777777" w:rsidR="001A7344" w:rsidRPr="005944F4" w:rsidRDefault="001A7344" w:rsidP="001A7344">
      <w:pPr>
        <w:jc w:val="both"/>
        <w:rPr>
          <w:rFonts w:ascii="Arial" w:hAnsi="Arial" w:cs="Arial"/>
          <w:color w:val="000000" w:themeColor="text1"/>
          <w:sz w:val="20"/>
        </w:rPr>
      </w:pPr>
    </w:p>
    <w:p w14:paraId="2FEEAF3B" w14:textId="77777777" w:rsidR="001A7344" w:rsidRPr="005944F4" w:rsidRDefault="001A7344" w:rsidP="001A7344">
      <w:pPr>
        <w:pStyle w:val="Specyfikacje"/>
        <w:spacing w:after="0"/>
        <w:ind w:left="0"/>
        <w:rPr>
          <w:rFonts w:ascii="Arial" w:hAnsi="Arial" w:cs="Arial"/>
          <w:color w:val="000000" w:themeColor="text1"/>
          <w:sz w:val="20"/>
        </w:rPr>
      </w:pPr>
      <w:r w:rsidRPr="005944F4">
        <w:rPr>
          <w:rFonts w:ascii="Arial" w:hAnsi="Arial" w:cs="Arial"/>
          <w:color w:val="000000" w:themeColor="text1"/>
          <w:sz w:val="18"/>
        </w:rPr>
        <w:t>Cena 1 kompletu montażu węzła przyłączeniowego do istniejącej sieci wodociągowej obejmuje:</w:t>
      </w:r>
    </w:p>
    <w:p w14:paraId="72C5379B"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wyznaczenie robót w terenie (wg ST-00.01 Wyznaczenie trasy i punktów wysokościowych dla robót sieciowych)</w:t>
      </w:r>
    </w:p>
    <w:p w14:paraId="12F338F6"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wykopu (wg ST-00.02 Roboty ziemne dla robót sieciowych) wraz z szalowaniem i odwodnieniem,</w:t>
      </w:r>
    </w:p>
    <w:p w14:paraId="17DCEE64"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podsypki posadowienia</w:t>
      </w:r>
    </w:p>
    <w:p w14:paraId="11B22E93"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montaż kształtek i armatury w wykopie,</w:t>
      </w:r>
    </w:p>
    <w:p w14:paraId="7BB17260"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podłączenie do sieci wodociągowej istniejącej,</w:t>
      </w:r>
    </w:p>
    <w:p w14:paraId="617DB6D2"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mycia, płukania i dezynfekcji wodociągu wraz z badaniem fizykochemicznym i bakteriologicznym wody,</w:t>
      </w:r>
    </w:p>
    <w:p w14:paraId="2EDB9080"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pomiarów geodezyjnych przed zakryciem (wg ST-00.01 Wyznaczenie trasy i punktów wysokościowych dla robót sieciowych)</w:t>
      </w:r>
    </w:p>
    <w:p w14:paraId="38433BCB"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przeprowadzenie pomiarów i badań wymaganych w specyfikacji technicznej</w:t>
      </w:r>
    </w:p>
    <w:p w14:paraId="0659A48E"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zasypanie wykopu (wg ST-00.02 Roboty ziemne dla robót sieciowych),</w:t>
      </w:r>
    </w:p>
    <w:p w14:paraId="380A8BD7" w14:textId="77777777" w:rsidR="00F26F07" w:rsidRPr="005944F4" w:rsidRDefault="00F26F07" w:rsidP="00F26F07">
      <w:pPr>
        <w:pStyle w:val="Specyfikacje"/>
        <w:spacing w:after="0"/>
        <w:ind w:left="0"/>
        <w:rPr>
          <w:rFonts w:ascii="Arial" w:hAnsi="Arial" w:cs="Arial"/>
          <w:color w:val="000000" w:themeColor="text1"/>
          <w:sz w:val="18"/>
        </w:rPr>
      </w:pPr>
    </w:p>
    <w:p w14:paraId="07A3900D" w14:textId="77777777" w:rsidR="001A7344" w:rsidRPr="005944F4" w:rsidRDefault="001A7344" w:rsidP="001A7344">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Cena 1 kompletu zestawu hydrantowego obejmuje:</w:t>
      </w:r>
    </w:p>
    <w:p w14:paraId="28D9E724"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montaż kompletnego zestawu hydrantowego DN80 mm nadziemnego lub podziemnego na podbudowie betonowej,</w:t>
      </w:r>
    </w:p>
    <w:p w14:paraId="4A850E32"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montaż zasuwy oraz kształtek,</w:t>
      </w:r>
    </w:p>
    <w:p w14:paraId="6D7E5DE4" w14:textId="77777777" w:rsidR="001A7344"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 xml:space="preserve">wykonanie </w:t>
      </w:r>
      <w:proofErr w:type="spellStart"/>
      <w:r w:rsidRPr="005944F4">
        <w:rPr>
          <w:rFonts w:ascii="Arial" w:hAnsi="Arial" w:cs="Arial"/>
          <w:color w:val="000000" w:themeColor="text1"/>
          <w:sz w:val="18"/>
        </w:rPr>
        <w:t>obsypki</w:t>
      </w:r>
      <w:proofErr w:type="spellEnd"/>
      <w:r w:rsidRPr="005944F4">
        <w:rPr>
          <w:rFonts w:ascii="Arial" w:hAnsi="Arial" w:cs="Arial"/>
          <w:color w:val="000000" w:themeColor="text1"/>
          <w:sz w:val="18"/>
        </w:rPr>
        <w:t xml:space="preserve"> chłonnej,</w:t>
      </w:r>
    </w:p>
    <w:p w14:paraId="23E4E9D8" w14:textId="77777777" w:rsidR="00F548B0" w:rsidRPr="005944F4" w:rsidRDefault="001A7344" w:rsidP="001A7344">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przeprowadzenie pomiarów i badań wymaganych w specyfikacji technicznej.</w:t>
      </w:r>
    </w:p>
    <w:p w14:paraId="1FEBBA3E" w14:textId="77777777" w:rsidR="005944F4" w:rsidRDefault="005944F4" w:rsidP="00BA012E">
      <w:pPr>
        <w:pStyle w:val="Specyfikacje"/>
        <w:spacing w:after="0"/>
        <w:ind w:left="142"/>
        <w:rPr>
          <w:rFonts w:ascii="Arial" w:hAnsi="Arial" w:cs="Arial"/>
          <w:color w:val="000000" w:themeColor="text1"/>
          <w:sz w:val="18"/>
        </w:rPr>
      </w:pPr>
    </w:p>
    <w:p w14:paraId="3154ADE6" w14:textId="77777777" w:rsidR="005944F4" w:rsidRPr="00B22A5B" w:rsidRDefault="005944F4" w:rsidP="005944F4">
      <w:pPr>
        <w:jc w:val="both"/>
        <w:rPr>
          <w:rFonts w:ascii="Arial" w:hAnsi="Arial" w:cs="Arial"/>
          <w:color w:val="000000" w:themeColor="text1"/>
          <w:kern w:val="1"/>
          <w:sz w:val="18"/>
        </w:rPr>
      </w:pPr>
      <w:r w:rsidRPr="00B22A5B">
        <w:rPr>
          <w:rFonts w:ascii="Arial" w:hAnsi="Arial" w:cs="Arial"/>
          <w:color w:val="000000" w:themeColor="text1"/>
          <w:kern w:val="1"/>
          <w:sz w:val="18"/>
        </w:rPr>
        <w:t xml:space="preserve">Cena 1 </w:t>
      </w:r>
      <w:proofErr w:type="spellStart"/>
      <w:r w:rsidRPr="00B22A5B">
        <w:rPr>
          <w:rFonts w:ascii="Arial" w:hAnsi="Arial" w:cs="Arial"/>
          <w:color w:val="000000" w:themeColor="text1"/>
          <w:kern w:val="1"/>
          <w:sz w:val="18"/>
        </w:rPr>
        <w:t>kpl</w:t>
      </w:r>
      <w:proofErr w:type="spellEnd"/>
      <w:r w:rsidRPr="00B22A5B">
        <w:rPr>
          <w:rFonts w:ascii="Arial" w:hAnsi="Arial" w:cs="Arial"/>
          <w:color w:val="000000" w:themeColor="text1"/>
          <w:kern w:val="1"/>
          <w:sz w:val="18"/>
        </w:rPr>
        <w:t>. studzienki wodomierzowej betonowej obejmuje:</w:t>
      </w:r>
    </w:p>
    <w:p w14:paraId="18A00E13"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wykonanie wykopu (wg ST-00.02 Roboty ziemne dla robót sieciowych) wraz z szalowaniem i odwodnieniem,</w:t>
      </w:r>
    </w:p>
    <w:p w14:paraId="4F48A73F"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wykonanie podsypki,</w:t>
      </w:r>
    </w:p>
    <w:p w14:paraId="31450C81"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 xml:space="preserve">wykonanie kompletnej studzienki wodomierzowej – krąg denny, kręgi łączone na uszczelkę i zaprawę, płyta pośrednia, komin, ew. konus pokrywowy, płyta pokrywowa  właz, klamry </w:t>
      </w:r>
      <w:proofErr w:type="spellStart"/>
      <w:r w:rsidRPr="00B22A5B">
        <w:rPr>
          <w:rFonts w:ascii="Arial" w:hAnsi="Arial" w:cs="Arial"/>
          <w:color w:val="000000" w:themeColor="text1"/>
          <w:sz w:val="18"/>
        </w:rPr>
        <w:t>złazowe</w:t>
      </w:r>
      <w:proofErr w:type="spellEnd"/>
      <w:r w:rsidRPr="00B22A5B">
        <w:rPr>
          <w:rFonts w:ascii="Arial" w:hAnsi="Arial" w:cs="Arial"/>
          <w:color w:val="000000" w:themeColor="text1"/>
          <w:sz w:val="18"/>
        </w:rPr>
        <w:t>, osadzenie tulei szczelnych,</w:t>
      </w:r>
    </w:p>
    <w:p w14:paraId="40FD8AED"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regulacja włazu,</w:t>
      </w:r>
    </w:p>
    <w:p w14:paraId="59C78CAC"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wykonanie pomiarów geodezyjnych przed zakryciem (wg ST-00.01 Wyznaczenie trasy i punktów wysokościowych dla robót sieciowych)</w:t>
      </w:r>
    </w:p>
    <w:p w14:paraId="576C95DF"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przeprowadzenie pomiarów i badań wymaganych w specyfikacji technicznej</w:t>
      </w:r>
    </w:p>
    <w:p w14:paraId="7BBE81B9" w14:textId="77777777" w:rsidR="005944F4" w:rsidRPr="00B22A5B" w:rsidRDefault="005944F4" w:rsidP="005944F4">
      <w:pPr>
        <w:pStyle w:val="Specyfikacje"/>
        <w:numPr>
          <w:ilvl w:val="0"/>
          <w:numId w:val="8"/>
        </w:numPr>
        <w:spacing w:after="0"/>
        <w:ind w:left="142" w:hanging="142"/>
        <w:rPr>
          <w:rFonts w:ascii="Arial" w:hAnsi="Arial" w:cs="Arial"/>
          <w:color w:val="000000" w:themeColor="text1"/>
          <w:sz w:val="18"/>
        </w:rPr>
      </w:pPr>
      <w:r w:rsidRPr="00B22A5B">
        <w:rPr>
          <w:rFonts w:ascii="Arial" w:hAnsi="Arial" w:cs="Arial"/>
          <w:color w:val="000000" w:themeColor="text1"/>
          <w:sz w:val="18"/>
        </w:rPr>
        <w:t>zasypanie wykopu (wg ST-00.02 Roboty ziemne dla robót sieciowych).</w:t>
      </w:r>
    </w:p>
    <w:p w14:paraId="56837DC2" w14:textId="77777777" w:rsidR="005944F4" w:rsidRPr="005944F4" w:rsidRDefault="005944F4" w:rsidP="00BA012E">
      <w:pPr>
        <w:pStyle w:val="Specyfikacje"/>
        <w:spacing w:after="0"/>
        <w:ind w:left="142"/>
        <w:rPr>
          <w:rFonts w:ascii="Arial" w:hAnsi="Arial" w:cs="Arial"/>
          <w:color w:val="000000" w:themeColor="text1"/>
          <w:sz w:val="18"/>
        </w:rPr>
      </w:pPr>
    </w:p>
    <w:p w14:paraId="0D7C5685" w14:textId="77777777" w:rsidR="00CB78AF" w:rsidRPr="005944F4" w:rsidRDefault="00CB78AF" w:rsidP="00CB78AF">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Cena 1 m rury przewiertowej obejmuje:</w:t>
      </w:r>
    </w:p>
    <w:p w14:paraId="760FD407" w14:textId="77777777" w:rsidR="00CB78AF" w:rsidRPr="005944F4" w:rsidRDefault="00CB78AF" w:rsidP="00CB78AF">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 xml:space="preserve">wykonanie tymczasowego wykopu operacyjnego do </w:t>
      </w:r>
      <w:proofErr w:type="spellStart"/>
      <w:r w:rsidRPr="005944F4">
        <w:rPr>
          <w:rFonts w:ascii="Arial" w:hAnsi="Arial" w:cs="Arial"/>
          <w:color w:val="000000" w:themeColor="text1"/>
          <w:sz w:val="18"/>
        </w:rPr>
        <w:t>przecisku</w:t>
      </w:r>
      <w:proofErr w:type="spellEnd"/>
      <w:r w:rsidRPr="005944F4">
        <w:rPr>
          <w:rFonts w:ascii="Arial" w:hAnsi="Arial" w:cs="Arial"/>
          <w:color w:val="000000" w:themeColor="text1"/>
          <w:sz w:val="18"/>
        </w:rPr>
        <w:t xml:space="preserve"> wraz ze wzmocnieniem przez rozparcie ścian wykopu i jego odwodnienie (wg ST-00.02 Roboty ziemne dla robót sieciowych),</w:t>
      </w:r>
    </w:p>
    <w:p w14:paraId="5845F4B9" w14:textId="77777777" w:rsidR="00CB78AF" w:rsidRPr="005944F4" w:rsidRDefault="00CB78AF" w:rsidP="00CB78AF">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przeciskanie z obrotem żerdzi pilotażowej,</w:t>
      </w:r>
    </w:p>
    <w:p w14:paraId="0ECA3181" w14:textId="77777777" w:rsidR="00CB78AF" w:rsidRPr="005944F4" w:rsidRDefault="00CB78AF" w:rsidP="00CB78AF">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przeprowadzenie próby szczelności i wytrzymałości.</w:t>
      </w:r>
    </w:p>
    <w:p w14:paraId="7DD9E299" w14:textId="77777777" w:rsidR="00CB78AF" w:rsidRPr="005944F4" w:rsidRDefault="00CB78AF" w:rsidP="00CB78AF">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wykonanie pomiarów geodezyjnych przed zakryciem (wg ST-00.01 Wyznaczenie trasy i punktów wysokościowych dla robót sieciowych),</w:t>
      </w:r>
    </w:p>
    <w:p w14:paraId="2AD70563" w14:textId="77777777" w:rsidR="00CB78AF" w:rsidRPr="005944F4" w:rsidRDefault="00CB78AF" w:rsidP="00CB78AF">
      <w:pPr>
        <w:pStyle w:val="Specyfikacje"/>
        <w:numPr>
          <w:ilvl w:val="0"/>
          <w:numId w:val="8"/>
        </w:numPr>
        <w:spacing w:after="0"/>
        <w:ind w:left="142" w:hanging="142"/>
        <w:rPr>
          <w:rFonts w:ascii="Arial" w:hAnsi="Arial" w:cs="Arial"/>
          <w:color w:val="000000" w:themeColor="text1"/>
          <w:sz w:val="18"/>
        </w:rPr>
      </w:pPr>
      <w:r w:rsidRPr="005944F4">
        <w:rPr>
          <w:rFonts w:ascii="Arial" w:hAnsi="Arial" w:cs="Arial"/>
          <w:color w:val="000000" w:themeColor="text1"/>
          <w:sz w:val="18"/>
        </w:rPr>
        <w:t>przeprowadzenie pomiarów i badań wymaganych w specyfikacji technicznej</w:t>
      </w:r>
    </w:p>
    <w:p w14:paraId="15F67FE8" w14:textId="77777777" w:rsidR="00CB78AF" w:rsidRPr="005944F4" w:rsidRDefault="00CB78AF" w:rsidP="00BA012E">
      <w:pPr>
        <w:pStyle w:val="Specyfikacje"/>
        <w:spacing w:after="0"/>
        <w:ind w:left="142"/>
        <w:rPr>
          <w:rFonts w:ascii="Arial" w:hAnsi="Arial" w:cs="Arial"/>
          <w:color w:val="000000" w:themeColor="text1"/>
          <w:sz w:val="18"/>
        </w:rPr>
      </w:pPr>
    </w:p>
    <w:p w14:paraId="2C95B210" w14:textId="77777777" w:rsidR="00530EF4" w:rsidRPr="005944F4" w:rsidRDefault="00530EF4" w:rsidP="00530EF4">
      <w:pPr>
        <w:jc w:val="both"/>
        <w:rPr>
          <w:rFonts w:ascii="Arial" w:hAnsi="Arial" w:cs="Arial"/>
          <w:color w:val="000000" w:themeColor="text1"/>
          <w:kern w:val="1"/>
          <w:sz w:val="18"/>
        </w:rPr>
      </w:pPr>
      <w:r w:rsidRPr="005944F4">
        <w:rPr>
          <w:rFonts w:ascii="Arial" w:hAnsi="Arial" w:cs="Arial"/>
          <w:color w:val="000000" w:themeColor="text1"/>
          <w:kern w:val="1"/>
          <w:sz w:val="18"/>
        </w:rPr>
        <w:t xml:space="preserve">Cena 1 m rury </w:t>
      </w:r>
      <w:proofErr w:type="spellStart"/>
      <w:r w:rsidRPr="005944F4">
        <w:rPr>
          <w:rFonts w:ascii="Arial" w:hAnsi="Arial" w:cs="Arial"/>
          <w:color w:val="000000" w:themeColor="text1"/>
          <w:kern w:val="1"/>
          <w:sz w:val="18"/>
        </w:rPr>
        <w:t>przeciskowej</w:t>
      </w:r>
      <w:proofErr w:type="spellEnd"/>
      <w:r w:rsidRPr="005944F4">
        <w:rPr>
          <w:rFonts w:ascii="Arial" w:hAnsi="Arial" w:cs="Arial"/>
          <w:color w:val="000000" w:themeColor="text1"/>
          <w:kern w:val="1"/>
          <w:sz w:val="18"/>
        </w:rPr>
        <w:t xml:space="preserve"> obejmuje:</w:t>
      </w:r>
    </w:p>
    <w:p w14:paraId="05DCCDEF" w14:textId="77777777" w:rsidR="00530EF4" w:rsidRPr="005944F4" w:rsidRDefault="00530EF4" w:rsidP="00BA5651">
      <w:pPr>
        <w:pStyle w:val="Specyfikacje"/>
        <w:numPr>
          <w:ilvl w:val="0"/>
          <w:numId w:val="278"/>
        </w:numPr>
        <w:tabs>
          <w:tab w:val="clear" w:pos="1004"/>
        </w:tabs>
        <w:spacing w:after="0"/>
        <w:ind w:left="142" w:hanging="142"/>
        <w:rPr>
          <w:rFonts w:ascii="Arial" w:hAnsi="Arial" w:cs="Arial"/>
          <w:color w:val="000000" w:themeColor="text1"/>
          <w:sz w:val="18"/>
        </w:rPr>
      </w:pPr>
      <w:r w:rsidRPr="005944F4">
        <w:rPr>
          <w:rFonts w:ascii="Arial" w:hAnsi="Arial" w:cs="Arial"/>
          <w:color w:val="000000" w:themeColor="text1"/>
          <w:sz w:val="18"/>
        </w:rPr>
        <w:t xml:space="preserve">wykonanie tymczasowego wykopu operacyjnego do </w:t>
      </w:r>
      <w:proofErr w:type="spellStart"/>
      <w:r w:rsidRPr="005944F4">
        <w:rPr>
          <w:rFonts w:ascii="Arial" w:hAnsi="Arial" w:cs="Arial"/>
          <w:color w:val="000000" w:themeColor="text1"/>
          <w:sz w:val="18"/>
        </w:rPr>
        <w:t>przecisku</w:t>
      </w:r>
      <w:proofErr w:type="spellEnd"/>
      <w:r w:rsidRPr="005944F4">
        <w:rPr>
          <w:rFonts w:ascii="Arial" w:hAnsi="Arial" w:cs="Arial"/>
          <w:color w:val="000000" w:themeColor="text1"/>
          <w:sz w:val="18"/>
        </w:rPr>
        <w:t xml:space="preserve"> wraz ze wzmocnieniem przez rozparcie ścian wykopu i jego odwodnieniem (wg ST-00.02 Roboty ziemne dla robót sieciowych),</w:t>
      </w:r>
    </w:p>
    <w:p w14:paraId="02D4ED32" w14:textId="77777777" w:rsidR="00530EF4" w:rsidRPr="005944F4" w:rsidRDefault="00530EF4" w:rsidP="00BA5651">
      <w:pPr>
        <w:pStyle w:val="Specyfikacje"/>
        <w:numPr>
          <w:ilvl w:val="0"/>
          <w:numId w:val="278"/>
        </w:numPr>
        <w:tabs>
          <w:tab w:val="clear" w:pos="1004"/>
        </w:tabs>
        <w:spacing w:after="0"/>
        <w:ind w:left="142" w:hanging="142"/>
        <w:rPr>
          <w:rFonts w:ascii="Arial" w:hAnsi="Arial" w:cs="Arial"/>
          <w:color w:val="000000" w:themeColor="text1"/>
          <w:sz w:val="18"/>
        </w:rPr>
      </w:pPr>
      <w:r w:rsidRPr="005944F4">
        <w:rPr>
          <w:rFonts w:ascii="Arial" w:hAnsi="Arial" w:cs="Arial"/>
          <w:color w:val="000000" w:themeColor="text1"/>
          <w:sz w:val="18"/>
        </w:rPr>
        <w:t xml:space="preserve">montaż rury </w:t>
      </w:r>
      <w:proofErr w:type="spellStart"/>
      <w:r w:rsidRPr="005944F4">
        <w:rPr>
          <w:rFonts w:ascii="Arial" w:hAnsi="Arial" w:cs="Arial"/>
          <w:color w:val="000000" w:themeColor="text1"/>
          <w:sz w:val="18"/>
        </w:rPr>
        <w:t>przeciskowej</w:t>
      </w:r>
      <w:proofErr w:type="spellEnd"/>
      <w:r w:rsidRPr="005944F4">
        <w:rPr>
          <w:rFonts w:ascii="Arial" w:hAnsi="Arial" w:cs="Arial"/>
          <w:color w:val="000000" w:themeColor="text1"/>
          <w:sz w:val="18"/>
        </w:rPr>
        <w:t xml:space="preserve"> w wykopie operacyjnym (montaż kolejnych odcinków rury do </w:t>
      </w:r>
      <w:proofErr w:type="spellStart"/>
      <w:r w:rsidRPr="005944F4">
        <w:rPr>
          <w:rFonts w:ascii="Arial" w:hAnsi="Arial" w:cs="Arial"/>
          <w:color w:val="000000" w:themeColor="text1"/>
          <w:sz w:val="18"/>
        </w:rPr>
        <w:t>przecisku</w:t>
      </w:r>
      <w:proofErr w:type="spellEnd"/>
      <w:r w:rsidRPr="005944F4">
        <w:rPr>
          <w:rFonts w:ascii="Arial" w:hAnsi="Arial" w:cs="Arial"/>
          <w:color w:val="000000" w:themeColor="text1"/>
          <w:sz w:val="18"/>
        </w:rPr>
        <w:t xml:space="preserve"> w miarę postępu prac)</w:t>
      </w:r>
    </w:p>
    <w:p w14:paraId="3D9C4073" w14:textId="77777777" w:rsidR="00530EF4" w:rsidRPr="005944F4" w:rsidRDefault="00530EF4" w:rsidP="00BA5651">
      <w:pPr>
        <w:pStyle w:val="Specyfikacje"/>
        <w:numPr>
          <w:ilvl w:val="0"/>
          <w:numId w:val="278"/>
        </w:numPr>
        <w:tabs>
          <w:tab w:val="clear" w:pos="1004"/>
        </w:tabs>
        <w:spacing w:after="0"/>
        <w:ind w:left="142" w:hanging="142"/>
        <w:rPr>
          <w:rFonts w:ascii="Arial" w:hAnsi="Arial" w:cs="Arial"/>
          <w:color w:val="000000" w:themeColor="text1"/>
          <w:sz w:val="18"/>
        </w:rPr>
      </w:pPr>
      <w:proofErr w:type="spellStart"/>
      <w:r w:rsidRPr="005944F4">
        <w:rPr>
          <w:rFonts w:ascii="Arial" w:hAnsi="Arial" w:cs="Arial"/>
          <w:color w:val="000000" w:themeColor="text1"/>
          <w:sz w:val="18"/>
        </w:rPr>
        <w:t>przecisk</w:t>
      </w:r>
      <w:proofErr w:type="spellEnd"/>
      <w:r w:rsidRPr="005944F4">
        <w:rPr>
          <w:rFonts w:ascii="Arial" w:hAnsi="Arial" w:cs="Arial"/>
          <w:color w:val="000000" w:themeColor="text1"/>
          <w:sz w:val="18"/>
        </w:rPr>
        <w:t xml:space="preserve"> pod</w:t>
      </w:r>
      <w:r w:rsidR="00133C7D" w:rsidRPr="005944F4">
        <w:rPr>
          <w:rFonts w:ascii="Arial" w:hAnsi="Arial" w:cs="Arial"/>
          <w:color w:val="000000" w:themeColor="text1"/>
          <w:sz w:val="18"/>
        </w:rPr>
        <w:t xml:space="preserve"> </w:t>
      </w:r>
      <w:r w:rsidRPr="005944F4">
        <w:rPr>
          <w:rFonts w:ascii="Arial" w:hAnsi="Arial" w:cs="Arial"/>
          <w:color w:val="000000" w:themeColor="text1"/>
          <w:sz w:val="18"/>
        </w:rPr>
        <w:t xml:space="preserve">drogą lub inną </w:t>
      </w:r>
      <w:proofErr w:type="spellStart"/>
      <w:r w:rsidRPr="005944F4">
        <w:rPr>
          <w:rFonts w:ascii="Arial" w:hAnsi="Arial" w:cs="Arial"/>
          <w:color w:val="000000" w:themeColor="text1"/>
          <w:sz w:val="18"/>
        </w:rPr>
        <w:t>porzeszkodą</w:t>
      </w:r>
      <w:proofErr w:type="spellEnd"/>
      <w:r w:rsidRPr="005944F4">
        <w:rPr>
          <w:rFonts w:ascii="Arial" w:hAnsi="Arial" w:cs="Arial"/>
          <w:color w:val="000000" w:themeColor="text1"/>
          <w:sz w:val="18"/>
        </w:rPr>
        <w:t>,</w:t>
      </w:r>
    </w:p>
    <w:p w14:paraId="2E6158D8" w14:textId="77777777" w:rsidR="00530EF4" w:rsidRPr="005944F4" w:rsidRDefault="00530EF4" w:rsidP="00BA5651">
      <w:pPr>
        <w:pStyle w:val="Specyfikacje"/>
        <w:numPr>
          <w:ilvl w:val="0"/>
          <w:numId w:val="278"/>
        </w:numPr>
        <w:tabs>
          <w:tab w:val="clear" w:pos="1004"/>
        </w:tabs>
        <w:spacing w:after="0"/>
        <w:ind w:left="142" w:hanging="142"/>
        <w:rPr>
          <w:rFonts w:ascii="Arial" w:hAnsi="Arial" w:cs="Arial"/>
          <w:color w:val="000000" w:themeColor="text1"/>
          <w:sz w:val="18"/>
        </w:rPr>
      </w:pPr>
      <w:r w:rsidRPr="005944F4">
        <w:rPr>
          <w:rFonts w:ascii="Arial" w:hAnsi="Arial" w:cs="Arial"/>
          <w:color w:val="000000" w:themeColor="text1"/>
          <w:sz w:val="18"/>
        </w:rPr>
        <w:t>wykonanie pomiarów geodezyjnych przed zakryciem (wg ST-00.01 Wyznaczenie trasy i punktów wysokościowych dla robót sieciowych)</w:t>
      </w:r>
    </w:p>
    <w:p w14:paraId="679A1183" w14:textId="77777777" w:rsidR="00530EF4" w:rsidRPr="005944F4" w:rsidRDefault="00530EF4" w:rsidP="00BA5651">
      <w:pPr>
        <w:pStyle w:val="Specyfikacje"/>
        <w:numPr>
          <w:ilvl w:val="0"/>
          <w:numId w:val="278"/>
        </w:numPr>
        <w:tabs>
          <w:tab w:val="clear" w:pos="1004"/>
        </w:tabs>
        <w:spacing w:after="0"/>
        <w:ind w:left="142" w:hanging="142"/>
        <w:rPr>
          <w:rFonts w:ascii="Arial" w:hAnsi="Arial" w:cs="Arial"/>
          <w:color w:val="000000" w:themeColor="text1"/>
          <w:sz w:val="18"/>
        </w:rPr>
      </w:pPr>
      <w:r w:rsidRPr="005944F4">
        <w:rPr>
          <w:rFonts w:ascii="Arial" w:hAnsi="Arial" w:cs="Arial"/>
          <w:color w:val="000000" w:themeColor="text1"/>
          <w:sz w:val="18"/>
        </w:rPr>
        <w:t>przeprowadzenie pomiarów i badań wymaganych w specyfikacji technicznej</w:t>
      </w:r>
    </w:p>
    <w:p w14:paraId="1C9EAD87" w14:textId="77777777" w:rsidR="00F548B0" w:rsidRPr="005944F4" w:rsidRDefault="00F548B0" w:rsidP="00F548B0">
      <w:pPr>
        <w:pStyle w:val="Nagwek2"/>
        <w:rPr>
          <w:i w:val="0"/>
          <w:color w:val="000000" w:themeColor="text1"/>
        </w:rPr>
      </w:pPr>
      <w:r w:rsidRPr="005944F4">
        <w:rPr>
          <w:i w:val="0"/>
          <w:color w:val="000000" w:themeColor="text1"/>
        </w:rPr>
        <w:t>10. PRZEPISY ZWIĄZANE</w:t>
      </w:r>
    </w:p>
    <w:p w14:paraId="0E73CCD8" w14:textId="77777777" w:rsidR="00E078E6" w:rsidRPr="005944F4" w:rsidRDefault="00E078E6" w:rsidP="00E078E6">
      <w:pPr>
        <w:pStyle w:val="Nagwek4"/>
        <w:spacing w:line="240" w:lineRule="auto"/>
        <w:jc w:val="both"/>
        <w:rPr>
          <w:b/>
          <w:color w:val="000000" w:themeColor="text1"/>
          <w:sz w:val="20"/>
          <w:u w:val="none"/>
        </w:rPr>
      </w:pPr>
      <w:r w:rsidRPr="005944F4">
        <w:rPr>
          <w:b/>
          <w:color w:val="000000" w:themeColor="text1"/>
          <w:sz w:val="20"/>
          <w:u w:val="none"/>
        </w:rPr>
        <w:t>10.1  Normy</w:t>
      </w:r>
    </w:p>
    <w:p w14:paraId="0B8621CF"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PN-B-01700 - Wodociągi i kanalizacja. Urządzenia i sieć zewnętrzna. Oznaczenia graficzne</w:t>
      </w:r>
    </w:p>
    <w:p w14:paraId="33CBC38A"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lastRenderedPageBreak/>
        <w:t xml:space="preserve">PN-EN 752-2:2000 - Zewnętrzne systemy kanalizacyjne. Wymagania. </w:t>
      </w:r>
    </w:p>
    <w:p w14:paraId="2B194799"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PN-B-10725 - Wodociągi przewody zewnętrzne. Wymagania i badania.</w:t>
      </w:r>
    </w:p>
    <w:p w14:paraId="03DC707C"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PN-86/B-09700 - Tablice orientacyjne do oznaczania uzbrojenia na przewodach wodociągowych</w:t>
      </w:r>
    </w:p>
    <w:p w14:paraId="3AD3E57E"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PN-ISO 4064-3 - Pomiary objętości wody na przewodach. Wodomierze do wody pitnej zimnej. Metody badań i wyposażenie</w:t>
      </w:r>
    </w:p>
    <w:p w14:paraId="6E17DF33"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1671 - Zewnętrzne systemy kanalizacji ciśnieniowej</w:t>
      </w:r>
    </w:p>
    <w:p w14:paraId="24DA8BDC"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PN-B-02424 - Rurociągi. Kształtki. Wymagania i metody badań</w:t>
      </w:r>
    </w:p>
    <w:p w14:paraId="6F3432C9"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PN-81/B-10725 - Wodociągi. Przewody zewnętrzne. Wymagania i badania przy odbiorze.</w:t>
      </w:r>
    </w:p>
    <w:p w14:paraId="408D4E3E"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PN-91 M-34501 - Skrzyżowanie gazociągów z przeszkodami terenowymi.</w:t>
      </w:r>
    </w:p>
    <w:p w14:paraId="07FF78DE"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BN-83/8836-02 - Przewody podziemne. Roboty ziemne. Wymagania i badania przy odbiorze.</w:t>
      </w:r>
    </w:p>
    <w:p w14:paraId="6ECC960A"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PN-B-10729 - Kanalizacja. Studzienki kanalizacyjne.</w:t>
      </w:r>
    </w:p>
    <w:p w14:paraId="39A50315"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124:2000 - Zwieńczenia wpustów i studzienek kanalizacyjnych do nawierzchni do  ruchu pieszego i kołowego. Zasada konstrukcji, badanie typu, oznakowanie, sterowanie jakością.</w:t>
      </w:r>
    </w:p>
    <w:p w14:paraId="0A740371"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DIN 4034 Część I - Studzienki z prefabrykatów betonowych i żelbetowych. Studzienki dla kanałów i sieci ściekowych układanych w ziemi; Wymiary, warunki  techniczne dostawy.</w:t>
      </w:r>
    </w:p>
    <w:p w14:paraId="1FB4AC1E" w14:textId="77777777" w:rsidR="00A209EA" w:rsidRPr="005944F4" w:rsidRDefault="00A209EA" w:rsidP="006D12E8">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DIN 4034 Część II - Studzienki z prefabrykatów betonowych i żelbetowych. Elementy studzienek kanalizacyjnych i drenażowych. Wymiary, warunki techniczne dostawy.</w:t>
      </w:r>
    </w:p>
    <w:p w14:paraId="713BB8DD"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545 – Rury, kształtki i wyposażenie z żeliwa sferoidalnego oraz ich złącza do rurociągów wodnych. Wymagania i badania.</w:t>
      </w:r>
    </w:p>
    <w:p w14:paraId="1B2FD872" w14:textId="77777777" w:rsidR="00A209EA" w:rsidRPr="005944F4" w:rsidRDefault="00B10DB6" w:rsidP="00A209EA">
      <w:pPr>
        <w:pStyle w:val="00Tekst"/>
        <w:numPr>
          <w:ilvl w:val="0"/>
          <w:numId w:val="6"/>
        </w:numPr>
        <w:tabs>
          <w:tab w:val="clear" w:pos="709"/>
          <w:tab w:val="left" w:pos="57"/>
          <w:tab w:val="num" w:pos="284"/>
        </w:tabs>
        <w:spacing w:line="240" w:lineRule="auto"/>
        <w:rPr>
          <w:color w:val="000000" w:themeColor="text1"/>
          <w:sz w:val="18"/>
        </w:rPr>
      </w:pPr>
      <w:hyperlink r:id="rId8" w:history="1">
        <w:r w:rsidR="00A209EA" w:rsidRPr="005944F4">
          <w:rPr>
            <w:color w:val="000000" w:themeColor="text1"/>
            <w:sz w:val="18"/>
          </w:rPr>
          <w:t>PN-EN 805</w:t>
        </w:r>
      </w:hyperlink>
      <w:r w:rsidR="00A209EA" w:rsidRPr="005944F4">
        <w:rPr>
          <w:color w:val="000000" w:themeColor="text1"/>
          <w:sz w:val="18"/>
        </w:rPr>
        <w:t xml:space="preserve"> – Zaopatrzenie w wodę  Wymagania dotyczące systemów zewnętrznych i ich części składowych.</w:t>
      </w:r>
    </w:p>
    <w:p w14:paraId="158F3F18"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-12842  – Kształtki z żeliwa sferoidalnego do systemów przewodowych z PVC-U lub PE – Wymagania i metody badań.</w:t>
      </w:r>
    </w:p>
    <w:p w14:paraId="33743F9B"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 xml:space="preserve">PN EN 1452 – Systemy przewodów rurowych z tworzyw sztucznych do przesyłania wody i do ciśnieniowego odwadniania i kanalizacji układanej pod ziemią i nad ziemią -- </w:t>
      </w:r>
      <w:proofErr w:type="spellStart"/>
      <w:r w:rsidRPr="005944F4">
        <w:rPr>
          <w:color w:val="000000" w:themeColor="text1"/>
          <w:sz w:val="18"/>
        </w:rPr>
        <w:t>Nieplastyfikowany</w:t>
      </w:r>
      <w:proofErr w:type="spellEnd"/>
      <w:r w:rsidRPr="005944F4">
        <w:rPr>
          <w:color w:val="000000" w:themeColor="text1"/>
          <w:sz w:val="18"/>
        </w:rPr>
        <w:t xml:space="preserve"> polichlorek winylu (PVC-U).</w:t>
      </w:r>
    </w:p>
    <w:p w14:paraId="0DB8E684"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 EN 12201 - Systemy przewodów rurowych z tworzyw sztucznych do przesyłania wody -- Polietylen (PE).</w:t>
      </w:r>
    </w:p>
    <w:p w14:paraId="09701B31"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 EN 14901 - Rury, kształtki i wyposażenie z żeliwa ciągliwego -- Powłoki epoksydowe rur, kształtek i wyposażenia z żeliwa ciągliwego (praca przy dużym obciążeniu).</w:t>
      </w:r>
    </w:p>
    <w:p w14:paraId="2CCFD3FC"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 EN ISO 4624 – Farby i lakiery – Próba do oceny przyczepności.</w:t>
      </w:r>
    </w:p>
    <w:p w14:paraId="3C043254"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ISO 6272-1 - Farby i lakiery - Badanie odporności na szybkie odkształcenie (odporność udarowa).</w:t>
      </w:r>
    </w:p>
    <w:p w14:paraId="080B9ACF"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ISO 2812-2 – Farby I lakiery – Oznaczanie odporności na ciecze.</w:t>
      </w:r>
    </w:p>
    <w:p w14:paraId="403EA5F4"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681-1 – Uszczelnienia z elastomerów. Wymagania materiałowe dotyczące uszczelek złączy rur wodociągowych i odwadniających. Część 1: Guma.</w:t>
      </w:r>
    </w:p>
    <w:p w14:paraId="3E7168AB"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1092-2 – Kołnierze i ich połączenia. Kołnierze okrągłe do rur, armatury, łączników i osprzętu z oznaczeniem PN. Kołnierze żeliwne.</w:t>
      </w:r>
    </w:p>
    <w:p w14:paraId="1FC93899"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ISO 9001 – Systemy zarządzania jakością. Wymagania.</w:t>
      </w:r>
    </w:p>
    <w:p w14:paraId="058CFC35"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197-1 – Cement – Część 1: Skład, wymagania i kryteria zgodności dotyczące cementów powszechnego użytku.</w:t>
      </w:r>
    </w:p>
    <w:p w14:paraId="0CB440B1"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1074-2 – Armatura wodociągowa. Wymagania użytkowe i badania sprawdzające. Część 2: Armatura zaporowa.</w:t>
      </w:r>
    </w:p>
    <w:p w14:paraId="7A228C0E"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1074-4 - Armatura wodociągowa. Wymagania użytkowe i badania sprawdzające. Część 4: Zawory napowietrzająco-odpowietrzające.</w:t>
      </w:r>
    </w:p>
    <w:p w14:paraId="1A63F969" w14:textId="77777777" w:rsidR="00A209EA"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558-1 – Armatura przemysłowa. Długości zabudowy armatury prostej i kątowej do rurociągów kołnierzowych. Armatura z oznaczeniem PN.</w:t>
      </w:r>
    </w:p>
    <w:p w14:paraId="08640298" w14:textId="77777777" w:rsidR="00712CE2" w:rsidRPr="005944F4" w:rsidRDefault="00A209EA" w:rsidP="00A209EA">
      <w:pPr>
        <w:pStyle w:val="00Tekst"/>
        <w:numPr>
          <w:ilvl w:val="0"/>
          <w:numId w:val="6"/>
        </w:numPr>
        <w:tabs>
          <w:tab w:val="clear" w:pos="709"/>
          <w:tab w:val="left" w:pos="57"/>
          <w:tab w:val="num" w:pos="284"/>
        </w:tabs>
        <w:spacing w:line="240" w:lineRule="auto"/>
        <w:rPr>
          <w:color w:val="000000" w:themeColor="text1"/>
          <w:sz w:val="18"/>
        </w:rPr>
      </w:pPr>
      <w:r w:rsidRPr="005944F4">
        <w:rPr>
          <w:color w:val="000000" w:themeColor="text1"/>
          <w:sz w:val="18"/>
        </w:rPr>
        <w:t>PN-EN 593 – Armatura przemysłowa. Przepustnice metalowe.</w:t>
      </w:r>
    </w:p>
    <w:p w14:paraId="7FC445B3" w14:textId="77777777" w:rsidR="00E078E6" w:rsidRPr="005944F4" w:rsidRDefault="00E078E6" w:rsidP="00E078E6">
      <w:pPr>
        <w:pStyle w:val="Nagwek4"/>
        <w:spacing w:line="240" w:lineRule="auto"/>
        <w:jc w:val="both"/>
        <w:rPr>
          <w:b/>
          <w:color w:val="000000" w:themeColor="text1"/>
          <w:sz w:val="20"/>
          <w:u w:val="none"/>
        </w:rPr>
      </w:pPr>
      <w:r w:rsidRPr="005944F4">
        <w:rPr>
          <w:b/>
          <w:color w:val="000000" w:themeColor="text1"/>
          <w:sz w:val="20"/>
          <w:u w:val="none"/>
        </w:rPr>
        <w:t>10.2  Instrukcje</w:t>
      </w:r>
    </w:p>
    <w:p w14:paraId="27B2E4FB" w14:textId="77777777" w:rsidR="00E078E6" w:rsidRPr="005944F4" w:rsidRDefault="00E078E6" w:rsidP="00E078E6">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Warunki techniczne wykonania i odbioru robót budowlano-montażowych.</w:t>
      </w:r>
    </w:p>
    <w:p w14:paraId="15073BE4" w14:textId="77777777" w:rsidR="00E078E6" w:rsidRPr="005944F4" w:rsidRDefault="00E078E6" w:rsidP="00E078E6">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Instrukcje stosowania materiałów wydane przez producentów.</w:t>
      </w:r>
    </w:p>
    <w:p w14:paraId="519150F9" w14:textId="77777777" w:rsidR="00E078E6" w:rsidRPr="005944F4" w:rsidRDefault="00E078E6" w:rsidP="00E078E6">
      <w:pPr>
        <w:pStyle w:val="Specyfikacje"/>
        <w:spacing w:after="0"/>
        <w:ind w:left="0"/>
        <w:rPr>
          <w:rFonts w:ascii="Arial" w:hAnsi="Arial" w:cs="Arial"/>
          <w:color w:val="000000" w:themeColor="text1"/>
          <w:sz w:val="18"/>
        </w:rPr>
      </w:pPr>
      <w:r w:rsidRPr="005944F4">
        <w:rPr>
          <w:rFonts w:ascii="Arial" w:hAnsi="Arial" w:cs="Arial"/>
          <w:color w:val="000000" w:themeColor="text1"/>
          <w:sz w:val="18"/>
        </w:rPr>
        <w:t>Instrukcja oznakowania robót prowadzonych w pasie drogowym. Załącznik nr l do zarządzenia Ministrów Transportu i Gospodarki Morskiej oraz Spraw Wewnętrznych nr 184 z dnia 06.06.1990 r.</w:t>
      </w:r>
    </w:p>
    <w:p w14:paraId="4EDC54AC" w14:textId="77777777" w:rsidR="00432C8C" w:rsidRPr="005944F4" w:rsidRDefault="00432C8C" w:rsidP="00E078E6">
      <w:pPr>
        <w:pStyle w:val="Specyfikacje"/>
        <w:spacing w:after="0"/>
        <w:ind w:left="0"/>
        <w:rPr>
          <w:rFonts w:ascii="Arial" w:hAnsi="Arial" w:cs="Arial"/>
          <w:color w:val="000000" w:themeColor="text1"/>
          <w:sz w:val="18"/>
        </w:rPr>
      </w:pPr>
    </w:p>
    <w:p w14:paraId="75A919C1" w14:textId="77777777" w:rsidR="00432C8C" w:rsidRPr="005944F4" w:rsidRDefault="00432C8C" w:rsidP="00E078E6">
      <w:pPr>
        <w:pStyle w:val="Specyfikacje"/>
        <w:spacing w:after="0"/>
        <w:ind w:left="0"/>
        <w:rPr>
          <w:rFonts w:ascii="Arial" w:hAnsi="Arial" w:cs="Arial"/>
          <w:color w:val="000000" w:themeColor="text1"/>
          <w:sz w:val="18"/>
        </w:rPr>
      </w:pPr>
    </w:p>
    <w:p w14:paraId="734E080E" w14:textId="77777777" w:rsidR="00432C8C" w:rsidRPr="005944F4" w:rsidRDefault="00432C8C" w:rsidP="00E078E6">
      <w:pPr>
        <w:pStyle w:val="Specyfikacje"/>
        <w:spacing w:after="0"/>
        <w:ind w:left="0"/>
        <w:rPr>
          <w:rFonts w:ascii="Arial" w:hAnsi="Arial" w:cs="Arial"/>
          <w:color w:val="000000" w:themeColor="text1"/>
          <w:sz w:val="18"/>
        </w:rPr>
      </w:pPr>
    </w:p>
    <w:p w14:paraId="13980689" w14:textId="77777777" w:rsidR="000D799E" w:rsidRPr="005944F4" w:rsidRDefault="000D799E" w:rsidP="00E078E6">
      <w:pPr>
        <w:pStyle w:val="Specyfikacje"/>
        <w:spacing w:after="0"/>
        <w:ind w:left="0"/>
        <w:rPr>
          <w:rFonts w:ascii="Arial" w:hAnsi="Arial" w:cs="Arial"/>
          <w:color w:val="000000" w:themeColor="text1"/>
          <w:sz w:val="18"/>
        </w:rPr>
      </w:pPr>
    </w:p>
    <w:p w14:paraId="4A3F7C94" w14:textId="77777777" w:rsidR="000D799E" w:rsidRPr="004D7D23" w:rsidRDefault="000D799E" w:rsidP="00E078E6">
      <w:pPr>
        <w:pStyle w:val="Specyfikacje"/>
        <w:spacing w:after="0"/>
        <w:ind w:left="0"/>
        <w:rPr>
          <w:rFonts w:ascii="Arial" w:hAnsi="Arial" w:cs="Arial"/>
          <w:color w:val="FF0000"/>
          <w:sz w:val="18"/>
        </w:rPr>
      </w:pPr>
    </w:p>
    <w:p w14:paraId="009B0632" w14:textId="77777777" w:rsidR="000D799E" w:rsidRPr="004D7D23" w:rsidRDefault="000D799E" w:rsidP="00E078E6">
      <w:pPr>
        <w:pStyle w:val="Specyfikacje"/>
        <w:spacing w:after="0"/>
        <w:ind w:left="0"/>
        <w:rPr>
          <w:rFonts w:ascii="Arial" w:hAnsi="Arial" w:cs="Arial"/>
          <w:color w:val="FF0000"/>
          <w:sz w:val="18"/>
        </w:rPr>
      </w:pPr>
    </w:p>
    <w:p w14:paraId="56496A21" w14:textId="77777777" w:rsidR="000D799E" w:rsidRPr="004D7D23" w:rsidRDefault="000D799E" w:rsidP="00E078E6">
      <w:pPr>
        <w:pStyle w:val="Specyfikacje"/>
        <w:spacing w:after="0"/>
        <w:ind w:left="0"/>
        <w:rPr>
          <w:rFonts w:ascii="Arial" w:hAnsi="Arial" w:cs="Arial"/>
          <w:color w:val="FF0000"/>
          <w:sz w:val="18"/>
        </w:rPr>
      </w:pPr>
    </w:p>
    <w:p w14:paraId="59795625" w14:textId="77777777" w:rsidR="000D799E" w:rsidRPr="004D7D23" w:rsidRDefault="000D799E" w:rsidP="00E078E6">
      <w:pPr>
        <w:pStyle w:val="Specyfikacje"/>
        <w:spacing w:after="0"/>
        <w:ind w:left="0"/>
        <w:rPr>
          <w:rFonts w:ascii="Arial" w:hAnsi="Arial" w:cs="Arial"/>
          <w:color w:val="FF0000"/>
          <w:sz w:val="18"/>
        </w:rPr>
      </w:pPr>
    </w:p>
    <w:p w14:paraId="1EEAACCC" w14:textId="77777777" w:rsidR="000D799E" w:rsidRPr="004D7D23" w:rsidRDefault="000D799E" w:rsidP="00E078E6">
      <w:pPr>
        <w:pStyle w:val="Specyfikacje"/>
        <w:spacing w:after="0"/>
        <w:ind w:left="0"/>
        <w:rPr>
          <w:rFonts w:ascii="Arial" w:hAnsi="Arial" w:cs="Arial"/>
          <w:color w:val="FF0000"/>
          <w:sz w:val="18"/>
        </w:rPr>
      </w:pPr>
    </w:p>
    <w:p w14:paraId="2BF3E268" w14:textId="77777777" w:rsidR="000D799E" w:rsidRPr="004D7D23" w:rsidRDefault="000D799E" w:rsidP="00E078E6">
      <w:pPr>
        <w:pStyle w:val="Specyfikacje"/>
        <w:spacing w:after="0"/>
        <w:ind w:left="0"/>
        <w:rPr>
          <w:rFonts w:ascii="Arial" w:hAnsi="Arial" w:cs="Arial"/>
          <w:color w:val="FF0000"/>
          <w:sz w:val="18"/>
        </w:rPr>
      </w:pPr>
    </w:p>
    <w:p w14:paraId="46417085" w14:textId="77777777" w:rsidR="000D799E" w:rsidRPr="004D7D23" w:rsidRDefault="000D799E" w:rsidP="00E078E6">
      <w:pPr>
        <w:pStyle w:val="Specyfikacje"/>
        <w:spacing w:after="0"/>
        <w:ind w:left="0"/>
        <w:rPr>
          <w:rFonts w:ascii="Arial" w:hAnsi="Arial" w:cs="Arial"/>
          <w:color w:val="FF0000"/>
          <w:sz w:val="18"/>
        </w:rPr>
      </w:pPr>
    </w:p>
    <w:p w14:paraId="578675C2" w14:textId="77777777" w:rsidR="000D799E" w:rsidRPr="004D7D23" w:rsidRDefault="000D799E" w:rsidP="00E078E6">
      <w:pPr>
        <w:pStyle w:val="Specyfikacje"/>
        <w:spacing w:after="0"/>
        <w:ind w:left="0"/>
        <w:rPr>
          <w:rFonts w:ascii="Arial" w:hAnsi="Arial" w:cs="Arial"/>
          <w:color w:val="FF0000"/>
          <w:sz w:val="18"/>
        </w:rPr>
      </w:pPr>
    </w:p>
    <w:p w14:paraId="5C606C57" w14:textId="77777777" w:rsidR="000D799E" w:rsidRPr="004D7D23" w:rsidRDefault="000D799E" w:rsidP="00E078E6">
      <w:pPr>
        <w:pStyle w:val="Specyfikacje"/>
        <w:spacing w:after="0"/>
        <w:ind w:left="0"/>
        <w:rPr>
          <w:rFonts w:ascii="Arial" w:hAnsi="Arial" w:cs="Arial"/>
          <w:color w:val="FF0000"/>
          <w:sz w:val="18"/>
        </w:rPr>
      </w:pPr>
    </w:p>
    <w:p w14:paraId="7A292FC7" w14:textId="77777777" w:rsidR="000D799E" w:rsidRPr="004D7D23" w:rsidRDefault="000D799E" w:rsidP="00E078E6">
      <w:pPr>
        <w:pStyle w:val="Specyfikacje"/>
        <w:spacing w:after="0"/>
        <w:ind w:left="0"/>
        <w:rPr>
          <w:rFonts w:ascii="Arial" w:hAnsi="Arial" w:cs="Arial"/>
          <w:color w:val="FF0000"/>
          <w:sz w:val="18"/>
        </w:rPr>
      </w:pPr>
    </w:p>
    <w:p w14:paraId="191ACDE5" w14:textId="77777777" w:rsidR="000D799E" w:rsidRPr="004D7D23" w:rsidRDefault="000D799E" w:rsidP="00E078E6">
      <w:pPr>
        <w:pStyle w:val="Specyfikacje"/>
        <w:spacing w:after="0"/>
        <w:ind w:left="0"/>
        <w:rPr>
          <w:rFonts w:ascii="Arial" w:hAnsi="Arial" w:cs="Arial"/>
          <w:color w:val="FF0000"/>
          <w:sz w:val="18"/>
        </w:rPr>
      </w:pPr>
    </w:p>
    <w:p w14:paraId="3459938C" w14:textId="77777777" w:rsidR="000D799E" w:rsidRPr="004D7D23" w:rsidRDefault="000D799E" w:rsidP="00E078E6">
      <w:pPr>
        <w:pStyle w:val="Specyfikacje"/>
        <w:spacing w:after="0"/>
        <w:ind w:left="0"/>
        <w:rPr>
          <w:rFonts w:ascii="Arial" w:hAnsi="Arial" w:cs="Arial"/>
          <w:color w:val="FF0000"/>
          <w:sz w:val="18"/>
        </w:rPr>
      </w:pPr>
    </w:p>
    <w:p w14:paraId="6B7E3507" w14:textId="77777777" w:rsidR="000D799E" w:rsidRPr="004D7D23" w:rsidRDefault="000D799E" w:rsidP="00E078E6">
      <w:pPr>
        <w:pStyle w:val="Specyfikacje"/>
        <w:spacing w:after="0"/>
        <w:ind w:left="0"/>
        <w:rPr>
          <w:rFonts w:ascii="Arial" w:hAnsi="Arial" w:cs="Arial"/>
          <w:color w:val="FF0000"/>
          <w:sz w:val="18"/>
        </w:rPr>
      </w:pPr>
    </w:p>
    <w:p w14:paraId="63EC3D28" w14:textId="77777777" w:rsidR="000D799E" w:rsidRPr="002428A4" w:rsidRDefault="000D799E" w:rsidP="000D799E">
      <w:pPr>
        <w:pStyle w:val="Nagwek1"/>
        <w:jc w:val="center"/>
        <w:rPr>
          <w:color w:val="000000" w:themeColor="text1"/>
          <w:sz w:val="40"/>
          <w:szCs w:val="40"/>
        </w:rPr>
      </w:pPr>
      <w:bookmarkStart w:id="119" w:name="_Toc131677729"/>
      <w:bookmarkStart w:id="120" w:name="_Toc137542818"/>
      <w:bookmarkStart w:id="121" w:name="_Toc163481042"/>
      <w:r w:rsidRPr="002428A4">
        <w:rPr>
          <w:color w:val="000000" w:themeColor="text1"/>
          <w:sz w:val="40"/>
          <w:szCs w:val="40"/>
        </w:rPr>
        <w:lastRenderedPageBreak/>
        <w:t>ST-00.0</w:t>
      </w:r>
      <w:r w:rsidR="008A1FD5">
        <w:rPr>
          <w:color w:val="000000" w:themeColor="text1"/>
          <w:sz w:val="40"/>
          <w:szCs w:val="40"/>
        </w:rPr>
        <w:t>6</w:t>
      </w:r>
      <w:r w:rsidRPr="002428A4">
        <w:rPr>
          <w:color w:val="000000" w:themeColor="text1"/>
          <w:sz w:val="40"/>
          <w:szCs w:val="40"/>
        </w:rPr>
        <w:t>. ROBOTY ROZBIÓRKOWE DLA ROBÓT SIECIOWYCH</w:t>
      </w:r>
      <w:bookmarkEnd w:id="119"/>
      <w:bookmarkEnd w:id="120"/>
      <w:bookmarkEnd w:id="121"/>
    </w:p>
    <w:p w14:paraId="78F31C7E" w14:textId="77777777" w:rsidR="000D799E" w:rsidRPr="002428A4" w:rsidRDefault="000D799E" w:rsidP="000D799E">
      <w:pPr>
        <w:pStyle w:val="Nagwek2"/>
        <w:rPr>
          <w:i w:val="0"/>
          <w:color w:val="000000" w:themeColor="text1"/>
        </w:rPr>
      </w:pPr>
      <w:r w:rsidRPr="002428A4">
        <w:rPr>
          <w:i w:val="0"/>
          <w:color w:val="000000" w:themeColor="text1"/>
        </w:rPr>
        <w:t>1. WSTĘP.</w:t>
      </w:r>
    </w:p>
    <w:p w14:paraId="2198FC5F" w14:textId="77777777" w:rsidR="000D799E" w:rsidRPr="002428A4" w:rsidRDefault="000D799E" w:rsidP="000D799E">
      <w:pPr>
        <w:pStyle w:val="Nagwek3"/>
        <w:spacing w:before="60"/>
        <w:rPr>
          <w:color w:val="000000" w:themeColor="text1"/>
          <w:sz w:val="22"/>
        </w:rPr>
      </w:pPr>
      <w:r w:rsidRPr="002428A4">
        <w:rPr>
          <w:color w:val="000000" w:themeColor="text1"/>
          <w:sz w:val="22"/>
        </w:rPr>
        <w:t>1.1. Przedmiot ST.</w:t>
      </w:r>
    </w:p>
    <w:p w14:paraId="05167FE3" w14:textId="77777777" w:rsidR="000D799E" w:rsidRPr="002428A4" w:rsidRDefault="000D799E" w:rsidP="000D799E">
      <w:pPr>
        <w:pStyle w:val="Specyfikacje"/>
        <w:ind w:left="0"/>
        <w:rPr>
          <w:rFonts w:ascii="Arial" w:hAnsi="Arial" w:cs="Arial"/>
          <w:color w:val="000000" w:themeColor="text1"/>
          <w:sz w:val="18"/>
        </w:rPr>
      </w:pPr>
      <w:r w:rsidRPr="002428A4">
        <w:rPr>
          <w:rFonts w:ascii="Arial" w:hAnsi="Arial" w:cs="Arial"/>
          <w:color w:val="000000" w:themeColor="text1"/>
          <w:sz w:val="18"/>
        </w:rPr>
        <w:t>Przedmiotem niniejszej Specyfikacji Technicznej są wymagania dotyczące wykonania i odbioru robót związanych z realizacją przedsięwzięcia pn. „</w:t>
      </w:r>
      <w:r w:rsidR="002428A4" w:rsidRPr="002428A4">
        <w:rPr>
          <w:rFonts w:ascii="Arial" w:hAnsi="Arial" w:cs="Arial"/>
          <w:b/>
          <w:color w:val="000000" w:themeColor="text1"/>
          <w:sz w:val="18"/>
        </w:rPr>
        <w:t>Przebudowa sieci wodociągowej w ul. Wincentego Kadłubka w</w:t>
      </w:r>
      <w:r w:rsidR="002428A4" w:rsidRPr="002428A4">
        <w:rPr>
          <w:rFonts w:ascii="Arial" w:hAnsi="Arial" w:cs="Arial"/>
          <w:color w:val="000000" w:themeColor="text1"/>
          <w:sz w:val="18"/>
        </w:rPr>
        <w:t xml:space="preserve"> </w:t>
      </w:r>
      <w:r w:rsidR="002428A4" w:rsidRPr="002428A4">
        <w:rPr>
          <w:rFonts w:ascii="Arial" w:hAnsi="Arial" w:cs="Arial"/>
          <w:b/>
          <w:color w:val="000000" w:themeColor="text1"/>
          <w:sz w:val="18"/>
        </w:rPr>
        <w:t>Szczecinie</w:t>
      </w:r>
      <w:r w:rsidRPr="002428A4">
        <w:rPr>
          <w:rFonts w:ascii="Arial" w:hAnsi="Arial" w:cs="Arial"/>
          <w:color w:val="000000" w:themeColor="text1"/>
          <w:sz w:val="18"/>
        </w:rPr>
        <w:t>”.</w:t>
      </w:r>
    </w:p>
    <w:p w14:paraId="4B34E3DB" w14:textId="77777777" w:rsidR="000D799E" w:rsidRPr="002428A4" w:rsidRDefault="000D799E" w:rsidP="000D799E">
      <w:pPr>
        <w:pStyle w:val="Nagwek3"/>
        <w:spacing w:before="60"/>
        <w:rPr>
          <w:color w:val="000000" w:themeColor="text1"/>
          <w:sz w:val="22"/>
        </w:rPr>
      </w:pPr>
      <w:r w:rsidRPr="002428A4">
        <w:rPr>
          <w:color w:val="000000" w:themeColor="text1"/>
          <w:sz w:val="22"/>
        </w:rPr>
        <w:t>1.2. Zakres stosowania ST.</w:t>
      </w:r>
    </w:p>
    <w:p w14:paraId="471631D5" w14:textId="77777777" w:rsidR="000D799E" w:rsidRPr="002428A4" w:rsidRDefault="000D799E" w:rsidP="000D799E">
      <w:pPr>
        <w:pStyle w:val="Specyfikacje"/>
        <w:ind w:left="0"/>
        <w:rPr>
          <w:rFonts w:ascii="Arial" w:hAnsi="Arial" w:cs="Arial"/>
          <w:color w:val="000000" w:themeColor="text1"/>
          <w:sz w:val="18"/>
        </w:rPr>
      </w:pPr>
      <w:r w:rsidRPr="002428A4">
        <w:rPr>
          <w:rFonts w:ascii="Arial" w:hAnsi="Arial" w:cs="Arial"/>
          <w:color w:val="000000" w:themeColor="text1"/>
          <w:sz w:val="18"/>
        </w:rPr>
        <w:t>Specyfikacja Techniczna jest stosowana jako dokument przetargowy i kontraktowy przy zlecaniu i wykonaniu robót związanych z realizacją zadania wymienionego w punkcie 1.1.</w:t>
      </w:r>
    </w:p>
    <w:p w14:paraId="39829A16" w14:textId="77777777" w:rsidR="000D799E" w:rsidRPr="00281D88" w:rsidRDefault="000D799E" w:rsidP="000D799E">
      <w:pPr>
        <w:pStyle w:val="Nagwek3"/>
        <w:spacing w:before="60"/>
        <w:rPr>
          <w:color w:val="000000" w:themeColor="text1"/>
          <w:sz w:val="22"/>
        </w:rPr>
      </w:pPr>
      <w:r w:rsidRPr="002428A4">
        <w:rPr>
          <w:color w:val="000000" w:themeColor="text1"/>
          <w:sz w:val="22"/>
        </w:rPr>
        <w:t xml:space="preserve">1.3. </w:t>
      </w:r>
      <w:r w:rsidRPr="00281D88">
        <w:rPr>
          <w:color w:val="000000" w:themeColor="text1"/>
          <w:sz w:val="22"/>
        </w:rPr>
        <w:t>Zakres robót objętych ST.</w:t>
      </w:r>
    </w:p>
    <w:p w14:paraId="625E126F"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Ustalenia zawarte w niniejszej Specyfikacji dotyczą prowadzenia robót rozbiórkowych zgodnie z Dokumentacją Projektową wraz z rysunkami.</w:t>
      </w:r>
    </w:p>
    <w:p w14:paraId="4DF6215D" w14:textId="77777777" w:rsidR="000D799E" w:rsidRPr="00281D88" w:rsidRDefault="000D799E" w:rsidP="000D799E">
      <w:pPr>
        <w:pStyle w:val="Specyfikacje"/>
        <w:spacing w:after="0"/>
        <w:ind w:left="0"/>
        <w:rPr>
          <w:rFonts w:ascii="Arial" w:hAnsi="Arial" w:cs="Arial"/>
          <w:color w:val="000000" w:themeColor="text1"/>
        </w:rPr>
      </w:pPr>
      <w:r w:rsidRPr="00281D88">
        <w:rPr>
          <w:rFonts w:ascii="Arial" w:hAnsi="Arial" w:cs="Arial"/>
          <w:color w:val="000000" w:themeColor="text1"/>
          <w:sz w:val="18"/>
        </w:rPr>
        <w:t>W zakres prac wchodzi rozbiórka następujących elementów:</w:t>
      </w:r>
    </w:p>
    <w:p w14:paraId="766ABBFB" w14:textId="77777777" w:rsidR="009277A4" w:rsidRPr="00281D88" w:rsidRDefault="00965978"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R</w:t>
      </w:r>
      <w:r w:rsidR="00CA5427" w:rsidRPr="00281D88">
        <w:rPr>
          <w:color w:val="000000" w:themeColor="text1"/>
          <w:sz w:val="18"/>
        </w:rPr>
        <w:t>urociąg</w:t>
      </w:r>
      <w:r w:rsidRPr="00281D88">
        <w:rPr>
          <w:color w:val="000000" w:themeColor="text1"/>
          <w:sz w:val="18"/>
        </w:rPr>
        <w:t>i,</w:t>
      </w:r>
    </w:p>
    <w:p w14:paraId="77BA8C28" w14:textId="77777777" w:rsidR="00157138" w:rsidRPr="00281D88" w:rsidRDefault="00157138"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hydranty,</w:t>
      </w:r>
    </w:p>
    <w:p w14:paraId="4A9FE406" w14:textId="77777777" w:rsidR="00157138" w:rsidRPr="00281D88" w:rsidRDefault="00157138"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zasuwy</w:t>
      </w:r>
    </w:p>
    <w:p w14:paraId="72FBA001" w14:textId="77777777" w:rsidR="000D799E" w:rsidRPr="00281D88" w:rsidRDefault="000D799E" w:rsidP="000D799E">
      <w:pPr>
        <w:pStyle w:val="Nagwek3"/>
        <w:spacing w:before="60"/>
        <w:rPr>
          <w:color w:val="000000" w:themeColor="text1"/>
          <w:sz w:val="22"/>
        </w:rPr>
      </w:pPr>
      <w:r w:rsidRPr="00281D88">
        <w:rPr>
          <w:color w:val="000000" w:themeColor="text1"/>
          <w:sz w:val="22"/>
        </w:rPr>
        <w:t>1.4. Określenia podstawowe.</w:t>
      </w:r>
    </w:p>
    <w:p w14:paraId="3A3640CC"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Określenia podstawowe są zgodne z obowiązującymi, odpowiednimi polskimi normami i z definicjami podanymi w Specyfikacji Technicznej ST-00.00 “Wymagania ogólne”</w:t>
      </w:r>
    </w:p>
    <w:p w14:paraId="4E60A474" w14:textId="77777777" w:rsidR="000D799E" w:rsidRPr="00281D88" w:rsidRDefault="000D799E" w:rsidP="000D799E">
      <w:pPr>
        <w:pStyle w:val="Nagwek2"/>
        <w:rPr>
          <w:i w:val="0"/>
          <w:color w:val="000000" w:themeColor="text1"/>
        </w:rPr>
      </w:pPr>
      <w:r w:rsidRPr="00281D88">
        <w:rPr>
          <w:i w:val="0"/>
          <w:color w:val="000000" w:themeColor="text1"/>
        </w:rPr>
        <w:t>2. MATERIAŁY</w:t>
      </w:r>
    </w:p>
    <w:p w14:paraId="6C91E7E1" w14:textId="77777777" w:rsidR="000D799E" w:rsidRPr="00281D88" w:rsidRDefault="000D799E" w:rsidP="000D799E">
      <w:pPr>
        <w:pStyle w:val="Specyfikacje"/>
        <w:spacing w:after="0"/>
        <w:ind w:left="0"/>
        <w:rPr>
          <w:color w:val="000000" w:themeColor="text1"/>
          <w:sz w:val="18"/>
        </w:rPr>
      </w:pPr>
      <w:r w:rsidRPr="00281D88">
        <w:rPr>
          <w:rFonts w:ascii="Arial" w:hAnsi="Arial" w:cs="Arial"/>
          <w:color w:val="000000" w:themeColor="text1"/>
          <w:sz w:val="18"/>
        </w:rPr>
        <w:t>Ogólne wymagania dotyczące materiałów, ich pozyskiwania i składowania podano  w  „Wymagania ogólne”.</w:t>
      </w:r>
    </w:p>
    <w:p w14:paraId="3479989A" w14:textId="77777777" w:rsidR="000D799E" w:rsidRPr="00281D88" w:rsidRDefault="000D799E" w:rsidP="000D799E">
      <w:pPr>
        <w:pStyle w:val="Nagwek2"/>
        <w:rPr>
          <w:i w:val="0"/>
          <w:color w:val="000000" w:themeColor="text1"/>
        </w:rPr>
      </w:pPr>
      <w:r w:rsidRPr="00281D88">
        <w:rPr>
          <w:i w:val="0"/>
          <w:color w:val="000000" w:themeColor="text1"/>
        </w:rPr>
        <w:t>3. SPRZĘT</w:t>
      </w:r>
    </w:p>
    <w:p w14:paraId="37E01B25"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Wymagania ogólne dotyczące sprzętu podano w ST-00.00 “Wymagania ogólne”</w:t>
      </w:r>
    </w:p>
    <w:p w14:paraId="2B7E340F"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Zgodnie z technologią założoną w Dokumentacji Projektowej do wykonania robót rozbiórkowych proponuje się użyć następującego sprzętu:</w:t>
      </w:r>
    </w:p>
    <w:p w14:paraId="239FE038"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dźwig,</w:t>
      </w:r>
    </w:p>
    <w:p w14:paraId="476983BC"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wciągarka ręczna,</w:t>
      </w:r>
    </w:p>
    <w:p w14:paraId="35EF9066"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 xml:space="preserve">zestaw spawalniczy </w:t>
      </w:r>
      <w:proofErr w:type="spellStart"/>
      <w:r w:rsidRPr="00281D88">
        <w:rPr>
          <w:color w:val="000000" w:themeColor="text1"/>
          <w:sz w:val="18"/>
        </w:rPr>
        <w:t>acetylenowo-tlenowy</w:t>
      </w:r>
      <w:proofErr w:type="spellEnd"/>
      <w:r w:rsidRPr="00281D88">
        <w:rPr>
          <w:color w:val="000000" w:themeColor="text1"/>
          <w:sz w:val="18"/>
        </w:rPr>
        <w:t>,</w:t>
      </w:r>
    </w:p>
    <w:p w14:paraId="42836F5F"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elektrownia polowa,</w:t>
      </w:r>
    </w:p>
    <w:p w14:paraId="475472F1"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młot pneumatyczny z agregatem,</w:t>
      </w:r>
    </w:p>
    <w:p w14:paraId="0DCA62D1"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przecinarka tarczowa,</w:t>
      </w:r>
    </w:p>
    <w:p w14:paraId="283DA88B"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koparko-ładowarka,</w:t>
      </w:r>
    </w:p>
    <w:p w14:paraId="6077B44F"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spycharka gąsienicowa.</w:t>
      </w:r>
    </w:p>
    <w:p w14:paraId="6B4D3667" w14:textId="77777777" w:rsidR="000D799E" w:rsidRPr="00281D88" w:rsidRDefault="000D799E" w:rsidP="000D799E">
      <w:pPr>
        <w:pStyle w:val="Nagwek2"/>
        <w:rPr>
          <w:i w:val="0"/>
          <w:color w:val="000000" w:themeColor="text1"/>
        </w:rPr>
      </w:pPr>
      <w:r w:rsidRPr="00281D88">
        <w:rPr>
          <w:i w:val="0"/>
          <w:color w:val="000000" w:themeColor="text1"/>
        </w:rPr>
        <w:t>4. TRANSPORT</w:t>
      </w:r>
    </w:p>
    <w:p w14:paraId="0C2D095A"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Wymagania ogólne dotyczące transportu materiałów podano w ST-00.00 “Wymagania ogólne”</w:t>
      </w:r>
    </w:p>
    <w:p w14:paraId="36CC85F5"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Zgodnie z technologią założoną w Dokumentacji Projektowej do transportu proponuje się użyć takich środków transportu, jak:</w:t>
      </w:r>
    </w:p>
    <w:p w14:paraId="5F3BCDB0"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samochód skrzyniowy,</w:t>
      </w:r>
    </w:p>
    <w:p w14:paraId="144EAFEF"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ciągnik kołowy,</w:t>
      </w:r>
    </w:p>
    <w:p w14:paraId="29C012E2"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przyczepa dłużycowa,</w:t>
      </w:r>
    </w:p>
    <w:p w14:paraId="48A11E46"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przyczepa skrzyniowa,</w:t>
      </w:r>
    </w:p>
    <w:p w14:paraId="681349C8" w14:textId="77777777" w:rsidR="000D799E" w:rsidRPr="00281D88" w:rsidRDefault="000D799E" w:rsidP="000D799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samochód samowyładowczy 5-15 t.</w:t>
      </w:r>
    </w:p>
    <w:p w14:paraId="47025C24" w14:textId="77777777" w:rsidR="000D799E" w:rsidRPr="00281D88" w:rsidRDefault="000D799E" w:rsidP="000D799E">
      <w:pPr>
        <w:pStyle w:val="Nagwek2"/>
        <w:rPr>
          <w:i w:val="0"/>
          <w:color w:val="000000" w:themeColor="text1"/>
        </w:rPr>
      </w:pPr>
      <w:r w:rsidRPr="00281D88">
        <w:rPr>
          <w:i w:val="0"/>
          <w:color w:val="000000" w:themeColor="text1"/>
        </w:rPr>
        <w:t>5. WYKONANIE ROBÓT</w:t>
      </w:r>
    </w:p>
    <w:p w14:paraId="4095ACCA" w14:textId="77777777" w:rsidR="000D799E" w:rsidRPr="00281D88" w:rsidRDefault="000D799E" w:rsidP="000D799E">
      <w:pPr>
        <w:pStyle w:val="Nagwek3"/>
        <w:spacing w:before="60"/>
        <w:rPr>
          <w:color w:val="000000" w:themeColor="text1"/>
          <w:szCs w:val="22"/>
        </w:rPr>
      </w:pPr>
      <w:r w:rsidRPr="00281D88">
        <w:rPr>
          <w:color w:val="000000" w:themeColor="text1"/>
          <w:sz w:val="22"/>
        </w:rPr>
        <w:t>5.1. Ogólne warunki wykonania robót.</w:t>
      </w:r>
    </w:p>
    <w:p w14:paraId="4912A7CF"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Ogólne wymagania dotyczące wykonania robót podano w ST-00.00 „Wymagania ogólne”.</w:t>
      </w:r>
    </w:p>
    <w:p w14:paraId="6BBC95A6"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Wymagania dotyczące wykonania robót podano w Dokumentacji Projektowej a ponadto:</w:t>
      </w:r>
    </w:p>
    <w:p w14:paraId="3CC5FF42"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roboty rozbiórkowe należy prowadzić ręcznie, przy użyciu narzędzi pneumatycznych, przez rozkuwanie lub zwalanie,</w:t>
      </w:r>
    </w:p>
    <w:p w14:paraId="12DE6DDB"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elementy żelbetowe należy rozbijać za pomocą narzędzi pneumatycznych, przecinając zbrojenie palnikiem acetylenowym,</w:t>
      </w:r>
    </w:p>
    <w:p w14:paraId="7A292D17"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elementy konstrukcji stalowych należy przecinać palnikiem acetylenowym,</w:t>
      </w:r>
    </w:p>
    <w:p w14:paraId="18B3D6F3"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nie można prowadzić rozbiórki elementów konstrukcyjnych jednocześnie na kilku poziomach,</w:t>
      </w:r>
    </w:p>
    <w:p w14:paraId="4649EB0A"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lastRenderedPageBreak/>
        <w:t>nie należy prowadzić robót rozbiórkowych na zewnątrz w złych warunkach atmosferycznych: w czasie deszczu, opadów śniegu oraz silnych wiatrów,</w:t>
      </w:r>
    </w:p>
    <w:p w14:paraId="1CCAB268"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roboty należy prowadzić tak, aby nie została naruszona stateczność rozbieranego elementu, oraz tak, aby usuwanie jednego elementu konstrukcyjnego nie wywołało nieprzewidzianego upadku lub przewrócenia się innego fragmentu konstrukcji,</w:t>
      </w:r>
    </w:p>
    <w:p w14:paraId="272AF61B"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znajdujące się w pobliżu rozbieranych obiektów urządzenia i budowle należy zabezpieczyć przed uszkodzeniami,</w:t>
      </w:r>
    </w:p>
    <w:p w14:paraId="363037BC" w14:textId="77777777" w:rsidR="000D799E" w:rsidRPr="00281D88" w:rsidRDefault="000D799E" w:rsidP="000D799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należy zwracać uwagę aby nie uszkodzić skrzynek zasuw wodociągowych i gazowych na czynnych sieciach</w:t>
      </w:r>
    </w:p>
    <w:p w14:paraId="72D6FD89" w14:textId="77777777" w:rsidR="005E573B" w:rsidRPr="00281D88" w:rsidRDefault="005E573B" w:rsidP="005E573B">
      <w:pPr>
        <w:pStyle w:val="Nagwek3"/>
        <w:spacing w:before="60"/>
        <w:rPr>
          <w:color w:val="000000" w:themeColor="text1"/>
          <w:sz w:val="22"/>
        </w:rPr>
      </w:pPr>
      <w:r w:rsidRPr="00281D88">
        <w:rPr>
          <w:color w:val="000000" w:themeColor="text1"/>
          <w:sz w:val="22"/>
        </w:rPr>
        <w:t>5.2. Rozbiórka rurociągów</w:t>
      </w:r>
    </w:p>
    <w:p w14:paraId="3CC97398" w14:textId="77777777" w:rsidR="005E573B" w:rsidRPr="00281D88" w:rsidRDefault="005E573B" w:rsidP="005E573B">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 xml:space="preserve">Rurociągi demontować w gotowym wykopie przy pomocy sprzętu mechanicznego etapami usuwając rurę przewodową przy pomocy koparki i dźwigu, jednocześnie umacniając skarpy wykopu. Pozostałe elementy (armaturę) oraz opaski połączeń usuwać ręcznie lub mechanicznie. Materiał posortować asortymentami i przekazać Zamawiającemu. </w:t>
      </w:r>
    </w:p>
    <w:p w14:paraId="17646DC1" w14:textId="77777777" w:rsidR="005E573B" w:rsidRPr="00281D88" w:rsidRDefault="005E573B" w:rsidP="005E573B">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Zaślepienia pozostawionych w gruncie rurociągów należy realizować przy pomocy korków betonowych wykonanych ciśnieniowo</w:t>
      </w:r>
    </w:p>
    <w:p w14:paraId="02D34F4C" w14:textId="77777777" w:rsidR="005E573B" w:rsidRPr="00281D88" w:rsidRDefault="005E573B" w:rsidP="005E573B">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Powstały gruz i elementy nieprzydatne transportować na miejsce składowania.</w:t>
      </w:r>
    </w:p>
    <w:p w14:paraId="7F95C357" w14:textId="77777777" w:rsidR="00626CBA" w:rsidRPr="00281D88" w:rsidRDefault="00626CBA" w:rsidP="000D799E">
      <w:pPr>
        <w:pStyle w:val="Specyfikacje"/>
        <w:spacing w:after="0"/>
        <w:ind w:left="0"/>
        <w:rPr>
          <w:rFonts w:ascii="Arial" w:hAnsi="Arial" w:cs="Arial"/>
          <w:color w:val="000000" w:themeColor="text1"/>
          <w:sz w:val="18"/>
        </w:rPr>
      </w:pPr>
    </w:p>
    <w:p w14:paraId="2F73CB4F" w14:textId="77777777" w:rsidR="00157138" w:rsidRPr="00281D88" w:rsidRDefault="00DD684E" w:rsidP="00157138">
      <w:pPr>
        <w:pStyle w:val="Nagwek3"/>
        <w:spacing w:before="60"/>
        <w:rPr>
          <w:color w:val="000000" w:themeColor="text1"/>
          <w:sz w:val="22"/>
        </w:rPr>
      </w:pPr>
      <w:r w:rsidRPr="00281D88">
        <w:rPr>
          <w:color w:val="000000" w:themeColor="text1"/>
          <w:sz w:val="22"/>
        </w:rPr>
        <w:t>5.3</w:t>
      </w:r>
      <w:r w:rsidR="00157138" w:rsidRPr="00281D88">
        <w:rPr>
          <w:color w:val="000000" w:themeColor="text1"/>
          <w:sz w:val="22"/>
        </w:rPr>
        <w:t>. Rozbiórka hydrantów i zasuw.</w:t>
      </w:r>
    </w:p>
    <w:p w14:paraId="084B5312" w14:textId="77777777" w:rsidR="00157138" w:rsidRPr="00281D88" w:rsidRDefault="00157138" w:rsidP="00157138">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Elementy tworzywowe rozbierać mechanicznie przy pomocy koparki oraz ręcznie.</w:t>
      </w:r>
    </w:p>
    <w:p w14:paraId="4CBE83F3" w14:textId="77777777" w:rsidR="00157138" w:rsidRPr="00281D88" w:rsidRDefault="00157138" w:rsidP="00157138">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Powstały gruz transportować na miejsce składowania.</w:t>
      </w:r>
    </w:p>
    <w:p w14:paraId="43D8D3C6" w14:textId="77777777" w:rsidR="00157138" w:rsidRPr="00281D88" w:rsidRDefault="00157138" w:rsidP="00157138">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Elementy nieprzydatne transportować na miejsce składowania. Zdemontowane elementy istniejącego uzbrojenia (zasuwy, hydranty itp.) należy przekazać eksploatatorowi sieci.</w:t>
      </w:r>
    </w:p>
    <w:p w14:paraId="70412C3E" w14:textId="77777777" w:rsidR="000D799E" w:rsidRPr="00281D88" w:rsidRDefault="000D799E" w:rsidP="000D799E">
      <w:pPr>
        <w:pStyle w:val="Nagwek2"/>
        <w:rPr>
          <w:i w:val="0"/>
          <w:color w:val="000000" w:themeColor="text1"/>
        </w:rPr>
      </w:pPr>
      <w:r w:rsidRPr="00281D88">
        <w:rPr>
          <w:i w:val="0"/>
          <w:color w:val="000000" w:themeColor="text1"/>
        </w:rPr>
        <w:t>6. ODPADY BUDOWLANE</w:t>
      </w:r>
    </w:p>
    <w:p w14:paraId="0F4B3426"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Gruz budowlany przekazać do rozdrobnienia i powtórnego wykorzystania na cele budowlane lub wywieźć na składowisko odpadów komunalnych.</w:t>
      </w:r>
    </w:p>
    <w:p w14:paraId="531C3F64" w14:textId="77777777" w:rsidR="000D799E" w:rsidRPr="00281D88" w:rsidRDefault="000D799E" w:rsidP="000D799E">
      <w:pPr>
        <w:pStyle w:val="Nagwek2"/>
        <w:rPr>
          <w:i w:val="0"/>
          <w:color w:val="000000" w:themeColor="text1"/>
        </w:rPr>
      </w:pPr>
      <w:r w:rsidRPr="00281D88">
        <w:rPr>
          <w:i w:val="0"/>
          <w:color w:val="000000" w:themeColor="text1"/>
        </w:rPr>
        <w:t>7. KONTROLA JAKOŚCI ROBÓT</w:t>
      </w:r>
    </w:p>
    <w:p w14:paraId="7DB8B1E5"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Ogólne zasady kontroli jakości podano w Specyfikacji Technicznej ST-00.00. “Wymagania Ogólne”.</w:t>
      </w:r>
    </w:p>
    <w:p w14:paraId="318DA4D7" w14:textId="77777777" w:rsidR="000D799E" w:rsidRPr="00281D88" w:rsidRDefault="000D799E" w:rsidP="000D799E">
      <w:pPr>
        <w:pStyle w:val="Nagwek2"/>
        <w:rPr>
          <w:i w:val="0"/>
          <w:color w:val="000000" w:themeColor="text1"/>
        </w:rPr>
      </w:pPr>
      <w:r w:rsidRPr="00281D88">
        <w:rPr>
          <w:i w:val="0"/>
          <w:color w:val="000000" w:themeColor="text1"/>
        </w:rPr>
        <w:t>8.ODBIÓR ROBÓT</w:t>
      </w:r>
    </w:p>
    <w:p w14:paraId="21F98F51"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Ogólne zasady odbioru prac podano w Specyfikacji Technicznej ST-00.00. “Wymagania Ogólne”.</w:t>
      </w:r>
    </w:p>
    <w:p w14:paraId="7DFBEDA4" w14:textId="77777777" w:rsidR="000D799E" w:rsidRPr="00281D88" w:rsidRDefault="000D799E" w:rsidP="000D799E">
      <w:pPr>
        <w:pStyle w:val="Nagwek2"/>
        <w:rPr>
          <w:i w:val="0"/>
          <w:color w:val="000000" w:themeColor="text1"/>
        </w:rPr>
      </w:pPr>
      <w:r w:rsidRPr="00281D88">
        <w:rPr>
          <w:i w:val="0"/>
          <w:color w:val="000000" w:themeColor="text1"/>
        </w:rPr>
        <w:t>9. OBMIAR ROBÓT</w:t>
      </w:r>
    </w:p>
    <w:p w14:paraId="44D896E7"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Jednostką obmiaru robót jest:</w:t>
      </w:r>
    </w:p>
    <w:p w14:paraId="4421EC2B" w14:textId="77777777" w:rsidR="00DD684E" w:rsidRPr="00281D88" w:rsidRDefault="00DD684E" w:rsidP="00DD684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1 komplet rozebranego obiektu, elementu</w:t>
      </w:r>
    </w:p>
    <w:p w14:paraId="646DF5B3" w14:textId="77777777" w:rsidR="00DD684E" w:rsidRPr="00281D88" w:rsidRDefault="00DD684E" w:rsidP="00DD684E">
      <w:pPr>
        <w:pStyle w:val="00Tekst"/>
        <w:numPr>
          <w:ilvl w:val="0"/>
          <w:numId w:val="6"/>
        </w:numPr>
        <w:tabs>
          <w:tab w:val="clear" w:pos="709"/>
          <w:tab w:val="left" w:pos="57"/>
          <w:tab w:val="num" w:pos="284"/>
        </w:tabs>
        <w:spacing w:line="240" w:lineRule="auto"/>
        <w:rPr>
          <w:color w:val="000000" w:themeColor="text1"/>
          <w:sz w:val="18"/>
        </w:rPr>
      </w:pPr>
      <w:r w:rsidRPr="00281D88">
        <w:rPr>
          <w:color w:val="000000" w:themeColor="text1"/>
          <w:sz w:val="18"/>
        </w:rPr>
        <w:t>1 m zamulenia rurociągu</w:t>
      </w:r>
    </w:p>
    <w:p w14:paraId="6977CA30" w14:textId="77777777" w:rsidR="000D799E" w:rsidRPr="00281D88" w:rsidRDefault="000D799E" w:rsidP="000D799E">
      <w:pPr>
        <w:pStyle w:val="Nagwek2"/>
        <w:rPr>
          <w:i w:val="0"/>
          <w:color w:val="000000" w:themeColor="text1"/>
        </w:rPr>
      </w:pPr>
      <w:r w:rsidRPr="00281D88">
        <w:rPr>
          <w:i w:val="0"/>
          <w:color w:val="000000" w:themeColor="text1"/>
        </w:rPr>
        <w:t>10. PODSTAWA PŁATNOŚCI</w:t>
      </w:r>
    </w:p>
    <w:p w14:paraId="33947E70" w14:textId="77777777" w:rsidR="000D799E" w:rsidRPr="00281D88" w:rsidRDefault="000D799E" w:rsidP="000D799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Płatność należy przyjmować zgodnie z obmiarem i oceną jakości wykonanych robót na podstawie wyników pomiarów i badań kontrolnych.</w:t>
      </w:r>
    </w:p>
    <w:p w14:paraId="62C350D9" w14:textId="77777777" w:rsidR="00DD684E" w:rsidRPr="00281D88" w:rsidRDefault="00DD684E" w:rsidP="00DD684E">
      <w:pPr>
        <w:pStyle w:val="Specyfikacje"/>
        <w:spacing w:after="0"/>
        <w:ind w:left="0"/>
        <w:rPr>
          <w:rFonts w:ascii="Arial" w:hAnsi="Arial" w:cs="Arial"/>
          <w:color w:val="000000" w:themeColor="text1"/>
          <w:sz w:val="18"/>
        </w:rPr>
      </w:pPr>
    </w:p>
    <w:p w14:paraId="7A017D94" w14:textId="77777777" w:rsidR="006844DC" w:rsidRPr="00281D88" w:rsidRDefault="006844DC" w:rsidP="006844DC">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Cena 1 m likwidacji lub demontażu rurociągu obejmuje:</w:t>
      </w:r>
    </w:p>
    <w:p w14:paraId="263B946C" w14:textId="77777777" w:rsidR="006844DC" w:rsidRPr="00281D88" w:rsidRDefault="006844DC" w:rsidP="006844DC">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niezbędne roboty ziemne,</w:t>
      </w:r>
    </w:p>
    <w:p w14:paraId="56B9BE3D" w14:textId="77777777" w:rsidR="006844DC" w:rsidRPr="00281D88" w:rsidRDefault="006844DC" w:rsidP="006844DC">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demontaż rurociągu,</w:t>
      </w:r>
    </w:p>
    <w:p w14:paraId="2EC3FD2F" w14:textId="77777777" w:rsidR="006844DC" w:rsidRPr="00281D88" w:rsidRDefault="006844DC" w:rsidP="006844DC">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wywóz i utylizację materiałów z rozbiórki.</w:t>
      </w:r>
    </w:p>
    <w:p w14:paraId="2FD4B171" w14:textId="77777777" w:rsidR="006844DC" w:rsidRPr="00281D88" w:rsidRDefault="006844DC" w:rsidP="00DD684E">
      <w:pPr>
        <w:pStyle w:val="Specyfikacje"/>
        <w:spacing w:after="0"/>
        <w:ind w:left="0"/>
        <w:rPr>
          <w:rFonts w:ascii="Arial" w:hAnsi="Arial" w:cs="Arial"/>
          <w:color w:val="000000" w:themeColor="text1"/>
          <w:sz w:val="18"/>
        </w:rPr>
      </w:pPr>
    </w:p>
    <w:p w14:paraId="0DA80CD4" w14:textId="77777777" w:rsidR="00DD684E" w:rsidRPr="00281D88" w:rsidRDefault="00DD684E" w:rsidP="00DD684E">
      <w:pPr>
        <w:pStyle w:val="Specyfikacje"/>
        <w:spacing w:after="0"/>
        <w:ind w:left="0"/>
        <w:rPr>
          <w:rFonts w:ascii="Arial" w:hAnsi="Arial" w:cs="Arial"/>
          <w:color w:val="000000" w:themeColor="text1"/>
          <w:sz w:val="18"/>
        </w:rPr>
      </w:pPr>
      <w:r w:rsidRPr="00281D88">
        <w:rPr>
          <w:rFonts w:ascii="Arial" w:hAnsi="Arial" w:cs="Arial"/>
          <w:color w:val="000000" w:themeColor="text1"/>
          <w:sz w:val="18"/>
        </w:rPr>
        <w:t>Cena 1 kompletu rozebranego obiektu, elementu obejmuje:</w:t>
      </w:r>
    </w:p>
    <w:p w14:paraId="0300CD27" w14:textId="77777777" w:rsidR="00DD684E" w:rsidRPr="00281D88" w:rsidRDefault="00DD684E" w:rsidP="00DD684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niezbędne roboty ziemne,</w:t>
      </w:r>
    </w:p>
    <w:p w14:paraId="50CB041E" w14:textId="77777777" w:rsidR="00DD684E" w:rsidRPr="00281D88" w:rsidRDefault="00DD684E" w:rsidP="00DD684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likwidację obiektu, elementu,</w:t>
      </w:r>
    </w:p>
    <w:p w14:paraId="1769E086" w14:textId="77777777" w:rsidR="00DD684E" w:rsidRPr="00281D88" w:rsidRDefault="00DD684E" w:rsidP="00DD684E">
      <w:pPr>
        <w:pStyle w:val="Specyfikacje"/>
        <w:numPr>
          <w:ilvl w:val="0"/>
          <w:numId w:val="8"/>
        </w:numPr>
        <w:spacing w:after="0"/>
        <w:ind w:left="142" w:hanging="142"/>
        <w:rPr>
          <w:rFonts w:ascii="Arial" w:hAnsi="Arial" w:cs="Arial"/>
          <w:color w:val="000000" w:themeColor="text1"/>
          <w:sz w:val="18"/>
        </w:rPr>
      </w:pPr>
      <w:r w:rsidRPr="00281D88">
        <w:rPr>
          <w:rFonts w:ascii="Arial" w:hAnsi="Arial" w:cs="Arial"/>
          <w:color w:val="000000" w:themeColor="text1"/>
          <w:sz w:val="18"/>
        </w:rPr>
        <w:t>wywóz i utylizację materiałów z rozbiórki.</w:t>
      </w:r>
    </w:p>
    <w:p w14:paraId="53D73531" w14:textId="77777777" w:rsidR="000D799E" w:rsidRPr="00281D88" w:rsidRDefault="000D799E" w:rsidP="000D799E">
      <w:pPr>
        <w:pStyle w:val="Nagwek2"/>
        <w:rPr>
          <w:i w:val="0"/>
          <w:color w:val="000000" w:themeColor="text1"/>
        </w:rPr>
      </w:pPr>
      <w:r w:rsidRPr="00281D88">
        <w:rPr>
          <w:i w:val="0"/>
          <w:color w:val="000000" w:themeColor="text1"/>
        </w:rPr>
        <w:t xml:space="preserve">11. </w:t>
      </w:r>
      <w:r w:rsidR="00DD684E" w:rsidRPr="00281D88">
        <w:rPr>
          <w:i w:val="0"/>
          <w:color w:val="000000" w:themeColor="text1"/>
        </w:rPr>
        <w:t>P</w:t>
      </w:r>
      <w:r w:rsidRPr="00281D88">
        <w:rPr>
          <w:i w:val="0"/>
          <w:color w:val="000000" w:themeColor="text1"/>
        </w:rPr>
        <w:t>RZEPISY ZWIĄZANE</w:t>
      </w:r>
    </w:p>
    <w:p w14:paraId="022081B4" w14:textId="77777777" w:rsidR="000D799E" w:rsidRPr="00281D88" w:rsidRDefault="000D799E" w:rsidP="000D799E">
      <w:pPr>
        <w:pStyle w:val="00Tekst"/>
        <w:numPr>
          <w:ilvl w:val="0"/>
          <w:numId w:val="6"/>
        </w:numPr>
        <w:tabs>
          <w:tab w:val="clear" w:pos="709"/>
          <w:tab w:val="left" w:pos="57"/>
          <w:tab w:val="num" w:pos="284"/>
        </w:tabs>
        <w:spacing w:line="240" w:lineRule="auto"/>
        <w:rPr>
          <w:rFonts w:eastAsia="Times New Roman" w:cs="Arial"/>
          <w:b/>
          <w:bCs/>
          <w:color w:val="000000" w:themeColor="text1"/>
          <w:sz w:val="18"/>
          <w:szCs w:val="18"/>
          <w:lang w:eastAsia="pl-PL"/>
        </w:rPr>
      </w:pPr>
      <w:r w:rsidRPr="00281D88">
        <w:rPr>
          <w:color w:val="000000" w:themeColor="text1"/>
          <w:sz w:val="18"/>
          <w:szCs w:val="18"/>
        </w:rPr>
        <w:t>Dz</w:t>
      </w:r>
      <w:r w:rsidRPr="00281D88">
        <w:rPr>
          <w:rFonts w:cs="Arial"/>
          <w:color w:val="000000" w:themeColor="text1"/>
          <w:sz w:val="18"/>
          <w:szCs w:val="18"/>
        </w:rPr>
        <w:t>.U. Nr 47 poz. 401- Rozporządzenie Ministra Infrastruktury z dnia 06.02.2003r. w sprawie bezpieczeństwa i higieny pracy podczas wykonywania robót budowlanych</w:t>
      </w:r>
    </w:p>
    <w:p w14:paraId="341C9542" w14:textId="77777777" w:rsidR="000D799E" w:rsidRPr="00281D88" w:rsidRDefault="000D799E" w:rsidP="000D799E">
      <w:pPr>
        <w:pStyle w:val="00Tekst"/>
        <w:tabs>
          <w:tab w:val="left" w:pos="57"/>
        </w:tabs>
        <w:spacing w:line="240" w:lineRule="auto"/>
        <w:ind w:left="0"/>
        <w:rPr>
          <w:color w:val="000000" w:themeColor="text1"/>
          <w:sz w:val="18"/>
        </w:rPr>
      </w:pPr>
    </w:p>
    <w:p w14:paraId="4796C7AA" w14:textId="77777777" w:rsidR="000D799E" w:rsidRPr="004D7D23" w:rsidRDefault="000D799E" w:rsidP="000D799E">
      <w:pPr>
        <w:pStyle w:val="00Tekst"/>
        <w:tabs>
          <w:tab w:val="left" w:pos="57"/>
        </w:tabs>
        <w:spacing w:line="240" w:lineRule="auto"/>
        <w:ind w:left="0"/>
        <w:rPr>
          <w:color w:val="FF0000"/>
          <w:sz w:val="18"/>
        </w:rPr>
      </w:pPr>
    </w:p>
    <w:p w14:paraId="7E76A88F" w14:textId="77777777" w:rsidR="000D799E" w:rsidRPr="004D7D23" w:rsidRDefault="000D799E" w:rsidP="000D799E">
      <w:pPr>
        <w:pStyle w:val="Specyfikacje"/>
        <w:spacing w:after="0"/>
        <w:ind w:left="0"/>
        <w:rPr>
          <w:color w:val="FF0000"/>
          <w:sz w:val="18"/>
        </w:rPr>
      </w:pPr>
    </w:p>
    <w:p w14:paraId="292D740E" w14:textId="77777777" w:rsidR="000D799E" w:rsidRPr="004D7D23" w:rsidRDefault="000D799E" w:rsidP="000D799E">
      <w:pPr>
        <w:pStyle w:val="Specyfikacje"/>
        <w:spacing w:after="0"/>
        <w:ind w:left="0"/>
        <w:rPr>
          <w:rFonts w:ascii="Arial" w:hAnsi="Arial" w:cs="Arial"/>
          <w:color w:val="FF0000"/>
          <w:sz w:val="18"/>
        </w:rPr>
      </w:pPr>
    </w:p>
    <w:p w14:paraId="4FCA0B89" w14:textId="77777777" w:rsidR="000D799E" w:rsidRPr="004D7D23" w:rsidRDefault="000D799E" w:rsidP="000D799E">
      <w:pPr>
        <w:pStyle w:val="Tekstpodstawowy"/>
        <w:rPr>
          <w:color w:val="FF0000"/>
        </w:rPr>
      </w:pPr>
    </w:p>
    <w:p w14:paraId="1529676E" w14:textId="77777777" w:rsidR="000D799E" w:rsidRPr="004D7D23" w:rsidRDefault="000D799E" w:rsidP="000D799E">
      <w:pPr>
        <w:pStyle w:val="Tekstpodstawowy"/>
        <w:rPr>
          <w:color w:val="FF0000"/>
        </w:rPr>
      </w:pPr>
    </w:p>
    <w:p w14:paraId="7071A693" w14:textId="77777777" w:rsidR="000D799E" w:rsidRPr="004D7D23" w:rsidRDefault="000D799E" w:rsidP="000D799E">
      <w:pPr>
        <w:pStyle w:val="Tekstpodstawowy"/>
        <w:rPr>
          <w:color w:val="FF0000"/>
        </w:rPr>
      </w:pPr>
    </w:p>
    <w:p w14:paraId="53103768" w14:textId="77777777" w:rsidR="00165A71" w:rsidRPr="002F21D3" w:rsidRDefault="00165A71" w:rsidP="00F45500">
      <w:pPr>
        <w:pStyle w:val="Nagwek1"/>
        <w:jc w:val="center"/>
        <w:rPr>
          <w:color w:val="000000" w:themeColor="text1"/>
          <w:sz w:val="40"/>
          <w:szCs w:val="40"/>
        </w:rPr>
      </w:pPr>
      <w:bookmarkStart w:id="122" w:name="_Toc163481043"/>
      <w:r w:rsidRPr="002F21D3">
        <w:rPr>
          <w:color w:val="000000" w:themeColor="text1"/>
          <w:sz w:val="40"/>
          <w:szCs w:val="40"/>
        </w:rPr>
        <w:lastRenderedPageBreak/>
        <w:t>ST-00.0</w:t>
      </w:r>
      <w:r w:rsidR="008A1FD5">
        <w:rPr>
          <w:color w:val="000000" w:themeColor="text1"/>
          <w:sz w:val="40"/>
          <w:szCs w:val="40"/>
        </w:rPr>
        <w:t>7</w:t>
      </w:r>
      <w:r w:rsidRPr="002F21D3">
        <w:rPr>
          <w:color w:val="000000" w:themeColor="text1"/>
          <w:sz w:val="40"/>
          <w:szCs w:val="40"/>
        </w:rPr>
        <w:t>. ODTWORZENIE NAWIERZCHNI</w:t>
      </w:r>
      <w:bookmarkEnd w:id="122"/>
    </w:p>
    <w:p w14:paraId="302A811A" w14:textId="77777777" w:rsidR="00F45500" w:rsidRPr="002F21D3" w:rsidRDefault="00072856" w:rsidP="00F45500">
      <w:pPr>
        <w:pStyle w:val="Nagwek1"/>
        <w:jc w:val="center"/>
        <w:rPr>
          <w:color w:val="000000" w:themeColor="text1"/>
          <w:sz w:val="40"/>
          <w:szCs w:val="40"/>
        </w:rPr>
      </w:pPr>
      <w:bookmarkStart w:id="123" w:name="_Toc163481044"/>
      <w:r w:rsidRPr="002F21D3">
        <w:rPr>
          <w:color w:val="000000" w:themeColor="text1"/>
          <w:sz w:val="40"/>
          <w:szCs w:val="40"/>
        </w:rPr>
        <w:t>D-</w:t>
      </w:r>
      <w:r w:rsidR="00F45500" w:rsidRPr="002F21D3">
        <w:rPr>
          <w:color w:val="000000" w:themeColor="text1"/>
          <w:sz w:val="40"/>
          <w:szCs w:val="40"/>
        </w:rPr>
        <w:t>00.00.00 WYMAGANIA OGÓLNE</w:t>
      </w:r>
      <w:bookmarkEnd w:id="123"/>
    </w:p>
    <w:p w14:paraId="69A780A2" w14:textId="77777777" w:rsidR="00F45500" w:rsidRPr="002F21D3" w:rsidRDefault="00F45500" w:rsidP="004F17AA">
      <w:pPr>
        <w:pStyle w:val="Nagwek2"/>
        <w:rPr>
          <w:i w:val="0"/>
          <w:color w:val="000000" w:themeColor="text1"/>
        </w:rPr>
      </w:pPr>
      <w:r w:rsidRPr="002F21D3">
        <w:rPr>
          <w:i w:val="0"/>
          <w:color w:val="000000" w:themeColor="text1"/>
        </w:rPr>
        <w:t>1. WSTĘP</w:t>
      </w:r>
    </w:p>
    <w:p w14:paraId="59FEBDE9" w14:textId="77777777" w:rsidR="00F45500" w:rsidRPr="002F21D3" w:rsidRDefault="00F45500" w:rsidP="0055718D">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1.1. Przedmiot ST</w:t>
      </w:r>
    </w:p>
    <w:p w14:paraId="1CC8858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Przedmiotem niniejszej specyfikacji technicznej (ST) są wymagania dotyczące wykonania i odbioru robót budowlanych.</w:t>
      </w:r>
    </w:p>
    <w:p w14:paraId="53B7B634"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1.2. Zakres stosowania ST</w:t>
      </w:r>
    </w:p>
    <w:p w14:paraId="49D5D623"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2B84D01D"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1.3. Zakres robót objętych ST</w:t>
      </w:r>
    </w:p>
    <w:p w14:paraId="2130A26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Ustalenia zawarte w niniejszej specyfikacji obejmują wymagania ogólne, wspólne dla robót objętych szczegółowymi specyfikacjami technicznymi, dla poszczególnych asortymentów robót drogowych. Wymagania ogólne należy rozumieć i stosować w powiązaniu z wszystkimi specyfikacjami technicznymi.</w:t>
      </w:r>
    </w:p>
    <w:p w14:paraId="61D245C4"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1.4. Określenia podstawowe</w:t>
      </w:r>
    </w:p>
    <w:p w14:paraId="5ACB6AEF" w14:textId="77777777" w:rsidR="00F45500" w:rsidRPr="002F21D3" w:rsidRDefault="00F45500" w:rsidP="00F45500">
      <w:pPr>
        <w:pStyle w:val="tekstost"/>
        <w:spacing w:after="60" w:line="216" w:lineRule="auto"/>
        <w:rPr>
          <w:rFonts w:ascii="Arial" w:hAnsi="Arial" w:cs="Arial"/>
          <w:color w:val="000000" w:themeColor="text1"/>
          <w:sz w:val="18"/>
          <w:szCs w:val="18"/>
        </w:rPr>
      </w:pPr>
      <w:r w:rsidRPr="002F21D3">
        <w:rPr>
          <w:rFonts w:ascii="Arial" w:hAnsi="Arial" w:cs="Arial"/>
          <w:color w:val="000000" w:themeColor="text1"/>
          <w:sz w:val="18"/>
          <w:szCs w:val="18"/>
        </w:rPr>
        <w:tab/>
        <w:t>Użyte w ST wymienione poniżej określenia należy rozumieć w każdym przypadku następująco:</w:t>
      </w:r>
    </w:p>
    <w:p w14:paraId="48D240E5" w14:textId="77777777" w:rsidR="00F45500" w:rsidRPr="002F21D3"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w:t>
      </w:r>
      <w:r w:rsidRPr="002F21D3">
        <w:rPr>
          <w:rFonts w:ascii="Arial" w:hAnsi="Arial" w:cs="Arial"/>
          <w:color w:val="000000" w:themeColor="text1"/>
          <w:sz w:val="18"/>
          <w:szCs w:val="18"/>
        </w:rPr>
        <w:tab/>
        <w:t>Budowla drogowa - obiekt budowlany, nie będący budynkiem, stanowiący całość techniczno-użytkową (droga) albo jego część stanowiącą odrębny element konstrukcyjny lub technologiczny (obiekt mostowy, korpus ziemny, węzeł).</w:t>
      </w:r>
    </w:p>
    <w:p w14:paraId="45106483" w14:textId="77777777" w:rsidR="00F45500" w:rsidRPr="002F21D3"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w:t>
      </w:r>
      <w:r w:rsidRPr="002F21D3">
        <w:rPr>
          <w:rFonts w:ascii="Arial" w:hAnsi="Arial" w:cs="Arial"/>
          <w:color w:val="000000" w:themeColor="text1"/>
          <w:sz w:val="18"/>
          <w:szCs w:val="18"/>
        </w:rPr>
        <w:t>.</w:t>
      </w:r>
      <w:r w:rsidRPr="002F21D3">
        <w:rPr>
          <w:rFonts w:ascii="Arial" w:hAnsi="Arial" w:cs="Arial"/>
          <w:color w:val="000000" w:themeColor="text1"/>
          <w:sz w:val="18"/>
          <w:szCs w:val="18"/>
        </w:rPr>
        <w:tab/>
        <w:t>Chodnik - wyznaczony pas terenu przy jezdni lub odsunięty od jezdni, przeznaczony do ruchu pieszych.</w:t>
      </w:r>
    </w:p>
    <w:p w14:paraId="20ECCED5" w14:textId="77777777" w:rsidR="00F45500" w:rsidRPr="002F21D3"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1.4.4</w:t>
      </w:r>
      <w:r w:rsidRPr="002F21D3">
        <w:rPr>
          <w:rFonts w:ascii="Arial" w:hAnsi="Arial" w:cs="Arial"/>
          <w:color w:val="000000" w:themeColor="text1"/>
          <w:sz w:val="18"/>
          <w:szCs w:val="18"/>
        </w:rPr>
        <w:t>.</w:t>
      </w:r>
      <w:r w:rsidRPr="002F21D3">
        <w:rPr>
          <w:rFonts w:ascii="Arial" w:hAnsi="Arial" w:cs="Arial"/>
          <w:color w:val="000000" w:themeColor="text1"/>
          <w:sz w:val="18"/>
          <w:szCs w:val="18"/>
        </w:rPr>
        <w:tab/>
        <w:t>Droga - wydzielony pas terenu przeznaczony do ruchu lub postoju pojazdów oraz ruchu pieszych wraz z wszelkimi urządzeniami technicznymi związanymi z prowadzeniem i zabezpieczeniem ruchu.</w:t>
      </w:r>
    </w:p>
    <w:p w14:paraId="37C781AB" w14:textId="77777777" w:rsidR="00F45500" w:rsidRPr="002F21D3" w:rsidRDefault="00F45500" w:rsidP="00F45500">
      <w:pPr>
        <w:pStyle w:val="tekstost"/>
        <w:tabs>
          <w:tab w:val="left" w:pos="142"/>
          <w:tab w:val="left" w:pos="567"/>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1.4.6.</w:t>
      </w:r>
      <w:r w:rsidRPr="002F21D3">
        <w:rPr>
          <w:rFonts w:ascii="Arial" w:hAnsi="Arial" w:cs="Arial"/>
          <w:color w:val="000000" w:themeColor="text1"/>
          <w:sz w:val="18"/>
          <w:szCs w:val="18"/>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Inżynierem/ Kierownikiem projektu, Wykonawcą i projektantem.</w:t>
      </w:r>
    </w:p>
    <w:p w14:paraId="7BC6511D"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1.4.8.</w:t>
      </w:r>
      <w:r w:rsidRPr="002F21D3">
        <w:rPr>
          <w:rFonts w:ascii="Arial" w:hAnsi="Arial" w:cs="Arial"/>
          <w:color w:val="000000" w:themeColor="text1"/>
          <w:sz w:val="18"/>
          <w:szCs w:val="18"/>
        </w:rPr>
        <w:tab/>
        <w:t>Inżynier/Kierownik projektu – osoba wymieniona w danych kontraktowych (wyznaczona przez Zamawiającego, o której wyznaczeniu poinformowany jest Wykonawca), odpowiedzialna za nadzorowanie robót i administrowanie kontraktem.</w:t>
      </w:r>
    </w:p>
    <w:p w14:paraId="0222B721"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1.4.9.</w:t>
      </w:r>
      <w:r w:rsidRPr="002F21D3">
        <w:rPr>
          <w:rFonts w:ascii="Arial" w:hAnsi="Arial" w:cs="Arial"/>
          <w:color w:val="000000" w:themeColor="text1"/>
          <w:sz w:val="18"/>
          <w:szCs w:val="18"/>
        </w:rPr>
        <w:tab/>
        <w:t>Jezdnia - część korony drogi przeznaczona do ruchu pojazdów.</w:t>
      </w:r>
    </w:p>
    <w:p w14:paraId="08D82E8E"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1.4.10.</w:t>
      </w:r>
      <w:r w:rsidRPr="002F21D3">
        <w:rPr>
          <w:rFonts w:ascii="Arial" w:hAnsi="Arial" w:cs="Arial"/>
          <w:b/>
          <w:color w:val="000000" w:themeColor="text1"/>
          <w:sz w:val="18"/>
          <w:szCs w:val="18"/>
        </w:rPr>
        <w:tab/>
      </w:r>
      <w:r w:rsidRPr="002F21D3">
        <w:rPr>
          <w:rFonts w:ascii="Arial" w:hAnsi="Arial" w:cs="Arial"/>
          <w:color w:val="000000" w:themeColor="text1"/>
          <w:sz w:val="18"/>
          <w:szCs w:val="18"/>
        </w:rPr>
        <w:t>Kierownik budowy - osoba wyznaczona przez Wykonawcę, upoważniona do kierowania robotami i do występowania w jego imieniu w sprawach realizacji kontraktu.</w:t>
      </w:r>
    </w:p>
    <w:p w14:paraId="687EAE97"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1.4.11.</w:t>
      </w:r>
      <w:r w:rsidRPr="002F21D3">
        <w:rPr>
          <w:rFonts w:ascii="Arial" w:hAnsi="Arial" w:cs="Arial"/>
          <w:b/>
          <w:color w:val="000000" w:themeColor="text1"/>
          <w:sz w:val="18"/>
          <w:szCs w:val="18"/>
        </w:rPr>
        <w:tab/>
      </w:r>
      <w:r w:rsidRPr="002F21D3">
        <w:rPr>
          <w:rFonts w:ascii="Arial" w:hAnsi="Arial" w:cs="Arial"/>
          <w:color w:val="000000" w:themeColor="text1"/>
          <w:sz w:val="18"/>
          <w:szCs w:val="18"/>
        </w:rPr>
        <w:t>Korona drogi - jezdnia (jezdnie) z poboczami lub chodnikami, zatokami, pasami awaryjnego postoju i pasami dzielącymi jezdnie.</w:t>
      </w:r>
    </w:p>
    <w:p w14:paraId="5EFCBFBF"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1.4.12.</w:t>
      </w:r>
      <w:r w:rsidRPr="002F21D3">
        <w:rPr>
          <w:rFonts w:ascii="Arial" w:hAnsi="Arial" w:cs="Arial"/>
          <w:color w:val="000000" w:themeColor="text1"/>
          <w:sz w:val="18"/>
          <w:szCs w:val="18"/>
        </w:rPr>
        <w:tab/>
        <w:t>Konstrukcja nawierzchni - układ warstw nawierzchni wraz ze sposobem ich połączenia.</w:t>
      </w:r>
    </w:p>
    <w:p w14:paraId="2154D855"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1.4.14.</w:t>
      </w:r>
      <w:r w:rsidRPr="002F21D3">
        <w:rPr>
          <w:rFonts w:ascii="Arial" w:hAnsi="Arial" w:cs="Arial"/>
          <w:color w:val="000000" w:themeColor="text1"/>
          <w:sz w:val="18"/>
          <w:szCs w:val="18"/>
        </w:rPr>
        <w:tab/>
        <w:t>Korpus drogowy - nasyp lub ta część wykopu, która jest ograniczona koroną drogi i skarpami rowów.</w:t>
      </w:r>
    </w:p>
    <w:p w14:paraId="4EFBF577"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1.4.15.</w:t>
      </w:r>
      <w:r w:rsidRPr="002F21D3">
        <w:rPr>
          <w:rFonts w:ascii="Arial" w:hAnsi="Arial" w:cs="Arial"/>
          <w:color w:val="000000" w:themeColor="text1"/>
          <w:sz w:val="18"/>
          <w:szCs w:val="18"/>
        </w:rPr>
        <w:tab/>
        <w:t>Koryto - element uformowany w korpusie drogowym w celu ułożenia w nim konstrukcji nawierzchni.</w:t>
      </w:r>
    </w:p>
    <w:p w14:paraId="3304C619"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1.4.16</w:t>
      </w:r>
      <w:r w:rsidRPr="002F21D3">
        <w:rPr>
          <w:rFonts w:ascii="Arial" w:hAnsi="Arial" w:cs="Arial"/>
          <w:color w:val="000000" w:themeColor="text1"/>
          <w:sz w:val="18"/>
          <w:szCs w:val="18"/>
        </w:rPr>
        <w:t>.</w:t>
      </w:r>
      <w:r w:rsidRPr="002F21D3">
        <w:rPr>
          <w:rFonts w:ascii="Arial" w:hAnsi="Arial" w:cs="Arial"/>
          <w:color w:val="000000" w:themeColor="text1"/>
          <w:sz w:val="18"/>
          <w:szCs w:val="18"/>
        </w:rPr>
        <w:tab/>
        <w:t>Książka obmiarów - akceptowany przez Inżyniera/Kierownika projektu zeszyt z ponumerowanymi stronami, służący do wpisywania przez Wykonawcę obmiaru dokonywanych robót w formie wyliczeń, szkiców i ew. dodatkowych załączników. Wpisy w książce obmiarów podlegają potwierdzeniu przez Inżyniera/Kierownika projektu.</w:t>
      </w:r>
    </w:p>
    <w:p w14:paraId="59308E30"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1.4.17.</w:t>
      </w:r>
      <w:r w:rsidRPr="002F21D3">
        <w:rPr>
          <w:rFonts w:ascii="Arial" w:hAnsi="Arial" w:cs="Arial"/>
          <w:color w:val="000000" w:themeColor="text1"/>
          <w:sz w:val="18"/>
          <w:szCs w:val="18"/>
        </w:rPr>
        <w:tab/>
        <w:t>Laboratorium - drogowe lub inne laboratorium badawcze, zaakceptowane przez Zamawiającego, niezbędne do przeprowadzenia wszelkich badań i prób związanych z oceną jakości materiałów oraz robót.</w:t>
      </w:r>
    </w:p>
    <w:p w14:paraId="36CBB0DD"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1.4.18.</w:t>
      </w:r>
      <w:r w:rsidRPr="002F21D3">
        <w:rPr>
          <w:rFonts w:ascii="Arial" w:hAnsi="Arial" w:cs="Arial"/>
          <w:color w:val="000000" w:themeColor="text1"/>
          <w:sz w:val="18"/>
          <w:szCs w:val="18"/>
        </w:rPr>
        <w:tab/>
        <w:t>Materiały - wszelkie tworzywa niezbędne do wykonania robót, zgodne z dokumentacją projektową i specyfikacjami technicznymi, zaakceptowane przez Inżyniera/ Kierownika projektu.</w:t>
      </w:r>
    </w:p>
    <w:p w14:paraId="3F4CD791" w14:textId="77777777" w:rsidR="00F45500" w:rsidRPr="002F21D3" w:rsidRDefault="00F45500" w:rsidP="00F45500">
      <w:pPr>
        <w:pStyle w:val="tekstost"/>
        <w:tabs>
          <w:tab w:val="left" w:pos="142"/>
          <w:tab w:val="left" w:pos="624"/>
        </w:tabs>
        <w:spacing w:before="60" w:line="216" w:lineRule="auto"/>
        <w:rPr>
          <w:rFonts w:ascii="Arial" w:hAnsi="Arial" w:cs="Arial"/>
          <w:color w:val="000000" w:themeColor="text1"/>
          <w:sz w:val="18"/>
          <w:szCs w:val="18"/>
        </w:rPr>
      </w:pPr>
      <w:r w:rsidRPr="002F21D3">
        <w:rPr>
          <w:rFonts w:ascii="Arial" w:hAnsi="Arial" w:cs="Arial"/>
          <w:b/>
          <w:color w:val="000000" w:themeColor="text1"/>
          <w:sz w:val="18"/>
          <w:szCs w:val="18"/>
        </w:rPr>
        <w:t>1.4.20.</w:t>
      </w:r>
      <w:r w:rsidRPr="002F21D3">
        <w:rPr>
          <w:rFonts w:ascii="Arial" w:hAnsi="Arial" w:cs="Arial"/>
          <w:color w:val="000000" w:themeColor="text1"/>
          <w:sz w:val="18"/>
          <w:szCs w:val="18"/>
        </w:rPr>
        <w:t xml:space="preserve"> Nawierzchnia - warstwa lub zespół warstw służących do przejmowania i rozkładania obciążeń od ruchu na podłoże gruntowe i zapewniających dogodne warunki dla ruchu.</w:t>
      </w:r>
    </w:p>
    <w:p w14:paraId="01F6A1E2" w14:textId="77777777" w:rsidR="00F45500" w:rsidRPr="002F21D3" w:rsidRDefault="00F45500" w:rsidP="00F45500">
      <w:pPr>
        <w:pStyle w:val="Standard"/>
        <w:widowControl w:val="0"/>
        <w:numPr>
          <w:ilvl w:val="0"/>
          <w:numId w:val="165"/>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Warstwa ścieralna - górna warstwa nawierzchni poddana bezpośrednio oddziaływaniu ruchu i czynników atmosferycznych.</w:t>
      </w:r>
    </w:p>
    <w:p w14:paraId="6DAD0429"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Warstwa wiążąca - warstwa znajdująca się między warstwą ścieralną a podbudową, zapewniająca lepsze rozłożenie </w:t>
      </w:r>
      <w:proofErr w:type="spellStart"/>
      <w:r w:rsidRPr="002F21D3">
        <w:rPr>
          <w:rFonts w:ascii="Arial" w:hAnsi="Arial" w:cs="Arial"/>
          <w:color w:val="000000" w:themeColor="text1"/>
          <w:sz w:val="18"/>
          <w:szCs w:val="18"/>
        </w:rPr>
        <w:t>naprężeń</w:t>
      </w:r>
      <w:proofErr w:type="spellEnd"/>
      <w:r w:rsidRPr="002F21D3">
        <w:rPr>
          <w:rFonts w:ascii="Arial" w:hAnsi="Arial" w:cs="Arial"/>
          <w:color w:val="000000" w:themeColor="text1"/>
          <w:sz w:val="18"/>
          <w:szCs w:val="18"/>
        </w:rPr>
        <w:t xml:space="preserve"> w nawierzchni i przekazywanie ich na podbudowę.</w:t>
      </w:r>
    </w:p>
    <w:p w14:paraId="2185876B"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Warstwa wyrównawcza - warstwa służąca do wyrównania nierówności podbudowy lub profilu istniejącej nawierzchni.</w:t>
      </w:r>
    </w:p>
    <w:p w14:paraId="1AA8DB48"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Podbudowa - dolna część nawierzchni służąca do przenoszenia obciążeń od ruchu na podłoże. Podbudowa może składać się z podbudowy zasadniczej i podbudowy pomocniczej.</w:t>
      </w:r>
    </w:p>
    <w:p w14:paraId="5AF1109A"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Podbudowa zasadnicza - górna część podbudowy spełniająca funkcje nośne w konstrukcji nawierzchni. Może ona składać się z jednej lub dwóch warstw.</w:t>
      </w:r>
    </w:p>
    <w:p w14:paraId="6D16CDAB"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Podbudowa pomocnicza - dolna część podbudowy spełniająca, obok funkcji nośnych, funkcje zabezpieczenia nawierzchni przed działaniem wody, mrozu i przenikaniem cząstek podłoża. Może zawierać warstwę </w:t>
      </w:r>
      <w:proofErr w:type="spellStart"/>
      <w:r w:rsidRPr="002F21D3">
        <w:rPr>
          <w:rFonts w:ascii="Arial" w:hAnsi="Arial" w:cs="Arial"/>
          <w:color w:val="000000" w:themeColor="text1"/>
          <w:sz w:val="18"/>
          <w:szCs w:val="18"/>
        </w:rPr>
        <w:t>mrozoochronną</w:t>
      </w:r>
      <w:proofErr w:type="spellEnd"/>
      <w:r w:rsidRPr="002F21D3">
        <w:rPr>
          <w:rFonts w:ascii="Arial" w:hAnsi="Arial" w:cs="Arial"/>
          <w:color w:val="000000" w:themeColor="text1"/>
          <w:sz w:val="18"/>
          <w:szCs w:val="18"/>
        </w:rPr>
        <w:t>, odsączającą lub odcinającą.</w:t>
      </w:r>
    </w:p>
    <w:p w14:paraId="1EDCFE47"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Warstwa </w:t>
      </w:r>
      <w:proofErr w:type="spellStart"/>
      <w:r w:rsidRPr="002F21D3">
        <w:rPr>
          <w:rFonts w:ascii="Arial" w:hAnsi="Arial" w:cs="Arial"/>
          <w:color w:val="000000" w:themeColor="text1"/>
          <w:sz w:val="18"/>
          <w:szCs w:val="18"/>
        </w:rPr>
        <w:t>mrozoochronna</w:t>
      </w:r>
      <w:proofErr w:type="spellEnd"/>
      <w:r w:rsidRPr="002F21D3">
        <w:rPr>
          <w:rFonts w:ascii="Arial" w:hAnsi="Arial" w:cs="Arial"/>
          <w:color w:val="000000" w:themeColor="text1"/>
          <w:sz w:val="18"/>
          <w:szCs w:val="18"/>
        </w:rPr>
        <w:t xml:space="preserve"> - warstwa, której głównym zadaniem jest ochrona nawierzchni przed skutkami działania mrozu.</w:t>
      </w:r>
    </w:p>
    <w:p w14:paraId="1F13A5AA" w14:textId="77777777" w:rsidR="00F45500" w:rsidRPr="002F21D3" w:rsidRDefault="00F45500" w:rsidP="00F45500">
      <w:pPr>
        <w:pStyle w:val="Standard"/>
        <w:widowControl w:val="0"/>
        <w:numPr>
          <w:ilvl w:val="0"/>
          <w:numId w:val="36"/>
        </w:numPr>
        <w:tabs>
          <w:tab w:val="left" w:pos="142"/>
          <w:tab w:val="left" w:pos="567"/>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Warstwa odcinająca - warstwa stosowana w celu uniemożliwienia przenikania cząstek drobnych gruntu do warstwy nawierzchni leżącej powyżej.</w:t>
      </w:r>
    </w:p>
    <w:p w14:paraId="4FC72341" w14:textId="77777777" w:rsidR="00F45500" w:rsidRPr="002F21D3" w:rsidRDefault="00F45500" w:rsidP="00F45500">
      <w:pPr>
        <w:pStyle w:val="Standard"/>
        <w:widowControl w:val="0"/>
        <w:numPr>
          <w:ilvl w:val="0"/>
          <w:numId w:val="36"/>
        </w:numPr>
        <w:tabs>
          <w:tab w:val="left" w:pos="142"/>
          <w:tab w:val="left" w:pos="567"/>
          <w:tab w:val="left" w:pos="3679"/>
        </w:tabs>
        <w:spacing w:after="60"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Warstwa odsączająca - warstwa służąca do odprowadzenia wody przedostającej się do nawierzchni.</w:t>
      </w:r>
    </w:p>
    <w:p w14:paraId="25A04CCE"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1.4.21.</w:t>
      </w:r>
      <w:r w:rsidRPr="002F21D3">
        <w:rPr>
          <w:rFonts w:ascii="Arial" w:hAnsi="Arial" w:cs="Arial"/>
          <w:color w:val="000000" w:themeColor="text1"/>
          <w:sz w:val="18"/>
          <w:szCs w:val="18"/>
        </w:rPr>
        <w:tab/>
        <w:t xml:space="preserve">Niweleta - wysokościowe i geometryczne rozwinięcie na płaszczyźnie pionowego przekroju w osi drogi lub </w:t>
      </w:r>
      <w:r w:rsidRPr="002F21D3">
        <w:rPr>
          <w:rFonts w:ascii="Arial" w:hAnsi="Arial" w:cs="Arial"/>
          <w:color w:val="000000" w:themeColor="text1"/>
          <w:sz w:val="18"/>
          <w:szCs w:val="18"/>
        </w:rPr>
        <w:lastRenderedPageBreak/>
        <w:t>obiektu mostowego.</w:t>
      </w:r>
    </w:p>
    <w:p w14:paraId="11AF4CA9"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1.4.22.</w:t>
      </w:r>
      <w:r w:rsidRPr="002F21D3">
        <w:rPr>
          <w:rFonts w:ascii="Arial" w:hAnsi="Arial" w:cs="Arial"/>
          <w:color w:val="000000" w:themeColor="text1"/>
          <w:sz w:val="18"/>
          <w:szCs w:val="18"/>
        </w:rPr>
        <w:tab/>
        <w:t>Obiekt mostowy - most, wiadukt, estakada, tunel, kładka dla pieszych i przepust.</w:t>
      </w:r>
    </w:p>
    <w:p w14:paraId="0D1CB05C"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1.4.23.</w:t>
      </w:r>
      <w:r w:rsidRPr="002F21D3">
        <w:rPr>
          <w:rFonts w:ascii="Arial" w:hAnsi="Arial" w:cs="Arial"/>
          <w:color w:val="000000" w:themeColor="text1"/>
          <w:sz w:val="18"/>
          <w:szCs w:val="18"/>
        </w:rPr>
        <w:tab/>
        <w:t>Objazd tymczasowy - droga specjalnie przygotowana i odpowiednio utrzymana do przeprowadzenia ruchu publicznego na okres budowy.</w:t>
      </w:r>
    </w:p>
    <w:p w14:paraId="20A67F68"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1.4.24.</w:t>
      </w:r>
      <w:r w:rsidRPr="002F21D3">
        <w:rPr>
          <w:rFonts w:ascii="Arial" w:hAnsi="Arial" w:cs="Arial"/>
          <w:color w:val="000000" w:themeColor="text1"/>
          <w:sz w:val="18"/>
          <w:szCs w:val="18"/>
        </w:rPr>
        <w:tab/>
        <w:t>Odpowiednia (bliska) zgodność - zgodność wykonywanych robót z dopuszczonymi tolerancjami, a jeśli przedział tolerancji nie został określony - z przeciętnymi tolerancjami, przyjmowanymi zwyczajowo dla danego rodzaju robót budowlanych.</w:t>
      </w:r>
    </w:p>
    <w:p w14:paraId="2E728549"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1.4.25.</w:t>
      </w:r>
      <w:r w:rsidRPr="002F21D3">
        <w:rPr>
          <w:rFonts w:ascii="Arial" w:hAnsi="Arial" w:cs="Arial"/>
          <w:color w:val="000000" w:themeColor="text1"/>
          <w:sz w:val="18"/>
          <w:szCs w:val="18"/>
        </w:rPr>
        <w:tab/>
        <w:t>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14:paraId="7A700673"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1.4.26.</w:t>
      </w:r>
      <w:r w:rsidRPr="002F21D3">
        <w:rPr>
          <w:rFonts w:ascii="Arial" w:hAnsi="Arial" w:cs="Arial"/>
          <w:color w:val="000000" w:themeColor="text1"/>
          <w:sz w:val="18"/>
          <w:szCs w:val="18"/>
        </w:rPr>
        <w:tab/>
        <w:t>Pobocze - część korony drogi przeznaczona do chwilowego postoju pojazdów, umieszczenia urządzeń organizacji i bezpieczeństwa ruchu oraz do ruchu pieszych, służąca jednocześnie do bocznego oparcia konstrukcji nawierzchni.</w:t>
      </w:r>
    </w:p>
    <w:p w14:paraId="36B46E2D"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1.4.27.</w:t>
      </w:r>
      <w:r w:rsidRPr="002F21D3">
        <w:rPr>
          <w:rFonts w:ascii="Arial" w:hAnsi="Arial" w:cs="Arial"/>
          <w:color w:val="000000" w:themeColor="text1"/>
          <w:sz w:val="18"/>
          <w:szCs w:val="18"/>
        </w:rPr>
        <w:tab/>
        <w:t>Podłoże nawierzchni - grunt rodzimy lub nasypowy, leżący pod nawierzchnią do głębokości przemarzania.</w:t>
      </w:r>
    </w:p>
    <w:p w14:paraId="42F38CB0"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1.4.28.</w:t>
      </w:r>
      <w:r w:rsidRPr="002F21D3">
        <w:rPr>
          <w:rFonts w:ascii="Arial" w:hAnsi="Arial" w:cs="Arial"/>
          <w:color w:val="000000" w:themeColor="text1"/>
          <w:sz w:val="18"/>
          <w:szCs w:val="18"/>
        </w:rPr>
        <w:tab/>
        <w:t>Podłoże ulepszone nawierzchni - górna warstwa podłoża, leżąca bezpośrednio pod nawierzchnią, ulepszona w celu umożliwienia przejęcia ruchu budowlanego i właściwego wykonania nawierzchni.</w:t>
      </w:r>
    </w:p>
    <w:p w14:paraId="14691BB3"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1.4.29.</w:t>
      </w:r>
      <w:r w:rsidRPr="002F21D3">
        <w:rPr>
          <w:rFonts w:ascii="Arial" w:hAnsi="Arial" w:cs="Arial"/>
          <w:b/>
          <w:color w:val="000000" w:themeColor="text1"/>
          <w:sz w:val="18"/>
          <w:szCs w:val="18"/>
        </w:rPr>
        <w:tab/>
      </w:r>
      <w:r w:rsidRPr="002F21D3">
        <w:rPr>
          <w:rFonts w:ascii="Arial" w:hAnsi="Arial" w:cs="Arial"/>
          <w:color w:val="000000" w:themeColor="text1"/>
          <w:sz w:val="18"/>
          <w:szCs w:val="18"/>
        </w:rPr>
        <w:t>Polecenie Inżyniera/Kierownika projektu - wszelkie polecenia przekazane Wykonawcy przez Inżyniera/Kierownika projektu, w formie pisemnej, dotyczące sposobu realizacji robót lub innych spraw związanych z prowadzeniem budowy.</w:t>
      </w:r>
    </w:p>
    <w:p w14:paraId="1F585AC0"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1.4.30.</w:t>
      </w:r>
      <w:r w:rsidRPr="002F21D3">
        <w:rPr>
          <w:rFonts w:ascii="Arial" w:hAnsi="Arial" w:cs="Arial"/>
          <w:color w:val="000000" w:themeColor="text1"/>
          <w:sz w:val="18"/>
          <w:szCs w:val="18"/>
        </w:rPr>
        <w:tab/>
        <w:t>Projektant - uprawniona osoba prawna lub fizyczna będąca autorem dokumentacji projektowej.</w:t>
      </w:r>
    </w:p>
    <w:p w14:paraId="1B9E3E7C"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1.4.31.</w:t>
      </w:r>
      <w:r w:rsidRPr="002F21D3">
        <w:rPr>
          <w:rFonts w:ascii="Arial" w:hAnsi="Arial" w:cs="Arial"/>
          <w:b/>
          <w:color w:val="000000" w:themeColor="text1"/>
          <w:sz w:val="18"/>
          <w:szCs w:val="18"/>
        </w:rPr>
        <w:tab/>
      </w:r>
      <w:r w:rsidRPr="002F21D3">
        <w:rPr>
          <w:rFonts w:ascii="Arial" w:hAnsi="Arial" w:cs="Arial"/>
          <w:color w:val="000000" w:themeColor="text1"/>
          <w:sz w:val="18"/>
          <w:szCs w:val="18"/>
        </w:rPr>
        <w:t>Przedsięwzięcie budowlane - kompleksowa realizacja nowego połączenia drogowego lub całkowita modernizacja/przebudowa (zmiana parametrów geometrycznych trasy w planie i przekroju podłużnym) istniejącego połączenia.</w:t>
      </w:r>
    </w:p>
    <w:p w14:paraId="20CFE082"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1.4.32.</w:t>
      </w:r>
      <w:r w:rsidRPr="002F21D3">
        <w:rPr>
          <w:rFonts w:ascii="Arial" w:hAnsi="Arial" w:cs="Arial"/>
          <w:color w:val="000000" w:themeColor="text1"/>
          <w:sz w:val="18"/>
          <w:szCs w:val="18"/>
        </w:rPr>
        <w:tab/>
        <w:t>Przepust – budowla o przekroju poprzecznym zamkniętym, przeznaczona do przeprowadzenia cieku, szlaku wędrówek zwierząt dziko żyjących lub urządzeń technicznych przez korpus drogowy.</w:t>
      </w:r>
    </w:p>
    <w:p w14:paraId="61E49D50"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1.4.33.</w:t>
      </w:r>
      <w:r w:rsidRPr="002F21D3">
        <w:rPr>
          <w:rFonts w:ascii="Arial" w:hAnsi="Arial" w:cs="Arial"/>
          <w:color w:val="000000" w:themeColor="text1"/>
          <w:sz w:val="18"/>
          <w:szCs w:val="18"/>
        </w:rPr>
        <w:tab/>
        <w:t>Przeszkoda naturalna - element środowiska naturalnego, stanowiący utrudnienie w realizacji zadania budowlanego, na przykład dolina, bagno, rzeka, szlak wędrówek dzikich zwierząt itp.</w:t>
      </w:r>
    </w:p>
    <w:p w14:paraId="1A73E7D9"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1.4.34.</w:t>
      </w:r>
      <w:r w:rsidRPr="002F21D3">
        <w:rPr>
          <w:rFonts w:ascii="Arial" w:hAnsi="Arial" w:cs="Arial"/>
          <w:color w:val="000000" w:themeColor="text1"/>
          <w:sz w:val="18"/>
          <w:szCs w:val="18"/>
        </w:rPr>
        <w:tab/>
        <w:t>Przeszkoda sztuczna - dzieło ludzkie, stanowiące utrudnienie w realizacji zadania budowlanego, na przykład droga, kolej, rurociąg, kanał, ciąg pieszy lub rowerowy itp.</w:t>
      </w:r>
    </w:p>
    <w:p w14:paraId="6B9224E1"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1.4.35.</w:t>
      </w:r>
      <w:r w:rsidRPr="002F21D3">
        <w:rPr>
          <w:rFonts w:ascii="Arial" w:hAnsi="Arial" w:cs="Arial"/>
          <w:color w:val="000000" w:themeColor="text1"/>
          <w:sz w:val="18"/>
          <w:szCs w:val="18"/>
        </w:rPr>
        <w:tab/>
        <w:t>Przetargowa dokumentacja projektowa - część dokumentacji projektowej, która wskazuje lokalizację, charakterystykę i wymiary obiektu będącego przedmiotem robót.</w:t>
      </w:r>
    </w:p>
    <w:p w14:paraId="609DBCA7"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1.4.37.</w:t>
      </w:r>
      <w:r w:rsidRPr="002F21D3">
        <w:rPr>
          <w:rFonts w:ascii="Arial" w:hAnsi="Arial" w:cs="Arial"/>
          <w:color w:val="000000" w:themeColor="text1"/>
          <w:sz w:val="18"/>
          <w:szCs w:val="18"/>
        </w:rPr>
        <w:tab/>
        <w:t>Rekultywacja - roboty mające na celu uporządkowanie i przywrócenie pierwotnych funkcji terenom naruszonym w czasie realizacji zadania budowlanego.</w:t>
      </w:r>
    </w:p>
    <w:p w14:paraId="1E5B48AF"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1.4.41.</w:t>
      </w:r>
      <w:r w:rsidRPr="002F21D3">
        <w:rPr>
          <w:rFonts w:ascii="Arial" w:hAnsi="Arial" w:cs="Arial"/>
          <w:color w:val="000000" w:themeColor="text1"/>
          <w:sz w:val="18"/>
          <w:szCs w:val="18"/>
        </w:rPr>
        <w:tab/>
        <w:t>Ślepy kosztorys - wykaz robót z podaniem ich ilości (przedmiarem) w kolejności technologicznej ich wykonania.</w:t>
      </w:r>
    </w:p>
    <w:p w14:paraId="2F001846" w14:textId="77777777" w:rsidR="00F45500" w:rsidRPr="002F21D3" w:rsidRDefault="00F45500" w:rsidP="00F45500">
      <w:pPr>
        <w:pStyle w:val="tekstost"/>
        <w:tabs>
          <w:tab w:val="left" w:pos="142"/>
          <w:tab w:val="left" w:pos="624"/>
        </w:tabs>
        <w:spacing w:before="60" w:after="60" w:line="216" w:lineRule="auto"/>
        <w:rPr>
          <w:rFonts w:ascii="Arial" w:hAnsi="Arial" w:cs="Arial"/>
          <w:color w:val="000000" w:themeColor="text1"/>
          <w:sz w:val="18"/>
          <w:szCs w:val="18"/>
        </w:rPr>
      </w:pPr>
      <w:r w:rsidRPr="002F21D3">
        <w:rPr>
          <w:rFonts w:ascii="Arial" w:hAnsi="Arial" w:cs="Arial"/>
          <w:b/>
          <w:color w:val="000000" w:themeColor="text1"/>
          <w:sz w:val="18"/>
          <w:szCs w:val="18"/>
        </w:rPr>
        <w:t>1.4.42.</w:t>
      </w:r>
      <w:r w:rsidRPr="002F21D3">
        <w:rPr>
          <w:rFonts w:ascii="Arial" w:hAnsi="Arial" w:cs="Arial"/>
          <w:color w:val="000000" w:themeColor="text1"/>
          <w:sz w:val="18"/>
          <w:szCs w:val="18"/>
        </w:rPr>
        <w:tab/>
        <w:t>Teren budowy - teren udostępniony przez Zamawiającego dla wykonania na nim robót oraz inne miejsca wymienione w kontrakcie jako tworzące część terenu budowy.</w:t>
      </w:r>
    </w:p>
    <w:p w14:paraId="31AFFFD6" w14:textId="77777777" w:rsidR="00F45500" w:rsidRPr="002F21D3" w:rsidRDefault="00F45500" w:rsidP="00F45500">
      <w:pPr>
        <w:pStyle w:val="tekstost"/>
        <w:tabs>
          <w:tab w:val="left" w:pos="142"/>
          <w:tab w:val="left" w:pos="624"/>
        </w:tabs>
        <w:spacing w:before="60" w:line="216" w:lineRule="auto"/>
        <w:rPr>
          <w:rFonts w:ascii="Arial" w:hAnsi="Arial" w:cs="Arial"/>
          <w:color w:val="000000" w:themeColor="text1"/>
          <w:sz w:val="18"/>
          <w:szCs w:val="18"/>
        </w:rPr>
      </w:pPr>
      <w:r w:rsidRPr="002F21D3">
        <w:rPr>
          <w:rFonts w:ascii="Arial" w:hAnsi="Arial" w:cs="Arial"/>
          <w:b/>
          <w:color w:val="000000" w:themeColor="text1"/>
          <w:sz w:val="18"/>
          <w:szCs w:val="18"/>
        </w:rPr>
        <w:t>1.4.45.</w:t>
      </w:r>
      <w:r w:rsidRPr="002F21D3">
        <w:rPr>
          <w:rFonts w:ascii="Arial" w:hAnsi="Arial" w:cs="Arial"/>
          <w:color w:val="000000" w:themeColor="text1"/>
          <w:sz w:val="18"/>
          <w:szCs w:val="18"/>
        </w:rPr>
        <w:tab/>
        <w:t>Zadanie budowlane - część przedsięwzięcia budowlanego, stanowiąca odrębną całość konstrukcyjną lub technologiczną, zdolną do samodzielnego pełnienia funkcji techniczno-użytkowych. Zadanie może polegać na wykonywaniu robót związanych z budową, modernizacją/ przebudową, utrzymaniem oraz ochroną budowli drogowej lub jej elementu.</w:t>
      </w:r>
    </w:p>
    <w:p w14:paraId="47F67661"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1.5. Wymagania dotyczące robót</w:t>
      </w:r>
    </w:p>
    <w:p w14:paraId="55284592" w14:textId="77777777" w:rsidR="00F45500" w:rsidRPr="002F21D3" w:rsidRDefault="00F45500" w:rsidP="00F45500">
      <w:pPr>
        <w:pStyle w:val="Standard"/>
        <w:spacing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jest odpowiedzialny za jakość wykonanych robót, bezpieczeństwo wszelkich czynności na terenie budowy, metody użyte przy budowie oraz za ich zgodność z dokumentacją projektową, ST i poleceniami Inżyniera/Kierownika projektu.</w:t>
      </w:r>
    </w:p>
    <w:p w14:paraId="0501E62F"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1.5.1. Przekazanie terenu budowy</w:t>
      </w:r>
    </w:p>
    <w:p w14:paraId="34E83B05"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Zamawiający w terminie określonym w dokumentach kontraktowych przekaże Wykonawcy teren budowy wraz ze wszystkimi wymaganymi uzgodnieniami prawnymi i administracyjnymi, lokalizację i współrzędne punktów głównych trasy.</w:t>
      </w:r>
    </w:p>
    <w:p w14:paraId="4C2CED28" w14:textId="77777777" w:rsidR="00F45500" w:rsidRPr="002F21D3" w:rsidRDefault="00F45500" w:rsidP="00F45500">
      <w:pPr>
        <w:pStyle w:val="Standard"/>
        <w:spacing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Na Wykonawcy spoczywa odpowiedzialność za ochronę przekazanych mu punktów pomiarowych do chwili odbioru ostatecznego robót. Uszkodzone lub zniszczone znaki geodezyjne Wykonawca odtworzy i utrwali na własny koszt.</w:t>
      </w:r>
    </w:p>
    <w:p w14:paraId="7292F62A"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1.5.2. Dokumentacja projektowa</w:t>
      </w:r>
    </w:p>
    <w:p w14:paraId="0AFA92E9"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Dokumentacja projektowa zawiera rysunki, obliczenia i dokumenty, zgodne z wykazem podanym w szczegółowych warunkach umowy, uwzględniającym podział na dokumentację projektową:</w:t>
      </w:r>
    </w:p>
    <w:p w14:paraId="49E2AC9E" w14:textId="77777777" w:rsidR="00F45500" w:rsidRPr="002F21D3" w:rsidRDefault="00F45500" w:rsidP="00F45500">
      <w:pPr>
        <w:pStyle w:val="Standard"/>
        <w:widowControl w:val="0"/>
        <w:numPr>
          <w:ilvl w:val="0"/>
          <w:numId w:val="166"/>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Zamawiającego; wykaz pozycji, które stanowią przetargową dokumentację projektową oraz projektową dokumentację wykonawczą (techniczną) i zostaną przekazane Wykonawcy,</w:t>
      </w:r>
    </w:p>
    <w:p w14:paraId="1804F72D" w14:textId="77777777" w:rsidR="00F45500" w:rsidRPr="002F21D3" w:rsidRDefault="00F45500" w:rsidP="00F45500">
      <w:pPr>
        <w:pStyle w:val="Standard"/>
        <w:widowControl w:val="0"/>
        <w:numPr>
          <w:ilvl w:val="0"/>
          <w:numId w:val="37"/>
        </w:numPr>
        <w:spacing w:after="60"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Wykonawcy; wykaz zawierający spis dokumentacji projektowej, którą Wykonawca opracuje w ramach ceny kontraktowej.</w:t>
      </w:r>
    </w:p>
    <w:p w14:paraId="118B41A8"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1.5.3. Zgodność robót z dokumentacją projektową i ST</w:t>
      </w:r>
    </w:p>
    <w:p w14:paraId="26628860"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Dokumentacja projektowa, ST i wszystkie dodatkowe dokumenty przekazane Wykonawcy przez Inżyniera/Kierownika projektu stanowią część umowy, a wymagania określone w choćby jednym z nich są obowiązujące dla Wykonawcy tak jakby zawarte były w całej dokumentacji.</w:t>
      </w:r>
    </w:p>
    <w:p w14:paraId="2D168326"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przypadku rozbieżności w ustaleniach poszczególnych dokumentów obowiązuje kolejność ich ważności wymieniona w „Kontraktowych warunkach ogólnych” („Ogólnych warunkach umowy”).</w:t>
      </w:r>
    </w:p>
    <w:p w14:paraId="53B20C17"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 xml:space="preserve">Wykonawca nie może wykorzystywać błędów lub </w:t>
      </w:r>
      <w:proofErr w:type="spellStart"/>
      <w:r w:rsidRPr="002F21D3">
        <w:rPr>
          <w:rFonts w:ascii="Arial" w:hAnsi="Arial" w:cs="Arial"/>
          <w:color w:val="000000" w:themeColor="text1"/>
          <w:sz w:val="18"/>
          <w:szCs w:val="18"/>
        </w:rPr>
        <w:t>opuszczeń</w:t>
      </w:r>
      <w:proofErr w:type="spellEnd"/>
      <w:r w:rsidRPr="002F21D3">
        <w:rPr>
          <w:rFonts w:ascii="Arial" w:hAnsi="Arial" w:cs="Arial"/>
          <w:color w:val="000000" w:themeColor="text1"/>
          <w:sz w:val="18"/>
          <w:szCs w:val="18"/>
        </w:rPr>
        <w:t xml:space="preserve"> w dokumentach kontraktowych, a o ich wykryciu winien natychmiast powiadomić Inżyniera/Kierownika projektu, który podejmie decyzję o wprowadzeniu odpowiednich zmian i poprawek.</w:t>
      </w:r>
    </w:p>
    <w:p w14:paraId="7086AC8A"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przypadku rozbieżności, wymiary podane na piśmie są ważniejsze od wymiarów określonych na podstawie odczytu ze skali rysunku.</w:t>
      </w:r>
    </w:p>
    <w:p w14:paraId="79961055"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Wszystkie wykonane roboty i dostarczone materiały będą zgodne z dokumentacją projektową i ST.</w:t>
      </w:r>
    </w:p>
    <w:p w14:paraId="0CFD83CB"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lastRenderedPageBreak/>
        <w:tab/>
        <w:t>Dane określone w dokumentacji projektowej i w ST będą uważane za wartości docelowe, od których dopuszczalne są odchylenia w ramach określonego przedziału tolerancji. Cechy materiałów i elementów budowli muszą wykazywać zgodność z określonymi wymaganiami, a rozrzuty tych cech nie mogą przekraczać dopuszczalnego przedziału tolerancji.</w:t>
      </w:r>
    </w:p>
    <w:p w14:paraId="74B5C069" w14:textId="77777777" w:rsidR="00F45500" w:rsidRPr="002F21D3" w:rsidRDefault="00F45500" w:rsidP="00F45500">
      <w:pPr>
        <w:pStyle w:val="Standard"/>
        <w:spacing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przypadku, gdy materiały lub roboty nie będą w pełni zgodne z dokumentacją projektową lub ST i wpłynie to na niezadowalającą jakość elementu budowli, to takie materiały zostaną zastąpione innymi, a elementy budowli rozebrane i wykonane ponownie na koszt Wykonawcy.</w:t>
      </w:r>
    </w:p>
    <w:p w14:paraId="7BA368CA"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1.5.4. Zabezpieczenie terenu budowy</w:t>
      </w:r>
    </w:p>
    <w:p w14:paraId="46F7F5E8"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jest zobowiązany do zabezpieczenia terenu budowy w okresie trwania realizacji kontraktu aż do zakończenia i odbioru Ostatecznego robót.</w:t>
      </w:r>
    </w:p>
    <w:p w14:paraId="31A1AE1B"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dostarczy, zainstaluje i będzie utrzymywać tymczasowe urządzenia zabezpieczające, w tym: ogrodzenia, poręcze, oświetlenie, sygnały i znaki ostrzegawcze oraz  wszelkie inne środki niezbędne do ochrony robót, wygody społeczności i innych.</w:t>
      </w:r>
    </w:p>
    <w:p w14:paraId="22A1201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miejscach przylegających do dróg otwartych dla ruchu, Wykonawca ogrodzi lub wyraźnie oznakuje teren budowy, w sposób uzgodniony z Inżynierem/Kierownikiem projektu.</w:t>
      </w:r>
    </w:p>
    <w:p w14:paraId="1A581959"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Wjazdy i wyjazdy z terenu budowy przeznaczone dla pojazdów i maszyn pracujących przy realizacji robót, Wykonawca odpowiednio oznakuje w sposób uzgodniony z Inżynierem/Kierownikiem projektu.</w:t>
      </w:r>
    </w:p>
    <w:p w14:paraId="40D137C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Fakt przystąpienia do robót Wykonawca obwieści publicznie przed ich rozpoczęciem w sposób uzgodniony z Inżynierem/Kierownikiem projektu oraz przez umieszczenie, w miejscach i ilościach określonych przez Inżyniera/Kierownika projektu, tablic informacyjnych, których treść będzie zatwierdzona przez Inżyniera/Kierownika projektu. Tablice informacyjne będą utrzymywane przez Wykonawcę w dobrym stanie przez cały okres realizacji robót.</w:t>
      </w:r>
    </w:p>
    <w:p w14:paraId="3554F1CE"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Koszt zabezpieczenia terenu budowy nie podlega odrębnej zapłacie i przyjmuje się, że jest włączony w cenę kontraktową.</w:t>
      </w:r>
    </w:p>
    <w:p w14:paraId="16CD4DFF"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1.5.5. Ochrona środowiska w czasie wykonywania robót</w:t>
      </w:r>
    </w:p>
    <w:p w14:paraId="5D35E12A"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ma obowiązek znać i stosować w czasie prowadzenia robót wszelkie przepisy dotyczące ochrony środowiska naturalnego.</w:t>
      </w:r>
    </w:p>
    <w:p w14:paraId="770BE491"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okresie trwania budowy i wykańczania robót Wykonawca będzie:</w:t>
      </w:r>
    </w:p>
    <w:p w14:paraId="1E4C867D" w14:textId="77777777" w:rsidR="00F45500" w:rsidRPr="002F21D3" w:rsidRDefault="00F45500" w:rsidP="00F45500">
      <w:pPr>
        <w:pStyle w:val="Standard"/>
        <w:widowControl w:val="0"/>
        <w:numPr>
          <w:ilvl w:val="0"/>
          <w:numId w:val="167"/>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utrzymywać teren budowy i wykopy w stanie bez wody stojącej,</w:t>
      </w:r>
    </w:p>
    <w:p w14:paraId="78D02DF7" w14:textId="77777777" w:rsidR="00F45500" w:rsidRPr="002F21D3" w:rsidRDefault="00F45500" w:rsidP="00F45500">
      <w:pPr>
        <w:pStyle w:val="Standard"/>
        <w:widowControl w:val="0"/>
        <w:numPr>
          <w:ilvl w:val="0"/>
          <w:numId w:val="40"/>
        </w:numPr>
        <w:tabs>
          <w:tab w:val="left" w:pos="142"/>
          <w:tab w:val="left" w:pos="284"/>
          <w:tab w:val="left" w:pos="3679"/>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w:t>
      </w:r>
    </w:p>
    <w:p w14:paraId="658064A6"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Stosując się do tych wymagań będzie miał szczególny wzgląd na:</w:t>
      </w:r>
    </w:p>
    <w:p w14:paraId="09A22154" w14:textId="77777777" w:rsidR="00F45500" w:rsidRPr="002F21D3" w:rsidRDefault="00F45500" w:rsidP="00F45500">
      <w:pPr>
        <w:pStyle w:val="Standard"/>
        <w:widowControl w:val="0"/>
        <w:numPr>
          <w:ilvl w:val="0"/>
          <w:numId w:val="168"/>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lokalizację baz, warsztatów, magazynów, składowisk, ukopów i dróg dojazdowych,</w:t>
      </w:r>
    </w:p>
    <w:p w14:paraId="2BE55202" w14:textId="77777777" w:rsidR="00F45500" w:rsidRPr="002F21D3" w:rsidRDefault="00F45500" w:rsidP="00F45500">
      <w:pPr>
        <w:pStyle w:val="Standard"/>
        <w:widowControl w:val="0"/>
        <w:numPr>
          <w:ilvl w:val="0"/>
          <w:numId w:val="41"/>
        </w:numPr>
        <w:tabs>
          <w:tab w:val="left" w:pos="142"/>
          <w:tab w:val="left" w:pos="284"/>
          <w:tab w:val="left" w:pos="7358"/>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środki ostrożności i zabezpieczenia przed:</w:t>
      </w:r>
    </w:p>
    <w:p w14:paraId="1787DCF0" w14:textId="77777777" w:rsidR="00F45500" w:rsidRPr="002F21D3" w:rsidRDefault="00F45500" w:rsidP="00F45500">
      <w:pPr>
        <w:pStyle w:val="Standard"/>
        <w:widowControl w:val="0"/>
        <w:numPr>
          <w:ilvl w:val="0"/>
          <w:numId w:val="41"/>
        </w:numPr>
        <w:tabs>
          <w:tab w:val="left" w:pos="142"/>
          <w:tab w:val="left" w:pos="284"/>
          <w:tab w:val="left" w:pos="11050"/>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zanieczyszczeniem zbiorników i cieków wodnych pyłami lub substancjami toksycznymi,</w:t>
      </w:r>
    </w:p>
    <w:p w14:paraId="52339E3B" w14:textId="77777777" w:rsidR="00F45500" w:rsidRPr="002F21D3" w:rsidRDefault="00F45500" w:rsidP="00F45500">
      <w:pPr>
        <w:pStyle w:val="Standard"/>
        <w:widowControl w:val="0"/>
        <w:numPr>
          <w:ilvl w:val="0"/>
          <w:numId w:val="41"/>
        </w:numPr>
        <w:tabs>
          <w:tab w:val="left" w:pos="142"/>
          <w:tab w:val="left" w:pos="284"/>
          <w:tab w:val="left" w:pos="11050"/>
        </w:tabs>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zanieczyszczeniem powietrza pyłami i gazami,</w:t>
      </w:r>
    </w:p>
    <w:p w14:paraId="214A1C5F" w14:textId="77777777" w:rsidR="00F45500" w:rsidRPr="002F21D3" w:rsidRDefault="00F45500" w:rsidP="00F45500">
      <w:pPr>
        <w:pStyle w:val="Standard"/>
        <w:widowControl w:val="0"/>
        <w:numPr>
          <w:ilvl w:val="0"/>
          <w:numId w:val="41"/>
        </w:numPr>
        <w:tabs>
          <w:tab w:val="left" w:pos="142"/>
          <w:tab w:val="left" w:pos="284"/>
          <w:tab w:val="left" w:pos="7371"/>
        </w:tabs>
        <w:spacing w:after="60"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możliwością powstania pożaru.</w:t>
      </w:r>
    </w:p>
    <w:p w14:paraId="332F214F"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1.5.6. Ochrona przeciwpożarowa</w:t>
      </w:r>
    </w:p>
    <w:p w14:paraId="321DA167"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przestrzegać przepisy ochrony przeciwpożarowej.</w:t>
      </w:r>
    </w:p>
    <w:p w14:paraId="35C5ADC2"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utrzymywać, wymagany na podstawie odpowiednich przepisów sprawny sprzęt przeciwpożarowy, na terenie baz produkcyjnych, w pomieszczeniach biurowych, mieszkalnych, magazynach oraz w maszynach i pojazdach.</w:t>
      </w:r>
    </w:p>
    <w:p w14:paraId="7BA7ADEF"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Materiały łatwopalne będą składowane w sposób zgodny z odpowiednimi przepisami i zabezpieczone przed dostępem osób trzecich.</w:t>
      </w:r>
    </w:p>
    <w:p w14:paraId="6AC8AE72"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odpowiedzialny za wszelkie straty spowodowane pożarem wywołanym jako rezultat realizacji robót albo przez personel Wykonawcy.</w:t>
      </w:r>
    </w:p>
    <w:p w14:paraId="2FD938BC"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1.5.7. Materiały szkodliwe dla otoczenia</w:t>
      </w:r>
    </w:p>
    <w:p w14:paraId="3B625EBC"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Materiały, które w sposób trwały są szkodliwe dla otoczenia, nie będą dopuszczone do użycia.</w:t>
      </w:r>
    </w:p>
    <w:p w14:paraId="47D9355A"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Nie dopuszcza się użycia materiałów wywołujących szkodliwe promieniowanie o stężeniu większym od dopuszczalnego, określonego odpowiednimi przepisami.</w:t>
      </w:r>
    </w:p>
    <w:p w14:paraId="72E09C7A"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Wszelkie materiały odpadowe użyte do robót będą miały aprobatę techniczną wydaną przez uprawnioną jednostkę, jednoznacznie określającą brak szkodliwego oddziaływania tych materiałów na środowisko.</w:t>
      </w:r>
    </w:p>
    <w:p w14:paraId="2DDFEBE8"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 materiałów od właściwych organów administracji państwowej.</w:t>
      </w:r>
    </w:p>
    <w:p w14:paraId="0269F93A"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Jeżeli Wykonawca użył materiałów szkodliwych dla otoczenia zgodnie ze specyfikacjami, a ich użycie spowodowało jakiekolwiek zagrożenie środowiska, to konsekwencje tego poniesie Zamawiający.</w:t>
      </w:r>
    </w:p>
    <w:p w14:paraId="368AE6A9"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1.5.8. Ochrona własności publicznej i prywatnej</w:t>
      </w:r>
    </w:p>
    <w:p w14:paraId="09BFAAE8"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 i urządzeń w czasie trwania budowy.</w:t>
      </w:r>
    </w:p>
    <w:p w14:paraId="190C31AB"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14:paraId="03DA271F"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14:paraId="631B7400"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lastRenderedPageBreak/>
        <w:tab/>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14:paraId="2F3E167E"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1.5.9. Ograniczenie obciążeń osi pojazdów</w:t>
      </w:r>
    </w:p>
    <w:p w14:paraId="7BF1A83A" w14:textId="77777777" w:rsidR="00F45500" w:rsidRPr="002F21D3" w:rsidRDefault="00F45500" w:rsidP="00F45500">
      <w:pPr>
        <w:pStyle w:val="Standard"/>
        <w:spacing w:before="60"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Pojazdy powodujące nadmierne obciążenie osiowe nie będą dopuszczone na świeżo ukończony fragment budowy w obrębie terenu budowy i Wykonawca będzie odpowiadał za naprawę wszelkich robót w ten sposób uszkodzonych, zgodnie z poleceniami Inżyniera/Kierownika projektu.</w:t>
      </w:r>
    </w:p>
    <w:p w14:paraId="00CFABB7"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1.5.10. Bezpieczeństwo i higiena pracy</w:t>
      </w:r>
    </w:p>
    <w:p w14:paraId="39FB3BA9"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Podczas realizacji robót Wykonawca będzie przestrzegać przepisów dotyczących bezpieczeństwa i higieny pracy.</w:t>
      </w:r>
    </w:p>
    <w:p w14:paraId="762C945D"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szczególności Wykonawca ma obowiązek zadbać, aby personel nie wykonywał pracy w warunkach niebezpiecznych, szkodliwych dla zdrowia oraz nie spełniających odpowiednich wymagań sanitarnych.</w:t>
      </w:r>
    </w:p>
    <w:p w14:paraId="2744B484"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zapewni i będzie utrzymywał wszelkie urządzenia zabezpieczające, socjalne oraz sprzęt i odpowiednią odzież dla ochrony życia i zdrowia osób zatrudnionych na budowie oraz dla zapewnienia bezpieczeństwa publicznego.</w:t>
      </w:r>
    </w:p>
    <w:p w14:paraId="11CDE1D4" w14:textId="77777777" w:rsidR="00F45500" w:rsidRPr="002F21D3" w:rsidRDefault="00F45500" w:rsidP="00F45500">
      <w:pPr>
        <w:pStyle w:val="Standard"/>
        <w:spacing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Uznaje się, że wszelkie koszty związane z wypełnieniem wymagań określonych powyżej nie podlegają odrębnej zapłacie i są uwzględnione w cenie kontraktowej.</w:t>
      </w:r>
    </w:p>
    <w:p w14:paraId="225D4C7F"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1.5.11. Ochrona i utrzymanie robót</w:t>
      </w:r>
    </w:p>
    <w:p w14:paraId="704C6CBD"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odpowiadał za ochronę robót i za wszelkie materiały i urządzenia używane do robót od daty rozpoczęcia do daty wydania potwierdzenia zakończenia robót przez Inżyniera/Kierownika projektu.</w:t>
      </w:r>
    </w:p>
    <w:p w14:paraId="3EF48F3D"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utrzymywać roboty do czasu odbioru Ostatecznego. Utrzymanie powinno być prowadzone w taki sposób, aby budowla drogowa lub jej elementy były w zadowalającym stanie przez cały czas, do momentu odbioru Ostatecznego.</w:t>
      </w:r>
    </w:p>
    <w:p w14:paraId="4727E54F" w14:textId="77777777" w:rsidR="00F45500" w:rsidRPr="002F21D3" w:rsidRDefault="00F45500" w:rsidP="00F45500">
      <w:pPr>
        <w:pStyle w:val="Standard"/>
        <w:spacing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Jeśli Wykonawca w jakimkolwiek czasie zaniedba utrzymanie, to na polecenie Inżyniera/Kierownika projektu powinien rozpocząć roboty utrzymaniowe nie później niż w 24 godziny po otrzymaniu tego polecenia.</w:t>
      </w:r>
    </w:p>
    <w:p w14:paraId="6094F2D8"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1.5.12. Stosowanie się do prawa i innych przepisów</w:t>
      </w:r>
    </w:p>
    <w:p w14:paraId="4D353EEE" w14:textId="77777777" w:rsidR="00F45500" w:rsidRPr="002F21D3" w:rsidRDefault="00F45500" w:rsidP="00F45500">
      <w:pPr>
        <w:pStyle w:val="Standard"/>
        <w:spacing w:before="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zobowiązany jest znać wszystkie zarządzenia wydane przez władze centralne i miejscowe oraz inne przepisy, regulaminy i wytyczne, które są w jakikolwiek sposób związane z wykonywanymi robotami i będzie w pełni odpowiedzialny za przestrzeganie tych postanowień podczas prowadzenia robót.</w:t>
      </w:r>
    </w:p>
    <w:p w14:paraId="0EBC10F9"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 z wyjątkiem przypadków, kiedy takie naruszenie wyniknie z wykonania projektu lub specyfikacji dostarczonej przez Inżyniera/Kierownika projektu.</w:t>
      </w:r>
    </w:p>
    <w:p w14:paraId="5FE3D222" w14:textId="77777777" w:rsidR="00F45500" w:rsidRPr="002F21D3"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2F21D3">
        <w:rPr>
          <w:rFonts w:ascii="Arial" w:hAnsi="Arial" w:cs="Arial"/>
          <w:b/>
          <w:color w:val="000000" w:themeColor="text1"/>
          <w:sz w:val="18"/>
          <w:szCs w:val="18"/>
        </w:rPr>
        <w:t xml:space="preserve">1.5.13. </w:t>
      </w:r>
      <w:r w:rsidRPr="002F21D3">
        <w:rPr>
          <w:rFonts w:ascii="Arial" w:hAnsi="Arial" w:cs="Arial"/>
          <w:color w:val="000000" w:themeColor="text1"/>
          <w:sz w:val="18"/>
          <w:szCs w:val="18"/>
        </w:rPr>
        <w:t>Równoważność norm i zbiorów przepisów prawnych</w:t>
      </w:r>
    </w:p>
    <w:p w14:paraId="42014C9A"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o ile w warunkach kontraktu nie postanowiono inaczej. W przypadku gdy powołane normy i przepisy są państwowe lub odnoszą się do konkretnego kraju lub regionu, mogą być również stosowane inne odpowiednie normy zapewniające równy lub wyższy poziom wykonania niż powołane normy lub przepisy, pod warunkiem ich sprawdzenia i pisemnego zatwierdzenia przez Inżyniera/Kierownika projektu. Różnice pomiędzy powołanymi normami a ich proponowanymi zamiennikami muszą być dokładnie opisane przez Wykonawcę i przedłożone Inżynierowi/Kierownikowi projektu do zatwierdzenia.</w:t>
      </w:r>
    </w:p>
    <w:p w14:paraId="46E47926" w14:textId="77777777" w:rsidR="00F45500" w:rsidRPr="002F21D3"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2F21D3">
        <w:rPr>
          <w:rFonts w:ascii="Arial" w:hAnsi="Arial" w:cs="Arial"/>
          <w:b/>
          <w:color w:val="000000" w:themeColor="text1"/>
          <w:sz w:val="18"/>
          <w:szCs w:val="18"/>
        </w:rPr>
        <w:t>1.5.14.</w:t>
      </w:r>
      <w:r w:rsidRPr="002F21D3">
        <w:rPr>
          <w:rFonts w:ascii="Arial" w:hAnsi="Arial" w:cs="Arial"/>
          <w:color w:val="000000" w:themeColor="text1"/>
          <w:sz w:val="18"/>
          <w:szCs w:val="18"/>
        </w:rPr>
        <w:t xml:space="preserve"> Wykopaliska</w:t>
      </w:r>
    </w:p>
    <w:p w14:paraId="46089267"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Wszelkie wykopaliska, monety, przedmioty wartościowe, budowle oraz inne pozostałości o znaczeniu geologicznym lub archeologicznym odkryte na terenie budowy będą uważane za własność Zamawiającego. Wykonawca zobowiązany jest powiadomić Inżyniera/Kierownika projektu i postępować zgodnie z jego poleceniami. Jeżeli w wyniku tych poleceń Wykonawca poniesie koszty i/lub wystąpią opóźnienia w robotach, Inżynier/ Kierownik projektu po uzgodnieniu z Zamawiającym i Wykonawcą ustali wydłużenie czasu wykonania robót i/lub wysokość kwoty, o którą należy zwiększyć cenę kontraktową.</w:t>
      </w:r>
    </w:p>
    <w:p w14:paraId="51E54CF6" w14:textId="77777777" w:rsidR="00F45500" w:rsidRPr="002F21D3" w:rsidRDefault="00F45500" w:rsidP="00F45500">
      <w:pPr>
        <w:pStyle w:val="Standard"/>
        <w:tabs>
          <w:tab w:val="left" w:pos="142"/>
        </w:tabs>
        <w:spacing w:after="120" w:line="216" w:lineRule="auto"/>
        <w:jc w:val="both"/>
        <w:rPr>
          <w:rFonts w:ascii="Arial" w:hAnsi="Arial" w:cs="Arial"/>
          <w:color w:val="000000" w:themeColor="text1"/>
          <w:sz w:val="18"/>
          <w:szCs w:val="18"/>
        </w:rPr>
      </w:pPr>
      <w:r w:rsidRPr="002F21D3">
        <w:rPr>
          <w:rFonts w:ascii="Arial" w:hAnsi="Arial" w:cs="Arial"/>
          <w:b/>
          <w:color w:val="000000" w:themeColor="text1"/>
          <w:sz w:val="18"/>
          <w:szCs w:val="18"/>
        </w:rPr>
        <w:t>1.6. Zaplecze Zamawiającego (</w:t>
      </w:r>
      <w:r w:rsidRPr="002F21D3">
        <w:rPr>
          <w:rFonts w:ascii="Arial" w:hAnsi="Arial" w:cs="Arial"/>
          <w:color w:val="000000" w:themeColor="text1"/>
          <w:sz w:val="18"/>
          <w:szCs w:val="18"/>
        </w:rPr>
        <w:t>o ile warunki kontraktu przewidują realizację</w:t>
      </w:r>
      <w:r w:rsidRPr="002F21D3">
        <w:rPr>
          <w:rFonts w:ascii="Arial" w:hAnsi="Arial" w:cs="Arial"/>
          <w:b/>
          <w:color w:val="000000" w:themeColor="text1"/>
          <w:sz w:val="18"/>
          <w:szCs w:val="18"/>
        </w:rPr>
        <w:t>)</w:t>
      </w:r>
    </w:p>
    <w:p w14:paraId="64C66783"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b/>
          <w:color w:val="000000" w:themeColor="text1"/>
          <w:sz w:val="18"/>
          <w:szCs w:val="18"/>
        </w:rPr>
        <w:tab/>
      </w:r>
      <w:r w:rsidRPr="002F21D3">
        <w:rPr>
          <w:rFonts w:ascii="Arial" w:hAnsi="Arial" w:cs="Arial"/>
          <w:color w:val="000000" w:themeColor="text1"/>
          <w:sz w:val="18"/>
          <w:szCs w:val="18"/>
        </w:rPr>
        <w:t>Wykonawca zobowiązany jest zabezpieczyć Zamawiającemu, pomieszczenia biurowe, sprzęt, transport oraz inne urządzenia towarzyszące.</w:t>
      </w:r>
    </w:p>
    <w:p w14:paraId="2A7DE6E1" w14:textId="77777777" w:rsidR="00F45500" w:rsidRPr="002F21D3" w:rsidRDefault="00F45500" w:rsidP="004F17AA">
      <w:pPr>
        <w:pStyle w:val="Nagwek2"/>
        <w:rPr>
          <w:i w:val="0"/>
          <w:color w:val="000000" w:themeColor="text1"/>
        </w:rPr>
      </w:pPr>
      <w:r w:rsidRPr="002F21D3">
        <w:rPr>
          <w:i w:val="0"/>
          <w:color w:val="000000" w:themeColor="text1"/>
        </w:rPr>
        <w:t>2. MATERIAŁY</w:t>
      </w:r>
    </w:p>
    <w:p w14:paraId="3B0F1ADC"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2.1. Źródła uzyskania materiałów</w:t>
      </w:r>
    </w:p>
    <w:p w14:paraId="4D862A96"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Co najmniej na trzy tygodnie przed zaplanowanym wykorzystaniem jakichkolwiek materiałów przeznaczonych do robót, Wykonawca przedstawi Inżynierowi/Kierownikowi projektu do zatwierdzenia, szczegółowe informacje dotyczące proponowanego źródła wytwarzania, zamawiania lub wydobywania tych materiałów jak również odpowiednie świadectwa badań laboratoryjnych oraz próbki materiałów.</w:t>
      </w:r>
    </w:p>
    <w:p w14:paraId="2F1C8CF7"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Zatwierdzenie partii materiałów z danego źródła nie oznacza automatycznie, że wszelkie materiały z danego źródła uzyskają zatwierdzenie.</w:t>
      </w:r>
    </w:p>
    <w:p w14:paraId="7558BCB7"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zobowiązany jest do prowadzenia badań w celu wykazania, że materiały uzyskane z dopuszczonego źródła w sposób ciągły spełniają wymagania ST w czasie realizacji robót.</w:t>
      </w:r>
    </w:p>
    <w:p w14:paraId="684CA247"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lastRenderedPageBreak/>
        <w:t>2.2. Pozyskiwanie materiałów miejscowych</w:t>
      </w:r>
    </w:p>
    <w:p w14:paraId="5EFA69EA"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odpowiada za uzyskanie pozwoleń od właścicieli i odnośnych władz na pozyskanie materiałów ze źródeł miejscowych włączając w to źródła wskazane przez Zamawiającego i jest zobowiązany dostarczyć Inżynierowi/Kierownikowi projektu wymagane dokumenty przed rozpoczęciem eksploatacji źródła.</w:t>
      </w:r>
    </w:p>
    <w:p w14:paraId="47BE13F8"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przedstawi Inżynierowi/Kierownikowi projektu do zatwierdzenia dokumentację zawierającą raporty z badań terenowych i laboratoryjnych oraz proponowaną przez siebie metodę wydobycia i selekcji, uwzględniając aktualne decyzje o eksploatacji, organów administracji państwowej i samorządowej.</w:t>
      </w:r>
    </w:p>
    <w:p w14:paraId="6210E264"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ponosi odpowiedzialność za spełnienie wymagań ilościowych i jakościowych materiałów pochodzących ze źródeł miejscowych.</w:t>
      </w:r>
    </w:p>
    <w:p w14:paraId="3CC9F33D"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ponosi wszystkie koszty, z tytułu wydobycia materiałów, dzierżawy i inne jakie okażą się potrzebne w związku  z dostarczeniem materiałów do robót.</w:t>
      </w:r>
    </w:p>
    <w:p w14:paraId="2A854DFE"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 xml:space="preserve">Humus i nadkład czasowo zdjęte z terenu wykopów, </w:t>
      </w:r>
      <w:proofErr w:type="spellStart"/>
      <w:r w:rsidRPr="002F21D3">
        <w:rPr>
          <w:rFonts w:ascii="Arial" w:hAnsi="Arial" w:cs="Arial"/>
          <w:color w:val="000000" w:themeColor="text1"/>
          <w:sz w:val="18"/>
          <w:szCs w:val="18"/>
        </w:rPr>
        <w:t>dokopów</w:t>
      </w:r>
      <w:proofErr w:type="spellEnd"/>
      <w:r w:rsidRPr="002F21D3">
        <w:rPr>
          <w:rFonts w:ascii="Arial" w:hAnsi="Arial" w:cs="Arial"/>
          <w:color w:val="000000" w:themeColor="text1"/>
          <w:sz w:val="18"/>
          <w:szCs w:val="18"/>
        </w:rPr>
        <w:t xml:space="preserve"> i miejsc pozyskania materiałów miejscowych będą formowane w hałdy i wykorzystane przy zasypce i rekultywacji terenu po ukończeniu robót.</w:t>
      </w:r>
    </w:p>
    <w:p w14:paraId="570DD327"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Wszystkie odpowiednie materiały pozyskane z wykopów na terenie budowy lub z innych miejsc wskazanych w dokumentach umowy będą wykorzystane do robót lub odwiezione na odkład odpowiednio do wymagań umowy lub wskazań Inżyniera/Kierownika projektu.</w:t>
      </w:r>
    </w:p>
    <w:p w14:paraId="486A5CC1"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nie będzie prowadzić żadnych wykopów w obrębie terenu budowy poza tymi, które zostały wyszczególnione w dokumentach umowy, chyba, że uzyska na to pisemną zgodę Inżyniera/Kierownika projektu.</w:t>
      </w:r>
    </w:p>
    <w:p w14:paraId="33752CEF"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Eksploatacja źródeł materiałów będzie zgodna z wszelkimi regulacjami prawnymi obowiązującymi na danym obszarze.</w:t>
      </w:r>
    </w:p>
    <w:p w14:paraId="314997FB"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2.3. Materiały nie odpowiadające wymaganiom</w:t>
      </w:r>
    </w:p>
    <w:p w14:paraId="6F5832C6"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Materiały nie odpowiadające wymaganiom zostaną przez Wykonawcę wywiezione z terenu budowy  i złożone w miejscu wskazanym przez Inżyniera/Kierownika projektu. Jeśli Inżynier/Kierownik projektu zezwoli Wykonawcy na użycie tych materiałów do innych robót, niż te dla których zostały zakupione, to koszt tych materiałów zostanie odpowiednio przewartościowany (skorygowany) przez Inżyniera/Kierownika projektu.</w:t>
      </w:r>
    </w:p>
    <w:p w14:paraId="25A0D7C8"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Każdy rodzaj robót, w którym znajdują się nie zbadane i nie zaakceptowane materiały, Wykonawca wykonuje na własne ryzyko, licząc się z jego nieprzyjęciem, usunięciem  i niezapłaceniem</w:t>
      </w:r>
    </w:p>
    <w:p w14:paraId="2682E541"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2.4. Wariantowe stosowanie materiałów</w:t>
      </w:r>
    </w:p>
    <w:p w14:paraId="06A1C10A"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Jeśli dokumentacja projektowa przewidują możliwość wariantowego zastosowania rodzaju materiału w wykonywanych robotach, Wykonawca powiadomi Inżyniera/Kierownika projektu o swoim zamiarze co najmniej 3 tygodnie przed użyciem tego materiału, albo w okresie dłuższym, jeśli będzie to potrzebne z uwagi na wykonanie badań wymaganych przez Inżyniera/Kierownika projektu. Wybrany i zaakceptowany rodzaj materiału nie może być później zmieniany bez zgody Inżyniera/Kierownika projektu.</w:t>
      </w:r>
    </w:p>
    <w:p w14:paraId="0677489F"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2.5. Przechowywanie i składowanie materiałów</w:t>
      </w:r>
    </w:p>
    <w:p w14:paraId="2929A0C7"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zapewni, aby tymczasowo składowane materiały, do czasu gdy będą one użyte do robót, były zabezpieczone przed zanieczyszczeniami, zachowały swoją jakość i właściwości i były dostępne do kontroli przez Inżyniera/Kierownika projektu.</w:t>
      </w:r>
    </w:p>
    <w:p w14:paraId="3D09C1CB"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Miejsca czasowego składowania materiałów będą zlokalizowane w obrębie terenu budowy w miejscach uzgodnionych z Inżynierem/Kierownikiem projektu lub poza terenem budowy w miejscach zorganizowanych przez Wykonawcę i zaakceptowanych przez Inżyniera/Kierownika projektu.</w:t>
      </w:r>
    </w:p>
    <w:p w14:paraId="3A5C57DF"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2.6. Inspekcja wytwórni materiałów</w:t>
      </w:r>
    </w:p>
    <w:p w14:paraId="03A3D8A9"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Wytwórnie materiałów mogą być okresowo kontrolowane przez Inżyniera/ Kierownika projektu w celu sprawdzenia zgodności stosowanych metod produkcji z wymaganiami. Próbki materiałów mogą być pobierane w celu sprawdzenia ich właściwości. Wyniki tych kontroli będą stanowić podstawę do akceptacji określonej partii materiałów pod względem jakości.</w:t>
      </w:r>
    </w:p>
    <w:p w14:paraId="3FBB8C48"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przypadku, gdy Inżynier/Kierownik projektu będzie przeprowadzał inspekcję wytwórni, muszą być spełnione następujące warunki:</w:t>
      </w:r>
    </w:p>
    <w:p w14:paraId="19018B89" w14:textId="77777777" w:rsidR="00F45500" w:rsidRPr="002F21D3"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Inżynier/Kierownik projektu będzie miał zapewnioną współpracę i pomoc Wykonawcy oraz producenta materiałów w czasie przeprowadzania inspekcji,</w:t>
      </w:r>
    </w:p>
    <w:p w14:paraId="6B52D764" w14:textId="77777777" w:rsidR="00F45500" w:rsidRPr="002F21D3"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Inżynier/Kierownik projektu będzie miał wolny dostęp, w dowolnym czasie, do tych części wytwórni, gdzie odbywa się produkcja materiałów przeznaczonych do realizacji robót,</w:t>
      </w:r>
    </w:p>
    <w:p w14:paraId="641E0240" w14:textId="77777777" w:rsidR="00F45500" w:rsidRPr="002F21D3" w:rsidRDefault="00F45500" w:rsidP="00F45500">
      <w:pPr>
        <w:pStyle w:val="Standard"/>
        <w:widowControl w:val="0"/>
        <w:numPr>
          <w:ilvl w:val="0"/>
          <w:numId w:val="42"/>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Jeżeli produkcja odbywa się w miejscu nie należącym do Wykonawcy, Wykonawca uzyska dla Inżyniera/Kierownika projektu zezwolenie dla przeprowadzenia inspekcji i badań w tych miejscach.</w:t>
      </w:r>
    </w:p>
    <w:p w14:paraId="6E4932E1" w14:textId="77777777" w:rsidR="00F45500" w:rsidRPr="002F21D3" w:rsidRDefault="00291D3B" w:rsidP="004F17AA">
      <w:pPr>
        <w:pStyle w:val="Nagwek2"/>
        <w:rPr>
          <w:i w:val="0"/>
          <w:color w:val="000000" w:themeColor="text1"/>
        </w:rPr>
      </w:pPr>
      <w:r w:rsidRPr="002F21D3">
        <w:rPr>
          <w:i w:val="0"/>
          <w:color w:val="000000" w:themeColor="text1"/>
        </w:rPr>
        <w:t>3. SPRZĘT</w:t>
      </w:r>
    </w:p>
    <w:p w14:paraId="0931D595"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lub projekcie organizacji robót, zaakceptowanym przez Inżyniera/Kierownika projektu; w przypadku braku ustaleń w wymienionych wyżej dokumentach, sprzęt powinien być uzgodniony i zaakceptowany przez Inżyniera/Kierownika projektu.</w:t>
      </w:r>
    </w:p>
    <w:p w14:paraId="57DB61B6"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Liczba i wydajność sprzętu powinny gwarantować przeprowadzenie robót, zgodnie z zasadami określonymi w dokumentacji projektowej, ST i wskazaniach Inżyniera/ Kierownika projektu.</w:t>
      </w:r>
    </w:p>
    <w:p w14:paraId="16405FE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Sprzęt będący własnością Wykonawcy lub wynajęty do wykonania robót ma być utrzymywany w dobrym stanie i gotowości do pracy. Powinien być zgodny z normami ochrony środowiska i przepisami dotyczącymi jego użytkowania.</w:t>
      </w:r>
    </w:p>
    <w:p w14:paraId="3EAB0FA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dostarczy Inżynierowi/Kierownikowi projektu kopie dokumentów potwierdzających dopuszczenie sprzętu do użytkowania i badań okresowych, tam gdzie jest to wymagane przepisami.</w:t>
      </w:r>
    </w:p>
    <w:p w14:paraId="43838BF9"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konserwować sprzęt jak również naprawiać lub wymieniać sprzęt niesprawny.</w:t>
      </w:r>
    </w:p>
    <w:p w14:paraId="289DAC4C"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Jeżeli dokumentacja projektowa lub ST przewidują możliwość wariantowego użycia sprzętu przy wykonywanych robotach, Wykonawca powiadomi Inżyniera/ Kierownika projektu o swoim zamiarze wyboru i uzyska jego akceptację przed użyciem sprzętu. Wybrany sprzęt, po akceptacji Inżyniera/Kierownika projektu, nie może być później zmieniany bez jego zgody.</w:t>
      </w:r>
    </w:p>
    <w:p w14:paraId="43E7951C"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Jakikolwiek sprzęt, maszyny, urządzenia i narzędzia nie gwarantujące zachowania warunków umowy, zostaną przez Inżyniera/Kierownika projektu zdyskwalifikowane i nie dopuszczone do robót.</w:t>
      </w:r>
    </w:p>
    <w:p w14:paraId="2650212D" w14:textId="77777777" w:rsidR="00F45500" w:rsidRPr="002F21D3" w:rsidRDefault="00291D3B" w:rsidP="004F17AA">
      <w:pPr>
        <w:pStyle w:val="Nagwek2"/>
        <w:rPr>
          <w:i w:val="0"/>
          <w:color w:val="000000" w:themeColor="text1"/>
        </w:rPr>
      </w:pPr>
      <w:r w:rsidRPr="002F21D3">
        <w:rPr>
          <w:i w:val="0"/>
          <w:color w:val="000000" w:themeColor="text1"/>
        </w:rPr>
        <w:lastRenderedPageBreak/>
        <w:t>4. TRANSPORT</w:t>
      </w:r>
    </w:p>
    <w:p w14:paraId="6B157231"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jest zobowiązany do stosowania jedynie takich środków transportu, które nie wpłyną niekorzystnie na jakość wykonywanych robót i właściwości przewożonych materiałów.</w:t>
      </w:r>
    </w:p>
    <w:p w14:paraId="30CAC081"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Liczba środków transportu powinna zapewniać prowadzenie robót zgodnie z zasadami określonymi w dokumentacji projektowej, ST i wskazaniach Inżyniera/ Kierownika projektu, w terminie przewidzianym umową.</w:t>
      </w:r>
    </w:p>
    <w:p w14:paraId="6D47F4B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Przy ruchu na drogach publicznych pojazdy będą spełniać wymagania dotyczące przepisów ruchu drogowego w odniesieniu do dopuszczalnych nacisków na oś i innych parametrów technicznych. Środki transportu nie spełniające tych warunków mogą być dopuszczone przez Inżyniera/Kierownika projektu, pod warunkiem przywrócenia stanu pierwotnego użytkowanych odcinków dróg na koszt Wykonawcy.</w:t>
      </w:r>
    </w:p>
    <w:p w14:paraId="7C8336B7"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Wykonawca będzie usuwać na bieżąco, na własny koszt, wszelkie zanieczyszczenia, uszkodzenia spowodowane jego pojazdami na drogach publicznych oraz dojazdach do terenu budowy.</w:t>
      </w:r>
    </w:p>
    <w:p w14:paraId="50D6F39B" w14:textId="77777777" w:rsidR="00F45500" w:rsidRPr="002F21D3" w:rsidRDefault="00291D3B" w:rsidP="004F17AA">
      <w:pPr>
        <w:pStyle w:val="Nagwek2"/>
        <w:rPr>
          <w:i w:val="0"/>
          <w:color w:val="000000" w:themeColor="text1"/>
        </w:rPr>
      </w:pPr>
      <w:r w:rsidRPr="002F21D3">
        <w:rPr>
          <w:i w:val="0"/>
          <w:color w:val="000000" w:themeColor="text1"/>
        </w:rPr>
        <w:t>5. WYKONANIE ROBÓT</w:t>
      </w:r>
    </w:p>
    <w:p w14:paraId="614C5527"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jest odpowiedzialny za prowadzenie robót zgodnie z warunkami umowy oraz za jakość zastosowanych materiałów i wykonywanych robót, za ich zgodność z dokumentacją projektową, wymaganiami ST, projektem organizacji robót opracowanym przez Wykonawcę oraz poleceniami Inżyniera/Kierownika projektu.</w:t>
      </w:r>
    </w:p>
    <w:p w14:paraId="486B9CD3"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jest odpowiedzialny za stosowane metody wykonywania robót.</w:t>
      </w:r>
    </w:p>
    <w:p w14:paraId="636C147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jest odpowiedzialny za dokładne wytyczenie w planie i wyznaczenie wysokości wszystkich elementów robót zgodnie z wymiarami i rzędnymi określonymi w dokumentacji projektowej lub przekazanymi na piśmie przez Inżyniera/Kierownika projektu.</w:t>
      </w:r>
    </w:p>
    <w:p w14:paraId="4459A31F"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Błędy popełnione przez Wykonawcę w wytyczeniu i wyznaczaniu robót zostaną, usunięte przez Wykonawcę na własny koszt, z wyjątkiem, kiedy dany błąd okaże się skutkiem błędu zawartego w danych dostarczonych Wykonawcy na piśmie przez Inżyniera/ Kierownika projektu.</w:t>
      </w:r>
    </w:p>
    <w:p w14:paraId="3DD3B53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Sprawdzenie wytyczenia robót lub wyznaczenia wysokości przez Inżyniera/ Kierownika projektu nie zwalnia Wykonawcy od odpowiedzialności za ich dokładność.</w:t>
      </w:r>
    </w:p>
    <w:p w14:paraId="7DDB56A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Decyzje Inżyniera/Kierownika projektu dotyczące akceptacji lub odrzucenia materiałów i elementów robót będą oparte na wymaganiach określonych w dokumentach umowy, dokumentacji projektowej i w ST, a także w normach i wytycznych.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w:t>
      </w:r>
    </w:p>
    <w:p w14:paraId="6298C299" w14:textId="77777777" w:rsidR="00F45500" w:rsidRPr="002F21D3" w:rsidRDefault="00F45500" w:rsidP="00F45500">
      <w:pPr>
        <w:pStyle w:val="tekstos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ab/>
        <w:t>Polecenia Inżyniera/Kierownika projektu powinny być wykonywane przez Wykonawcę w czasie określonym przez Inżyniera/Kierownika projektu, pod groźbą zatrzymania robót. Skutki finansowe z tego tytułu poniesie Wykonawca.</w:t>
      </w:r>
    </w:p>
    <w:p w14:paraId="196E57C1" w14:textId="77777777" w:rsidR="00F45500" w:rsidRPr="002F21D3" w:rsidRDefault="00291D3B" w:rsidP="00291D3B">
      <w:pPr>
        <w:pStyle w:val="Nagwek2"/>
        <w:rPr>
          <w:i w:val="0"/>
          <w:color w:val="000000" w:themeColor="text1"/>
        </w:rPr>
      </w:pPr>
      <w:r w:rsidRPr="002F21D3">
        <w:rPr>
          <w:i w:val="0"/>
          <w:color w:val="000000" w:themeColor="text1"/>
        </w:rPr>
        <w:t>6. KONTROLA JAKOŚCI ROBÓT</w:t>
      </w:r>
    </w:p>
    <w:p w14:paraId="3929375E"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1</w:t>
      </w:r>
      <w:r w:rsidRPr="002F21D3">
        <w:rPr>
          <w:color w:val="000000" w:themeColor="text1"/>
          <w:sz w:val="18"/>
          <w:szCs w:val="18"/>
        </w:rPr>
        <w:t>. Zasady kontroli jakości robót</w:t>
      </w:r>
    </w:p>
    <w:p w14:paraId="7D3DEA16"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Celem kontroli robót będzie takie sterowanie ich przygotowaniem i wykonaniem, aby osiągnąć założoną jakość robót.</w:t>
      </w:r>
    </w:p>
    <w:p w14:paraId="4B4A3F22"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jest odpowiedzialny za pełną kontrolę robót i jakości materiałów. Wykonawca zapewni odpowiedni system kontroli, włączając personel, laboratorium, sprzęt, zaopatrzenie i wszystkie urządzenia niezbędne do pobierania próbek i badań materiałów oraz robót.</w:t>
      </w:r>
    </w:p>
    <w:p w14:paraId="7A64DFF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Przed zatwierdzeniem systemu kontroli Inżynier/Kierownik projektu może zażądać od Wykonawcy przeprowadzenia badań w celu zademonstrowania, że poziom ich wykonywania jest zadowalający.</w:t>
      </w:r>
    </w:p>
    <w:p w14:paraId="0AF177D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będzie przeprowadzać pomiary i badania materiałów oraz robót z częstotliwością zapewniającą stwierdzenie, że roboty wykonano zgodnie z wymaganiami zawartymi w dokumentacji projektowej i ST</w:t>
      </w:r>
    </w:p>
    <w:p w14:paraId="6C8FADC0"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Minimalne wymagania co do zakresu badań i ich częstotliwość są określone w ST, normach i wytycznych. W przypadku, gdy nie zostały one tam określone, Inżynier/ Kierownik projektu ustali jaki zakres kontroli jest konieczny, aby zapewnić wykonanie robót zgodnie z umową.</w:t>
      </w:r>
    </w:p>
    <w:p w14:paraId="5F098A7F"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dostarczy Inżynierowi/Kierownikowi projektu świadectwa, że wszystkie stosowane urządzenia i sprzęt badawczy posiadają ważną legalizację, zostały prawidłowo wykalibrowane i odpowiadają wymaganiom norm określających procedury badań.</w:t>
      </w:r>
    </w:p>
    <w:p w14:paraId="0C130BC6"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będzie mieć nieograniczony dostęp do pomieszczeń laboratoryjnych, w celu ich inspekcji.</w:t>
      </w:r>
    </w:p>
    <w:p w14:paraId="51B7520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zostanie odpowiednia jakość tych materiałów.</w:t>
      </w:r>
    </w:p>
    <w:p w14:paraId="00D342CC"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Wszystkie koszty związane z organizowaniem i prowadzeniem badań materiałów ponosi Wykonawca.</w:t>
      </w:r>
    </w:p>
    <w:p w14:paraId="43B63492"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2</w:t>
      </w:r>
      <w:r w:rsidRPr="002F21D3">
        <w:rPr>
          <w:color w:val="000000" w:themeColor="text1"/>
          <w:sz w:val="18"/>
          <w:szCs w:val="18"/>
        </w:rPr>
        <w:t>. Pobieranie próbek</w:t>
      </w:r>
    </w:p>
    <w:p w14:paraId="400BA22D"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Próbki będą pobierane losowo. Zaleca się stosowanie statystycznych metod pobierania próbek, opartych na zasadzie, że wszystkie jednostkowe elementy produkcji mogą być z jednakowym prawdopodobieństwem wytypowane do badań.</w:t>
      </w:r>
    </w:p>
    <w:p w14:paraId="19597530"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będzie mieć zapewnioną możliwość udziału w pobieraniu próbek.</w:t>
      </w:r>
    </w:p>
    <w:p w14:paraId="17F167F0"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Pojemniki do pobierania próbek będą dostarczone przez Wykonawcę i zatwierdzone przez Inżyniera/Kierownika projektu. Próbki dostarczone przez Wykonawcę do badań wykonywanych przez Inżyniera/Kierownik projektu będą odpowiednio opisane i oznakowane, w sposób zaakceptowany przez Inżyniera/Kierownika projektu.</w:t>
      </w:r>
    </w:p>
    <w:p w14:paraId="232D3031"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Na zlecenie Inżyniera/Kierownika projektu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w:t>
      </w:r>
    </w:p>
    <w:p w14:paraId="179E7EA7"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3</w:t>
      </w:r>
      <w:r w:rsidRPr="002F21D3">
        <w:rPr>
          <w:color w:val="000000" w:themeColor="text1"/>
          <w:sz w:val="18"/>
          <w:szCs w:val="18"/>
        </w:rPr>
        <w:t>. Badania i pomiary</w:t>
      </w:r>
    </w:p>
    <w:p w14:paraId="366D7EA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 xml:space="preserve">Wszystkie badania i pomiary będą przeprowadzone zgodnie z wymaganiami norm. W przypadku, gdy normy nie obejmują jakiegokolwiek badania wymaganego w ST, stosować można wytyczne krajowe, albo inne procedury, </w:t>
      </w:r>
      <w:r w:rsidRPr="002F21D3">
        <w:rPr>
          <w:rFonts w:ascii="Arial" w:hAnsi="Arial" w:cs="Arial"/>
          <w:color w:val="000000" w:themeColor="text1"/>
          <w:sz w:val="18"/>
          <w:szCs w:val="18"/>
        </w:rPr>
        <w:lastRenderedPageBreak/>
        <w:t>zaakceptowane przez Inżyniera/ Kierownika projektu.</w:t>
      </w:r>
    </w:p>
    <w:p w14:paraId="21A05FB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Przed przystąpieniem do pomiarów lub badań, Wykonawca powiadomi Inżyniera/ Kierownika projektu o rodzaju, miejscu i terminie pomiaru lub badania. Po wykonaniu pomiaru lub badania, Wykonawca przedstawi na piśmie ich wyniki do akceptacji Inżyniera/ Kierownika projektu.</w:t>
      </w:r>
    </w:p>
    <w:p w14:paraId="2084351D"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4</w:t>
      </w:r>
      <w:r w:rsidRPr="002F21D3">
        <w:rPr>
          <w:color w:val="000000" w:themeColor="text1"/>
          <w:sz w:val="18"/>
          <w:szCs w:val="18"/>
        </w:rPr>
        <w:t>. Raporty z badań</w:t>
      </w:r>
    </w:p>
    <w:p w14:paraId="0AF6604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będzie przekazywać Inżynierowi/Kierownikowi projektu kopie raportów z wynikami badań jak najszybciej, nie później jednak niż w terminie określonym w programie zapewnienia jakości.</w:t>
      </w:r>
    </w:p>
    <w:p w14:paraId="28D7FC87"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Wyniki badań (kopie) będą przekazywane Inżynierowi/Kierownikowi projektu na formularzach według dostarczonego przez niego wzoru lub innych, przez niego zaaprobowanych.</w:t>
      </w:r>
    </w:p>
    <w:p w14:paraId="00FF8922"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5</w:t>
      </w:r>
      <w:r w:rsidRPr="002F21D3">
        <w:rPr>
          <w:color w:val="000000" w:themeColor="text1"/>
          <w:sz w:val="18"/>
          <w:szCs w:val="18"/>
        </w:rPr>
        <w:t>. Badania prowadzone przez Inżyniera/Kierownika projektu</w:t>
      </w:r>
    </w:p>
    <w:p w14:paraId="663C98C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jest uprawniony do dokonywania kontroli, pobierania próbek i badania materiałów w miejscu ich wytwarzania/pozyskiwania, a Wykonawca i producent materiałów powinien udzielić mu niezbędnej pomocy.</w:t>
      </w:r>
    </w:p>
    <w:p w14:paraId="3DBD98F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dokonując weryfikacji systemu kontroli robót prowadzonego przez Wykonawcę, poprzez między innymi swoje badania, będzie oceniać zgodność materiałów i robót z wymaganiami ST na podstawie wyników własnych badań kontrolnych jak i wyników badań dostarczonych przez Wykonawcę.</w:t>
      </w:r>
    </w:p>
    <w:p w14:paraId="2DA2AB3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powinien pobierać próbki materiałów i prowadzić badania niezależnie od Wykonawcy, na swój koszt. Jeżeli wyniki tych badań wykażą, że raporty Wykonawcy są niewiarygodne, to Inżynier/Kierownik projektu oprze się wyłącznie na własnych badaniach przy ocenie zgodności materiałów i robót z dokumentacją projektową i ST. Może również zlecić, sam lub poprzez Wykonawcę, przeprowadzenie powtórnych lub dodatkowych badań niezależnemu laboratorium. W takim przypadku całkowite koszty powtórnych lub dodatkowych badań i pobierania próbek poniesione zostaną przez Wykonawcę.</w:t>
      </w:r>
    </w:p>
    <w:p w14:paraId="548EB172"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6</w:t>
      </w:r>
      <w:r w:rsidRPr="002F21D3">
        <w:rPr>
          <w:color w:val="000000" w:themeColor="text1"/>
          <w:sz w:val="18"/>
          <w:szCs w:val="18"/>
        </w:rPr>
        <w:t>. Certyfikaty i deklaracje</w:t>
      </w:r>
    </w:p>
    <w:p w14:paraId="013A4E2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Inżynier/Kierownik projektu może dopuścić do użycia tylko te materiały, które posiadają:</w:t>
      </w:r>
    </w:p>
    <w:p w14:paraId="34D55C61" w14:textId="77777777" w:rsidR="00F45500" w:rsidRPr="002F21D3" w:rsidRDefault="00F45500" w:rsidP="00F45500">
      <w:pPr>
        <w:pStyle w:val="tekstost"/>
        <w:numPr>
          <w:ilvl w:val="0"/>
          <w:numId w:val="20"/>
        </w:numPr>
        <w:tabs>
          <w:tab w:val="clear" w:pos="0"/>
        </w:tabs>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certyfikat na znak bezpieczeństwa wykazujący, że zapewniono zgodność z kryteriami technicznymi określonymi na podstawie Polskich Norm, aprobat technicznych oraz właściwych przepisów i dokumentów technicznych,</w:t>
      </w:r>
    </w:p>
    <w:p w14:paraId="7845B4C7" w14:textId="77777777" w:rsidR="00F45500" w:rsidRPr="002F21D3" w:rsidRDefault="00F45500" w:rsidP="00F45500">
      <w:pPr>
        <w:pStyle w:val="tekstost"/>
        <w:numPr>
          <w:ilvl w:val="0"/>
          <w:numId w:val="20"/>
        </w:numPr>
        <w:tabs>
          <w:tab w:val="clear" w:pos="0"/>
        </w:tabs>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deklarację zgodności lub certyfikat zgodności z:</w:t>
      </w:r>
    </w:p>
    <w:p w14:paraId="25351CD6"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Polską Normą lub</w:t>
      </w:r>
    </w:p>
    <w:p w14:paraId="019FF438"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aprobatą techniczną, w przypadku wyrobów, dla których nie ustanowiono Polskiej Normy, jeżeli nie są objęte </w:t>
      </w:r>
      <w:r w:rsidRPr="002F21D3">
        <w:rPr>
          <w:rFonts w:ascii="Arial" w:hAnsi="Arial" w:cs="Arial"/>
          <w:color w:val="000000" w:themeColor="text1"/>
          <w:sz w:val="18"/>
          <w:szCs w:val="18"/>
        </w:rPr>
        <w:tab/>
        <w:t>certyfikacją określoną w pkt 1</w:t>
      </w:r>
    </w:p>
    <w:p w14:paraId="7068BDD7"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i które spełniają wymogi ST.</w:t>
      </w:r>
    </w:p>
    <w:p w14:paraId="7D47D578"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 przypadku materiałów, dla których ww. dokumenty są wymagane przez ST, każda partia dostarczona do robót będzie posiadać te dokumenty, określające w sposób jednoznaczny jej cechy.</w:t>
      </w:r>
    </w:p>
    <w:p w14:paraId="47D5456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Produkty przemysłowe muszą posiadać ww. dokumenty wydane przez producenta, a w razie potrzeby poparte wynikami badań wykonanych przez niego. Kopie wyników tych badań będą dostarczone przez Wykonawcę Inżynierowi/Kierownikowi projektu.</w:t>
      </w:r>
    </w:p>
    <w:p w14:paraId="5BD4F83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Jakiekolwiek materiały, które nie spełniają tych wymagań będą odrzucone.</w:t>
      </w:r>
    </w:p>
    <w:p w14:paraId="1442D708"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6.</w:t>
      </w:r>
      <w:r w:rsidR="00F22548" w:rsidRPr="002F21D3">
        <w:rPr>
          <w:color w:val="000000" w:themeColor="text1"/>
          <w:sz w:val="18"/>
          <w:szCs w:val="18"/>
        </w:rPr>
        <w:t>7</w:t>
      </w:r>
      <w:r w:rsidRPr="002F21D3">
        <w:rPr>
          <w:color w:val="000000" w:themeColor="text1"/>
          <w:sz w:val="18"/>
          <w:szCs w:val="18"/>
        </w:rPr>
        <w:t>. Dokumenty budowy</w:t>
      </w:r>
    </w:p>
    <w:p w14:paraId="63401636" w14:textId="77777777" w:rsidR="00F45500" w:rsidRPr="002F21D3" w:rsidRDefault="00F45500" w:rsidP="00F45500">
      <w:pPr>
        <w:pStyle w:val="tekstost"/>
        <w:spacing w:after="60" w:line="216" w:lineRule="auto"/>
        <w:rPr>
          <w:rFonts w:ascii="Arial" w:hAnsi="Arial" w:cs="Arial"/>
          <w:color w:val="000000" w:themeColor="text1"/>
          <w:sz w:val="18"/>
          <w:szCs w:val="18"/>
        </w:rPr>
      </w:pPr>
      <w:r w:rsidRPr="002F21D3">
        <w:rPr>
          <w:rFonts w:ascii="Arial" w:hAnsi="Arial" w:cs="Arial"/>
          <w:color w:val="000000" w:themeColor="text1"/>
          <w:sz w:val="18"/>
          <w:szCs w:val="18"/>
        </w:rPr>
        <w:t>(1) Dziennik budowy</w:t>
      </w:r>
    </w:p>
    <w:p w14:paraId="2CA0FA53"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Dziennik budowy jest wymaganym dokumentem prawnym obowiązującym Zamawiającego i Wykonawcę w okresie od przekazania Wykonawcy terenu budowy do końca okresu gwarancyjnego. Odpowiedzialność za prowadzenie dziennika budowy zgodnie z obowiązującymi przepisami [2] spoczywa na Wykonawcy.</w:t>
      </w:r>
    </w:p>
    <w:p w14:paraId="36AFFA6D"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Zapisy w dzienniku budowy będą dokonywane na bieżąco i będą dotyczyć przebiegu robót, stanu bezpieczeństwa ludzi i mienia oraz technicznej i gospodarczej strony budowy.</w:t>
      </w:r>
    </w:p>
    <w:p w14:paraId="1826EAE3"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14:paraId="280DBE4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Załączone do dziennika budowy protokoły i inne dokumenty będą oznaczone kolejnym numerem załącznika i opatrzone datą i podpisem Wykonawcy i Inżyniera/ Kierownika projektu.</w:t>
      </w:r>
    </w:p>
    <w:p w14:paraId="3249DCB9"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Do dziennika budowy należy wpisywać w szczególności:</w:t>
      </w:r>
    </w:p>
    <w:p w14:paraId="56A575C1"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datę przekazania Wykonawcy terenu budowy,</w:t>
      </w:r>
    </w:p>
    <w:p w14:paraId="24A35112"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datę przekazania przez Zamawiającego dokumentacji projektowej,</w:t>
      </w:r>
    </w:p>
    <w:p w14:paraId="2869DEDB"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datę uzgodnienia przez Inżyniera/Kierownika projektu programu zapewnienia jakości i harmonogramów robót,</w:t>
      </w:r>
    </w:p>
    <w:p w14:paraId="00973DB2"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terminy rozpoczęcia i zakończenia poszczególnych elementów robót,</w:t>
      </w:r>
    </w:p>
    <w:p w14:paraId="452689BD"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przebieg robót, trudności i przeszkody w ich prowadzeniu, okresy i przyczyny przerw w robotach,</w:t>
      </w:r>
    </w:p>
    <w:p w14:paraId="727EFAB7"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uwagi i polecenia Inżyniera/Kierownika projektu,</w:t>
      </w:r>
    </w:p>
    <w:p w14:paraId="0C6528BB"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daty zarządzenia wstrzymania robót, z podaniem powodu,</w:t>
      </w:r>
    </w:p>
    <w:p w14:paraId="1FD8574A"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zgłoszenia i daty odbiorów robót zanikających i ulegających zakryciu, częściowych i ostatecznych odbiorów robót,</w:t>
      </w:r>
    </w:p>
    <w:p w14:paraId="4999850E"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wyjaśnienia, uwagi i propozycje Wykonawcy,</w:t>
      </w:r>
    </w:p>
    <w:p w14:paraId="21923564"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stan pogody i temperaturę powietrza w okresie wykonywania robót podlegających ograniczeniom lub wymaganiom </w:t>
      </w:r>
      <w:r w:rsidRPr="002F21D3">
        <w:rPr>
          <w:rFonts w:ascii="Arial" w:hAnsi="Arial" w:cs="Arial"/>
          <w:color w:val="000000" w:themeColor="text1"/>
          <w:sz w:val="18"/>
          <w:szCs w:val="18"/>
        </w:rPr>
        <w:tab/>
        <w:t>szczególnym w związku z warunkami klimatycznymi,</w:t>
      </w:r>
    </w:p>
    <w:p w14:paraId="011705DD"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zgodność rzeczywistych warunków geotechnicznych z ich opisem w dokumentacji projektowej,</w:t>
      </w:r>
    </w:p>
    <w:p w14:paraId="6B489C2A"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dane dotyczące czynności geodezyjnych (pomiarowych) dokonywanych przed i w trakcie wykonywania robót,</w:t>
      </w:r>
    </w:p>
    <w:p w14:paraId="5B9BEFE4"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dane dotyczące sposobu wykonywania zabezpieczenia robót,</w:t>
      </w:r>
    </w:p>
    <w:p w14:paraId="084EF425"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dane dotyczące jakości materiałów, pobierania próbek oraz wyniki przeprowadzonych badań z podaniem, kto je </w:t>
      </w:r>
      <w:r w:rsidRPr="002F21D3">
        <w:rPr>
          <w:rFonts w:ascii="Arial" w:hAnsi="Arial" w:cs="Arial"/>
          <w:color w:val="000000" w:themeColor="text1"/>
          <w:sz w:val="18"/>
          <w:szCs w:val="18"/>
        </w:rPr>
        <w:tab/>
        <w:t>przeprowadzał,</w:t>
      </w:r>
    </w:p>
    <w:p w14:paraId="57F8DBA6"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wyniki prób poszczególnych elementów budowli z podaniem, kto je przeprowadzał,</w:t>
      </w:r>
    </w:p>
    <w:p w14:paraId="010F4F97" w14:textId="77777777" w:rsidR="00F45500" w:rsidRPr="002F21D3" w:rsidRDefault="00F45500" w:rsidP="00F45500">
      <w:pPr>
        <w:pStyle w:val="tekstost"/>
        <w:numPr>
          <w:ilvl w:val="0"/>
          <w:numId w:val="4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inne istotne informacje o przebiegu robót.</w:t>
      </w:r>
    </w:p>
    <w:p w14:paraId="436D16FE"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Propozycje, uwagi i wyjaśnienia Wykonawcy, wpisane do dziennika budowy będą przedłożone Inżynierowi/Kierownikowi projektu do ustosunkowania się.</w:t>
      </w:r>
    </w:p>
    <w:p w14:paraId="4B17DE86"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Decyzje Inżyniera/Kierownika projektu wpisane do dziennika budowy Wykonawca podpisuje z zaznaczeniem ich przyjęcia lub zajęciem stanowiska.</w:t>
      </w:r>
    </w:p>
    <w:p w14:paraId="6DC08E39" w14:textId="77777777" w:rsidR="00F45500" w:rsidRPr="002F21D3" w:rsidRDefault="00F45500" w:rsidP="00F45500">
      <w:pPr>
        <w:pStyle w:val="tekstos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ab/>
        <w:t>Wpis projektanta do dziennika budowy obliguje Inżyniera/Kierownika projektu do ustosunkowania się. Projektant nie jest jednak stroną umowy i nie ma uprawnień do wydawania poleceń Wykonawcy robót.</w:t>
      </w:r>
    </w:p>
    <w:p w14:paraId="0F1D0EDB" w14:textId="77777777" w:rsidR="00F45500" w:rsidRPr="002F21D3" w:rsidRDefault="00F45500" w:rsidP="00F45500">
      <w:pPr>
        <w:pStyle w:val="tekstos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(2) Książka obmiarów</w:t>
      </w:r>
    </w:p>
    <w:p w14:paraId="68CF9BA2" w14:textId="77777777" w:rsidR="00F45500" w:rsidRPr="002F21D3" w:rsidRDefault="00F45500" w:rsidP="00F45500">
      <w:pPr>
        <w:pStyle w:val="tekstos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lastRenderedPageBreak/>
        <w:tab/>
        <w:t>Książka obmiarów stanowi dokument pozwalający na rozliczenie faktycznego postępu każdego z elementów robót. Obmiary wykonanych robót przeprowadza się w sposób ciągły w jednostkach przyjętych w kosztorysie i wpisuje do książki obmiarów.</w:t>
      </w:r>
    </w:p>
    <w:p w14:paraId="7F9278E7" w14:textId="77777777" w:rsidR="00F45500" w:rsidRPr="002F21D3" w:rsidRDefault="00F45500" w:rsidP="00F45500">
      <w:pPr>
        <w:pStyle w:val="tekstost"/>
        <w:keepNex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(3) Dokumenty laboratoryjne</w:t>
      </w:r>
    </w:p>
    <w:p w14:paraId="31353B11" w14:textId="77777777" w:rsidR="00F45500" w:rsidRPr="002F21D3" w:rsidRDefault="00F45500" w:rsidP="00F45500">
      <w:pPr>
        <w:pStyle w:val="tekstos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ab/>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14:paraId="6227CC79" w14:textId="77777777" w:rsidR="00F45500" w:rsidRPr="002F21D3" w:rsidRDefault="00F45500" w:rsidP="00F45500">
      <w:pPr>
        <w:pStyle w:val="tekstost"/>
        <w:spacing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(4) Pozostałe dokumenty budowy</w:t>
      </w:r>
    </w:p>
    <w:p w14:paraId="2BDC1ADF"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Do dokumentów budowy zalicza się, oprócz wymienionych w punktach (1) - (3) następujące dokumenty:</w:t>
      </w:r>
    </w:p>
    <w:p w14:paraId="35FF997B" w14:textId="77777777" w:rsidR="00F45500" w:rsidRPr="002F21D3"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pozwolenie na realizację zadania budowlanego,</w:t>
      </w:r>
    </w:p>
    <w:p w14:paraId="29AFCD91" w14:textId="77777777" w:rsidR="00F45500" w:rsidRPr="002F21D3"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protokoły przekazania terenu budowy,</w:t>
      </w:r>
    </w:p>
    <w:p w14:paraId="586DEAE6" w14:textId="77777777" w:rsidR="00F45500" w:rsidRPr="002F21D3"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umowy cywilno-prawne z osobami trzecimi i inne umowy cywilno-prawne,</w:t>
      </w:r>
    </w:p>
    <w:p w14:paraId="0BD94E61" w14:textId="77777777" w:rsidR="00F45500" w:rsidRPr="002F21D3"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protokoły odbioru robót,</w:t>
      </w:r>
    </w:p>
    <w:p w14:paraId="2AA08408" w14:textId="77777777" w:rsidR="00F45500" w:rsidRPr="002F21D3"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protokoły z narad i ustaleń,</w:t>
      </w:r>
    </w:p>
    <w:p w14:paraId="6AF5E17F" w14:textId="77777777" w:rsidR="00F45500" w:rsidRPr="002F21D3" w:rsidRDefault="00F45500" w:rsidP="00F45500">
      <w:pPr>
        <w:pStyle w:val="tekstost"/>
        <w:numPr>
          <w:ilvl w:val="0"/>
          <w:numId w:val="46"/>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korespondencję na budowie.</w:t>
      </w:r>
    </w:p>
    <w:p w14:paraId="75D8C6FC" w14:textId="77777777" w:rsidR="00F45500" w:rsidRPr="002F21D3" w:rsidRDefault="00F45500" w:rsidP="00F45500">
      <w:pPr>
        <w:pStyle w:val="tekstost"/>
        <w:spacing w:before="120" w:after="120" w:line="216" w:lineRule="auto"/>
        <w:rPr>
          <w:rFonts w:ascii="Arial" w:hAnsi="Arial" w:cs="Arial"/>
          <w:color w:val="000000" w:themeColor="text1"/>
          <w:sz w:val="18"/>
          <w:szCs w:val="18"/>
        </w:rPr>
      </w:pPr>
      <w:r w:rsidRPr="002F21D3">
        <w:rPr>
          <w:rFonts w:ascii="Arial" w:hAnsi="Arial" w:cs="Arial"/>
          <w:color w:val="000000" w:themeColor="text1"/>
          <w:sz w:val="18"/>
          <w:szCs w:val="18"/>
        </w:rPr>
        <w:t>(5) Przechowywanie dokumentów budowy</w:t>
      </w:r>
    </w:p>
    <w:p w14:paraId="1856A983"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Dokumenty budowy będą przechowywane na terenie budowy w miejscu odpowiednio zabezpieczonym.</w:t>
      </w:r>
    </w:p>
    <w:p w14:paraId="4FB1B2B9"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Zaginięcie któregokolwiek z dokumentów budowy spowoduje jego natychmiastowe odtworzenie w formie przewidzianej prawem.</w:t>
      </w:r>
    </w:p>
    <w:p w14:paraId="6F223C8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Wszelkie dokumenty budowy będą zawsze dostępne dla Inżyniera/Kierownika projektu i przedstawiane do wglądu na życzenie Zamawiającego.</w:t>
      </w:r>
    </w:p>
    <w:p w14:paraId="0F78A7F1" w14:textId="77777777" w:rsidR="00F45500" w:rsidRPr="002F21D3" w:rsidRDefault="00291D3B" w:rsidP="00291D3B">
      <w:pPr>
        <w:pStyle w:val="Nagwek2"/>
        <w:rPr>
          <w:i w:val="0"/>
          <w:color w:val="000000" w:themeColor="text1"/>
        </w:rPr>
      </w:pPr>
      <w:r w:rsidRPr="002F21D3">
        <w:rPr>
          <w:i w:val="0"/>
          <w:color w:val="000000" w:themeColor="text1"/>
        </w:rPr>
        <w:t>7. OBMIAR ROBÓT</w:t>
      </w:r>
    </w:p>
    <w:p w14:paraId="22CF7223"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7.1. Zasady obmiaru robót</w:t>
      </w:r>
    </w:p>
    <w:p w14:paraId="0B5A7B4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Obmiar robót będzie określać faktyczny zakres wykonywanych robót zgodnie z dokumentacją projektową i ST, w jednostkach ustalonych w kosztorysie.</w:t>
      </w:r>
    </w:p>
    <w:p w14:paraId="29387FCE"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Obmiaru robót dokonuje Wykonawca po pisemnym powiadomieniu Inżyniera/ Kierownika projektu o zakresie obmierzanych robót i terminie obmiaru, co najmniej na 3 dni przed tym terminem.</w:t>
      </w:r>
    </w:p>
    <w:p w14:paraId="778BC4F8"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Wyniki obmiaru będą wpisane do książki obmiarów.</w:t>
      </w:r>
    </w:p>
    <w:p w14:paraId="481054B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Jakikolwiek błąd lub przeoczenie (opuszczenie) w ilościach podanych w ślepym kosztorysie lub gdzie indziej w ST nie zwalnia Wykonawcy od obowiązku ukończenia wszystkich robót. Błędne dane zostaną poprawione wg instrukcji Inżyniera/Kierownika projektu na piśmie.</w:t>
      </w:r>
    </w:p>
    <w:p w14:paraId="358E6BE9"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Obmiar gotowych robót będzie przeprowadzony z częstością wymaganą do celu miesięcznej płatności na rzecz Wykonawcy lub w innym czasie określonym w umowie lub oczekiwanym przez Wykonawcę i Inżyniera/Kierownika projektu.</w:t>
      </w:r>
    </w:p>
    <w:p w14:paraId="33CEA06A"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7.2. Zasady określania ilości robót i materiałów</w:t>
      </w:r>
    </w:p>
    <w:p w14:paraId="18ECC306"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Długości i odległości pomiędzy wyszczególnionymi punktami skrajnymi będą obmierzone poziomo wzdłuż linii osiowej.</w:t>
      </w:r>
    </w:p>
    <w:p w14:paraId="4E027FB7"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Jeśli ST właściwe dla danych robót nie wymagają tego inaczej, objętości będą wyliczone w m</w:t>
      </w:r>
      <w:r w:rsidRPr="002F21D3">
        <w:rPr>
          <w:rFonts w:ascii="Arial" w:hAnsi="Arial" w:cs="Arial"/>
          <w:color w:val="000000" w:themeColor="text1"/>
          <w:sz w:val="18"/>
          <w:szCs w:val="18"/>
          <w:vertAlign w:val="superscript"/>
        </w:rPr>
        <w:t>3</w:t>
      </w:r>
      <w:r w:rsidRPr="002F21D3">
        <w:rPr>
          <w:rFonts w:ascii="Arial" w:hAnsi="Arial" w:cs="Arial"/>
          <w:color w:val="000000" w:themeColor="text1"/>
          <w:sz w:val="18"/>
          <w:szCs w:val="18"/>
        </w:rPr>
        <w:t xml:space="preserve"> jako długość pomnożona przez średni przekrój.</w:t>
      </w:r>
    </w:p>
    <w:p w14:paraId="50EA74B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Ilości, które mają być obmierzone wagowo, będą ważone w tonach lub kilogramach zgodnie z wymaganiami ST.</w:t>
      </w:r>
    </w:p>
    <w:p w14:paraId="4D8C2CCE"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7.3. Urządzenia i sprzęt pomiarowy</w:t>
      </w:r>
    </w:p>
    <w:p w14:paraId="159FA7A4"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Wszystkie urządzenia i sprzęt pomiarowy, stosowany w czasie obmiaru robót będą zaakceptowane przez Inżyniera/Kierownika projektu.</w:t>
      </w:r>
    </w:p>
    <w:p w14:paraId="28EEF906"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Urządzenia i sprzęt pomiarowy zostaną dostarczone przez Wykonawcę. Jeżeli urządzenia te lub sprzęt wymagają badań atestujących to Wykonawca będzie posiadać ważne świadectwa legalizacji.</w:t>
      </w:r>
    </w:p>
    <w:p w14:paraId="72D428B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Wszystkie urządzenia pomiarowe będą przez Wykonawcę utrzymywane w dobrym stanie, w całym okresie trwania robót.</w:t>
      </w:r>
    </w:p>
    <w:p w14:paraId="502B67B2"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7.4. Wagi i zasady ważenia</w:t>
      </w:r>
    </w:p>
    <w:p w14:paraId="2C3608E2"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Wykonawca dostarczy i zainstaluje urządzenia wagowe odpowiadające odnośnym wymaganiom ST Będzie utrzymywać to wyposażenie zapewniając w sposób ciągły zachowanie dokładności wg norm zatwierdzonych przez Inżyniera/Kierownika projektu.</w:t>
      </w:r>
    </w:p>
    <w:p w14:paraId="2FFF8B30"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7.5. Czas przeprowadzenia obmiaru</w:t>
      </w:r>
    </w:p>
    <w:p w14:paraId="798B760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Obmiary będą przeprowadzone przed częściowym lub Ostatecznym odbiorem odcinków robót, a także w przypadku występowania dłuższej przerwy w robotach.</w:t>
      </w:r>
    </w:p>
    <w:p w14:paraId="763C7A61"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Obmiar robót zanikających przeprowadza się w czasie ich wykonywania.</w:t>
      </w:r>
    </w:p>
    <w:p w14:paraId="092FDB2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Obmiar robót podlegających zakryciu przeprowadza się przed ich zakryciem.</w:t>
      </w:r>
    </w:p>
    <w:p w14:paraId="0BF6D051"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Roboty pomiarowe do obmiaru oraz nieodzowne obliczenia będą wykonane w sposób zrozumiały i jednoznaczny.</w:t>
      </w:r>
    </w:p>
    <w:p w14:paraId="16A27DE8"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Wymiary skomplikowanych powierzchni lub objętości będą uzupełnione odpowiednimi szkicami umieszczonymi na karcie książki obmiarów. W razie braku miejsca szkice mogą być dołączone w formie oddzielnego załącznika do książki obmiarów, którego wzór zostanie uzgodniony z Inżynierem/Kierownikiem projektu.</w:t>
      </w:r>
    </w:p>
    <w:p w14:paraId="72C4F5E2" w14:textId="77777777" w:rsidR="00F45500" w:rsidRPr="002F21D3" w:rsidRDefault="00291D3B" w:rsidP="00291D3B">
      <w:pPr>
        <w:pStyle w:val="Nagwek2"/>
        <w:rPr>
          <w:i w:val="0"/>
          <w:color w:val="000000" w:themeColor="text1"/>
        </w:rPr>
      </w:pPr>
      <w:r w:rsidRPr="002F21D3">
        <w:rPr>
          <w:i w:val="0"/>
          <w:color w:val="000000" w:themeColor="text1"/>
        </w:rPr>
        <w:t>8. ODBIÓR ROBÓT</w:t>
      </w:r>
    </w:p>
    <w:p w14:paraId="0919DFAF"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8.1. Rodzaje odbiorów robót</w:t>
      </w:r>
    </w:p>
    <w:p w14:paraId="40A6E45D"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W zależności od ustaleń odpowiednich ST, roboty podlegają następującym etapom odbioru:</w:t>
      </w:r>
    </w:p>
    <w:p w14:paraId="5D938891" w14:textId="77777777" w:rsidR="00F45500" w:rsidRPr="002F21D3" w:rsidRDefault="00F45500" w:rsidP="00F45500">
      <w:pPr>
        <w:pStyle w:val="tekstost"/>
        <w:numPr>
          <w:ilvl w:val="0"/>
          <w:numId w:val="169"/>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odbiorowi robót zanikających i ulegających zakryciu,</w:t>
      </w:r>
    </w:p>
    <w:p w14:paraId="7FEB1922" w14:textId="77777777" w:rsidR="00F45500" w:rsidRPr="002F21D3"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odbiorowi częściowemu,</w:t>
      </w:r>
    </w:p>
    <w:p w14:paraId="79303438" w14:textId="77777777" w:rsidR="00F45500" w:rsidRPr="002F21D3"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odbiorowi ostatecznemu,</w:t>
      </w:r>
    </w:p>
    <w:p w14:paraId="495046BF" w14:textId="77777777" w:rsidR="00F45500" w:rsidRPr="002F21D3" w:rsidRDefault="00F45500" w:rsidP="00F45500">
      <w:pPr>
        <w:pStyle w:val="tekstost"/>
        <w:numPr>
          <w:ilvl w:val="0"/>
          <w:numId w:val="24"/>
        </w:numPr>
        <w:tabs>
          <w:tab w:val="clear" w:pos="0"/>
        </w:tabs>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lastRenderedPageBreak/>
        <w:t>odbiorowi pogwarancyjnemu.</w:t>
      </w:r>
    </w:p>
    <w:p w14:paraId="27B6F7B6"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8.2. Odbiór robót zanikających i ulegających zakryciu</w:t>
      </w:r>
    </w:p>
    <w:p w14:paraId="3149D14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Odbiór robót zanikających i ulegających zakryciu polega na finalnej ocenie ilości i jakości wykonywanych robót, które w dalszym procesie realizacji ulegną zakryciu.</w:t>
      </w:r>
    </w:p>
    <w:p w14:paraId="77EEEB5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Odbiór robót zanikających i ulegających zakryciu będzie dokonany w czasie umożliwiającym wykonanie ewentualnych korekt i poprawek bez hamowania ogólnego postępu robót.</w:t>
      </w:r>
    </w:p>
    <w:p w14:paraId="23C7FC58"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Odbioru robót dokonuje Inżynier/Kierownik projektu.</w:t>
      </w:r>
    </w:p>
    <w:p w14:paraId="4A28803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Gotowość danej części robót do odbioru zgłasza Wykonawca wpisem do dziennika budowy i jednoczesnym powiadomieniem Inżyniera/Kierownika projektu. Odbiór będzie przeprowadzony niezwłocznie, nie później jednak niż w ciągu 3 dni od daty zgłoszenia wpisem do dziennika budowy i powiadomienia o tym fakcie Inżyniera/Kierownika projektu.</w:t>
      </w:r>
    </w:p>
    <w:p w14:paraId="0ECC1D1F"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Jakość i ilość robót ulegających zakryciu ocenia Inżynier/Kierownik projektu na podstawie dokumentów zawierających komplet wyników badań laboratoryjnych i w oparciu o przeprowadzone pomiary, w konfrontacji z dokumentacją projektową, ST i uprzednimi ustaleniami.</w:t>
      </w:r>
    </w:p>
    <w:p w14:paraId="4785DEE4"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8.3. Odbiór częściowy</w:t>
      </w:r>
    </w:p>
    <w:p w14:paraId="75C4A63E"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Odbiór  częściowy polega na ocenie ilości i jakości wykonanych części robót. Odbioru częściowego robót dokonuje się wg zasad jak przy odbiorze Ostatecznym robót. Odbioru robót dokonuje Inżynier/Kierownik projektu.</w:t>
      </w:r>
    </w:p>
    <w:p w14:paraId="142A9B6D"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8.4. Odbiór ostateczny robót</w:t>
      </w:r>
    </w:p>
    <w:p w14:paraId="419964A9" w14:textId="77777777" w:rsidR="00F45500" w:rsidRPr="002F21D3" w:rsidRDefault="00F45500" w:rsidP="00F45500">
      <w:pPr>
        <w:pStyle w:val="Standard"/>
        <w:tabs>
          <w:tab w:val="left" w:pos="142"/>
        </w:tabs>
        <w:spacing w:after="60" w:line="216" w:lineRule="auto"/>
        <w:jc w:val="both"/>
        <w:rPr>
          <w:rFonts w:ascii="Arial" w:hAnsi="Arial" w:cs="Arial"/>
          <w:color w:val="000000" w:themeColor="text1"/>
          <w:sz w:val="18"/>
          <w:szCs w:val="18"/>
        </w:rPr>
      </w:pPr>
      <w:r w:rsidRPr="002F21D3">
        <w:rPr>
          <w:rFonts w:ascii="Arial" w:hAnsi="Arial" w:cs="Arial"/>
          <w:b/>
          <w:color w:val="000000" w:themeColor="text1"/>
          <w:sz w:val="18"/>
          <w:szCs w:val="18"/>
        </w:rPr>
        <w:t>8.4.1.</w:t>
      </w:r>
      <w:r w:rsidRPr="002F21D3">
        <w:rPr>
          <w:rFonts w:ascii="Arial" w:hAnsi="Arial" w:cs="Arial"/>
          <w:color w:val="000000" w:themeColor="text1"/>
          <w:sz w:val="18"/>
          <w:szCs w:val="18"/>
        </w:rPr>
        <w:t xml:space="preserve"> Zasady odbioru Ostatecznego robót</w:t>
      </w:r>
    </w:p>
    <w:p w14:paraId="34B78CD9"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Odbiór Ostateczny polega na finalnej ocenie rzeczywistego wykonania robót w odniesieniu do ich ilości, jakości i wartości.</w:t>
      </w:r>
    </w:p>
    <w:p w14:paraId="00A3386D"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Całkowite zakończenie robót oraz gotowość do odbioru Ostatecznego będzie stwierdzona przez Wykonawcę wpisem do dziennika budowy z bezzwłocznym powiadomieniem na piśmie o tym fakcie Inżyniera/Kierownika projektu.</w:t>
      </w:r>
    </w:p>
    <w:p w14:paraId="10B86E0A"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Odbiór Ostateczny robót nastąpi w terminie ustalonym w dokumentach umowy, licząc od dnia potwierdzenia przez Inżyniera/Kierownika projektu zakończenia robót i przyjęcia dokumentów, o których mowa w punkcie 8.4.2.</w:t>
      </w:r>
    </w:p>
    <w:p w14:paraId="0E623135"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Odbioru Ostatecznego robót dokona komisja wyznaczona przez Zamawiającego w obecności Inżyniera/Kierownika projektu i Wykonawcy. Komisja odbierająca roboty dokona ich oceny jakościowej na podstawie przedłożonych dokumentów, wyników badań i pomiarów, ocenie wizualnej oraz zgodności wykonania robót z dokumentacją projektową i ST.</w:t>
      </w:r>
    </w:p>
    <w:p w14:paraId="68066660"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toku odbioru Ostatecznego robót komisja zapozna się z realizacją ustaleń przyjętych w trakcie odbiorów robót zanikających i ulegających zakryciu, zwłaszcza w zakresie wykonania robót uzupełniających i robót poprawkowych.</w:t>
      </w:r>
    </w:p>
    <w:p w14:paraId="58926832"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przypadkach niewykonania wyznaczonych robót poprawkowych lub robót uzupełniających w warstwie ścieralnej lub robotach wykończeniowych, komisja przerwie swoje czynności i ustali nowy termin odbioru Ostatecznego.</w:t>
      </w:r>
    </w:p>
    <w:p w14:paraId="03B43D4E" w14:textId="77777777" w:rsidR="00F45500" w:rsidRPr="002F21D3" w:rsidRDefault="00F45500" w:rsidP="00F45500">
      <w:pPr>
        <w:pStyle w:val="Standard"/>
        <w:spacing w:after="6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przypadku stwierdzenia przez komisję, że jakość wykonywanych robót w poszczególnych asortymentach nieznacznie odbiega od wymaganej dokumentacją projektową i ST z uwzględnieniem tolerancji i nie ma większego wpływu na cechy eksploatacyjne obiektu i bezpieczeństwo ruchu, komisja dokona potrąceń, oceniając pomniejszoną wartość wykonywanych robót w stosunku do wymagań przyjętych w dokumentach umowy.</w:t>
      </w:r>
    </w:p>
    <w:p w14:paraId="34A08578" w14:textId="77777777" w:rsidR="00F45500" w:rsidRPr="002F21D3" w:rsidRDefault="00F45500" w:rsidP="00F45500">
      <w:pPr>
        <w:pStyle w:val="Nagwek3"/>
        <w:keepNext w:val="0"/>
        <w:widowControl w:val="0"/>
        <w:numPr>
          <w:ilvl w:val="2"/>
          <w:numId w:val="30"/>
        </w:numPr>
        <w:suppressAutoHyphens/>
        <w:spacing w:before="0" w:after="0" w:line="216" w:lineRule="auto"/>
        <w:jc w:val="both"/>
        <w:rPr>
          <w:color w:val="000000" w:themeColor="text1"/>
          <w:sz w:val="18"/>
          <w:szCs w:val="18"/>
        </w:rPr>
      </w:pPr>
      <w:r w:rsidRPr="002F21D3">
        <w:rPr>
          <w:color w:val="000000" w:themeColor="text1"/>
          <w:sz w:val="18"/>
          <w:szCs w:val="18"/>
        </w:rPr>
        <w:t>8.4.2. Dokumenty do odbioru Ostatecznego</w:t>
      </w:r>
    </w:p>
    <w:p w14:paraId="0D2D25E9"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Podstawowym dokumentem do dokonania odbioru Ostatecznego robót jest protokół odbioru Ostatecznego robót sporządzony wg wzoru ustalonego przez Zamawiającego.</w:t>
      </w:r>
    </w:p>
    <w:p w14:paraId="181422E7"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Do odbioru Ostatecznego Wykonawca jest zobowiązany przygotować następujące dokumenty:</w:t>
      </w:r>
    </w:p>
    <w:p w14:paraId="578BC7CA"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dokumentację projektową podstawową z naniesionymi zmianami oraz dodatkową, jeśli została sporządzona w </w:t>
      </w:r>
      <w:r w:rsidRPr="002F21D3">
        <w:rPr>
          <w:rFonts w:ascii="Arial" w:hAnsi="Arial" w:cs="Arial"/>
          <w:color w:val="000000" w:themeColor="text1"/>
          <w:sz w:val="18"/>
          <w:szCs w:val="18"/>
        </w:rPr>
        <w:tab/>
        <w:t>trakcie realizacji umowy,</w:t>
      </w:r>
    </w:p>
    <w:p w14:paraId="287C825A"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szczegółowe specyfikacje techniczne (podstawowe z dokumentów umowy i ew. uzupełniające lub zamienne),</w:t>
      </w:r>
    </w:p>
    <w:p w14:paraId="4BA174BC"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recepty i ustalenia technologiczne,</w:t>
      </w:r>
    </w:p>
    <w:p w14:paraId="0C08396D"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dzienniki budowy i książki obmiarów (oryginały),</w:t>
      </w:r>
    </w:p>
    <w:p w14:paraId="328FB801"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wyniki pomiarów kontrolnych oraz badań i oznaczeń laboratoryjnych, zgodne z ST,</w:t>
      </w:r>
    </w:p>
    <w:p w14:paraId="4E92DB0D"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deklaracje zgodności lub certyfikaty zgodności wbudowanych materiałów zgodnie z ST,</w:t>
      </w:r>
    </w:p>
    <w:p w14:paraId="72EA4FA5"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opinię technologiczną sporządzoną na podstawie wszystkich wyników badań i pomiarów załączonych do </w:t>
      </w:r>
      <w:r w:rsidRPr="002F21D3">
        <w:rPr>
          <w:rFonts w:ascii="Arial" w:hAnsi="Arial" w:cs="Arial"/>
          <w:color w:val="000000" w:themeColor="text1"/>
          <w:sz w:val="18"/>
          <w:szCs w:val="18"/>
        </w:rPr>
        <w:tab/>
        <w:t>dokumentów odbioru, wykonanych zgodnie z ST,</w:t>
      </w:r>
    </w:p>
    <w:p w14:paraId="21FE698D"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rysunki (dokumentacje) na wykonanie robót towarzyszących (np. na przełożenie linii telefonicznej, energetycznej, </w:t>
      </w:r>
      <w:r w:rsidRPr="002F21D3">
        <w:rPr>
          <w:rFonts w:ascii="Arial" w:hAnsi="Arial" w:cs="Arial"/>
          <w:color w:val="000000" w:themeColor="text1"/>
          <w:sz w:val="18"/>
          <w:szCs w:val="18"/>
        </w:rPr>
        <w:tab/>
        <w:t>gazowej, oświetlenia itp.) oraz protokoły odbioru i przekazania tych robót właścicielom urządzeń,</w:t>
      </w:r>
    </w:p>
    <w:p w14:paraId="3823FC66"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geodezyjną inwentaryzację powykonawczą robót i sieci uzbrojenia terenu,</w:t>
      </w:r>
    </w:p>
    <w:p w14:paraId="5796950B" w14:textId="77777777" w:rsidR="00F45500" w:rsidRPr="002F21D3" w:rsidRDefault="00F45500" w:rsidP="00F45500">
      <w:pPr>
        <w:pStyle w:val="Standard"/>
        <w:widowControl w:val="0"/>
        <w:numPr>
          <w:ilvl w:val="0"/>
          <w:numId w:val="48"/>
        </w:numPr>
        <w:spacing w:line="216" w:lineRule="auto"/>
        <w:jc w:val="both"/>
        <w:textAlignment w:val="baseline"/>
        <w:rPr>
          <w:rFonts w:ascii="Arial" w:hAnsi="Arial" w:cs="Arial"/>
          <w:color w:val="000000" w:themeColor="text1"/>
          <w:sz w:val="18"/>
          <w:szCs w:val="18"/>
        </w:rPr>
      </w:pPr>
      <w:r w:rsidRPr="002F21D3">
        <w:rPr>
          <w:rFonts w:ascii="Arial" w:hAnsi="Arial" w:cs="Arial"/>
          <w:color w:val="000000" w:themeColor="text1"/>
          <w:sz w:val="18"/>
          <w:szCs w:val="18"/>
        </w:rPr>
        <w:t>kopię mapy zasadniczej powstałej w wyniku geodezyjnej inwentaryzacji powykonawczej.</w:t>
      </w:r>
    </w:p>
    <w:p w14:paraId="46E0A57B" w14:textId="77777777" w:rsidR="00F45500" w:rsidRPr="002F21D3" w:rsidRDefault="00F45500" w:rsidP="00F45500">
      <w:pPr>
        <w:pStyle w:val="Standard"/>
        <w:spacing w:before="57"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 przypadku, gdy wg komisji, roboty pod względem przygotowania dokumentacyjnego nie będą gotowe do odbioru Ostatecznego, komisja w porozumieniu z Wykonawcą wyznaczy ponowny termin odbioru Ostatecznego robót.</w:t>
      </w:r>
    </w:p>
    <w:p w14:paraId="33393B66"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Wszystkie zarządzone przez komisję roboty poprawkowe lub uzupełniające będą zestawione wg wzoru ustalonego przez Zamawiającego.</w:t>
      </w:r>
    </w:p>
    <w:p w14:paraId="35A8781F" w14:textId="77777777" w:rsidR="00F45500" w:rsidRPr="002F21D3" w:rsidRDefault="00F45500" w:rsidP="00F45500">
      <w:pPr>
        <w:pStyle w:val="Standard"/>
        <w:spacing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Termin wykonania robót poprawkowych i robót uzupełniających wyznaczy komisja.</w:t>
      </w:r>
    </w:p>
    <w:p w14:paraId="1B14FC5B"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8.5. Odbiór pogwarancyjny</w:t>
      </w:r>
    </w:p>
    <w:p w14:paraId="0F21E04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Odbiór pogwarancyjny polega na ocenie wykonanych robót związanych z usunięciem wad stwierdzonych przy odbiorze Ostatecznym i zaistniałych w okresie gwarancyjnym.</w:t>
      </w:r>
    </w:p>
    <w:p w14:paraId="21A63753" w14:textId="77777777" w:rsidR="00F45500" w:rsidRPr="002F21D3" w:rsidRDefault="00F45500" w:rsidP="00F45500">
      <w:pPr>
        <w:pStyle w:val="Standard"/>
        <w:spacing w:after="120" w:line="216" w:lineRule="auto"/>
        <w:jc w:val="both"/>
        <w:rPr>
          <w:rFonts w:ascii="Arial" w:hAnsi="Arial" w:cs="Arial"/>
          <w:color w:val="000000" w:themeColor="text1"/>
          <w:sz w:val="18"/>
          <w:szCs w:val="18"/>
        </w:rPr>
      </w:pPr>
      <w:r w:rsidRPr="002F21D3">
        <w:rPr>
          <w:rFonts w:ascii="Arial" w:hAnsi="Arial" w:cs="Arial"/>
          <w:color w:val="000000" w:themeColor="text1"/>
          <w:sz w:val="18"/>
          <w:szCs w:val="18"/>
        </w:rPr>
        <w:tab/>
        <w:t>Odbiór pogwarancyjny będzie dokonany na podstawie oceny wizualnej obiektu z uwzględnieniem zasad opisanych w punkcie 8.4 „Odbiór Ostateczny robót”.</w:t>
      </w:r>
    </w:p>
    <w:p w14:paraId="00A526B9" w14:textId="77777777" w:rsidR="00F45500" w:rsidRPr="002F21D3" w:rsidRDefault="00291D3B" w:rsidP="00291D3B">
      <w:pPr>
        <w:pStyle w:val="Nagwek2"/>
        <w:rPr>
          <w:i w:val="0"/>
          <w:color w:val="000000" w:themeColor="text1"/>
        </w:rPr>
      </w:pPr>
      <w:r w:rsidRPr="002F21D3">
        <w:rPr>
          <w:i w:val="0"/>
          <w:color w:val="000000" w:themeColor="text1"/>
        </w:rPr>
        <w:t>9. PODSTAWA PŁATNOŚCI</w:t>
      </w:r>
    </w:p>
    <w:p w14:paraId="5ACB4A31"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9.1. Ustalenia ogólne</w:t>
      </w:r>
    </w:p>
    <w:p w14:paraId="43EA227A"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Zasady płatności oraz rozliczenia robót budowlanych zostaną określone w umowie na wykonanie robót budowlanych pomiędzy Inwestorem a Wykonawcą</w:t>
      </w:r>
    </w:p>
    <w:p w14:paraId="08397E1C"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t xml:space="preserve">9.2. Warunki umowy i wymagania ogólne </w:t>
      </w:r>
      <w:r w:rsidR="00072856" w:rsidRPr="002F21D3">
        <w:rPr>
          <w:color w:val="000000" w:themeColor="text1"/>
          <w:sz w:val="18"/>
          <w:szCs w:val="18"/>
        </w:rPr>
        <w:t>D-</w:t>
      </w:r>
      <w:r w:rsidRPr="002F21D3">
        <w:rPr>
          <w:color w:val="000000" w:themeColor="text1"/>
          <w:sz w:val="18"/>
          <w:szCs w:val="18"/>
        </w:rPr>
        <w:t>00.00.00</w:t>
      </w:r>
    </w:p>
    <w:p w14:paraId="20A7BF35"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 xml:space="preserve">Koszt dostosowania się do wymagań warunków umowy i wymagań ogólnych zawartych w </w:t>
      </w:r>
      <w:r w:rsidR="00072856" w:rsidRPr="002F21D3">
        <w:rPr>
          <w:rFonts w:ascii="Arial" w:hAnsi="Arial" w:cs="Arial"/>
          <w:color w:val="000000" w:themeColor="text1"/>
          <w:sz w:val="18"/>
          <w:szCs w:val="18"/>
        </w:rPr>
        <w:t>D-</w:t>
      </w:r>
      <w:r w:rsidRPr="002F21D3">
        <w:rPr>
          <w:rFonts w:ascii="Arial" w:hAnsi="Arial" w:cs="Arial"/>
          <w:color w:val="000000" w:themeColor="text1"/>
          <w:sz w:val="18"/>
          <w:szCs w:val="18"/>
        </w:rPr>
        <w:t>00.00.00 obejmuje wszystkie warunki określone w ww. dokumentach, a nie wyszczególnione w kosztorysie.</w:t>
      </w:r>
    </w:p>
    <w:p w14:paraId="5E5F0F39" w14:textId="77777777" w:rsidR="00F45500" w:rsidRPr="002F21D3"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2F21D3">
        <w:rPr>
          <w:color w:val="000000" w:themeColor="text1"/>
          <w:sz w:val="18"/>
          <w:szCs w:val="18"/>
        </w:rPr>
        <w:lastRenderedPageBreak/>
        <w:t>9.3. Objazdy, przejazdy i organizacja ruchu</w:t>
      </w:r>
    </w:p>
    <w:p w14:paraId="7FD7D5AB" w14:textId="77777777" w:rsidR="00F45500" w:rsidRPr="002F21D3" w:rsidRDefault="00F45500" w:rsidP="00F45500">
      <w:pPr>
        <w:pStyle w:val="tekstost"/>
        <w:spacing w:line="216" w:lineRule="auto"/>
        <w:rPr>
          <w:rFonts w:ascii="Arial" w:hAnsi="Arial" w:cs="Arial"/>
          <w:color w:val="000000" w:themeColor="text1"/>
          <w:sz w:val="18"/>
          <w:szCs w:val="18"/>
        </w:rPr>
      </w:pPr>
      <w:r w:rsidRPr="002F21D3">
        <w:rPr>
          <w:rFonts w:ascii="Arial" w:hAnsi="Arial" w:cs="Arial"/>
          <w:color w:val="000000" w:themeColor="text1"/>
          <w:sz w:val="18"/>
          <w:szCs w:val="18"/>
        </w:rPr>
        <w:tab/>
        <w:t>Koszt  wybudowania objazdów/przejazdów i organizacji ruchu obejmuje:</w:t>
      </w:r>
    </w:p>
    <w:p w14:paraId="162D0AC4" w14:textId="77777777" w:rsidR="00F45500" w:rsidRPr="002F21D3"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opracowanie oraz uzgodnienie z Inżynierem/Kierownikiem projektu i odpowiednimi instytucjami projektu organizacji ruchu na czas trwania budowy, wraz z dostarczeniem kopii projektu Inżynierowi/Kierownikowi projektu i wprowadzaniem dalszych zmian i uzgodnień wynikających z postępu robót,</w:t>
      </w:r>
    </w:p>
    <w:p w14:paraId="5902CE9A" w14:textId="77777777" w:rsidR="00F45500" w:rsidRPr="002F21D3"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ustawienie tymczasowego oznakowania i oświetlenia zgodnie z wymaganiami bezpieczeństwa ruchu,</w:t>
      </w:r>
    </w:p>
    <w:p w14:paraId="5BBCDC22" w14:textId="77777777" w:rsidR="00F45500" w:rsidRPr="002F21D3"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opłaty/dzierżawy terenu,</w:t>
      </w:r>
    </w:p>
    <w:p w14:paraId="7755FDA8" w14:textId="77777777" w:rsidR="00F45500" w:rsidRPr="002F21D3"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przygotowanie terenu,</w:t>
      </w:r>
    </w:p>
    <w:p w14:paraId="38F11928" w14:textId="77777777" w:rsidR="00F45500" w:rsidRPr="002F21D3"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konstrukcję tymczasowej nawierzchni, ramp, chodników, krawężników, barier, </w:t>
      </w:r>
      <w:proofErr w:type="spellStart"/>
      <w:r w:rsidRPr="002F21D3">
        <w:rPr>
          <w:rFonts w:ascii="Arial" w:hAnsi="Arial" w:cs="Arial"/>
          <w:color w:val="000000" w:themeColor="text1"/>
          <w:sz w:val="18"/>
          <w:szCs w:val="18"/>
        </w:rPr>
        <w:t>oznakowań</w:t>
      </w:r>
      <w:proofErr w:type="spellEnd"/>
      <w:r w:rsidRPr="002F21D3">
        <w:rPr>
          <w:rFonts w:ascii="Arial" w:hAnsi="Arial" w:cs="Arial"/>
          <w:color w:val="000000" w:themeColor="text1"/>
          <w:sz w:val="18"/>
          <w:szCs w:val="18"/>
        </w:rPr>
        <w:t xml:space="preserve"> i drenażu,</w:t>
      </w:r>
    </w:p>
    <w:p w14:paraId="145EE894" w14:textId="77777777" w:rsidR="00F45500" w:rsidRPr="002F21D3" w:rsidRDefault="00F45500" w:rsidP="00F45500">
      <w:pPr>
        <w:pStyle w:val="tekstost"/>
        <w:numPr>
          <w:ilvl w:val="0"/>
          <w:numId w:val="5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tymczasową przebudowę urządzeń obcych.</w:t>
      </w:r>
    </w:p>
    <w:p w14:paraId="180D2F77" w14:textId="77777777" w:rsidR="00F45500" w:rsidRPr="002F21D3" w:rsidRDefault="00F45500" w:rsidP="00F45500">
      <w:pPr>
        <w:pStyle w:val="tekstost"/>
        <w:spacing w:before="57" w:line="216" w:lineRule="auto"/>
        <w:rPr>
          <w:rFonts w:ascii="Arial" w:hAnsi="Arial" w:cs="Arial"/>
          <w:color w:val="000000" w:themeColor="text1"/>
          <w:sz w:val="18"/>
          <w:szCs w:val="18"/>
        </w:rPr>
      </w:pPr>
      <w:r w:rsidRPr="002F21D3">
        <w:rPr>
          <w:rFonts w:ascii="Arial" w:hAnsi="Arial" w:cs="Arial"/>
          <w:color w:val="000000" w:themeColor="text1"/>
          <w:sz w:val="18"/>
          <w:szCs w:val="18"/>
        </w:rPr>
        <w:tab/>
        <w:t>Koszt utrzymania objazdów/przejazdów i organizacji ruchu obejmuje:</w:t>
      </w:r>
    </w:p>
    <w:p w14:paraId="4CE29676" w14:textId="77777777" w:rsidR="00F45500" w:rsidRPr="002F21D3" w:rsidRDefault="00F45500" w:rsidP="00F45500">
      <w:pPr>
        <w:pStyle w:val="tekstost"/>
        <w:numPr>
          <w:ilvl w:val="0"/>
          <w:numId w:val="170"/>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oczyszczanie, przestawienie, przykrycie i usunięcie tymczasowych </w:t>
      </w:r>
      <w:proofErr w:type="spellStart"/>
      <w:r w:rsidRPr="002F21D3">
        <w:rPr>
          <w:rFonts w:ascii="Arial" w:hAnsi="Arial" w:cs="Arial"/>
          <w:color w:val="000000" w:themeColor="text1"/>
          <w:sz w:val="18"/>
          <w:szCs w:val="18"/>
        </w:rPr>
        <w:t>oznakowań</w:t>
      </w:r>
      <w:proofErr w:type="spellEnd"/>
      <w:r w:rsidRPr="002F21D3">
        <w:rPr>
          <w:rFonts w:ascii="Arial" w:hAnsi="Arial" w:cs="Arial"/>
          <w:color w:val="000000" w:themeColor="text1"/>
          <w:sz w:val="18"/>
          <w:szCs w:val="18"/>
        </w:rPr>
        <w:t xml:space="preserve"> pionowych, poziomych, barier i </w:t>
      </w:r>
      <w:r w:rsidRPr="002F21D3">
        <w:rPr>
          <w:rFonts w:ascii="Arial" w:hAnsi="Arial" w:cs="Arial"/>
          <w:color w:val="000000" w:themeColor="text1"/>
          <w:sz w:val="18"/>
          <w:szCs w:val="18"/>
        </w:rPr>
        <w:tab/>
        <w:t>świateł,</w:t>
      </w:r>
    </w:p>
    <w:p w14:paraId="2BB3097B" w14:textId="77777777" w:rsidR="00F45500" w:rsidRPr="002F21D3" w:rsidRDefault="00F45500" w:rsidP="00F45500">
      <w:pPr>
        <w:pStyle w:val="tekstost"/>
        <w:numPr>
          <w:ilvl w:val="0"/>
          <w:numId w:val="51"/>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utrzymanie płynności ruchu publicznego.</w:t>
      </w:r>
    </w:p>
    <w:p w14:paraId="0E7F7AA5" w14:textId="77777777" w:rsidR="00F45500" w:rsidRPr="002F21D3" w:rsidRDefault="00F45500" w:rsidP="00F45500">
      <w:pPr>
        <w:pStyle w:val="tekstost"/>
        <w:spacing w:before="57" w:line="216" w:lineRule="auto"/>
        <w:rPr>
          <w:rFonts w:ascii="Arial" w:hAnsi="Arial" w:cs="Arial"/>
          <w:color w:val="000000" w:themeColor="text1"/>
          <w:sz w:val="18"/>
          <w:szCs w:val="18"/>
        </w:rPr>
      </w:pPr>
      <w:r w:rsidRPr="002F21D3">
        <w:rPr>
          <w:rFonts w:ascii="Arial" w:hAnsi="Arial" w:cs="Arial"/>
          <w:color w:val="000000" w:themeColor="text1"/>
          <w:sz w:val="18"/>
          <w:szCs w:val="18"/>
        </w:rPr>
        <w:tab/>
        <w:t>Koszt likwidacji objazdów/przejazdów i organizacji ruchu obejmuje:</w:t>
      </w:r>
    </w:p>
    <w:p w14:paraId="4B90BFF1" w14:textId="77777777" w:rsidR="00F45500" w:rsidRPr="002F21D3" w:rsidRDefault="00F45500" w:rsidP="00F45500">
      <w:pPr>
        <w:pStyle w:val="tekstost"/>
        <w:numPr>
          <w:ilvl w:val="0"/>
          <w:numId w:val="171"/>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usunięcie wbudowanych materiałów i oznakowania,</w:t>
      </w:r>
    </w:p>
    <w:p w14:paraId="0B205CA4" w14:textId="77777777" w:rsidR="00F45500" w:rsidRPr="002F21D3" w:rsidRDefault="00F45500" w:rsidP="00F45500">
      <w:pPr>
        <w:pStyle w:val="tekstost"/>
        <w:numPr>
          <w:ilvl w:val="0"/>
          <w:numId w:val="52"/>
        </w:numPr>
        <w:autoSpaceDN w:val="0"/>
        <w:spacing w:after="120"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doprowadzenie terenu do stanu pierwotnego.</w:t>
      </w:r>
    </w:p>
    <w:p w14:paraId="738EBC1E" w14:textId="77777777" w:rsidR="00F45500" w:rsidRPr="002F21D3" w:rsidRDefault="00291D3B" w:rsidP="00291D3B">
      <w:pPr>
        <w:pStyle w:val="Nagwek2"/>
        <w:rPr>
          <w:i w:val="0"/>
          <w:color w:val="000000" w:themeColor="text1"/>
        </w:rPr>
      </w:pPr>
      <w:r w:rsidRPr="002F21D3">
        <w:rPr>
          <w:i w:val="0"/>
          <w:color w:val="000000" w:themeColor="text1"/>
        </w:rPr>
        <w:t>10. PRZEPISY ZWIĄZANE</w:t>
      </w:r>
    </w:p>
    <w:p w14:paraId="45D3C21C" w14:textId="77777777" w:rsidR="00F45500" w:rsidRPr="002F21D3" w:rsidRDefault="00F45500" w:rsidP="00F45500">
      <w:pPr>
        <w:pStyle w:val="tekstost"/>
        <w:numPr>
          <w:ilvl w:val="0"/>
          <w:numId w:val="172"/>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Ustawa z dnia 7 lipca 1994 r. - Prawo budowlane (Dz. U. Nr 89, poz. 414 z późniejszymi zmianami).</w:t>
      </w:r>
    </w:p>
    <w:p w14:paraId="67CA85B6" w14:textId="77777777" w:rsidR="00F45500" w:rsidRPr="002F21D3" w:rsidRDefault="00F45500" w:rsidP="00F45500">
      <w:pPr>
        <w:pStyle w:val="tekstost"/>
        <w:numPr>
          <w:ilvl w:val="0"/>
          <w:numId w:val="3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 xml:space="preserve">Zarządzenie Ministra Infrastruktury z dnia 19 listopada 2001 r. w sprawie dziennika budowy, montażu i rozbiórki </w:t>
      </w:r>
      <w:r w:rsidRPr="002F21D3">
        <w:rPr>
          <w:rFonts w:ascii="Arial" w:hAnsi="Arial" w:cs="Arial"/>
          <w:color w:val="000000" w:themeColor="text1"/>
          <w:sz w:val="18"/>
          <w:szCs w:val="18"/>
        </w:rPr>
        <w:tab/>
        <w:t>oraz tablicy informacyjnej (Dz. U. Nr 138, poz. 1555).</w:t>
      </w:r>
    </w:p>
    <w:p w14:paraId="5F787347" w14:textId="77777777" w:rsidR="00F45500" w:rsidRPr="002F21D3" w:rsidRDefault="00F45500" w:rsidP="00F45500">
      <w:pPr>
        <w:pStyle w:val="tekstost"/>
        <w:numPr>
          <w:ilvl w:val="0"/>
          <w:numId w:val="35"/>
        </w:numPr>
        <w:autoSpaceDN w:val="0"/>
        <w:spacing w:line="216" w:lineRule="auto"/>
        <w:textAlignment w:val="baseline"/>
        <w:rPr>
          <w:rFonts w:ascii="Arial" w:hAnsi="Arial" w:cs="Arial"/>
          <w:color w:val="000000" w:themeColor="text1"/>
          <w:sz w:val="18"/>
          <w:szCs w:val="18"/>
        </w:rPr>
      </w:pPr>
      <w:r w:rsidRPr="002F21D3">
        <w:rPr>
          <w:rFonts w:ascii="Arial" w:hAnsi="Arial" w:cs="Arial"/>
          <w:color w:val="000000" w:themeColor="text1"/>
          <w:sz w:val="18"/>
          <w:szCs w:val="18"/>
        </w:rPr>
        <w:t>Ustawa z dnia 21 marca 1985 r. o drogach publicznych (Dz. U. Nr 14, poz. 60 z późniejszymi zmianami).</w:t>
      </w:r>
    </w:p>
    <w:p w14:paraId="2AEB54AB" w14:textId="77777777" w:rsidR="00F45500" w:rsidRPr="002F21D3" w:rsidRDefault="00F45500" w:rsidP="00F45500">
      <w:pPr>
        <w:pStyle w:val="tekstost"/>
        <w:autoSpaceDN w:val="0"/>
        <w:spacing w:line="216" w:lineRule="auto"/>
        <w:textAlignment w:val="baseline"/>
        <w:rPr>
          <w:rFonts w:ascii="Arial" w:hAnsi="Arial" w:cs="Arial"/>
          <w:color w:val="000000" w:themeColor="text1"/>
          <w:sz w:val="18"/>
          <w:szCs w:val="18"/>
        </w:rPr>
      </w:pPr>
    </w:p>
    <w:p w14:paraId="211BF0DA" w14:textId="77777777" w:rsidR="00F45500" w:rsidRPr="002F21D3" w:rsidRDefault="00F45500" w:rsidP="00F45500">
      <w:pPr>
        <w:pStyle w:val="tekstost"/>
        <w:autoSpaceDN w:val="0"/>
        <w:spacing w:line="216" w:lineRule="auto"/>
        <w:textAlignment w:val="baseline"/>
        <w:rPr>
          <w:rFonts w:ascii="Arial" w:hAnsi="Arial" w:cs="Arial"/>
          <w:color w:val="000000" w:themeColor="text1"/>
          <w:sz w:val="18"/>
          <w:szCs w:val="18"/>
        </w:rPr>
      </w:pPr>
    </w:p>
    <w:p w14:paraId="47F38EAC" w14:textId="77777777" w:rsidR="00F45500" w:rsidRPr="002F21D3" w:rsidRDefault="00F45500" w:rsidP="00F45500">
      <w:pPr>
        <w:pStyle w:val="tekstost"/>
        <w:autoSpaceDN w:val="0"/>
        <w:spacing w:line="216" w:lineRule="auto"/>
        <w:textAlignment w:val="baseline"/>
        <w:rPr>
          <w:rFonts w:ascii="Arial" w:hAnsi="Arial" w:cs="Arial"/>
          <w:color w:val="000000" w:themeColor="text1"/>
          <w:sz w:val="18"/>
          <w:szCs w:val="18"/>
        </w:rPr>
      </w:pPr>
    </w:p>
    <w:p w14:paraId="65B52E27" w14:textId="77777777" w:rsidR="00F45500" w:rsidRPr="002F21D3" w:rsidRDefault="00F45500" w:rsidP="00F45500">
      <w:pPr>
        <w:pStyle w:val="tekstost"/>
        <w:autoSpaceDN w:val="0"/>
        <w:spacing w:line="216" w:lineRule="auto"/>
        <w:textAlignment w:val="baseline"/>
        <w:rPr>
          <w:rFonts w:ascii="Arial" w:hAnsi="Arial" w:cs="Arial"/>
          <w:color w:val="000000" w:themeColor="text1"/>
          <w:sz w:val="18"/>
          <w:szCs w:val="18"/>
        </w:rPr>
      </w:pPr>
    </w:p>
    <w:p w14:paraId="72B88DEB" w14:textId="77777777" w:rsidR="00F45500" w:rsidRPr="002F21D3" w:rsidRDefault="00F45500" w:rsidP="00F45500">
      <w:pPr>
        <w:pStyle w:val="tekstost"/>
        <w:autoSpaceDN w:val="0"/>
        <w:spacing w:line="216" w:lineRule="auto"/>
        <w:textAlignment w:val="baseline"/>
        <w:rPr>
          <w:rFonts w:ascii="Arial" w:hAnsi="Arial" w:cs="Arial"/>
          <w:color w:val="000000" w:themeColor="text1"/>
          <w:sz w:val="18"/>
          <w:szCs w:val="18"/>
        </w:rPr>
      </w:pPr>
    </w:p>
    <w:p w14:paraId="2D2964F6"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2812FD1F"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7B855A3C"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5E3B70B"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BF1F597"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1C677E78"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96B888D"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3D626396"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02934D95"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681409AB"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63C3DC55"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6BE89958"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554FB775"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6E3DF252"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5986266E"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0A7D2082"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7D54C6D5"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385CCEA4"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5B704DC2"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7E63DFB1"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58898FCC" w14:textId="77777777" w:rsidR="00F22548" w:rsidRPr="002F21D3" w:rsidRDefault="00F22548" w:rsidP="00F45500">
      <w:pPr>
        <w:pStyle w:val="tekstost"/>
        <w:tabs>
          <w:tab w:val="left" w:pos="142"/>
          <w:tab w:val="left" w:pos="3679"/>
        </w:tabs>
        <w:spacing w:line="216" w:lineRule="auto"/>
        <w:rPr>
          <w:rFonts w:ascii="Arial" w:hAnsi="Arial" w:cs="Arial"/>
          <w:color w:val="000000" w:themeColor="text1"/>
          <w:sz w:val="20"/>
          <w:szCs w:val="20"/>
        </w:rPr>
      </w:pPr>
    </w:p>
    <w:p w14:paraId="305E60BF"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2FB25ED9"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68ED6E0A"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77A37336"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5487C8F1"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783495CC"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1463A18F" w14:textId="77777777" w:rsidR="00F45500" w:rsidRPr="002F21D3" w:rsidRDefault="00F45500" w:rsidP="00F45500">
      <w:pPr>
        <w:pStyle w:val="tekstost"/>
        <w:tabs>
          <w:tab w:val="left" w:pos="142"/>
          <w:tab w:val="left" w:pos="3679"/>
        </w:tabs>
        <w:spacing w:line="216" w:lineRule="auto"/>
        <w:rPr>
          <w:rFonts w:ascii="Arial" w:hAnsi="Arial" w:cs="Arial"/>
          <w:color w:val="000000" w:themeColor="text1"/>
          <w:sz w:val="20"/>
          <w:szCs w:val="20"/>
        </w:rPr>
      </w:pPr>
    </w:p>
    <w:p w14:paraId="4D399489" w14:textId="77777777" w:rsidR="00F45500" w:rsidRPr="004D7D23" w:rsidRDefault="00F45500" w:rsidP="00F45500">
      <w:pPr>
        <w:pStyle w:val="tekstost"/>
        <w:tabs>
          <w:tab w:val="left" w:pos="142"/>
          <w:tab w:val="left" w:pos="3679"/>
        </w:tabs>
        <w:spacing w:line="216" w:lineRule="auto"/>
        <w:rPr>
          <w:rFonts w:ascii="Arial" w:hAnsi="Arial" w:cs="Arial"/>
          <w:color w:val="FF0000"/>
          <w:sz w:val="20"/>
          <w:szCs w:val="20"/>
        </w:rPr>
      </w:pPr>
    </w:p>
    <w:p w14:paraId="35041E57" w14:textId="77777777" w:rsidR="00F45500" w:rsidRPr="007B192E" w:rsidRDefault="00F45500" w:rsidP="00F45500">
      <w:pPr>
        <w:pStyle w:val="Nagwek1"/>
        <w:jc w:val="center"/>
        <w:rPr>
          <w:color w:val="000000" w:themeColor="text1"/>
          <w:sz w:val="40"/>
          <w:szCs w:val="40"/>
        </w:rPr>
      </w:pPr>
      <w:bookmarkStart w:id="124" w:name="_Toc138757085"/>
      <w:bookmarkStart w:id="125" w:name="_Toc163481045"/>
      <w:r w:rsidRPr="007B192E">
        <w:rPr>
          <w:color w:val="000000" w:themeColor="text1"/>
          <w:sz w:val="40"/>
          <w:szCs w:val="40"/>
        </w:rPr>
        <w:lastRenderedPageBreak/>
        <w:t>D-01.00.00 ROBOTY PRZYGOTOWAWCZE</w:t>
      </w:r>
      <w:bookmarkEnd w:id="124"/>
      <w:bookmarkEnd w:id="125"/>
    </w:p>
    <w:p w14:paraId="7A0CCFE3" w14:textId="77777777" w:rsidR="00F45500" w:rsidRPr="007B192E" w:rsidRDefault="00072856" w:rsidP="00F45500">
      <w:pPr>
        <w:pStyle w:val="Nagwek1"/>
        <w:jc w:val="center"/>
        <w:rPr>
          <w:color w:val="000000" w:themeColor="text1"/>
          <w:sz w:val="40"/>
          <w:szCs w:val="40"/>
        </w:rPr>
      </w:pPr>
      <w:bookmarkStart w:id="126" w:name="_Toc138757086"/>
      <w:bookmarkStart w:id="127" w:name="_Toc163481046"/>
      <w:r w:rsidRPr="007B192E">
        <w:rPr>
          <w:color w:val="000000" w:themeColor="text1"/>
          <w:sz w:val="40"/>
          <w:szCs w:val="40"/>
        </w:rPr>
        <w:t>D-</w:t>
      </w:r>
      <w:r w:rsidR="00F45500" w:rsidRPr="007B192E">
        <w:rPr>
          <w:color w:val="000000" w:themeColor="text1"/>
          <w:sz w:val="40"/>
          <w:szCs w:val="40"/>
        </w:rPr>
        <w:t>01.01.01a ODTWORZENIE  TRASY  I  PUNKTÓW WYSOKOŚCIOWYCH  ORAZ  SPORZĄDZENIE INWENTARYZACJI  POWYKONAWCZEJ  DROGI</w:t>
      </w:r>
      <w:bookmarkEnd w:id="126"/>
      <w:bookmarkEnd w:id="127"/>
    </w:p>
    <w:p w14:paraId="589020F6" w14:textId="77777777" w:rsidR="00F45500" w:rsidRPr="007B192E" w:rsidRDefault="00F45500" w:rsidP="00EC199A">
      <w:pPr>
        <w:pStyle w:val="Nagwek2"/>
        <w:rPr>
          <w:i w:val="0"/>
          <w:color w:val="000000" w:themeColor="text1"/>
        </w:rPr>
      </w:pPr>
      <w:r w:rsidRPr="007B192E">
        <w:rPr>
          <w:i w:val="0"/>
          <w:color w:val="000000" w:themeColor="text1"/>
        </w:rPr>
        <w:t>1. WSTĘP</w:t>
      </w:r>
    </w:p>
    <w:p w14:paraId="2C4D73FB"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32672C44" w14:textId="77777777" w:rsidR="00F45500" w:rsidRPr="007B192E" w:rsidRDefault="00F45500" w:rsidP="00F45500">
      <w:pPr>
        <w:pStyle w:val="Standardowytekst"/>
        <w:spacing w:line="216" w:lineRule="auto"/>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ab/>
        <w:t>Przedmiotem niniejszej specyfikacji technicznej (ST) są wymagania dotyczące wykonania i odbioru robót związanych z odtworzeniem trasy drogowej i jej punktów wysokościowych oraz sporządzeniem inwentaryzacji powykonawczej wybudowanej drogi związanej z wykonaniem robót budowlanych.</w:t>
      </w:r>
    </w:p>
    <w:p w14:paraId="3B19FC8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6EF8A57F" w14:textId="77777777" w:rsidR="00F45500" w:rsidRPr="007B192E" w:rsidRDefault="00F45500" w:rsidP="00F45500">
      <w:pPr>
        <w:pStyle w:val="Standardowytekst"/>
        <w:spacing w:line="216" w:lineRule="auto"/>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53F1E1A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1.3. Zakres robót objętych ST</w:t>
      </w:r>
    </w:p>
    <w:p w14:paraId="016AF939"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wszystkim czynnościami mającymi na celu odtworzenie w terenie przebiegu trasy drogowej, a także wykonania inwentaryzacji geodezyjnej i kartograficznej drogi przed i po jej wybudowaniu.</w:t>
      </w:r>
    </w:p>
    <w:p w14:paraId="7FE7B79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 zakres robót wchodzą:</w:t>
      </w:r>
    </w:p>
    <w:p w14:paraId="777B7C1D" w14:textId="77777777" w:rsidR="00F45500" w:rsidRPr="007B192E"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pomiar i wyznaczenie sytuacyjne i wysokościowe punktów głównych osi trasy i punktów wysokościowych </w:t>
      </w:r>
      <w:r w:rsidRPr="007B192E">
        <w:rPr>
          <w:rFonts w:ascii="Arial" w:hAnsi="Arial" w:cs="Arial"/>
          <w:color w:val="000000" w:themeColor="text1"/>
          <w:sz w:val="18"/>
          <w:szCs w:val="18"/>
        </w:rPr>
        <w:tab/>
        <w:t xml:space="preserve">(reperów roboczych dowiązanych do reperów krajowych), z ich </w:t>
      </w:r>
      <w:proofErr w:type="spellStart"/>
      <w:r w:rsidRPr="007B192E">
        <w:rPr>
          <w:rFonts w:ascii="Arial" w:hAnsi="Arial" w:cs="Arial"/>
          <w:color w:val="000000" w:themeColor="text1"/>
          <w:sz w:val="18"/>
          <w:szCs w:val="18"/>
        </w:rPr>
        <w:t>zastabilizowaniem</w:t>
      </w:r>
      <w:proofErr w:type="spellEnd"/>
      <w:r w:rsidRPr="007B192E">
        <w:rPr>
          <w:rFonts w:ascii="Arial" w:hAnsi="Arial" w:cs="Arial"/>
          <w:color w:val="000000" w:themeColor="text1"/>
          <w:sz w:val="18"/>
          <w:szCs w:val="18"/>
        </w:rPr>
        <w:t>,</w:t>
      </w:r>
    </w:p>
    <w:p w14:paraId="575562F0" w14:textId="77777777" w:rsidR="00F45500" w:rsidRPr="007B192E"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proofErr w:type="spellStart"/>
      <w:r w:rsidRPr="007B192E">
        <w:rPr>
          <w:rFonts w:ascii="Arial" w:hAnsi="Arial" w:cs="Arial"/>
          <w:color w:val="000000" w:themeColor="text1"/>
          <w:sz w:val="18"/>
          <w:szCs w:val="18"/>
        </w:rPr>
        <w:t>zastabilizowanie</w:t>
      </w:r>
      <w:proofErr w:type="spellEnd"/>
      <w:r w:rsidRPr="007B192E">
        <w:rPr>
          <w:rFonts w:ascii="Arial" w:hAnsi="Arial" w:cs="Arial"/>
          <w:color w:val="000000" w:themeColor="text1"/>
          <w:sz w:val="18"/>
          <w:szCs w:val="18"/>
        </w:rPr>
        <w:t xml:space="preserve"> punktów w sposób trwały oraz odtwarzania uszkodzonych punktów,</w:t>
      </w:r>
    </w:p>
    <w:p w14:paraId="01C17B84" w14:textId="77777777" w:rsidR="00F45500" w:rsidRPr="007B192E"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wyznaczenie roboczego </w:t>
      </w:r>
      <w:proofErr w:type="spellStart"/>
      <w:r w:rsidRPr="007B192E">
        <w:rPr>
          <w:rFonts w:ascii="Arial" w:hAnsi="Arial" w:cs="Arial"/>
          <w:color w:val="000000" w:themeColor="text1"/>
          <w:sz w:val="18"/>
          <w:szCs w:val="18"/>
        </w:rPr>
        <w:t>pikietażu</w:t>
      </w:r>
      <w:proofErr w:type="spellEnd"/>
      <w:r w:rsidRPr="007B192E">
        <w:rPr>
          <w:rFonts w:ascii="Arial" w:hAnsi="Arial" w:cs="Arial"/>
          <w:color w:val="000000" w:themeColor="text1"/>
          <w:sz w:val="18"/>
          <w:szCs w:val="18"/>
        </w:rPr>
        <w:t xml:space="preserve"> trasy poza granicą robót,</w:t>
      </w:r>
    </w:p>
    <w:p w14:paraId="76AC20C3" w14:textId="77777777" w:rsidR="00F45500" w:rsidRPr="007B192E"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przeniesienie punktów istniejącej osnowy geodezyjnej poza granicę robót ziemnych,</w:t>
      </w:r>
    </w:p>
    <w:p w14:paraId="4471C051" w14:textId="77777777" w:rsidR="00F45500" w:rsidRPr="007B192E"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wyznaczenie przekrojów poprzecznych,</w:t>
      </w:r>
    </w:p>
    <w:p w14:paraId="5AEBCE59" w14:textId="77777777" w:rsidR="00F45500" w:rsidRPr="007B192E" w:rsidRDefault="00F45500" w:rsidP="00F45500">
      <w:pPr>
        <w:pStyle w:val="Standard"/>
        <w:widowControl w:val="0"/>
        <w:numPr>
          <w:ilvl w:val="0"/>
          <w:numId w:val="43"/>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pomiar geodezyjny i dokumentacja kartograficzna do inwentaryzacji powykonawczej wybudowanej drogi.</w:t>
      </w:r>
    </w:p>
    <w:p w14:paraId="23580DE4"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1.4. Określenia podstawowe</w:t>
      </w:r>
    </w:p>
    <w:p w14:paraId="0419AA57" w14:textId="77777777" w:rsidR="00F45500" w:rsidRPr="007B192E" w:rsidRDefault="00F45500" w:rsidP="00F45500">
      <w:pPr>
        <w:pStyle w:val="Textbody"/>
        <w:spacing w:after="120"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1.4.1. </w:t>
      </w:r>
      <w:r w:rsidRPr="007B192E">
        <w:rPr>
          <w:rFonts w:ascii="Arial" w:hAnsi="Arial" w:cs="Arial"/>
          <w:color w:val="000000" w:themeColor="text1"/>
          <w:sz w:val="18"/>
          <w:szCs w:val="18"/>
          <w:lang w:val="pl-PL"/>
        </w:rPr>
        <w:t>Odtworzenie trasy i punktów wysokościowych – założenie poziomej i wysokościowej geodezyjnej osnowy realizacyjnej niezbędnej przy budowie drogi, uwzględniającej ustalenia dokumentacji projektowej.</w:t>
      </w:r>
    </w:p>
    <w:p w14:paraId="67A87C28" w14:textId="77777777" w:rsidR="00F45500" w:rsidRPr="007B192E" w:rsidRDefault="00F45500" w:rsidP="00F45500">
      <w:pPr>
        <w:pStyle w:val="Textbody"/>
        <w:spacing w:after="120"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1.4.2. </w:t>
      </w:r>
      <w:r w:rsidRPr="007B192E">
        <w:rPr>
          <w:rFonts w:ascii="Arial" w:hAnsi="Arial" w:cs="Arial"/>
          <w:color w:val="000000" w:themeColor="text1"/>
          <w:sz w:val="18"/>
          <w:szCs w:val="18"/>
          <w:lang w:val="pl-PL"/>
        </w:rPr>
        <w:t>Punkty główne trasy – punkty załamania osi trasy, punkty kierunkowe oraz początkowy i końcowy punkt trasy.</w:t>
      </w:r>
    </w:p>
    <w:p w14:paraId="45AFFF58" w14:textId="77777777" w:rsidR="00F45500" w:rsidRPr="007B192E" w:rsidRDefault="00F45500" w:rsidP="00F45500">
      <w:pPr>
        <w:pStyle w:val="Textbody"/>
        <w:spacing w:after="120"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1.4.3. </w:t>
      </w:r>
      <w:r w:rsidRPr="007B192E">
        <w:rPr>
          <w:rFonts w:ascii="Arial" w:hAnsi="Arial" w:cs="Arial"/>
          <w:color w:val="000000" w:themeColor="text1"/>
          <w:sz w:val="18"/>
          <w:szCs w:val="18"/>
          <w:lang w:val="pl-PL"/>
        </w:rPr>
        <w:t>Reper –  zasadniczy element znaku wysokościowego lub samodzielny znak wysokościowy, którego wysokość jest wyznaczona.</w:t>
      </w:r>
    </w:p>
    <w:p w14:paraId="0BE3B3A1" w14:textId="77777777" w:rsidR="00F45500" w:rsidRPr="007B192E" w:rsidRDefault="00F45500" w:rsidP="00F45500">
      <w:pPr>
        <w:pStyle w:val="Textbody"/>
        <w:spacing w:after="120"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1.4.4. </w:t>
      </w:r>
      <w:r w:rsidRPr="007B192E">
        <w:rPr>
          <w:rFonts w:ascii="Arial" w:hAnsi="Arial" w:cs="Arial"/>
          <w:color w:val="000000" w:themeColor="text1"/>
          <w:sz w:val="18"/>
          <w:szCs w:val="18"/>
          <w:lang w:val="pl-PL"/>
        </w:rPr>
        <w:t>Znak geodezyjny –  znak z trwałego materiału umieszczony w punktach osnowy geodezyjnej.</w:t>
      </w:r>
    </w:p>
    <w:p w14:paraId="396EE71A" w14:textId="77777777" w:rsidR="00F45500" w:rsidRPr="007B192E" w:rsidRDefault="00F45500" w:rsidP="00F45500">
      <w:pPr>
        <w:pStyle w:val="Textbody"/>
        <w:spacing w:after="120"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1.4.5. </w:t>
      </w:r>
      <w:r w:rsidRPr="007B192E">
        <w:rPr>
          <w:rFonts w:ascii="Arial" w:hAnsi="Arial" w:cs="Arial"/>
          <w:color w:val="000000" w:themeColor="text1"/>
          <w:sz w:val="18"/>
          <w:szCs w:val="18"/>
          <w:lang w:val="pl-PL"/>
        </w:rPr>
        <w:t>Osnowa realizacyjna - osnowa geodezyjna (pozioma i wysokościowa), przeznaczona do geodezyjnego wytyczenia elementów projektu w terenie oraz geodezyjnej obsługi budowy.</w:t>
      </w:r>
    </w:p>
    <w:p w14:paraId="6EA4B273" w14:textId="77777777" w:rsidR="00F45500" w:rsidRPr="007B192E" w:rsidRDefault="00F45500" w:rsidP="00F45500">
      <w:pPr>
        <w:pStyle w:val="Textbody"/>
        <w:spacing w:after="120"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1.4.6. </w:t>
      </w:r>
      <w:r w:rsidRPr="007B192E">
        <w:rPr>
          <w:rFonts w:ascii="Arial" w:hAnsi="Arial" w:cs="Arial"/>
          <w:color w:val="000000" w:themeColor="text1"/>
          <w:sz w:val="18"/>
          <w:szCs w:val="18"/>
          <w:lang w:val="pl-PL"/>
        </w:rPr>
        <w:t>Inwentaryzacja powykonawcza – pomiar powykonawczy wybudowanej drogi i sporządzenie związanej z nim dokumentacji geodezyjnej i kartograficznej.</w:t>
      </w:r>
    </w:p>
    <w:p w14:paraId="3F5ED618" w14:textId="77777777" w:rsidR="00F45500" w:rsidRPr="007B192E" w:rsidRDefault="00F45500" w:rsidP="00F45500">
      <w:pPr>
        <w:pStyle w:val="Textbody"/>
        <w:spacing w:line="216" w:lineRule="auto"/>
        <w:jc w:val="both"/>
        <w:rPr>
          <w:rFonts w:ascii="Arial" w:hAnsi="Arial" w:cs="Arial"/>
          <w:color w:val="000000" w:themeColor="text1"/>
          <w:sz w:val="18"/>
          <w:szCs w:val="18"/>
          <w:lang w:val="pl-PL"/>
        </w:rPr>
      </w:pPr>
      <w:r w:rsidRPr="007B192E">
        <w:rPr>
          <w:rFonts w:ascii="Arial" w:hAnsi="Arial" w:cs="Arial"/>
          <w:b/>
          <w:color w:val="000000" w:themeColor="text1"/>
          <w:sz w:val="18"/>
          <w:szCs w:val="18"/>
          <w:lang w:val="pl-PL"/>
        </w:rPr>
        <w:t xml:space="preserve">1.4.7. </w:t>
      </w:r>
      <w:r w:rsidRPr="007B192E">
        <w:rPr>
          <w:rFonts w:ascii="Arial" w:hAnsi="Arial" w:cs="Arial"/>
          <w:color w:val="000000" w:themeColor="text1"/>
          <w:sz w:val="18"/>
          <w:szCs w:val="18"/>
          <w:lang w:val="pl-PL"/>
        </w:rPr>
        <w:t xml:space="preserve">Pozostałe określenia podstawowe są zgodne z obowiązującymi, odpowiednimi polskimi normami i z definicjami podanymi w SST </w:t>
      </w:r>
      <w:r w:rsidR="00072856" w:rsidRPr="007B192E">
        <w:rPr>
          <w:rFonts w:ascii="Arial" w:hAnsi="Arial" w:cs="Arial"/>
          <w:color w:val="000000" w:themeColor="text1"/>
          <w:sz w:val="18"/>
          <w:szCs w:val="18"/>
          <w:lang w:val="pl-PL"/>
        </w:rPr>
        <w:t>D-</w:t>
      </w:r>
      <w:r w:rsidRPr="007B192E">
        <w:rPr>
          <w:rFonts w:ascii="Arial" w:hAnsi="Arial" w:cs="Arial"/>
          <w:color w:val="000000" w:themeColor="text1"/>
          <w:sz w:val="18"/>
          <w:szCs w:val="18"/>
          <w:lang w:val="pl-PL"/>
        </w:rPr>
        <w:t>00.00.00 „Wymagania ogólne” [1] pkt 1.4.</w:t>
      </w:r>
    </w:p>
    <w:p w14:paraId="34483B59" w14:textId="77777777" w:rsidR="00F45500" w:rsidRPr="007B192E" w:rsidRDefault="00F45500" w:rsidP="00EC199A">
      <w:pPr>
        <w:pStyle w:val="Nagwek2"/>
        <w:rPr>
          <w:i w:val="0"/>
          <w:color w:val="000000" w:themeColor="text1"/>
        </w:rPr>
      </w:pPr>
      <w:r w:rsidRPr="007B192E">
        <w:rPr>
          <w:i w:val="0"/>
          <w:color w:val="000000" w:themeColor="text1"/>
        </w:rPr>
        <w:t>2. MATERIAŁY</w:t>
      </w:r>
    </w:p>
    <w:p w14:paraId="52199CFF"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2.1. Wymagania dotyczące materiałów</w:t>
      </w:r>
    </w:p>
    <w:p w14:paraId="3BA8D068" w14:textId="77777777" w:rsidR="00F45500" w:rsidRPr="007B192E" w:rsidRDefault="00F45500" w:rsidP="00F45500">
      <w:pPr>
        <w:pStyle w:val="Textbody"/>
        <w:spacing w:line="216" w:lineRule="auto"/>
        <w:jc w:val="both"/>
        <w:rPr>
          <w:rFonts w:ascii="Arial" w:hAnsi="Arial" w:cs="Arial"/>
          <w:color w:val="000000" w:themeColor="text1"/>
          <w:sz w:val="18"/>
          <w:szCs w:val="18"/>
          <w:lang w:val="pl-PL"/>
        </w:rPr>
      </w:pPr>
      <w:r w:rsidRPr="007B192E">
        <w:rPr>
          <w:rFonts w:ascii="Arial" w:hAnsi="Arial" w:cs="Arial"/>
          <w:color w:val="000000" w:themeColor="text1"/>
          <w:sz w:val="18"/>
          <w:szCs w:val="18"/>
          <w:lang w:val="pl-PL"/>
        </w:rPr>
        <w:t xml:space="preserve">Wymagania dotyczące materiałów podano w ST </w:t>
      </w:r>
      <w:r w:rsidR="00072856" w:rsidRPr="007B192E">
        <w:rPr>
          <w:rFonts w:ascii="Arial" w:hAnsi="Arial" w:cs="Arial"/>
          <w:color w:val="000000" w:themeColor="text1"/>
          <w:sz w:val="18"/>
          <w:szCs w:val="18"/>
          <w:lang w:val="pl-PL"/>
        </w:rPr>
        <w:t>D-</w:t>
      </w:r>
      <w:r w:rsidRPr="007B192E">
        <w:rPr>
          <w:rFonts w:ascii="Arial" w:hAnsi="Arial" w:cs="Arial"/>
          <w:color w:val="000000" w:themeColor="text1"/>
          <w:sz w:val="18"/>
          <w:szCs w:val="18"/>
          <w:lang w:val="pl-PL"/>
        </w:rPr>
        <w:t>00.00.00 „Wymagania ogólne" [1] pkt 2.</w:t>
      </w:r>
    </w:p>
    <w:p w14:paraId="5650039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2.2. Materiały do wykonania robót</w:t>
      </w:r>
    </w:p>
    <w:p w14:paraId="56A6A194" w14:textId="77777777" w:rsidR="00F45500" w:rsidRPr="007B192E" w:rsidRDefault="00F45500" w:rsidP="00F45500">
      <w:pPr>
        <w:pStyle w:val="Standard"/>
        <w:spacing w:after="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 utrwalenia punktów głównych trasy należy stosować pale drewniane z gwoździem lub prętem stalowym, słupki betonowe albo rury metalowe długości około 0,5 m.</w:t>
      </w:r>
    </w:p>
    <w:p w14:paraId="51918FEB" w14:textId="77777777" w:rsidR="00F45500" w:rsidRPr="007B192E" w:rsidRDefault="00F45500" w:rsidP="00F45500">
      <w:pPr>
        <w:pStyle w:val="Standard"/>
        <w:spacing w:after="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Pale drewniane umieszczone poza granicą robót ziemnych, w sąsiedztwie punktów załamania trasy powinny mieć średnicę 0,15 ÷ 0,20 m i długość 1,5 ÷ 1,7 m.</w:t>
      </w:r>
    </w:p>
    <w:p w14:paraId="584B0C73" w14:textId="77777777" w:rsidR="00F45500" w:rsidRPr="007B192E" w:rsidRDefault="00F45500" w:rsidP="00F45500">
      <w:pPr>
        <w:pStyle w:val="Standard"/>
        <w:spacing w:after="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 stabilizacji pozostałych punktów należy stosować paliki drewniane średnicy 0,05 ÷ 0,08 m i długości około 0,30 m, a dla punktów utrwalonych w istniejącej nawierzchni bolce stalowe średnicy 5 mm i długości 0,04 ÷ 0,05 m.</w:t>
      </w:r>
    </w:p>
    <w:p w14:paraId="52298F10" w14:textId="77777777" w:rsidR="00F45500" w:rsidRPr="007B192E" w:rsidRDefault="00F45500" w:rsidP="00F45500">
      <w:pPr>
        <w:pStyle w:val="Standard"/>
        <w:spacing w:after="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„Świadki” powinny mieć długość około 0,50 m i przekrój prostokątny.</w:t>
      </w:r>
    </w:p>
    <w:p w14:paraId="1F62393F" w14:textId="77777777" w:rsidR="00F45500" w:rsidRPr="007B192E" w:rsidRDefault="00F45500" w:rsidP="00F45500">
      <w:pPr>
        <w:pStyle w:val="Standard"/>
        <w:spacing w:after="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stabilizowania roboczego </w:t>
      </w:r>
      <w:proofErr w:type="spellStart"/>
      <w:r w:rsidRPr="007B192E">
        <w:rPr>
          <w:rFonts w:ascii="Arial" w:hAnsi="Arial" w:cs="Arial"/>
          <w:color w:val="000000" w:themeColor="text1"/>
          <w:sz w:val="18"/>
          <w:szCs w:val="18"/>
        </w:rPr>
        <w:t>pikietażu</w:t>
      </w:r>
      <w:proofErr w:type="spellEnd"/>
      <w:r w:rsidRPr="007B192E">
        <w:rPr>
          <w:rFonts w:ascii="Arial" w:hAnsi="Arial" w:cs="Arial"/>
          <w:color w:val="000000" w:themeColor="text1"/>
          <w:sz w:val="18"/>
          <w:szCs w:val="18"/>
        </w:rPr>
        <w:t xml:space="preserve"> trasy, poza granicą pasa robót, należy stosować pale drewniane średnicy 0,15 ÷ 0,20 m i długości 1,5 ÷ 1,7 m z tabliczkami o wymiarach uzgodnionych z Inżynierem.</w:t>
      </w:r>
    </w:p>
    <w:p w14:paraId="163AF6F6" w14:textId="77777777" w:rsidR="00F45500" w:rsidRPr="007B192E" w:rsidRDefault="00F45500" w:rsidP="00F45500">
      <w:pPr>
        <w:pStyle w:val="Standard"/>
        <w:spacing w:after="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 utrwalenia punktów osnowy geodezyjnej należy stosować materiały zgodne z instrukcjami technicznymi G-1 [5] i G-2 [6].</w:t>
      </w:r>
    </w:p>
    <w:p w14:paraId="6F21035F" w14:textId="77777777" w:rsidR="00F45500" w:rsidRPr="007B192E" w:rsidRDefault="00F45500" w:rsidP="00EC199A">
      <w:pPr>
        <w:pStyle w:val="Nagwek2"/>
        <w:rPr>
          <w:i w:val="0"/>
          <w:color w:val="000000" w:themeColor="text1"/>
        </w:rPr>
      </w:pPr>
      <w:r w:rsidRPr="007B192E">
        <w:rPr>
          <w:i w:val="0"/>
          <w:color w:val="000000" w:themeColor="text1"/>
        </w:rPr>
        <w:lastRenderedPageBreak/>
        <w:t>3. SPRZĘT</w:t>
      </w:r>
    </w:p>
    <w:p w14:paraId="608B42B4"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3.1. Wymagania dotyczące sprzętu</w:t>
      </w:r>
    </w:p>
    <w:p w14:paraId="598AE282"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40207D6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3.2. Sprzęt stosowany do wykonania robót</w:t>
      </w:r>
    </w:p>
    <w:p w14:paraId="3976B82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1A834F57" w14:textId="77777777" w:rsidR="00F45500" w:rsidRPr="007B192E"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teodolity lub tachimetry,</w:t>
      </w:r>
    </w:p>
    <w:p w14:paraId="3A8785A9" w14:textId="77777777" w:rsidR="00F45500" w:rsidRPr="007B192E"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niwelatory,</w:t>
      </w:r>
    </w:p>
    <w:p w14:paraId="7C1F820D" w14:textId="77777777" w:rsidR="00F45500" w:rsidRPr="007B192E"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dalmierze,</w:t>
      </w:r>
    </w:p>
    <w:p w14:paraId="5FCD2EDF" w14:textId="77777777" w:rsidR="00F45500" w:rsidRPr="007B192E"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tyczki, łaty, taśmy stalowe, szpilki,</w:t>
      </w:r>
    </w:p>
    <w:p w14:paraId="5D8C0E7B" w14:textId="77777777" w:rsidR="00F45500" w:rsidRPr="007B192E" w:rsidRDefault="00F45500" w:rsidP="00F45500">
      <w:pPr>
        <w:pStyle w:val="Standard"/>
        <w:widowControl w:val="0"/>
        <w:numPr>
          <w:ilvl w:val="0"/>
          <w:numId w:val="21"/>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ew. odbiorniki GPS, zapewniające uzyskanie wymaganych dokładności pomiarów.</w:t>
      </w:r>
    </w:p>
    <w:p w14:paraId="61146CFB" w14:textId="77777777" w:rsidR="00F45500" w:rsidRPr="007B192E" w:rsidRDefault="00F45500" w:rsidP="00F45500">
      <w:pPr>
        <w:pStyle w:val="Standard"/>
        <w:spacing w:before="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Sprzęt stosowany do odtworzenia trasy drogowej i jej punktów wysokościowych powinien gwarantować uzyskanie wymaganej dokładności pomiaru.</w:t>
      </w:r>
    </w:p>
    <w:p w14:paraId="67A5D364" w14:textId="77777777" w:rsidR="00F45500" w:rsidRPr="007B192E" w:rsidRDefault="00F45500" w:rsidP="00EC199A">
      <w:pPr>
        <w:pStyle w:val="Nagwek2"/>
        <w:rPr>
          <w:i w:val="0"/>
          <w:color w:val="000000" w:themeColor="text1"/>
        </w:rPr>
      </w:pPr>
      <w:r w:rsidRPr="007B192E">
        <w:rPr>
          <w:i w:val="0"/>
          <w:color w:val="000000" w:themeColor="text1"/>
        </w:rPr>
        <w:t>4. TRANSPORT</w:t>
      </w:r>
    </w:p>
    <w:p w14:paraId="5FAB86FB"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4.1. Wymagania dotyczące transportu</w:t>
      </w:r>
    </w:p>
    <w:p w14:paraId="52663B5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r w:rsidRPr="007B192E">
        <w:rPr>
          <w:rFonts w:ascii="Arial" w:hAnsi="Arial" w:cs="Arial"/>
          <w:color w:val="000000" w:themeColor="text1"/>
          <w:sz w:val="18"/>
          <w:szCs w:val="18"/>
        </w:rPr>
        <w:tab/>
      </w:r>
    </w:p>
    <w:p w14:paraId="36FFC250"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4.2. Transport materiałów i sprzętu</w:t>
      </w:r>
    </w:p>
    <w:p w14:paraId="0CCE5001"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Sprzęt i materiały do prac geodezyjnych można przewozić dowolnym środkiem transportu.</w:t>
      </w:r>
    </w:p>
    <w:p w14:paraId="61E00124" w14:textId="77777777" w:rsidR="00F45500" w:rsidRPr="007B192E" w:rsidRDefault="00F45500" w:rsidP="00EC199A">
      <w:pPr>
        <w:pStyle w:val="Nagwek2"/>
        <w:rPr>
          <w:i w:val="0"/>
          <w:color w:val="000000" w:themeColor="text1"/>
        </w:rPr>
      </w:pPr>
      <w:r w:rsidRPr="007B192E">
        <w:rPr>
          <w:i w:val="0"/>
          <w:color w:val="000000" w:themeColor="text1"/>
        </w:rPr>
        <w:t>5. WYKONANIE ROBÓT</w:t>
      </w:r>
    </w:p>
    <w:p w14:paraId="6998A68E"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5.1. Zasady wykonania robót</w:t>
      </w:r>
    </w:p>
    <w:p w14:paraId="203A85AE"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002733D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5.2. Zasady wykonywania robót</w:t>
      </w:r>
    </w:p>
    <w:p w14:paraId="7AFD5BF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wykonywaniu robót obejmują:</w:t>
      </w:r>
    </w:p>
    <w:p w14:paraId="64BE9CF3"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przygotowawcze,</w:t>
      </w:r>
    </w:p>
    <w:p w14:paraId="7F980CBC"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odtworzenie trasy i punktów wysokościowych,</w:t>
      </w:r>
    </w:p>
    <w:p w14:paraId="072D8F2C"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geodezyjna inwentaryzacja powykonawcza.</w:t>
      </w:r>
    </w:p>
    <w:p w14:paraId="79DA3CA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5.3. Prace przygotowawcze</w:t>
      </w:r>
    </w:p>
    <w:p w14:paraId="445609A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robót geodezyjnych powinien:</w:t>
      </w:r>
    </w:p>
    <w:p w14:paraId="33BCC84C" w14:textId="77777777" w:rsidR="00F45500" w:rsidRPr="007B192E"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zapoznać się z zakresem opracowania,</w:t>
      </w:r>
    </w:p>
    <w:p w14:paraId="6C5CDEC7" w14:textId="77777777" w:rsidR="00F45500" w:rsidRPr="007B192E"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przeprowadzić z Zamawiającym (Inżynierem) uzgodnienia dotyczące sposobu wykonania prac,</w:t>
      </w:r>
    </w:p>
    <w:p w14:paraId="41DB69F6" w14:textId="77777777" w:rsidR="00F45500" w:rsidRPr="007B192E"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zapoznać się z dokumentacją projektową,</w:t>
      </w:r>
    </w:p>
    <w:p w14:paraId="197CCAFA" w14:textId="77777777" w:rsidR="00F45500" w:rsidRPr="007B192E"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zebrać informacje o rodzaju i stanie osnów geodezyjnych na obszarze objętym budową drogi,</w:t>
      </w:r>
    </w:p>
    <w:p w14:paraId="63838CAB" w14:textId="77777777" w:rsidR="00F45500" w:rsidRPr="007B192E"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zapoznać się z przewidywanym sposobem realizacji budowy,</w:t>
      </w:r>
    </w:p>
    <w:p w14:paraId="48B870A2" w14:textId="77777777" w:rsidR="00F45500" w:rsidRPr="007B192E" w:rsidRDefault="00F45500" w:rsidP="00F45500">
      <w:pPr>
        <w:pStyle w:val="Standard"/>
        <w:widowControl w:val="0"/>
        <w:numPr>
          <w:ilvl w:val="0"/>
          <w:numId w:val="20"/>
        </w:numPr>
        <w:tabs>
          <w:tab w:val="clear" w:pos="0"/>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przeprowadzić wywiad szczegółowy w terenie.</w:t>
      </w:r>
    </w:p>
    <w:p w14:paraId="66C5E1FF"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5.4. Odtworzenie trasy drogi i punktów wysokościowych</w:t>
      </w:r>
    </w:p>
    <w:p w14:paraId="507BEA19"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5.4.1. </w:t>
      </w:r>
      <w:r w:rsidRPr="007B192E">
        <w:rPr>
          <w:rFonts w:ascii="Arial" w:hAnsi="Arial" w:cs="Arial"/>
          <w:color w:val="000000" w:themeColor="text1"/>
          <w:sz w:val="18"/>
          <w:szCs w:val="18"/>
        </w:rPr>
        <w:t>Zasady wykonywania prac pomiarowych</w:t>
      </w:r>
    </w:p>
    <w:p w14:paraId="3CD0A197"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Prace pomiarowe powinny być wykonane zgodnie z obowiązującymi Instrukcjami i wytycznymi </w:t>
      </w:r>
      <w:proofErr w:type="spellStart"/>
      <w:r w:rsidRPr="007B192E">
        <w:rPr>
          <w:rFonts w:ascii="Arial" w:hAnsi="Arial" w:cs="Arial"/>
          <w:color w:val="000000" w:themeColor="text1"/>
          <w:sz w:val="18"/>
          <w:szCs w:val="18"/>
        </w:rPr>
        <w:t>GUGiK</w:t>
      </w:r>
      <w:proofErr w:type="spellEnd"/>
      <w:r w:rsidRPr="007B192E">
        <w:rPr>
          <w:rFonts w:ascii="Arial" w:hAnsi="Arial" w:cs="Arial"/>
          <w:color w:val="000000" w:themeColor="text1"/>
          <w:sz w:val="18"/>
          <w:szCs w:val="18"/>
        </w:rPr>
        <w:t xml:space="preserve"> [3÷10].</w:t>
      </w:r>
    </w:p>
    <w:p w14:paraId="2AD3F5E6"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 przejąć od Zamawiającego dane zawierające lokalizację i współrzędne punktów głównych trasy oraz reperów.</w:t>
      </w:r>
    </w:p>
    <w:p w14:paraId="208D3C71"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 oparciu o materiały dostarczone przez Zamawiającego, Wykonawca powinien przeprowadzić obliczenia i pomiary geodezyjne niezbędne do szczegółowego wytyczenia robót.</w:t>
      </w:r>
    </w:p>
    <w:p w14:paraId="65548441"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Prace pomiarowe powinny być wykonane przez osoby posiadające odpowiednie kwalifikacje i uprawnienia.</w:t>
      </w:r>
    </w:p>
    <w:p w14:paraId="76629D35"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natychmiast poinformować Inżyniera o wszelkich błędach wykrytych w wytyczeniu punktów głównych trasy i (lub) reperów roboczych. Błędy te powinny być usunięte na koszt Zamawiającego.</w:t>
      </w:r>
    </w:p>
    <w:p w14:paraId="4035F42A"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70E4B71D"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Wszystkie roboty, które bazują na pomiarach Wykonawcy, nie mogą być rozpoczęte przed zaakceptowaniem wyników pomiarów przez Inżyniera.</w:t>
      </w:r>
    </w:p>
    <w:p w14:paraId="1151B4CC"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0691A0E6"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1BD6402B"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Wszystkie pozostałe prace pomiarowe konieczne dla prawidłowej realizacji robót należą do obowiązków Wykonawcy.</w:t>
      </w:r>
    </w:p>
    <w:p w14:paraId="05687656"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 xml:space="preserve">5.4.2. </w:t>
      </w:r>
      <w:r w:rsidRPr="007B192E">
        <w:rPr>
          <w:b w:val="0"/>
          <w:color w:val="000000" w:themeColor="text1"/>
          <w:sz w:val="18"/>
          <w:szCs w:val="18"/>
        </w:rPr>
        <w:t>Sprawdzenie wyznaczenia punktów głównych osi trasy i punktów wysokościowych</w:t>
      </w:r>
    </w:p>
    <w:p w14:paraId="13906403"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Punkty wierzchołkowe trasy i inne punkty główne powinny być </w:t>
      </w:r>
      <w:proofErr w:type="spellStart"/>
      <w:r w:rsidRPr="007B192E">
        <w:rPr>
          <w:rFonts w:ascii="Arial" w:hAnsi="Arial" w:cs="Arial"/>
          <w:color w:val="000000" w:themeColor="text1"/>
          <w:sz w:val="18"/>
          <w:szCs w:val="18"/>
        </w:rPr>
        <w:t>zastabilizowane</w:t>
      </w:r>
      <w:proofErr w:type="spellEnd"/>
      <w:r w:rsidRPr="007B192E">
        <w:rPr>
          <w:rFonts w:ascii="Arial" w:hAnsi="Arial" w:cs="Arial"/>
          <w:color w:val="000000" w:themeColor="text1"/>
          <w:sz w:val="18"/>
          <w:szCs w:val="18"/>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w:t>
      </w:r>
    </w:p>
    <w:p w14:paraId="2559855B"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Wykonawca powinien założyć robocze punkty wysokościowe (repery robocze) wzdłuż osi trasy drogowej, a także przy każdym obiekcie inżynierskim. Maksymalna odległość między reperami roboczymi wzdłuż trasy drogowej w terenie płaskim powinna wynosić 500 metrów, natomiast w terenie falistym i górskim powinna być odpowiednio zmniejszona, zależnie od jego konfiguracji.</w:t>
      </w:r>
    </w:p>
    <w:p w14:paraId="765DCBB9"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14:paraId="075D65FB"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Rzędne reperów roboczych należy określać z taką dokładnością, aby średni błąd niwelacji po wyrównaniu był mniejszy od 4 mm/km, stosując niwelację podwójną w nawiązaniu do reperów państwowych.</w:t>
      </w:r>
    </w:p>
    <w:p w14:paraId="251E05B5"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Repery robocze powinny być wyposażone w dodatkowe oznaczenia, zawierające wyraźne i jednoznaczne określenie nazwy </w:t>
      </w:r>
      <w:proofErr w:type="spellStart"/>
      <w:r w:rsidRPr="007B192E">
        <w:rPr>
          <w:rFonts w:ascii="Arial" w:hAnsi="Arial" w:cs="Arial"/>
          <w:color w:val="000000" w:themeColor="text1"/>
          <w:sz w:val="18"/>
          <w:szCs w:val="18"/>
        </w:rPr>
        <w:t>reperu</w:t>
      </w:r>
      <w:proofErr w:type="spellEnd"/>
      <w:r w:rsidRPr="007B192E">
        <w:rPr>
          <w:rFonts w:ascii="Arial" w:hAnsi="Arial" w:cs="Arial"/>
          <w:color w:val="000000" w:themeColor="text1"/>
          <w:sz w:val="18"/>
          <w:szCs w:val="18"/>
        </w:rPr>
        <w:t xml:space="preserve"> i jego rzędnej.</w:t>
      </w:r>
    </w:p>
    <w:p w14:paraId="0BCDBB16"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 xml:space="preserve">5.4.3.  </w:t>
      </w:r>
      <w:r w:rsidRPr="007B192E">
        <w:rPr>
          <w:b w:val="0"/>
          <w:color w:val="000000" w:themeColor="text1"/>
          <w:sz w:val="18"/>
          <w:szCs w:val="18"/>
        </w:rPr>
        <w:t>Odtworzenie osi trasy</w:t>
      </w:r>
    </w:p>
    <w:p w14:paraId="6E8EF5A9"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7D7336D9"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Oś trasy powinna być wyznaczona w punktach głównych i w punktach pośrednich w odległości zależnej od charakterystyki terenu i ukształtowania trasy, lecz nie rzadziej niż co 50 metrów.</w:t>
      </w:r>
    </w:p>
    <w:p w14:paraId="480C16BF"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w:t>
      </w:r>
    </w:p>
    <w:p w14:paraId="12D1773B"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utrwalenia osi trasy w terenie należy użyć materiałów wymienionych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2.2.</w:t>
      </w:r>
    </w:p>
    <w:p w14:paraId="08D7BDBF"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Usunięcie pali z osi trasy jest dopuszczalne tylko wówczas, gdy Wykonawca robót zastąpi je odpowiednimi palami po obu stronach osi, umieszczonych poza granicą robót.</w:t>
      </w:r>
    </w:p>
    <w:p w14:paraId="5796FB6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 xml:space="preserve">5.4.4. </w:t>
      </w:r>
      <w:r w:rsidRPr="007B192E">
        <w:rPr>
          <w:b w:val="0"/>
          <w:color w:val="000000" w:themeColor="text1"/>
          <w:sz w:val="18"/>
          <w:szCs w:val="18"/>
        </w:rPr>
        <w:t>Wyznaczenie przekrojów poprzecznych</w:t>
      </w:r>
    </w:p>
    <w:p w14:paraId="5637DFBB"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388EFB0D"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 wyznaczania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w:t>
      </w:r>
    </w:p>
    <w:p w14:paraId="6041EDB3"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Profilowanie przekrojów poprzecznych musi umożliwiać wykonanie nasypów i wykopów o kształcie zgodnym z dokumentacją projektową.</w:t>
      </w:r>
    </w:p>
    <w:p w14:paraId="5C48CCE9" w14:textId="77777777" w:rsidR="00F45500" w:rsidRPr="007B192E" w:rsidRDefault="00F45500" w:rsidP="00F45500">
      <w:pPr>
        <w:pStyle w:val="Standard"/>
        <w:tabs>
          <w:tab w:val="left" w:pos="0"/>
        </w:tabs>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5.4.6. </w:t>
      </w:r>
      <w:r w:rsidRPr="007B192E">
        <w:rPr>
          <w:rFonts w:ascii="Arial" w:hAnsi="Arial" w:cs="Arial"/>
          <w:color w:val="000000" w:themeColor="text1"/>
          <w:sz w:val="18"/>
          <w:szCs w:val="18"/>
        </w:rPr>
        <w:t>Skompletowanie dokumentacji geodezyjnej</w:t>
      </w:r>
    </w:p>
    <w:p w14:paraId="6FE9DB29"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Dokumentację geodezyjną należy skompletować zgodnie z przepisami instrukcji 0-3 [4] z podziałem na:</w:t>
      </w:r>
    </w:p>
    <w:p w14:paraId="7989AFE6" w14:textId="77777777" w:rsidR="00F45500" w:rsidRPr="007B192E"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7B192E">
        <w:rPr>
          <w:rFonts w:ascii="Arial" w:hAnsi="Arial" w:cs="Arial"/>
          <w:color w:val="000000" w:themeColor="text1"/>
          <w:sz w:val="18"/>
          <w:szCs w:val="18"/>
          <w:lang w:val="pl-PL"/>
        </w:rPr>
        <w:t>akta postępowania przeznaczone dla Wykonawcy,</w:t>
      </w:r>
    </w:p>
    <w:p w14:paraId="322DFC12" w14:textId="77777777" w:rsidR="00F45500" w:rsidRPr="007B192E"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7B192E">
        <w:rPr>
          <w:rFonts w:ascii="Arial" w:hAnsi="Arial" w:cs="Arial"/>
          <w:color w:val="000000" w:themeColor="text1"/>
          <w:sz w:val="18"/>
          <w:szCs w:val="18"/>
          <w:lang w:val="pl-PL"/>
        </w:rPr>
        <w:t>dokumentację techniczną przeznaczoną dla Zamawiającego,</w:t>
      </w:r>
    </w:p>
    <w:p w14:paraId="292C1F93" w14:textId="77777777" w:rsidR="00F45500" w:rsidRPr="007B192E" w:rsidRDefault="00F45500" w:rsidP="00F45500">
      <w:pPr>
        <w:pStyle w:val="Textbody"/>
        <w:numPr>
          <w:ilvl w:val="0"/>
          <w:numId w:val="101"/>
        </w:numPr>
        <w:overflowPunct w:val="0"/>
        <w:autoSpaceDE w:val="0"/>
        <w:autoSpaceDN w:val="0"/>
        <w:spacing w:line="216" w:lineRule="auto"/>
        <w:ind w:left="720" w:hanging="360"/>
        <w:jc w:val="both"/>
        <w:textAlignment w:val="baseline"/>
        <w:rPr>
          <w:rFonts w:ascii="Arial" w:hAnsi="Arial" w:cs="Arial"/>
          <w:color w:val="000000" w:themeColor="text1"/>
          <w:sz w:val="18"/>
          <w:szCs w:val="18"/>
          <w:lang w:val="pl-PL"/>
        </w:rPr>
      </w:pPr>
      <w:r w:rsidRPr="007B192E">
        <w:rPr>
          <w:rFonts w:ascii="Arial" w:hAnsi="Arial" w:cs="Arial"/>
          <w:color w:val="000000" w:themeColor="text1"/>
          <w:sz w:val="18"/>
          <w:szCs w:val="18"/>
          <w:lang w:val="pl-PL"/>
        </w:rPr>
        <w:t>dokumentację techniczną przeznaczoną dla ośrodka dokumentacji geodezyjnej i kartograficznej.</w:t>
      </w:r>
    </w:p>
    <w:p w14:paraId="1CC4067F" w14:textId="77777777" w:rsidR="00F45500" w:rsidRPr="007B192E" w:rsidRDefault="00F45500" w:rsidP="00F45500">
      <w:pPr>
        <w:pStyle w:val="Textbody"/>
        <w:spacing w:line="216" w:lineRule="auto"/>
        <w:jc w:val="both"/>
        <w:rPr>
          <w:rFonts w:ascii="Arial" w:hAnsi="Arial" w:cs="Arial"/>
          <w:color w:val="000000" w:themeColor="text1"/>
          <w:sz w:val="18"/>
          <w:szCs w:val="18"/>
          <w:lang w:val="pl-PL"/>
        </w:rPr>
      </w:pPr>
      <w:r w:rsidRPr="007B192E">
        <w:rPr>
          <w:rFonts w:ascii="Arial" w:hAnsi="Arial" w:cs="Arial"/>
          <w:color w:val="000000" w:themeColor="text1"/>
          <w:sz w:val="18"/>
          <w:szCs w:val="18"/>
          <w:lang w:val="pl-PL"/>
        </w:rPr>
        <w:t xml:space="preserve">Sposób skompletowania dokumentacji, o której mowa w  </w:t>
      </w:r>
      <w:proofErr w:type="spellStart"/>
      <w:r w:rsidRPr="007B192E">
        <w:rPr>
          <w:rFonts w:ascii="Arial" w:hAnsi="Arial" w:cs="Arial"/>
          <w:color w:val="000000" w:themeColor="text1"/>
          <w:sz w:val="18"/>
          <w:szCs w:val="18"/>
          <w:lang w:val="pl-PL"/>
        </w:rPr>
        <w:t>ppkcie</w:t>
      </w:r>
      <w:proofErr w:type="spellEnd"/>
      <w:r w:rsidRPr="007B192E">
        <w:rPr>
          <w:rFonts w:ascii="Arial" w:hAnsi="Arial" w:cs="Arial"/>
          <w:color w:val="000000" w:themeColor="text1"/>
          <w:sz w:val="18"/>
          <w:szCs w:val="18"/>
          <w:lang w:val="pl-PL"/>
        </w:rPr>
        <w:t xml:space="preserve"> 3 oraz formę dokumentów należy uzgodnić z ośrodkiem dokumentacji. Zamawiający poda w ST, czy dokumentację tę należy okazać Zamawiającemu do wglądu.</w:t>
      </w:r>
    </w:p>
    <w:p w14:paraId="273A038A"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5.5. Pomiar powykonawczy wybudowanej drogi</w:t>
      </w:r>
    </w:p>
    <w:p w14:paraId="77A690F5"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5.5.1. </w:t>
      </w:r>
      <w:r w:rsidRPr="007B192E">
        <w:rPr>
          <w:rFonts w:ascii="Arial" w:hAnsi="Arial" w:cs="Arial"/>
          <w:color w:val="000000" w:themeColor="text1"/>
          <w:sz w:val="18"/>
          <w:szCs w:val="18"/>
        </w:rPr>
        <w:t>Zebranie materiałów i informacji</w:t>
      </w:r>
    </w:p>
    <w:p w14:paraId="4C14005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zapoznać się z zakresem opracowania i uzyskać od Zamawiającego instrukcje dotyczące ewentualnych etapów wykonywania pomiarów powykonawczych.</w:t>
      </w:r>
    </w:p>
    <w:p w14:paraId="365CD9E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Pomiary powykonawcze powinny być poprzedzone uzyskaniem z ośrodków dokumentacji geodezyjnej i kartograficznej informacji o rodzaju, położeniu i stanie punktów osnowy geodezyjnej (poziomej i wysokościowej) oraz o mapie zasadniczej i katastralnej.</w:t>
      </w:r>
    </w:p>
    <w:p w14:paraId="2320286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 przypadku stwierdzenia, że w trakcie realizacji obiektu nie została wykonana bieżąca inwentaryzacja sieci uzbrojenia terenu, należy powiadomić o tym Zamawiającego.</w:t>
      </w:r>
    </w:p>
    <w:p w14:paraId="23BB5EE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Przy analizie zebranych materiałów i informacji należy ustalić:</w:t>
      </w:r>
    </w:p>
    <w:p w14:paraId="66336E38" w14:textId="77777777" w:rsidR="00F45500" w:rsidRPr="007B192E" w:rsidRDefault="00F45500" w:rsidP="00F45500">
      <w:pPr>
        <w:pStyle w:val="Standard"/>
        <w:widowControl w:val="0"/>
        <w:numPr>
          <w:ilvl w:val="0"/>
          <w:numId w:val="166"/>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klasy i dokładności istniejących osnów geodezyjnych oraz możliwości wykorzystania ich do pomiarów </w:t>
      </w:r>
      <w:r w:rsidRPr="007B192E">
        <w:rPr>
          <w:rFonts w:ascii="Arial" w:hAnsi="Arial" w:cs="Arial"/>
          <w:color w:val="000000" w:themeColor="text1"/>
          <w:sz w:val="18"/>
          <w:szCs w:val="18"/>
        </w:rPr>
        <w:tab/>
        <w:t>powykonawczych,</w:t>
      </w:r>
    </w:p>
    <w:p w14:paraId="5E18590C" w14:textId="77777777" w:rsidR="00F45500" w:rsidRPr="007B192E" w:rsidRDefault="00F45500" w:rsidP="00F45500">
      <w:pPr>
        <w:pStyle w:val="Standard"/>
        <w:widowControl w:val="0"/>
        <w:numPr>
          <w:ilvl w:val="0"/>
          <w:numId w:val="37"/>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rodzaje układów współrzędnych i poziomów odniesienia,</w:t>
      </w:r>
    </w:p>
    <w:p w14:paraId="671D011E" w14:textId="77777777" w:rsidR="00F45500" w:rsidRPr="007B192E" w:rsidRDefault="00F45500" w:rsidP="00F45500">
      <w:pPr>
        <w:pStyle w:val="Standard"/>
        <w:widowControl w:val="0"/>
        <w:numPr>
          <w:ilvl w:val="0"/>
          <w:numId w:val="37"/>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zakres i sposób aktualizacji dokumentów bazowych, znajdujących się w ośrodku dokumentacji o wyniku pomiaru </w:t>
      </w:r>
      <w:r w:rsidRPr="007B192E">
        <w:rPr>
          <w:rFonts w:ascii="Arial" w:hAnsi="Arial" w:cs="Arial"/>
          <w:color w:val="000000" w:themeColor="text1"/>
          <w:sz w:val="18"/>
          <w:szCs w:val="18"/>
        </w:rPr>
        <w:tab/>
        <w:t>powykonawczego.</w:t>
      </w:r>
    </w:p>
    <w:p w14:paraId="5EC0BAFB"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5.5.2. </w:t>
      </w:r>
      <w:r w:rsidRPr="007B192E">
        <w:rPr>
          <w:rFonts w:ascii="Arial" w:hAnsi="Arial" w:cs="Arial"/>
          <w:color w:val="000000" w:themeColor="text1"/>
          <w:sz w:val="18"/>
          <w:szCs w:val="18"/>
        </w:rPr>
        <w:t>Prace pomiarowe i kameralne</w:t>
      </w:r>
    </w:p>
    <w:p w14:paraId="22D21C48"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 pierwszej fazie prac należy wykonać: ogólne rozeznanie w terenie, odszukanie punktów istniejącej osnowy geodezyjnej z ustaleniem stanu technicznego tych punktów oraz aktualizacją opisów topograficznych, zbadanie wizur pomiędzy punktami i ewentualne ich oczyszczenie, wstępne rozeznanie odnośnie konieczności uzupełnienia lub zaprojektowania osnowy poziomej III klasy oraz osnowy pomiarowej.</w:t>
      </w:r>
    </w:p>
    <w:p w14:paraId="7193BB9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Następnie należy pomierzyć wznowioną lub założoną osnowę, a następnie wykonać pomiary inwentaryzacyjne, zgodnie z instrukcją G-4 [8] </w:t>
      </w:r>
      <w:proofErr w:type="spellStart"/>
      <w:r w:rsidRPr="007B192E">
        <w:rPr>
          <w:rFonts w:ascii="Arial" w:hAnsi="Arial" w:cs="Arial"/>
          <w:color w:val="000000" w:themeColor="text1"/>
          <w:sz w:val="18"/>
          <w:szCs w:val="18"/>
        </w:rPr>
        <w:t>GUGiK</w:t>
      </w:r>
      <w:proofErr w:type="spellEnd"/>
      <w:r w:rsidRPr="007B192E">
        <w:rPr>
          <w:rFonts w:ascii="Arial" w:hAnsi="Arial" w:cs="Arial"/>
          <w:color w:val="000000" w:themeColor="text1"/>
          <w:sz w:val="18"/>
          <w:szCs w:val="18"/>
        </w:rPr>
        <w:t>, mierząc wszystkie elementy treści mapy zasadniczej oraz treść dodatkową obejmującą: granice ustalone według stanu prawnego, kilometraż dróg, znaki drogowe, punkty referencyjne, obiekty mostowe z rzędnymi wlotu i wylotu, światłem i skrajnią, wszystkie drzewa w pasie drogowym, zabytki i pomniki przyrody, wszystkie ogrodzenia z furtkami i bramami oraz z podziałem na trwałe i nietrwałe, rowy, studnie z ich średnicami, przekroje poprzeczne dróg co 20÷50 m oraz inne elementy według wymagań Zamawiającego.</w:t>
      </w:r>
    </w:p>
    <w:p w14:paraId="4B915E7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Prace obliczeniowe należy wykonać przy pomocy sprzętu komputerowego. Wniesienie pomierzonej treści na mapę zasadniczą oraz mapę katastralną należy wykonać metodą klasyczną (kartowaniem i kreśleniem ręcznym) lub przy pomocy plotera.</w:t>
      </w:r>
    </w:p>
    <w:p w14:paraId="22E29CF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Wtórnik mapy zasadniczej dla Zamawiającego należy uzupełnić o elementy wymienione w drugim akapicie niniejszego punktu, tą samą techniką z jaką została wykonana mapa (numeryczną względnie analogową).</w:t>
      </w:r>
    </w:p>
    <w:p w14:paraId="6AAD0C2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Dokumentację geodezyjną i kartograficzną należy skompletować zgodnie z przepisami instrukcji 0-3 [4],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14:paraId="0BB8B64D"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5.5.3. </w:t>
      </w:r>
      <w:r w:rsidRPr="007B192E">
        <w:rPr>
          <w:rFonts w:ascii="Arial" w:hAnsi="Arial" w:cs="Arial"/>
          <w:color w:val="000000" w:themeColor="text1"/>
          <w:sz w:val="18"/>
          <w:szCs w:val="18"/>
        </w:rPr>
        <w:t>Dokumentacja dla Zamawiającego</w:t>
      </w:r>
    </w:p>
    <w:p w14:paraId="483651E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Jeśli Zamawiający nie ustalił inaczej, to należy skompletować dla Zamawiającego następujące materiały:</w:t>
      </w:r>
    </w:p>
    <w:p w14:paraId="66F20CDF"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sprawozdanie techniczne,</w:t>
      </w:r>
    </w:p>
    <w:p w14:paraId="6EE4B90D"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wtórnik mapy zasadniczej uzupełniony dodatkową treścią, którą wymieniono w punkcie 5.5.2,</w:t>
      </w:r>
    </w:p>
    <w:p w14:paraId="579C1318"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kopie wykazów współrzędnych punktów osnowy oraz wykazy współrzędnych punktów granicznych w postaci </w:t>
      </w:r>
      <w:r w:rsidRPr="007B192E">
        <w:rPr>
          <w:rFonts w:ascii="Arial" w:hAnsi="Arial" w:cs="Arial"/>
          <w:color w:val="000000" w:themeColor="text1"/>
          <w:sz w:val="18"/>
          <w:szCs w:val="18"/>
        </w:rPr>
        <w:tab/>
        <w:t>dysku i wydruku na papierze,</w:t>
      </w:r>
    </w:p>
    <w:p w14:paraId="199564CD"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kopie protokołów przekazania znaków geodezyjnych pod ochronę,</w:t>
      </w:r>
    </w:p>
    <w:p w14:paraId="1348C13A"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kopie opisów topograficznych,</w:t>
      </w:r>
    </w:p>
    <w:p w14:paraId="69297CC0"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kopie szkiców polowych,</w:t>
      </w:r>
    </w:p>
    <w:p w14:paraId="77A3B1CE"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nośnik elektroniczny (dysk) z mapą numeryczną oraz wydruk ploterem tych map, jeżeli mapa realizowana jest </w:t>
      </w:r>
      <w:r w:rsidRPr="007B192E">
        <w:rPr>
          <w:rFonts w:ascii="Arial" w:hAnsi="Arial" w:cs="Arial"/>
          <w:color w:val="000000" w:themeColor="text1"/>
          <w:sz w:val="18"/>
          <w:szCs w:val="18"/>
        </w:rPr>
        <w:tab/>
        <w:t>numerycznie,</w:t>
      </w:r>
    </w:p>
    <w:p w14:paraId="5DE926CB" w14:textId="77777777" w:rsidR="00F45500" w:rsidRPr="007B192E" w:rsidRDefault="00F45500" w:rsidP="00F45500">
      <w:pPr>
        <w:pStyle w:val="Standard"/>
        <w:widowControl w:val="0"/>
        <w:numPr>
          <w:ilvl w:val="0"/>
          <w:numId w:val="40"/>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inne materiały zgodne z wymaganiami Zamawiającego.</w:t>
      </w:r>
    </w:p>
    <w:p w14:paraId="5482166E" w14:textId="77777777" w:rsidR="00F45500" w:rsidRPr="007B192E" w:rsidRDefault="00F45500" w:rsidP="00EC199A">
      <w:pPr>
        <w:pStyle w:val="Nagwek2"/>
        <w:rPr>
          <w:i w:val="0"/>
          <w:color w:val="000000" w:themeColor="text1"/>
        </w:rPr>
      </w:pPr>
      <w:r w:rsidRPr="007B192E">
        <w:rPr>
          <w:i w:val="0"/>
          <w:color w:val="000000" w:themeColor="text1"/>
        </w:rPr>
        <w:t>6. KONTROLA JAKOŚCI ROBÓT</w:t>
      </w:r>
    </w:p>
    <w:p w14:paraId="1DA36E4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6.1. Zasady kontroli jakości robót</w:t>
      </w:r>
    </w:p>
    <w:p w14:paraId="21C9637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45FAB53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6.2. Kontrola jakości prac</w:t>
      </w:r>
    </w:p>
    <w:p w14:paraId="3E079E2E"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Kontrola jakości prac pomiarowych powinna obejmować:</w:t>
      </w:r>
    </w:p>
    <w:p w14:paraId="454C2D51" w14:textId="77777777" w:rsidR="00F45500" w:rsidRPr="007B192E" w:rsidRDefault="00F45500" w:rsidP="00F45500">
      <w:pPr>
        <w:pStyle w:val="Standard"/>
        <w:widowControl w:val="0"/>
        <w:numPr>
          <w:ilvl w:val="0"/>
          <w:numId w:val="16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wewnętrzną kontrolę prowadzoną przez Wykonawcę robót geodezyjnych, która powinna zapewniać możliwość </w:t>
      </w:r>
      <w:r w:rsidRPr="007B192E">
        <w:rPr>
          <w:rFonts w:ascii="Arial" w:hAnsi="Arial" w:cs="Arial"/>
          <w:color w:val="000000" w:themeColor="text1"/>
          <w:sz w:val="18"/>
          <w:szCs w:val="18"/>
        </w:rPr>
        <w:tab/>
        <w:t xml:space="preserve">śledzenia przebiegu prac, oceniania ich jakości oraz usuwania nieprawidłowości mogących mieć wpływ na kolejne </w:t>
      </w:r>
      <w:r w:rsidRPr="007B192E">
        <w:rPr>
          <w:rFonts w:ascii="Arial" w:hAnsi="Arial" w:cs="Arial"/>
          <w:color w:val="000000" w:themeColor="text1"/>
          <w:sz w:val="18"/>
          <w:szCs w:val="18"/>
        </w:rPr>
        <w:tab/>
        <w:t>etapy robót,</w:t>
      </w:r>
    </w:p>
    <w:p w14:paraId="167357C4"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kontrolę prowadzoną przez służbę nadzoru (Inżyniera),</w:t>
      </w:r>
    </w:p>
    <w:p w14:paraId="61FABDC9"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przestrzeganie ogólnych zasad prac określonych w instrukcjach i wytycznych </w:t>
      </w:r>
      <w:proofErr w:type="spellStart"/>
      <w:r w:rsidRPr="007B192E">
        <w:rPr>
          <w:rFonts w:ascii="Arial" w:hAnsi="Arial" w:cs="Arial"/>
          <w:color w:val="000000" w:themeColor="text1"/>
          <w:sz w:val="18"/>
          <w:szCs w:val="18"/>
        </w:rPr>
        <w:t>GUGiK</w:t>
      </w:r>
      <w:proofErr w:type="spellEnd"/>
      <w:r w:rsidRPr="007B192E">
        <w:rPr>
          <w:rFonts w:ascii="Arial" w:hAnsi="Arial" w:cs="Arial"/>
          <w:color w:val="000000" w:themeColor="text1"/>
          <w:sz w:val="18"/>
          <w:szCs w:val="18"/>
        </w:rPr>
        <w:t xml:space="preserve"> [3÷10], zgodnie z </w:t>
      </w:r>
      <w:r w:rsidRPr="007B192E">
        <w:rPr>
          <w:rFonts w:ascii="Arial" w:hAnsi="Arial" w:cs="Arial"/>
          <w:color w:val="000000" w:themeColor="text1"/>
          <w:sz w:val="18"/>
          <w:szCs w:val="18"/>
        </w:rPr>
        <w:tab/>
        <w:t>wymaganiami podanymi w punkcie 5,</w:t>
      </w:r>
    </w:p>
    <w:p w14:paraId="6B4FC213"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sporządzenie przez Wykonawcę robót geodezyjnych protokołu z wewnętrznej kontroli robót.</w:t>
      </w:r>
    </w:p>
    <w:p w14:paraId="6DD54EFB" w14:textId="77777777" w:rsidR="00F45500" w:rsidRPr="007B192E" w:rsidRDefault="00F45500" w:rsidP="00F45500">
      <w:pPr>
        <w:pStyle w:val="Standard"/>
        <w:spacing w:before="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Kontrolę należy prowadzić według ogólnych zasad określonych w instrukcjach i wytycznych </w:t>
      </w:r>
      <w:proofErr w:type="spellStart"/>
      <w:r w:rsidRPr="007B192E">
        <w:rPr>
          <w:rFonts w:ascii="Arial" w:hAnsi="Arial" w:cs="Arial"/>
          <w:color w:val="000000" w:themeColor="text1"/>
          <w:sz w:val="18"/>
          <w:szCs w:val="18"/>
        </w:rPr>
        <w:t>GUGiK</w:t>
      </w:r>
      <w:proofErr w:type="spellEnd"/>
      <w:r w:rsidRPr="007B192E">
        <w:rPr>
          <w:rFonts w:ascii="Arial" w:hAnsi="Arial" w:cs="Arial"/>
          <w:color w:val="000000" w:themeColor="text1"/>
          <w:sz w:val="18"/>
          <w:szCs w:val="18"/>
        </w:rPr>
        <w:t xml:space="preserve"> [3÷10], zgodnie z wymaganiami podanymi w punkcie 5.4.3.</w:t>
      </w:r>
    </w:p>
    <w:p w14:paraId="2B43EB98" w14:textId="77777777" w:rsidR="00F45500" w:rsidRPr="007B192E" w:rsidRDefault="00F45500" w:rsidP="00EC199A">
      <w:pPr>
        <w:pStyle w:val="Nagwek2"/>
        <w:rPr>
          <w:i w:val="0"/>
          <w:color w:val="000000" w:themeColor="text1"/>
        </w:rPr>
      </w:pPr>
      <w:r w:rsidRPr="007B192E">
        <w:rPr>
          <w:i w:val="0"/>
          <w:color w:val="000000" w:themeColor="text1"/>
        </w:rPr>
        <w:t>7. OBMIAR ROBÓT</w:t>
      </w:r>
    </w:p>
    <w:p w14:paraId="67B1FC2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7.1. Zasady obmiaru robót</w:t>
      </w:r>
    </w:p>
    <w:p w14:paraId="322397D9"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1A85295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7.2. Jednostka obmiarowa</w:t>
      </w:r>
    </w:p>
    <w:p w14:paraId="018FA95A"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Jednostką obmiarową jest km (kilometr) odtworzonej trasy w terenie.</w:t>
      </w:r>
    </w:p>
    <w:p w14:paraId="7F60A4C1"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Przy pomiarach powykonawczych wybudowanej drogi przyjmuje się jednostki: km (kilometr) i ha (hektar).</w:t>
      </w:r>
    </w:p>
    <w:p w14:paraId="399D6FC2" w14:textId="77777777" w:rsidR="00F45500" w:rsidRPr="007B192E" w:rsidRDefault="00F45500" w:rsidP="00EC199A">
      <w:pPr>
        <w:pStyle w:val="Nagwek2"/>
        <w:rPr>
          <w:i w:val="0"/>
          <w:color w:val="000000" w:themeColor="text1"/>
        </w:rPr>
      </w:pPr>
      <w:r w:rsidRPr="007B192E">
        <w:rPr>
          <w:i w:val="0"/>
          <w:color w:val="000000" w:themeColor="text1"/>
        </w:rPr>
        <w:t>8. ODBIÓR ROBÓT</w:t>
      </w:r>
    </w:p>
    <w:p w14:paraId="67D53D3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8.1. Zasady odbioru robót</w:t>
      </w:r>
    </w:p>
    <w:p w14:paraId="7A9A5BB7"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0EBD7B8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8.2. Sposób odbioru robót</w:t>
      </w:r>
    </w:p>
    <w:p w14:paraId="1638FA95"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Odbiór robót następuje na podstawie protokołu odbioru oraz dokumentacji technicznej przeznaczonej dla Zamawiającego.</w:t>
      </w:r>
    </w:p>
    <w:p w14:paraId="22F1E85E" w14:textId="77777777" w:rsidR="00F45500" w:rsidRPr="007B192E" w:rsidRDefault="00F45500" w:rsidP="00EC199A">
      <w:pPr>
        <w:pStyle w:val="Nagwek2"/>
        <w:rPr>
          <w:i w:val="0"/>
          <w:color w:val="000000" w:themeColor="text1"/>
        </w:rPr>
      </w:pPr>
      <w:r w:rsidRPr="007B192E">
        <w:rPr>
          <w:i w:val="0"/>
          <w:color w:val="000000" w:themeColor="text1"/>
        </w:rPr>
        <w:t>9. PODSTAWA PŁATNOŚCI</w:t>
      </w:r>
    </w:p>
    <w:p w14:paraId="356C278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9.1. Ustalenia dotyczące podstawy płatności</w:t>
      </w:r>
    </w:p>
    <w:p w14:paraId="11345309" w14:textId="77777777" w:rsidR="00F45500" w:rsidRPr="007B192E" w:rsidRDefault="00F45500" w:rsidP="00F45500">
      <w:pPr>
        <w:pStyle w:val="Standard"/>
        <w:tabs>
          <w:tab w:val="left" w:pos="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1F624B9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jednostki obmiarowej</w:t>
      </w:r>
    </w:p>
    <w:p w14:paraId="18FA0EF0" w14:textId="77777777" w:rsidR="00F45500" w:rsidRPr="007B192E" w:rsidRDefault="00F45500" w:rsidP="00F45500">
      <w:pPr>
        <w:pStyle w:val="Standard"/>
        <w:tabs>
          <w:tab w:val="left" w:pos="0"/>
        </w:tabs>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obejmuje:</w:t>
      </w:r>
    </w:p>
    <w:p w14:paraId="4C1BBA12"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zakup, dostarczenie i składowanie potrzebnych materiałów,</w:t>
      </w:r>
    </w:p>
    <w:p w14:paraId="5EBE16CF"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koszt zapewnienia niezbędnych czynników produkcji,</w:t>
      </w:r>
    </w:p>
    <w:p w14:paraId="3D7DEDF9"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zakup i dostarczenie materiałów,</w:t>
      </w:r>
    </w:p>
    <w:p w14:paraId="231F3D14"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sprawdzenie wyznaczenia punktów głównych osi trasy i punktów wysokościowych,</w:t>
      </w:r>
    </w:p>
    <w:p w14:paraId="0076F705"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uzupełnienie osi trasy dodatkowymi punktami,</w:t>
      </w:r>
    </w:p>
    <w:p w14:paraId="6EEF2A9E"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wyznaczenie dodatkowych punktów wysokościowych,</w:t>
      </w:r>
    </w:p>
    <w:p w14:paraId="6842EB41"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wyznaczenie zjazdów i uzgodnienie ich z właścicielami nieruchomości,</w:t>
      </w:r>
    </w:p>
    <w:p w14:paraId="6A480BBB"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wyznaczenie przekrojów poprzecznych z ewentualnym wytyczeniem dodatkowych przekrojów,</w:t>
      </w:r>
    </w:p>
    <w:p w14:paraId="68F6ED15"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wyznaczenie punktów roboczego </w:t>
      </w:r>
      <w:proofErr w:type="spellStart"/>
      <w:r w:rsidRPr="007B192E">
        <w:rPr>
          <w:rFonts w:ascii="Arial" w:hAnsi="Arial" w:cs="Arial"/>
          <w:color w:val="000000" w:themeColor="text1"/>
          <w:sz w:val="18"/>
          <w:szCs w:val="18"/>
        </w:rPr>
        <w:t>pikietażu</w:t>
      </w:r>
      <w:proofErr w:type="spellEnd"/>
      <w:r w:rsidRPr="007B192E">
        <w:rPr>
          <w:rFonts w:ascii="Arial" w:hAnsi="Arial" w:cs="Arial"/>
          <w:color w:val="000000" w:themeColor="text1"/>
          <w:sz w:val="18"/>
          <w:szCs w:val="18"/>
        </w:rPr>
        <w:t xml:space="preserve"> trasy,</w:t>
      </w:r>
    </w:p>
    <w:p w14:paraId="63F22AE6"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ustawienie łat z wyznaczeniem pochylenia skarp,</w:t>
      </w:r>
    </w:p>
    <w:p w14:paraId="5C64A573"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proofErr w:type="spellStart"/>
      <w:r w:rsidRPr="007B192E">
        <w:rPr>
          <w:rFonts w:ascii="Arial" w:hAnsi="Arial" w:cs="Arial"/>
          <w:color w:val="000000" w:themeColor="text1"/>
          <w:sz w:val="18"/>
          <w:szCs w:val="18"/>
        </w:rPr>
        <w:t>zastabilizowanie</w:t>
      </w:r>
      <w:proofErr w:type="spellEnd"/>
      <w:r w:rsidRPr="007B192E">
        <w:rPr>
          <w:rFonts w:ascii="Arial" w:hAnsi="Arial" w:cs="Arial"/>
          <w:color w:val="000000" w:themeColor="text1"/>
          <w:sz w:val="18"/>
          <w:szCs w:val="18"/>
        </w:rPr>
        <w:t xml:space="preserve"> punktów w sposób trwały, ochrona ich przed zniszczeniem i oznakowanie ułatwiające odszukanie i ewentualne odtworzenie,</w:t>
      </w:r>
    </w:p>
    <w:p w14:paraId="1C2C1C33"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pomiarowe i kameralne przy pomiarze powykonawczym wybudowanej drogi według wymagań dokumentacji technicznej,</w:t>
      </w:r>
    </w:p>
    <w:p w14:paraId="634287D3" w14:textId="77777777" w:rsidR="00F45500" w:rsidRPr="007B192E" w:rsidRDefault="00F45500" w:rsidP="00F45500">
      <w:pPr>
        <w:pStyle w:val="Standard"/>
        <w:widowControl w:val="0"/>
        <w:numPr>
          <w:ilvl w:val="0"/>
          <w:numId w:val="173"/>
        </w:numPr>
        <w:tabs>
          <w:tab w:val="left"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lastRenderedPageBreak/>
        <w:t>koszty ośrodków geodezyjnych.</w:t>
      </w:r>
    </w:p>
    <w:p w14:paraId="0A61857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5A490715"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3EA191F6" w14:textId="77777777" w:rsidR="00F45500" w:rsidRPr="007B192E" w:rsidRDefault="00F45500" w:rsidP="00F45500">
      <w:pPr>
        <w:pStyle w:val="Standard"/>
        <w:widowControl w:val="0"/>
        <w:numPr>
          <w:ilvl w:val="0"/>
          <w:numId w:val="17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57696255" w14:textId="77777777" w:rsidR="00F45500" w:rsidRPr="007B192E" w:rsidRDefault="00F45500" w:rsidP="00F45500">
      <w:pPr>
        <w:pStyle w:val="Standard"/>
        <w:widowControl w:val="0"/>
        <w:numPr>
          <w:ilvl w:val="0"/>
          <w:numId w:val="17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00EE3A2A" w14:textId="77777777" w:rsidR="00F45500" w:rsidRPr="007B192E" w:rsidRDefault="00F45500" w:rsidP="00EC199A">
      <w:pPr>
        <w:pStyle w:val="Nagwek2"/>
        <w:rPr>
          <w:i w:val="0"/>
          <w:color w:val="000000" w:themeColor="text1"/>
        </w:rPr>
      </w:pPr>
      <w:r w:rsidRPr="007B192E">
        <w:rPr>
          <w:i w:val="0"/>
          <w:color w:val="000000" w:themeColor="text1"/>
        </w:rPr>
        <w:t>10. PRZEPISY ZWIĄZANE</w:t>
      </w:r>
    </w:p>
    <w:p w14:paraId="4E3A0438"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10.1. specyfikacje techniczne</w:t>
      </w:r>
    </w:p>
    <w:p w14:paraId="22C0C392" w14:textId="77777777" w:rsidR="00F45500" w:rsidRPr="007B192E" w:rsidRDefault="00EC199A"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w:t>
      </w:r>
      <w:r w:rsidR="00F45500" w:rsidRPr="007B192E">
        <w:rPr>
          <w:rFonts w:ascii="Arial" w:hAnsi="Arial" w:cs="Arial"/>
          <w:color w:val="000000" w:themeColor="text1"/>
          <w:sz w:val="18"/>
          <w:szCs w:val="18"/>
        </w:rPr>
        <w:t>-00.00.00 Wymagania ogólne</w:t>
      </w:r>
    </w:p>
    <w:p w14:paraId="581B7435" w14:textId="77777777" w:rsidR="00F45500" w:rsidRPr="007B192E" w:rsidRDefault="00F45500" w:rsidP="00F45500">
      <w:pPr>
        <w:pStyle w:val="Nagwek2"/>
        <w:numPr>
          <w:ilvl w:val="1"/>
          <w:numId w:val="30"/>
        </w:numPr>
        <w:tabs>
          <w:tab w:val="left" w:pos="-2835"/>
        </w:tabs>
        <w:overflowPunct/>
        <w:autoSpaceDE/>
        <w:spacing w:before="60" w:line="216" w:lineRule="auto"/>
        <w:jc w:val="both"/>
        <w:textAlignment w:val="auto"/>
        <w:rPr>
          <w:color w:val="000000" w:themeColor="text1"/>
          <w:sz w:val="18"/>
          <w:szCs w:val="18"/>
        </w:rPr>
      </w:pPr>
      <w:r w:rsidRPr="007B192E">
        <w:rPr>
          <w:color w:val="000000" w:themeColor="text1"/>
          <w:sz w:val="18"/>
          <w:szCs w:val="18"/>
        </w:rPr>
        <w:t>10.2. Inne dokumenty</w:t>
      </w:r>
    </w:p>
    <w:p w14:paraId="3045E9A0"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Ustawa z dnia 17 maja 1989 r. – Prawo geodezyjne i kartograficzne (Dz. U. nr 30, poz. 163 z późniejszymi zmianami)</w:t>
      </w:r>
      <w:r w:rsidRPr="007B192E">
        <w:rPr>
          <w:rFonts w:ascii="Arial" w:hAnsi="Arial" w:cs="Arial"/>
          <w:color w:val="000000" w:themeColor="text1"/>
          <w:sz w:val="18"/>
          <w:szCs w:val="18"/>
        </w:rPr>
        <w:br/>
        <w:t>[Instrukcje i wytyczne techniczne byłego Głównego Urzędu Geodezji i Kartografii]:</w:t>
      </w:r>
    </w:p>
    <w:p w14:paraId="052066D6"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Instrukcja techniczna 0-1. Zasady wykonywania prac geodezyjnych.</w:t>
      </w:r>
    </w:p>
    <w:p w14:paraId="4715CCB3"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Instrukcja techniczna 0-3. Zasady kompletowania dokumentacji geodezyjnej i kartograficznej</w:t>
      </w:r>
    </w:p>
    <w:p w14:paraId="2A5AC845"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Instrukcja techniczna G-1. Pozioma osnowa geodezyjna</w:t>
      </w:r>
    </w:p>
    <w:p w14:paraId="77C1BF5A"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Instrukcja techniczna G-2. Wysokościowa osnowa geodezyjna</w:t>
      </w:r>
    </w:p>
    <w:p w14:paraId="5ED6DA0D"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Instrukcja techniczna G-3. Geodezyjna obsługa inwestycji</w:t>
      </w:r>
    </w:p>
    <w:p w14:paraId="73781663"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Instrukcja techniczna G-4. Pomiary sytuacyjne i wysokościowe</w:t>
      </w:r>
    </w:p>
    <w:p w14:paraId="60FFC2DB"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Wytyczne techniczne G-3.1. Osnowy realizacyjne</w:t>
      </w:r>
    </w:p>
    <w:p w14:paraId="4EE3452B" w14:textId="77777777" w:rsidR="00F45500" w:rsidRPr="007B192E" w:rsidRDefault="00F45500" w:rsidP="00F45500">
      <w:pPr>
        <w:pStyle w:val="Standard"/>
        <w:widowControl w:val="0"/>
        <w:numPr>
          <w:ilvl w:val="0"/>
          <w:numId w:val="195"/>
        </w:numPr>
        <w:tabs>
          <w:tab w:val="left" w:pos="-2835"/>
        </w:tabs>
        <w:spacing w:line="216" w:lineRule="auto"/>
        <w:jc w:val="both"/>
        <w:textAlignment w:val="baseline"/>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Wytyczne techniczne G-3.2. Pomiary realizacyjne</w:t>
      </w:r>
    </w:p>
    <w:p w14:paraId="7FE154E4" w14:textId="77777777" w:rsidR="00F45500" w:rsidRPr="007B192E" w:rsidRDefault="00F45500" w:rsidP="00F45500">
      <w:pPr>
        <w:rPr>
          <w:rFonts w:ascii="Arial" w:hAnsi="Arial" w:cs="Arial"/>
          <w:b/>
          <w:bCs/>
          <w:color w:val="000000" w:themeColor="text1"/>
          <w:sz w:val="28"/>
          <w:szCs w:val="28"/>
        </w:rPr>
      </w:pPr>
      <w:r w:rsidRPr="007B192E">
        <w:rPr>
          <w:rFonts w:ascii="Arial" w:hAnsi="Arial" w:cs="Arial"/>
          <w:b/>
          <w:bCs/>
          <w:color w:val="000000" w:themeColor="text1"/>
          <w:sz w:val="28"/>
          <w:szCs w:val="28"/>
        </w:rPr>
        <w:br w:type="page"/>
      </w:r>
    </w:p>
    <w:p w14:paraId="0282999B" w14:textId="77777777" w:rsidR="00F45500" w:rsidRPr="007B192E" w:rsidRDefault="00072856" w:rsidP="00EC305F">
      <w:pPr>
        <w:pStyle w:val="Nagwek1"/>
        <w:jc w:val="center"/>
        <w:rPr>
          <w:color w:val="000000" w:themeColor="text1"/>
          <w:sz w:val="40"/>
        </w:rPr>
      </w:pPr>
      <w:bookmarkStart w:id="128" w:name="_Toc138757087"/>
      <w:bookmarkStart w:id="129" w:name="_Toc163481047"/>
      <w:r w:rsidRPr="007B192E">
        <w:rPr>
          <w:color w:val="000000" w:themeColor="text1"/>
          <w:sz w:val="40"/>
        </w:rPr>
        <w:lastRenderedPageBreak/>
        <w:t>D-</w:t>
      </w:r>
      <w:r w:rsidR="00EC305F" w:rsidRPr="007B192E">
        <w:rPr>
          <w:color w:val="000000" w:themeColor="text1"/>
          <w:sz w:val="40"/>
        </w:rPr>
        <w:t xml:space="preserve">01.02.01a </w:t>
      </w:r>
      <w:r w:rsidR="00F45500" w:rsidRPr="007B192E">
        <w:rPr>
          <w:color w:val="000000" w:themeColor="text1"/>
          <w:sz w:val="40"/>
        </w:rPr>
        <w:t>OCHRONA  ISTNIEJĄCYCH  DRZEW</w:t>
      </w:r>
      <w:r w:rsidR="00EC305F" w:rsidRPr="007B192E">
        <w:rPr>
          <w:color w:val="000000" w:themeColor="text1"/>
          <w:sz w:val="40"/>
        </w:rPr>
        <w:t xml:space="preserve"> </w:t>
      </w:r>
      <w:r w:rsidR="00F45500" w:rsidRPr="007B192E">
        <w:rPr>
          <w:color w:val="000000" w:themeColor="text1"/>
          <w:sz w:val="40"/>
        </w:rPr>
        <w:t>W  OKRESIE  BUDOWY  DROGI</w:t>
      </w:r>
      <w:bookmarkEnd w:id="128"/>
      <w:bookmarkEnd w:id="129"/>
    </w:p>
    <w:p w14:paraId="674B7CA3" w14:textId="77777777" w:rsidR="00F45500" w:rsidRPr="007B192E" w:rsidRDefault="00F45500" w:rsidP="00EC199A">
      <w:pPr>
        <w:pStyle w:val="Nagwek2"/>
        <w:rPr>
          <w:i w:val="0"/>
          <w:color w:val="000000" w:themeColor="text1"/>
        </w:rPr>
      </w:pPr>
      <w:r w:rsidRPr="007B192E">
        <w:rPr>
          <w:i w:val="0"/>
          <w:color w:val="000000" w:themeColor="text1"/>
        </w:rPr>
        <w:t>1. WSTĘP</w:t>
      </w:r>
    </w:p>
    <w:p w14:paraId="55F9754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5E15CDA8" w14:textId="77777777" w:rsidR="00F45500" w:rsidRPr="007B192E" w:rsidRDefault="00F45500" w:rsidP="00F45500">
      <w:pPr>
        <w:pStyle w:val="Standardowytekst"/>
        <w:spacing w:line="216" w:lineRule="auto"/>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ab/>
        <w:t>Przedmiotem niniejszej specyfikacji technicznej (ST) są wymagania dotyczące wykonania i odbioru robót budowlanych związanych z ochroną istniejących drzew w okresie budowy drogi.</w:t>
      </w:r>
    </w:p>
    <w:p w14:paraId="057F9933"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0B24F3FA" w14:textId="77777777" w:rsidR="00F45500" w:rsidRPr="007B192E" w:rsidRDefault="00F45500" w:rsidP="00F45500">
      <w:pPr>
        <w:pStyle w:val="Standardowytekst"/>
        <w:spacing w:line="216" w:lineRule="auto"/>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23B0650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411FD77E" w14:textId="77777777" w:rsidR="00F45500" w:rsidRPr="007B192E" w:rsidRDefault="00F45500" w:rsidP="00F45500">
      <w:pPr>
        <w:pStyle w:val="Textbody"/>
        <w:spacing w:line="240" w:lineRule="auto"/>
        <w:ind w:firstLine="709"/>
        <w:jc w:val="both"/>
        <w:rPr>
          <w:rFonts w:ascii="Arial" w:hAnsi="Arial" w:cs="Arial"/>
          <w:color w:val="000000" w:themeColor="text1"/>
          <w:sz w:val="18"/>
          <w:szCs w:val="18"/>
          <w:lang w:val="pl-PL"/>
        </w:rPr>
      </w:pPr>
      <w:r w:rsidRPr="007B192E">
        <w:rPr>
          <w:rFonts w:ascii="Arial" w:hAnsi="Arial" w:cs="Arial"/>
          <w:color w:val="000000" w:themeColor="text1"/>
          <w:sz w:val="18"/>
          <w:szCs w:val="18"/>
          <w:lang w:val="pl-PL"/>
        </w:rPr>
        <w:t>Ustalenia zawarte w niniejszej specyfikacji dotyczą zasad wykonania i odbioru robót trwających w okresie budowy drogi, związanych z ochroną i zabezpieczeniem istniejących drzew zlokalizowanych:</w:t>
      </w:r>
    </w:p>
    <w:p w14:paraId="7D9AC779" w14:textId="77777777" w:rsidR="00F45500" w:rsidRPr="007B192E" w:rsidRDefault="00F45500" w:rsidP="00F45500">
      <w:pPr>
        <w:pStyle w:val="Textbody"/>
        <w:numPr>
          <w:ilvl w:val="0"/>
          <w:numId w:val="48"/>
        </w:numPr>
        <w:autoSpaceDN w:val="0"/>
        <w:spacing w:line="240" w:lineRule="auto"/>
        <w:jc w:val="both"/>
        <w:rPr>
          <w:rFonts w:ascii="Arial" w:hAnsi="Arial" w:cs="Arial"/>
          <w:color w:val="000000" w:themeColor="text1"/>
          <w:sz w:val="18"/>
          <w:szCs w:val="18"/>
          <w:lang w:val="pl-PL"/>
        </w:rPr>
      </w:pPr>
      <w:r w:rsidRPr="007B192E">
        <w:rPr>
          <w:rFonts w:ascii="Arial" w:hAnsi="Arial" w:cs="Arial"/>
          <w:color w:val="000000" w:themeColor="text1"/>
          <w:sz w:val="18"/>
          <w:szCs w:val="18"/>
          <w:lang w:val="pl-PL"/>
        </w:rPr>
        <w:t>w pasie wykonywania budowlanych robót drogowych, które dokumentacja projektowa, ST lub Inżynier przewiduje pozostawić po zakończeniu budowy,</w:t>
      </w:r>
    </w:p>
    <w:p w14:paraId="35E370D5" w14:textId="77777777" w:rsidR="00F45500" w:rsidRPr="007B192E" w:rsidRDefault="00F45500" w:rsidP="00F45500">
      <w:pPr>
        <w:pStyle w:val="Textbody"/>
        <w:numPr>
          <w:ilvl w:val="0"/>
          <w:numId w:val="48"/>
        </w:numPr>
        <w:autoSpaceDN w:val="0"/>
        <w:spacing w:line="240" w:lineRule="auto"/>
        <w:jc w:val="both"/>
        <w:rPr>
          <w:rFonts w:ascii="Arial" w:hAnsi="Arial" w:cs="Arial"/>
          <w:color w:val="000000" w:themeColor="text1"/>
          <w:sz w:val="18"/>
          <w:szCs w:val="18"/>
          <w:lang w:val="pl-PL"/>
        </w:rPr>
      </w:pPr>
      <w:r w:rsidRPr="007B192E">
        <w:rPr>
          <w:rFonts w:ascii="Arial" w:hAnsi="Arial" w:cs="Arial"/>
          <w:color w:val="000000" w:themeColor="text1"/>
          <w:sz w:val="18"/>
          <w:szCs w:val="18"/>
          <w:lang w:val="pl-PL"/>
        </w:rPr>
        <w:t>na terenie tymczasowych dróg dojazdowych do placu budowy, placów manewrowych i zaplecza budowy,</w:t>
      </w:r>
    </w:p>
    <w:p w14:paraId="716C693A" w14:textId="77777777" w:rsidR="00F45500" w:rsidRPr="007B192E" w:rsidRDefault="00F45500" w:rsidP="00F45500">
      <w:pPr>
        <w:pStyle w:val="Textbody"/>
        <w:spacing w:line="240" w:lineRule="auto"/>
        <w:ind w:left="51"/>
        <w:jc w:val="both"/>
        <w:rPr>
          <w:rFonts w:ascii="Arial" w:hAnsi="Arial" w:cs="Arial"/>
          <w:color w:val="000000" w:themeColor="text1"/>
          <w:sz w:val="18"/>
          <w:szCs w:val="18"/>
          <w:lang w:val="pl-PL"/>
        </w:rPr>
      </w:pPr>
      <w:r w:rsidRPr="007B192E">
        <w:rPr>
          <w:rFonts w:ascii="Arial" w:hAnsi="Arial" w:cs="Arial"/>
          <w:color w:val="000000" w:themeColor="text1"/>
          <w:sz w:val="18"/>
          <w:szCs w:val="18"/>
          <w:lang w:val="pl-PL"/>
        </w:rPr>
        <w:t>z uwzględnieniem tymczasowego zabezpieczenia na okres budowy, stałego zabezpieczenia na okres po zakończeniu budowy i pielęgnacji drzew uszkodzonych w czasie prowadzenia robót.</w:t>
      </w:r>
    </w:p>
    <w:p w14:paraId="670DCBB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174CBF7D"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b/>
          <w:bCs/>
          <w:color w:val="000000" w:themeColor="text1"/>
          <w:sz w:val="18"/>
          <w:szCs w:val="18"/>
        </w:rPr>
        <w:t xml:space="preserve">1.4.1. </w:t>
      </w:r>
      <w:r w:rsidRPr="007B192E">
        <w:rPr>
          <w:rFonts w:ascii="Arial" w:hAnsi="Arial" w:cs="Arial"/>
          <w:bCs/>
          <w:color w:val="000000" w:themeColor="text1"/>
          <w:sz w:val="18"/>
          <w:szCs w:val="18"/>
        </w:rPr>
        <w:t>Drzewo – roślina wieloletnia drzewiasta o silnie zdrewniałym pędzie głównym (pniu).</w:t>
      </w:r>
    </w:p>
    <w:p w14:paraId="765AE4F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b/>
          <w:bCs/>
          <w:color w:val="000000" w:themeColor="text1"/>
          <w:sz w:val="18"/>
          <w:szCs w:val="18"/>
        </w:rPr>
        <w:t>1.4.2.</w:t>
      </w:r>
      <w:r w:rsidRPr="007B192E">
        <w:rPr>
          <w:rFonts w:ascii="Arial" w:hAnsi="Arial" w:cs="Arial"/>
          <w:color w:val="000000" w:themeColor="text1"/>
          <w:sz w:val="18"/>
          <w:szCs w:val="18"/>
        </w:rPr>
        <w:t xml:space="preserve"> </w:t>
      </w:r>
      <w:r w:rsidRPr="007B192E">
        <w:rPr>
          <w:rFonts w:ascii="Arial" w:hAnsi="Arial" w:cs="Arial"/>
          <w:bCs/>
          <w:iCs/>
          <w:color w:val="000000" w:themeColor="text1"/>
          <w:sz w:val="18"/>
          <w:szCs w:val="18"/>
        </w:rPr>
        <w:t>Korona – górna część drzewa utworzona przez jego pędy boczne.</w:t>
      </w:r>
    </w:p>
    <w:p w14:paraId="180FC229"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b/>
          <w:bCs/>
          <w:color w:val="000000" w:themeColor="text1"/>
          <w:sz w:val="18"/>
          <w:szCs w:val="18"/>
        </w:rPr>
        <w:t>1.4.3.</w:t>
      </w:r>
      <w:r w:rsidRPr="007B192E">
        <w:rPr>
          <w:rFonts w:ascii="Arial" w:hAnsi="Arial" w:cs="Arial"/>
          <w:b/>
          <w:i/>
          <w:color w:val="000000" w:themeColor="text1"/>
          <w:sz w:val="18"/>
          <w:szCs w:val="18"/>
        </w:rPr>
        <w:t xml:space="preserve"> </w:t>
      </w:r>
      <w:r w:rsidRPr="007B192E">
        <w:rPr>
          <w:rFonts w:ascii="Arial" w:hAnsi="Arial" w:cs="Arial"/>
          <w:bCs/>
          <w:iCs/>
          <w:color w:val="000000" w:themeColor="text1"/>
          <w:sz w:val="18"/>
          <w:szCs w:val="18"/>
        </w:rPr>
        <w:t>Ziemia urodzajna – ziemia posiadająca właściwości zapewniające roślinom prawidłowy rozwój.</w:t>
      </w:r>
    </w:p>
    <w:p w14:paraId="2F98694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b/>
          <w:bCs/>
          <w:color w:val="000000" w:themeColor="text1"/>
          <w:sz w:val="18"/>
          <w:szCs w:val="18"/>
        </w:rPr>
        <w:t>1.4.4.</w:t>
      </w:r>
      <w:r w:rsidRPr="007B192E">
        <w:rPr>
          <w:rFonts w:ascii="Arial" w:hAnsi="Arial" w:cs="Arial"/>
          <w:color w:val="000000" w:themeColor="text1"/>
          <w:sz w:val="18"/>
          <w:szCs w:val="18"/>
        </w:rPr>
        <w:t xml:space="preserve"> </w:t>
      </w:r>
      <w:r w:rsidRPr="007B192E">
        <w:rPr>
          <w:rFonts w:ascii="Arial" w:hAnsi="Arial" w:cs="Arial"/>
          <w:bCs/>
          <w:iCs/>
          <w:color w:val="000000" w:themeColor="text1"/>
          <w:sz w:val="18"/>
          <w:szCs w:val="18"/>
        </w:rPr>
        <w:t>Forma pienna – forma drzew z pniami wysokości od 1,8 do 2,2 m, z wyraźnym nie przyciętym przewodnikiem i uformowaną koroną.</w:t>
      </w:r>
    </w:p>
    <w:p w14:paraId="050C709D"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b/>
          <w:bCs/>
          <w:color w:val="000000" w:themeColor="text1"/>
          <w:sz w:val="18"/>
          <w:szCs w:val="18"/>
        </w:rPr>
        <w:t xml:space="preserve">1.4.5. </w:t>
      </w:r>
      <w:r w:rsidRPr="007B192E">
        <w:rPr>
          <w:rFonts w:ascii="Arial" w:hAnsi="Arial" w:cs="Arial"/>
          <w:bCs/>
          <w:iCs/>
          <w:color w:val="000000" w:themeColor="text1"/>
          <w:sz w:val="18"/>
          <w:szCs w:val="18"/>
        </w:rPr>
        <w:t>Bryła korzeniowa – uformowana bryła ziemi z przerastającymi ją korzeniami rośliny.</w:t>
      </w:r>
    </w:p>
    <w:p w14:paraId="4948EF02"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b/>
          <w:bCs/>
          <w:color w:val="000000" w:themeColor="text1"/>
          <w:sz w:val="18"/>
          <w:szCs w:val="18"/>
        </w:rPr>
        <w:t xml:space="preserve">1.4.6.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 xml:space="preserve">00.00.00 „Wymagania ogólne” [1] pkt 1.4.  </w:t>
      </w:r>
    </w:p>
    <w:p w14:paraId="0E05ED8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1.5.Ogólne wymagania dotyczące robót</w:t>
      </w:r>
    </w:p>
    <w:p w14:paraId="1475362C" w14:textId="77777777" w:rsidR="00F45500" w:rsidRPr="007B192E" w:rsidRDefault="00F45500" w:rsidP="00F45500">
      <w:pPr>
        <w:pStyle w:val="Standard"/>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6FABF452" w14:textId="77777777" w:rsidR="00F45500" w:rsidRPr="007B192E" w:rsidRDefault="00F45500" w:rsidP="00EC199A">
      <w:pPr>
        <w:pStyle w:val="Nagwek2"/>
        <w:rPr>
          <w:i w:val="0"/>
          <w:color w:val="000000" w:themeColor="text1"/>
        </w:rPr>
      </w:pPr>
      <w:bookmarkStart w:id="130" w:name="__RefHeading__39920_1886666832"/>
      <w:r w:rsidRPr="007B192E">
        <w:rPr>
          <w:i w:val="0"/>
          <w:color w:val="000000" w:themeColor="text1"/>
        </w:rPr>
        <w:t>2. MATERIAŁY</w:t>
      </w:r>
      <w:bookmarkEnd w:id="130"/>
    </w:p>
    <w:p w14:paraId="32C8F2C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6216F2BE" w14:textId="77777777" w:rsidR="00F45500" w:rsidRPr="007B192E" w:rsidRDefault="00F45500" w:rsidP="00F45500">
      <w:pPr>
        <w:pStyle w:val="Standard"/>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256B482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Materiały do wykonania robót</w:t>
      </w:r>
    </w:p>
    <w:p w14:paraId="1FBCC86E"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Zgodność materiałów z dokumentacją projektową</w:t>
      </w:r>
    </w:p>
    <w:p w14:paraId="2861F4E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powinny być zgodne z ustaleniami dokumentacji projektowej lub ST.</w:t>
      </w:r>
    </w:p>
    <w:p w14:paraId="50FC6289"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2.2.2. </w:t>
      </w:r>
      <w:r w:rsidRPr="007B192E">
        <w:rPr>
          <w:rFonts w:ascii="Arial" w:hAnsi="Arial" w:cs="Arial"/>
          <w:color w:val="000000" w:themeColor="text1"/>
          <w:sz w:val="18"/>
          <w:szCs w:val="18"/>
        </w:rPr>
        <w:t>Stosowane materiały</w:t>
      </w:r>
    </w:p>
    <w:p w14:paraId="7D5CF2D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ochronie i zabezpieczeniu istniejących drzew w okresie budowy drogi można stosować następujące materiały:</w:t>
      </w:r>
    </w:p>
    <w:p w14:paraId="71DD1079" w14:textId="77777777" w:rsidR="00F45500" w:rsidRPr="007B192E"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deski iglaste grubości min. 20 mm, słupki drewniane, żerdzie, itp.,</w:t>
      </w:r>
    </w:p>
    <w:p w14:paraId="48CDE13A" w14:textId="77777777" w:rsidR="00F45500" w:rsidRPr="007B192E"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maty słomiane,</w:t>
      </w:r>
    </w:p>
    <w:p w14:paraId="1D463DDF" w14:textId="77777777" w:rsidR="00F45500" w:rsidRPr="007B192E"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zużyte opony samochodowe,</w:t>
      </w:r>
    </w:p>
    <w:p w14:paraId="2AC058A6" w14:textId="77777777" w:rsidR="00F45500" w:rsidRPr="007B192E"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drut, taśmę stalową, gwoździe,</w:t>
      </w:r>
    </w:p>
    <w:p w14:paraId="30159A78" w14:textId="77777777" w:rsidR="00F45500" w:rsidRPr="007B192E" w:rsidRDefault="00F45500" w:rsidP="00F45500">
      <w:pPr>
        <w:pStyle w:val="Standard"/>
        <w:widowControl w:val="0"/>
        <w:numPr>
          <w:ilvl w:val="0"/>
          <w:numId w:val="17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wodę,</w:t>
      </w:r>
    </w:p>
    <w:p w14:paraId="47D3AFFB" w14:textId="77777777" w:rsidR="00F45500" w:rsidRPr="007B192E" w:rsidRDefault="00F45500" w:rsidP="00F45500">
      <w:pPr>
        <w:pStyle w:val="Standard"/>
        <w:ind w:left="426" w:hanging="426"/>
        <w:jc w:val="both"/>
        <w:rPr>
          <w:rFonts w:ascii="Arial" w:hAnsi="Arial" w:cs="Arial"/>
          <w:color w:val="000000" w:themeColor="text1"/>
          <w:sz w:val="18"/>
          <w:szCs w:val="18"/>
        </w:rPr>
      </w:pPr>
    </w:p>
    <w:p w14:paraId="1F13077A" w14:textId="77777777" w:rsidR="00F45500" w:rsidRPr="007B192E" w:rsidRDefault="00F45500" w:rsidP="00F45500">
      <w:pPr>
        <w:pStyle w:val="Standard"/>
        <w:ind w:firstLine="624"/>
        <w:jc w:val="both"/>
        <w:rPr>
          <w:rFonts w:ascii="Arial" w:hAnsi="Arial" w:cs="Arial"/>
          <w:color w:val="000000" w:themeColor="text1"/>
          <w:sz w:val="18"/>
          <w:szCs w:val="18"/>
        </w:rPr>
      </w:pPr>
      <w:r w:rsidRPr="007B192E">
        <w:rPr>
          <w:rFonts w:ascii="Arial" w:hAnsi="Arial" w:cs="Arial"/>
          <w:color w:val="000000" w:themeColor="text1"/>
          <w:sz w:val="18"/>
          <w:szCs w:val="18"/>
        </w:rPr>
        <w:t>Materiały stosowane do tymczasowej ochrony drzew i materiały pielęgnacyjne powinny być zaproponowane przez Wykonawcę i zaakceptowane przez Inżyniera.</w:t>
      </w:r>
    </w:p>
    <w:p w14:paraId="38129E40" w14:textId="77777777" w:rsidR="00F45500" w:rsidRPr="007B192E" w:rsidRDefault="00F45500" w:rsidP="00EC199A">
      <w:pPr>
        <w:pStyle w:val="Nagwek2"/>
        <w:rPr>
          <w:i w:val="0"/>
          <w:color w:val="000000" w:themeColor="text1"/>
        </w:rPr>
      </w:pPr>
      <w:bookmarkStart w:id="131" w:name="__RefHeading__39922_1886666832"/>
      <w:r w:rsidRPr="007B192E">
        <w:rPr>
          <w:i w:val="0"/>
          <w:color w:val="000000" w:themeColor="text1"/>
        </w:rPr>
        <w:t>3. SPRZĘT</w:t>
      </w:r>
      <w:bookmarkEnd w:id="131"/>
    </w:p>
    <w:p w14:paraId="3D4DC94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3.1. Ogólne wymagania dotyczące sprzętu</w:t>
      </w:r>
    </w:p>
    <w:p w14:paraId="6C3076D2" w14:textId="77777777" w:rsidR="00F45500" w:rsidRPr="007B192E" w:rsidRDefault="00F45500" w:rsidP="00F45500">
      <w:pPr>
        <w:pStyle w:val="Standard"/>
        <w:ind w:right="-143"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ogólne”[1], pkt 3.</w:t>
      </w:r>
    </w:p>
    <w:p w14:paraId="1A4B4D0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55D7C1D0"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w:t>
      </w:r>
    </w:p>
    <w:p w14:paraId="51333D73" w14:textId="77777777" w:rsidR="00F45500" w:rsidRPr="007B192E"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ręcznego sprzętu do prac ziemnych jak szpadle, drągi, łopaty,</w:t>
      </w:r>
    </w:p>
    <w:p w14:paraId="35C94C67" w14:textId="77777777" w:rsidR="00F45500" w:rsidRPr="007B192E"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samochodu skrzyniowego do transportu,</w:t>
      </w:r>
    </w:p>
    <w:p w14:paraId="0684ED47" w14:textId="77777777" w:rsidR="00F45500" w:rsidRPr="007B192E"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sprzętu do podlewania, z ew. przewoźnymi zbiornikami do wody, ew. wiadrami, konewkami,</w:t>
      </w:r>
    </w:p>
    <w:p w14:paraId="348F78D0" w14:textId="77777777" w:rsidR="00F45500" w:rsidRPr="007B192E" w:rsidRDefault="00F45500" w:rsidP="00F45500">
      <w:pPr>
        <w:pStyle w:val="Standard"/>
        <w:widowControl w:val="0"/>
        <w:numPr>
          <w:ilvl w:val="0"/>
          <w:numId w:val="175"/>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lastRenderedPageBreak/>
        <w:t>wyposażenia pomocniczego, drobnych narzędzi, drabin itp.,</w:t>
      </w:r>
    </w:p>
    <w:p w14:paraId="7F1A89FE" w14:textId="77777777" w:rsidR="00F45500" w:rsidRPr="007B192E" w:rsidRDefault="00F45500" w:rsidP="00F45500">
      <w:pPr>
        <w:pStyle w:val="Standard"/>
        <w:ind w:firstLine="624"/>
        <w:jc w:val="both"/>
        <w:rPr>
          <w:rFonts w:ascii="Arial" w:hAnsi="Arial" w:cs="Arial"/>
          <w:color w:val="000000" w:themeColor="text1"/>
          <w:sz w:val="18"/>
          <w:szCs w:val="18"/>
        </w:rPr>
      </w:pPr>
      <w:r w:rsidRPr="007B192E">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14:paraId="382CCB96" w14:textId="77777777" w:rsidR="00F45500" w:rsidRPr="007B192E" w:rsidRDefault="00F45500" w:rsidP="00EC199A">
      <w:pPr>
        <w:pStyle w:val="Nagwek2"/>
        <w:rPr>
          <w:i w:val="0"/>
          <w:color w:val="000000" w:themeColor="text1"/>
        </w:rPr>
      </w:pPr>
      <w:bookmarkStart w:id="132" w:name="__RefHeading__39924_1886666832"/>
      <w:r w:rsidRPr="007B192E">
        <w:rPr>
          <w:i w:val="0"/>
          <w:color w:val="000000" w:themeColor="text1"/>
        </w:rPr>
        <w:t>4. TRANSPORT</w:t>
      </w:r>
      <w:bookmarkEnd w:id="132"/>
    </w:p>
    <w:p w14:paraId="298B0C2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4.1. Ogólne wymagania dotyczące transportu</w:t>
      </w:r>
    </w:p>
    <w:p w14:paraId="565D81F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r w:rsidRPr="007B192E">
        <w:rPr>
          <w:rFonts w:ascii="Arial" w:hAnsi="Arial" w:cs="Arial"/>
          <w:color w:val="000000" w:themeColor="text1"/>
          <w:sz w:val="18"/>
          <w:szCs w:val="18"/>
        </w:rPr>
        <w:tab/>
      </w:r>
    </w:p>
    <w:p w14:paraId="5C4FC61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4.2. Transport materiałów</w:t>
      </w:r>
    </w:p>
    <w:p w14:paraId="7B6FF0C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można przewozić dowolnymi środkami transportu, w warunkach zabezpieczających je przed zanieczyszczeniem, zmieszaniem z innymi materiałami i nadmiernym zawilgoceniem lub wysuszeniem.</w:t>
      </w:r>
    </w:p>
    <w:p w14:paraId="107586AC" w14:textId="77777777" w:rsidR="00F45500" w:rsidRPr="007B192E" w:rsidRDefault="00EC199A" w:rsidP="00EC199A">
      <w:pPr>
        <w:pStyle w:val="Nagwek2"/>
        <w:rPr>
          <w:i w:val="0"/>
          <w:color w:val="000000" w:themeColor="text1"/>
        </w:rPr>
      </w:pPr>
      <w:bookmarkStart w:id="133" w:name="__RefHeading__39926_1886666832"/>
      <w:r w:rsidRPr="007B192E">
        <w:rPr>
          <w:i w:val="0"/>
          <w:color w:val="000000" w:themeColor="text1"/>
        </w:rPr>
        <w:t>5. WYKONANIE ROBÓT</w:t>
      </w:r>
      <w:bookmarkEnd w:id="133"/>
    </w:p>
    <w:p w14:paraId="07BC2FC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5980CC9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3D358FA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Zasady wykonywania robót</w:t>
      </w:r>
    </w:p>
    <w:p w14:paraId="4AD4C87E"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załącznikach.</w:t>
      </w:r>
    </w:p>
    <w:p w14:paraId="601C66E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wykonywaniu robót obejmują:</w:t>
      </w:r>
    </w:p>
    <w:p w14:paraId="3CA4CA04" w14:textId="77777777" w:rsidR="00F45500" w:rsidRPr="007B192E" w:rsidRDefault="00F45500" w:rsidP="00F45500">
      <w:pPr>
        <w:pStyle w:val="Standard"/>
        <w:widowControl w:val="0"/>
        <w:numPr>
          <w:ilvl w:val="0"/>
          <w:numId w:val="17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przygotowawcze,</w:t>
      </w:r>
    </w:p>
    <w:p w14:paraId="18E6DF56" w14:textId="77777777" w:rsidR="00F45500" w:rsidRPr="007B192E" w:rsidRDefault="00F45500" w:rsidP="00F45500">
      <w:pPr>
        <w:pStyle w:val="Standard"/>
        <w:widowControl w:val="0"/>
        <w:numPr>
          <w:ilvl w:val="0"/>
          <w:numId w:val="6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zabezpieczające drzewo lub czynności pielęgnacyjne,</w:t>
      </w:r>
    </w:p>
    <w:p w14:paraId="6C129E96" w14:textId="77777777" w:rsidR="00F45500" w:rsidRPr="007B192E" w:rsidRDefault="00F45500" w:rsidP="00F45500">
      <w:pPr>
        <w:pStyle w:val="Standard"/>
        <w:widowControl w:val="0"/>
        <w:numPr>
          <w:ilvl w:val="0"/>
          <w:numId w:val="6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215AD11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Roboty przygotowawcze</w:t>
      </w:r>
    </w:p>
    <w:p w14:paraId="3414F950"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należy, na podstawie dokumentacji projektowej,   ST lub wskazań Inżyniera:</w:t>
      </w:r>
    </w:p>
    <w:p w14:paraId="23AD393F" w14:textId="77777777" w:rsidR="00F45500" w:rsidRPr="007B192E"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ustalić lokalizację drzewa podlegającego zabezpieczeniu,</w:t>
      </w:r>
    </w:p>
    <w:p w14:paraId="4779EECB" w14:textId="77777777" w:rsidR="00F45500" w:rsidRPr="007B192E"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szczegółowo wytyczyć roboty z danymi wysokościowymi przy stałych obiektach zabezpieczających drzewa,</w:t>
      </w:r>
    </w:p>
    <w:p w14:paraId="2BCAB179" w14:textId="77777777" w:rsidR="00F45500" w:rsidRPr="007B192E" w:rsidRDefault="00F45500" w:rsidP="00F45500">
      <w:pPr>
        <w:pStyle w:val="Standard"/>
        <w:widowControl w:val="0"/>
        <w:numPr>
          <w:ilvl w:val="0"/>
          <w:numId w:val="177"/>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usunąć przeszkody, np. drzewa, krzaki, elementy ogrodzeń itd.</w:t>
      </w:r>
    </w:p>
    <w:p w14:paraId="1A072CA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Tymczasowe zabezpieczenie drzew, na okres budowy</w:t>
      </w:r>
    </w:p>
    <w:p w14:paraId="2047BC6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Tymczasowe zabezpieczenie drzew, które pozostaną w terenie po zakończeniu robót drogowych , a są narażone na uszkodzenia w czasie robót budowlanych, wymaga wykonania wszystkich czynności:</w:t>
      </w:r>
    </w:p>
    <w:p w14:paraId="7B13CA27" w14:textId="77777777" w:rsidR="00F45500" w:rsidRPr="007B192E" w:rsidRDefault="00F45500" w:rsidP="00F45500">
      <w:pPr>
        <w:pStyle w:val="Standard"/>
        <w:widowControl w:val="0"/>
        <w:numPr>
          <w:ilvl w:val="0"/>
          <w:numId w:val="178"/>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 sposób uniemożliwiający uszkodzenie mechaniczne drzew,</w:t>
      </w:r>
    </w:p>
    <w:p w14:paraId="413F3B58" w14:textId="77777777" w:rsidR="00F45500" w:rsidRPr="007B192E" w:rsidRDefault="00F45500" w:rsidP="00F45500">
      <w:pPr>
        <w:pStyle w:val="Standard"/>
        <w:widowControl w:val="0"/>
        <w:numPr>
          <w:ilvl w:val="0"/>
          <w:numId w:val="178"/>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tylko ręcznie w zasięgu korony drzewa i w odległości co najmniej 2 m na zewnątrz od obrysu korony drzewa, przy czym wyjątkowe zastosowanie sprzętu mechanicznego wymaga zgody Inżyniera.</w:t>
      </w:r>
    </w:p>
    <w:p w14:paraId="31D47E81" w14:textId="77777777" w:rsidR="00F45500" w:rsidRPr="007B192E" w:rsidRDefault="00F45500" w:rsidP="00F45500">
      <w:pPr>
        <w:pStyle w:val="Standard"/>
        <w:ind w:firstLine="709"/>
        <w:jc w:val="both"/>
        <w:rPr>
          <w:rFonts w:ascii="Arial" w:hAnsi="Arial" w:cs="Arial"/>
          <w:color w:val="000000" w:themeColor="text1"/>
          <w:sz w:val="18"/>
          <w:szCs w:val="18"/>
        </w:rPr>
      </w:pPr>
    </w:p>
    <w:p w14:paraId="4005E50B"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zasięgu korony drzewa i w odległości co najmniej 2 m na zewnątrz od obrysu korony drzewa (lub w strefie 4 × 4 m wokół drzewa) nie powinno dopuścić się do:</w:t>
      </w:r>
    </w:p>
    <w:p w14:paraId="3D30AA18" w14:textId="77777777" w:rsidR="00F45500" w:rsidRPr="007B192E"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wykonania placów składowych i dróg dojazdowych,</w:t>
      </w:r>
    </w:p>
    <w:p w14:paraId="0EFA1F0F" w14:textId="77777777" w:rsidR="00F45500" w:rsidRPr="007B192E"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poruszania się sprzętu mechanicznego,</w:t>
      </w:r>
    </w:p>
    <w:p w14:paraId="2C8628BD" w14:textId="77777777" w:rsidR="00F45500" w:rsidRPr="007B192E"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składowania materiałów budowlanych,</w:t>
      </w:r>
    </w:p>
    <w:p w14:paraId="31D5AD88" w14:textId="77777777" w:rsidR="00F45500" w:rsidRPr="007B192E" w:rsidRDefault="00F45500" w:rsidP="00F45500">
      <w:pPr>
        <w:pStyle w:val="Standard"/>
        <w:widowControl w:val="0"/>
        <w:numPr>
          <w:ilvl w:val="0"/>
          <w:numId w:val="17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zmian poziomu gruntu.</w:t>
      </w:r>
    </w:p>
    <w:p w14:paraId="6D6F1032" w14:textId="77777777" w:rsidR="00F45500" w:rsidRPr="007B192E" w:rsidRDefault="00F45500" w:rsidP="00F45500">
      <w:pPr>
        <w:pStyle w:val="Standard"/>
        <w:ind w:firstLine="709"/>
        <w:jc w:val="both"/>
        <w:rPr>
          <w:rFonts w:ascii="Arial" w:hAnsi="Arial" w:cs="Arial"/>
          <w:color w:val="000000" w:themeColor="text1"/>
          <w:sz w:val="18"/>
          <w:szCs w:val="18"/>
        </w:rPr>
      </w:pPr>
    </w:p>
    <w:p w14:paraId="58CD4D8A"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Zaleca się, aby w strefie do 10 m od pnia drzewa nie składować cementu, kruszywa, olejów, paliw i </w:t>
      </w:r>
      <w:proofErr w:type="spellStart"/>
      <w:r w:rsidRPr="007B192E">
        <w:rPr>
          <w:rFonts w:ascii="Arial" w:hAnsi="Arial" w:cs="Arial"/>
          <w:color w:val="000000" w:themeColor="text1"/>
          <w:sz w:val="18"/>
          <w:szCs w:val="18"/>
        </w:rPr>
        <w:t>lepiszcz</w:t>
      </w:r>
      <w:proofErr w:type="spellEnd"/>
      <w:r w:rsidRPr="007B192E">
        <w:rPr>
          <w:rFonts w:ascii="Arial" w:hAnsi="Arial" w:cs="Arial"/>
          <w:color w:val="000000" w:themeColor="text1"/>
          <w:sz w:val="18"/>
          <w:szCs w:val="18"/>
        </w:rPr>
        <w:t>.</w:t>
      </w:r>
    </w:p>
    <w:p w14:paraId="57249F3E"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Zaleca się, aby roboty ziemne w obrębie korzeni drzewa nie były prowadzone w okresie wegetacji roślin, a szczególnie w okresie letnim. Najkorzystniejszym okresem do wykonania tych robót są miesiące od października do kwietnia.</w:t>
      </w:r>
    </w:p>
    <w:p w14:paraId="32FDEDE2"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Zaleca się, aby czasowe wykopy instalacyjne wykonywane w strefie korzeniowej drzew były wykonywane wyłącznie ręcznie.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 (patrz rys. 1).</w:t>
      </w:r>
    </w:p>
    <w:p w14:paraId="529BC134"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Zabezpieczenie drzewa na okres budowy drogi powinno obejmować:</w:t>
      </w:r>
    </w:p>
    <w:p w14:paraId="3C4FDA62"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owinięcie pnia matami słomianymi (np. w ilości 4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na jeden pień) lub zużytymi oponami samochodowymi, a następnie oszalowanie ich deskami do wysokości pierwszych gałęzi. Dolna część każdej deski powinna opierać się na podłożu, będąc lekko wkopaną w grunt lub obsypaną ziemią. Oszalowanie powinno być otoczone opaskami z drutu lub taśmy stalowej w odległości wzajemnej co 40÷60 cm,</w:t>
      </w:r>
    </w:p>
    <w:p w14:paraId="5E79AA0E"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przykrycie odkrytych korzeni matami słomianymi w ilości około 4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na jedno drzewo,</w:t>
      </w:r>
    </w:p>
    <w:p w14:paraId="7C7DCDB9"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podlewanie drzewa wodą w ilości około 20 dm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xml:space="preserve"> na jedno drzewo przez cały okres trwania robót, w zależności od warunków atmosferycznych oraz wskazań Inżyniera.</w:t>
      </w:r>
    </w:p>
    <w:p w14:paraId="014A2EF7"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 zakończeniu robót należy wykonać demontaż zabezpieczenia drzewa, obejmujący:</w:t>
      </w:r>
    </w:p>
    <w:p w14:paraId="15F87DD8" w14:textId="77777777" w:rsidR="00F45500" w:rsidRPr="007B192E"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rozebranie konstrukcji zabezpieczającej drzewo,</w:t>
      </w:r>
    </w:p>
    <w:p w14:paraId="79007F37" w14:textId="77777777" w:rsidR="00F45500" w:rsidRPr="007B192E"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usunięcie materiałów zabezpieczających,</w:t>
      </w:r>
    </w:p>
    <w:p w14:paraId="231D4BB8" w14:textId="77777777" w:rsidR="00F45500" w:rsidRPr="007B192E" w:rsidRDefault="00F45500" w:rsidP="00F45500">
      <w:pPr>
        <w:pStyle w:val="Standard"/>
        <w:widowControl w:val="0"/>
        <w:numPr>
          <w:ilvl w:val="0"/>
          <w:numId w:val="42"/>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lekkie spulchnienie ziemi w strefie korzeniowej drzewa.</w:t>
      </w:r>
    </w:p>
    <w:p w14:paraId="35EE8EE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5.7. Roboty wykończeniowe</w:t>
      </w:r>
    </w:p>
    <w:p w14:paraId="1BED5BE9"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 powinny być zgodne z dokumentacją projektową i ST. Do robót wykończeniowych należą prace związane z dostosowaniem wykonanych robót do istniejących warunków terenowych, takie jak:</w:t>
      </w:r>
    </w:p>
    <w:p w14:paraId="7BEBB642" w14:textId="77777777" w:rsidR="00F45500" w:rsidRPr="007B192E"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odtworzenie przeszkód czasowo usuniętych,</w:t>
      </w:r>
    </w:p>
    <w:p w14:paraId="1CBC0029" w14:textId="77777777" w:rsidR="00F45500" w:rsidRPr="007B192E"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niezbędne uzupełnienia zniszczonej w czasie robót roślinności, np. </w:t>
      </w:r>
      <w:proofErr w:type="spellStart"/>
      <w:r w:rsidRPr="007B192E">
        <w:rPr>
          <w:rFonts w:ascii="Arial" w:hAnsi="Arial" w:cs="Arial"/>
          <w:color w:val="000000" w:themeColor="text1"/>
          <w:sz w:val="18"/>
          <w:szCs w:val="18"/>
        </w:rPr>
        <w:t>zatrawienia</w:t>
      </w:r>
      <w:proofErr w:type="spellEnd"/>
      <w:r w:rsidRPr="007B192E">
        <w:rPr>
          <w:rFonts w:ascii="Arial" w:hAnsi="Arial" w:cs="Arial"/>
          <w:color w:val="000000" w:themeColor="text1"/>
          <w:sz w:val="18"/>
          <w:szCs w:val="18"/>
        </w:rPr>
        <w:t xml:space="preserve">,  </w:t>
      </w:r>
    </w:p>
    <w:p w14:paraId="735ED3DF" w14:textId="77777777" w:rsidR="00F45500" w:rsidRPr="007B192E" w:rsidRDefault="00F45500" w:rsidP="00F45500">
      <w:pPr>
        <w:pStyle w:val="Standard"/>
        <w:widowControl w:val="0"/>
        <w:numPr>
          <w:ilvl w:val="0"/>
          <w:numId w:val="89"/>
        </w:numPr>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porządkujące otoczenie terenu robót.</w:t>
      </w:r>
    </w:p>
    <w:p w14:paraId="17F30DF2" w14:textId="77777777" w:rsidR="00F45500" w:rsidRPr="007B192E" w:rsidRDefault="00F45500" w:rsidP="00EC199A">
      <w:pPr>
        <w:pStyle w:val="Nagwek2"/>
        <w:rPr>
          <w:i w:val="0"/>
          <w:color w:val="000000" w:themeColor="text1"/>
        </w:rPr>
      </w:pPr>
      <w:bookmarkStart w:id="134" w:name="__RefHeading__39928_1886666832"/>
      <w:r w:rsidRPr="007B192E">
        <w:rPr>
          <w:i w:val="0"/>
          <w:color w:val="000000" w:themeColor="text1"/>
        </w:rPr>
        <w:t>6. KONTROLA JAKOŚCI ROBÓT</w:t>
      </w:r>
      <w:bookmarkEnd w:id="134"/>
    </w:p>
    <w:p w14:paraId="626AC12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6.1. Ogólne zasady kontroli jakości robót</w:t>
      </w:r>
    </w:p>
    <w:p w14:paraId="3481A10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6C0B86E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6.2. Badania  przed przystąpieniem do robót</w:t>
      </w:r>
    </w:p>
    <w:p w14:paraId="1142FAF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51A2FEFE" w14:textId="77777777" w:rsidR="00F45500" w:rsidRPr="007B192E"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(aprobaty techniczne, certyfikaty zgodności, deklaracje zgodności, ew. badania materiałów wykonane przez dostawców itp.),</w:t>
      </w:r>
    </w:p>
    <w:p w14:paraId="751D3C9F" w14:textId="77777777" w:rsidR="00F45500" w:rsidRPr="007B192E"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ew. wykonać własne badania właściwości materiałów przeznaczonych do wykonania robót, określone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 lub ustalone przez Inżyniera,</w:t>
      </w:r>
    </w:p>
    <w:p w14:paraId="7DABA49B" w14:textId="77777777" w:rsidR="00F45500" w:rsidRPr="007B192E" w:rsidRDefault="00F45500" w:rsidP="00F45500">
      <w:pPr>
        <w:pStyle w:val="Standard"/>
        <w:widowControl w:val="0"/>
        <w:numPr>
          <w:ilvl w:val="0"/>
          <w:numId w:val="18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sprawdzić cechy zewnętrzne gotowych materiałów z tworzyw i prefabrykowanych.</w:t>
      </w:r>
    </w:p>
    <w:p w14:paraId="3CD6D076"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Wszystkie dokumenty oraz wyniki badań Wykonawca przedstawia Inżynierowi do akceptacji.</w:t>
      </w:r>
    </w:p>
    <w:p w14:paraId="180805F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6.3. Badania w czasie robót</w:t>
      </w:r>
    </w:p>
    <w:p w14:paraId="06DA09C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Badania wykonania tymczasowej ochrony drzew dotyczą sprawdzenia:</w:t>
      </w:r>
    </w:p>
    <w:p w14:paraId="75B52B52" w14:textId="77777777" w:rsidR="00F45500" w:rsidRPr="007B192E"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obudowy drzewa w zakresie spełniania warunków zabezpieczenia przed uszkodzeniami mechanicznymi, wymienionymi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5.4,</w:t>
      </w:r>
    </w:p>
    <w:p w14:paraId="424BCC72" w14:textId="77777777" w:rsidR="00F45500" w:rsidRPr="007B192E"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zaopatrzenia drzewa w wodę i powietrze, zgodnie z </w:t>
      </w:r>
      <w:proofErr w:type="spellStart"/>
      <w:r w:rsidRPr="007B192E">
        <w:rPr>
          <w:rFonts w:ascii="Arial" w:hAnsi="Arial" w:cs="Arial"/>
          <w:color w:val="000000" w:themeColor="text1"/>
          <w:sz w:val="18"/>
          <w:szCs w:val="18"/>
        </w:rPr>
        <w:t>pktem</w:t>
      </w:r>
      <w:proofErr w:type="spellEnd"/>
      <w:r w:rsidRPr="007B192E">
        <w:rPr>
          <w:rFonts w:ascii="Arial" w:hAnsi="Arial" w:cs="Arial"/>
          <w:color w:val="000000" w:themeColor="text1"/>
          <w:sz w:val="18"/>
          <w:szCs w:val="18"/>
        </w:rPr>
        <w:t xml:space="preserve"> 5.4,</w:t>
      </w:r>
    </w:p>
    <w:p w14:paraId="70EEFB5E" w14:textId="77777777" w:rsidR="00F45500" w:rsidRPr="007B192E" w:rsidRDefault="00F45500" w:rsidP="00F45500">
      <w:pPr>
        <w:pStyle w:val="Standard"/>
        <w:widowControl w:val="0"/>
        <w:numPr>
          <w:ilvl w:val="0"/>
          <w:numId w:val="90"/>
        </w:numPr>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ewentualnych uszkodzeń drzewa, w tym pnia, korzeni i konarów, w czasie robót zabezpieczających.</w:t>
      </w:r>
    </w:p>
    <w:p w14:paraId="1B2E29B4" w14:textId="77777777" w:rsidR="00F45500" w:rsidRPr="007B192E" w:rsidRDefault="00F45500" w:rsidP="00EC199A">
      <w:pPr>
        <w:pStyle w:val="Nagwek2"/>
        <w:rPr>
          <w:i w:val="0"/>
          <w:color w:val="000000" w:themeColor="text1"/>
        </w:rPr>
      </w:pPr>
      <w:bookmarkStart w:id="135" w:name="__RefHeading__39930_1886666832"/>
      <w:r w:rsidRPr="007B192E">
        <w:rPr>
          <w:i w:val="0"/>
          <w:color w:val="000000" w:themeColor="text1"/>
        </w:rPr>
        <w:t>7. OBMIAR ROBÓT</w:t>
      </w:r>
      <w:bookmarkEnd w:id="135"/>
    </w:p>
    <w:p w14:paraId="5502AF3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7.1. Ogólne zasady obmiaru robót</w:t>
      </w:r>
    </w:p>
    <w:p w14:paraId="6309909F" w14:textId="77777777" w:rsidR="00F45500" w:rsidRPr="007B192E" w:rsidRDefault="00F45500" w:rsidP="00F45500">
      <w:pPr>
        <w:pStyle w:val="Standard"/>
        <w:tabs>
          <w:tab w:val="left" w:pos="-709"/>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00FE1F5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7.2. Jednostka obmiarowa</w:t>
      </w:r>
    </w:p>
    <w:p w14:paraId="3004546C" w14:textId="77777777" w:rsidR="00F45500" w:rsidRPr="007B192E" w:rsidRDefault="00F45500" w:rsidP="00F45500">
      <w:pPr>
        <w:pStyle w:val="Standard"/>
        <w:tabs>
          <w:tab w:val="left" w:pos="-709"/>
        </w:tabs>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sztuka zabezpieczonego drzewa.</w:t>
      </w:r>
    </w:p>
    <w:p w14:paraId="31277F97" w14:textId="77777777" w:rsidR="00F45500" w:rsidRPr="007B192E" w:rsidRDefault="00F45500" w:rsidP="00EC199A">
      <w:pPr>
        <w:pStyle w:val="Nagwek2"/>
        <w:rPr>
          <w:i w:val="0"/>
          <w:color w:val="000000" w:themeColor="text1"/>
        </w:rPr>
      </w:pPr>
      <w:bookmarkStart w:id="136" w:name="__RefHeading__39932_1886666832"/>
      <w:r w:rsidRPr="007B192E">
        <w:rPr>
          <w:i w:val="0"/>
          <w:color w:val="000000" w:themeColor="text1"/>
        </w:rPr>
        <w:t>8. ODBIÓR ROBÓT</w:t>
      </w:r>
      <w:bookmarkEnd w:id="136"/>
    </w:p>
    <w:p w14:paraId="5356865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8.1. Ogólne zasady odbioru robót</w:t>
      </w:r>
    </w:p>
    <w:p w14:paraId="396D1F9F" w14:textId="77777777" w:rsidR="00F45500" w:rsidRPr="007B192E" w:rsidRDefault="00F45500" w:rsidP="00F45500">
      <w:pPr>
        <w:pStyle w:val="Standard"/>
        <w:tabs>
          <w:tab w:val="left" w:pos="-709"/>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2A62EEBB" w14:textId="77777777" w:rsidR="00F45500" w:rsidRPr="007B192E" w:rsidRDefault="00F45500" w:rsidP="00F45500">
      <w:pPr>
        <w:pStyle w:val="Standard"/>
        <w:tabs>
          <w:tab w:val="left" w:pos="-709"/>
        </w:tabs>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ST i wymaganiami Inżyniera, jeżeli wszystkie pomiary i badania z zachowaniem tolerancji wg pkt 6 dały wyniki pozytywne.</w:t>
      </w:r>
    </w:p>
    <w:p w14:paraId="306D38D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8.2. Odbiór robót zanikających i ulegających zakryciu</w:t>
      </w:r>
    </w:p>
    <w:p w14:paraId="692AD085"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Odbiorowi robót zanikających i ulegających zakryciu podlegają:</w:t>
      </w:r>
    </w:p>
    <w:p w14:paraId="2A8E698A" w14:textId="77777777" w:rsidR="00F45500" w:rsidRPr="007B192E" w:rsidRDefault="00F45500" w:rsidP="00F45500">
      <w:pPr>
        <w:pStyle w:val="Standard"/>
        <w:widowControl w:val="0"/>
        <w:numPr>
          <w:ilvl w:val="0"/>
          <w:numId w:val="181"/>
        </w:numPr>
        <w:tabs>
          <w:tab w:val="left" w:pos="568"/>
        </w:tabs>
        <w:ind w:left="644" w:hanging="36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w zakresie robót stałego zabezpieczenia drzew – roboty określone w odpowiednich ST, wymienionych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5.5 niniejszej specyfikacji,</w:t>
      </w:r>
    </w:p>
    <w:p w14:paraId="3473AA33" w14:textId="77777777" w:rsidR="00F45500" w:rsidRPr="007B192E" w:rsidRDefault="00F45500" w:rsidP="00F45500">
      <w:pPr>
        <w:pStyle w:val="Standard"/>
        <w:widowControl w:val="0"/>
        <w:numPr>
          <w:ilvl w:val="0"/>
          <w:numId w:val="98"/>
        </w:numPr>
        <w:tabs>
          <w:tab w:val="left" w:pos="568"/>
        </w:tabs>
        <w:ind w:left="284"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 zakresie robót pielęgnacyjnych drzew uszkodzonych – cięcie i zabezpieczenie uszkodzonych korzeni oraz wymiana gruntu w najbliższym otoczeniu uszkodzonych korzeni.</w:t>
      </w:r>
    </w:p>
    <w:p w14:paraId="545542EA" w14:textId="77777777" w:rsidR="00F45500" w:rsidRPr="007B192E" w:rsidRDefault="00F45500" w:rsidP="00EC199A">
      <w:pPr>
        <w:pStyle w:val="Nagwek2"/>
        <w:rPr>
          <w:i w:val="0"/>
          <w:color w:val="000000" w:themeColor="text1"/>
        </w:rPr>
      </w:pPr>
      <w:bookmarkStart w:id="137" w:name="__RefHeading__39934_1886666832"/>
      <w:r w:rsidRPr="007B192E">
        <w:rPr>
          <w:i w:val="0"/>
          <w:color w:val="000000" w:themeColor="text1"/>
        </w:rPr>
        <w:t>9. PODSTAWA PŁATNOŚCI</w:t>
      </w:r>
      <w:bookmarkEnd w:id="137"/>
    </w:p>
    <w:p w14:paraId="65F4E36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9.1. Ogólne ustalenia dotyczące podstawy płatności</w:t>
      </w:r>
    </w:p>
    <w:p w14:paraId="7EC58CF5" w14:textId="77777777" w:rsidR="00F45500" w:rsidRPr="007B192E" w:rsidRDefault="00F45500" w:rsidP="00F45500">
      <w:pPr>
        <w:pStyle w:val="Standard"/>
        <w:tabs>
          <w:tab w:val="left" w:pos="-709"/>
        </w:tabs>
        <w:jc w:val="both"/>
        <w:rPr>
          <w:rFonts w:ascii="Arial" w:hAnsi="Arial" w:cs="Arial"/>
          <w:color w:val="000000" w:themeColor="text1"/>
          <w:sz w:val="18"/>
          <w:szCs w:val="18"/>
        </w:rPr>
      </w:pPr>
      <w:r w:rsidRPr="007B192E">
        <w:rPr>
          <w:rFonts w:ascii="Arial" w:hAnsi="Arial" w:cs="Arial"/>
          <w:color w:val="000000" w:themeColor="text1"/>
          <w:sz w:val="18"/>
          <w:szCs w:val="18"/>
        </w:rPr>
        <w:t xml:space="preserve">Ogólne  ustalenia  dotyczące  podstawy  płatności  podano   w </w:t>
      </w:r>
      <w:r w:rsidRPr="007B192E">
        <w:rPr>
          <w:rFonts w:ascii="Arial" w:hAnsi="Arial" w:cs="Arial"/>
          <w:b/>
          <w:color w:val="000000" w:themeColor="text1"/>
          <w:sz w:val="18"/>
          <w:szCs w:val="18"/>
        </w:rPr>
        <w:t xml:space="preserve">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7BBD945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jednostki obmiarowej</w:t>
      </w:r>
    </w:p>
    <w:p w14:paraId="32F04823" w14:textId="77777777" w:rsidR="00F45500" w:rsidRPr="007B192E" w:rsidRDefault="00F45500" w:rsidP="00F45500">
      <w:pPr>
        <w:pStyle w:val="Standard"/>
        <w:tabs>
          <w:tab w:val="left" w:pos="-709"/>
        </w:tabs>
        <w:jc w:val="both"/>
        <w:rPr>
          <w:rFonts w:ascii="Arial" w:hAnsi="Arial" w:cs="Arial"/>
          <w:color w:val="000000" w:themeColor="text1"/>
          <w:sz w:val="18"/>
          <w:szCs w:val="18"/>
        </w:rPr>
      </w:pPr>
      <w:r w:rsidRPr="007B192E">
        <w:rPr>
          <w:rFonts w:ascii="Arial" w:hAnsi="Arial" w:cs="Arial"/>
          <w:color w:val="000000" w:themeColor="text1"/>
          <w:sz w:val="18"/>
          <w:szCs w:val="18"/>
        </w:rPr>
        <w:tab/>
        <w:t>Cena zabezpieczenia 1 sztuki drzewa obejmuje:</w:t>
      </w:r>
    </w:p>
    <w:p w14:paraId="470C36AA"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przygotowawcze, pomiarowe,</w:t>
      </w:r>
    </w:p>
    <w:p w14:paraId="3A99EA54"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pozyskanie miejsca składowania materiałów,</w:t>
      </w:r>
    </w:p>
    <w:p w14:paraId="3DBF78CD"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758A139B"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zabezpieczenia drzewa lub pielęgnacji drzewa uszkodzonego, zgodnie z wymaganiami dokumentacji projektowej i specyfikacji technicznej,</w:t>
      </w:r>
    </w:p>
    <w:p w14:paraId="4D1F17EB"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wymaganych w niniejszej specyfikacji technicznej,</w:t>
      </w:r>
    </w:p>
    <w:p w14:paraId="3CE580E4"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odwiezienie sprzętu,</w:t>
      </w:r>
    </w:p>
    <w:p w14:paraId="4B8E8198" w14:textId="77777777" w:rsidR="00F45500" w:rsidRPr="007B192E" w:rsidRDefault="00F45500" w:rsidP="00F45500">
      <w:pPr>
        <w:pStyle w:val="Standard"/>
        <w:widowControl w:val="0"/>
        <w:numPr>
          <w:ilvl w:val="0"/>
          <w:numId w:val="182"/>
        </w:numPr>
        <w:tabs>
          <w:tab w:val="left" w:pos="-709"/>
        </w:tabs>
        <w:ind w:left="360"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uporządkowanie terenu robót.</w:t>
      </w:r>
    </w:p>
    <w:p w14:paraId="350E8B1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09FB009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7D5392A0" w14:textId="77777777" w:rsidR="00F45500" w:rsidRPr="007B192E" w:rsidRDefault="00F45500" w:rsidP="00F45500">
      <w:pPr>
        <w:pStyle w:val="Standard"/>
        <w:widowControl w:val="0"/>
        <w:numPr>
          <w:ilvl w:val="0"/>
          <w:numId w:val="91"/>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0A2CED2E" w14:textId="77777777" w:rsidR="00F45500" w:rsidRPr="007B192E" w:rsidRDefault="00F45500" w:rsidP="00F45500">
      <w:pPr>
        <w:pStyle w:val="Standard"/>
        <w:widowControl w:val="0"/>
        <w:numPr>
          <w:ilvl w:val="0"/>
          <w:numId w:val="91"/>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lastRenderedPageBreak/>
        <w:t>prace towarzyszące, które są niezbędne do wykonania robót podstawowych, niezaliczane do robót tymczasowych, jak geodezyjne wytyczenie robót itd.</w:t>
      </w:r>
    </w:p>
    <w:p w14:paraId="7893A44C" w14:textId="77777777" w:rsidR="00F45500" w:rsidRPr="007B192E" w:rsidRDefault="00F45500" w:rsidP="00EC199A">
      <w:pPr>
        <w:pStyle w:val="Nagwek2"/>
        <w:rPr>
          <w:i w:val="0"/>
          <w:color w:val="000000" w:themeColor="text1"/>
        </w:rPr>
      </w:pPr>
      <w:bookmarkStart w:id="138" w:name="__RefHeading__39936_1886666832"/>
      <w:r w:rsidRPr="007B192E">
        <w:rPr>
          <w:i w:val="0"/>
          <w:color w:val="000000" w:themeColor="text1"/>
        </w:rPr>
        <w:t>10. PRZEPISY ZWIĄZANE</w:t>
      </w:r>
      <w:bookmarkEnd w:id="138"/>
    </w:p>
    <w:p w14:paraId="5312E65A" w14:textId="77777777" w:rsidR="00F45500" w:rsidRPr="007B192E" w:rsidRDefault="00F45500" w:rsidP="00F45500">
      <w:pPr>
        <w:pStyle w:val="Standard"/>
        <w:widowControl w:val="0"/>
        <w:numPr>
          <w:ilvl w:val="0"/>
          <w:numId w:val="183"/>
        </w:numPr>
        <w:spacing w:line="216" w:lineRule="auto"/>
        <w:jc w:val="both"/>
        <w:textAlignment w:val="baseline"/>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Zasady ochrony środowiska w drogownictwie. Dział 4. Ochrona środowiska w budowie dróg. GDDP, Warszawa 2002 (projekt)</w:t>
      </w:r>
    </w:p>
    <w:p w14:paraId="171BF685" w14:textId="77777777" w:rsidR="00F45500" w:rsidRPr="007B192E" w:rsidRDefault="00F45500" w:rsidP="00F45500">
      <w:pPr>
        <w:pStyle w:val="Standard"/>
        <w:spacing w:line="216" w:lineRule="auto"/>
        <w:jc w:val="both"/>
        <w:rPr>
          <w:rFonts w:ascii="Arial" w:eastAsia="Times New Roman" w:hAnsi="Arial" w:cs="Arial"/>
          <w:color w:val="000000" w:themeColor="text1"/>
          <w:sz w:val="20"/>
          <w:szCs w:val="20"/>
        </w:rPr>
      </w:pPr>
    </w:p>
    <w:p w14:paraId="26CD0E68"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23AE673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4B9EAF0"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B76EA1B"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3BFFDD75"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61DFAE90"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5D38BB1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646DD64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64C1CD09"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9E3C668"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323F727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7168A8E"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6CE4F30"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3C0C9F6"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610E74A"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185E4B7"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58A40A5C"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282E4902"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2B3A68C"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109140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2451980D"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6942DFD8"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592595B"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A7AC38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2AB4F0E"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3104BD7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DE4DE3D"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02E8E7E"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51D6ACA"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4969A55"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0AB6546"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A5929AF"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9A11722"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401573B"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027C5126"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641C2B1"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53D700BB"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A43DD39"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88AC500"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EB45D0E"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0862A39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B2A0ECD"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2786A47E"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3613D54"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47AAB42"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21090AF9"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2F6C001"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7F30E67D"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12073AA1"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3A60F7A6"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350967E2"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4E31501"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56A9A147"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49CF96F"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5519EC97"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5E9651D1" w14:textId="77777777" w:rsidR="00EC199A" w:rsidRPr="007B192E" w:rsidRDefault="00EC199A" w:rsidP="00F45500">
      <w:pPr>
        <w:pStyle w:val="Standard"/>
        <w:spacing w:line="216" w:lineRule="auto"/>
        <w:jc w:val="both"/>
        <w:rPr>
          <w:rFonts w:ascii="Arial" w:eastAsia="Times New Roman" w:hAnsi="Arial" w:cs="Arial"/>
          <w:color w:val="000000" w:themeColor="text1"/>
          <w:sz w:val="20"/>
          <w:szCs w:val="20"/>
        </w:rPr>
      </w:pPr>
    </w:p>
    <w:p w14:paraId="47CDAD85" w14:textId="77777777" w:rsidR="00F45500" w:rsidRPr="007B192E" w:rsidRDefault="00072856" w:rsidP="008F7A94">
      <w:pPr>
        <w:pStyle w:val="Nagwek1"/>
        <w:jc w:val="center"/>
        <w:rPr>
          <w:color w:val="000000" w:themeColor="text1"/>
          <w:sz w:val="40"/>
        </w:rPr>
      </w:pPr>
      <w:bookmarkStart w:id="139" w:name="_Toc163481048"/>
      <w:r w:rsidRPr="007B192E">
        <w:rPr>
          <w:color w:val="000000" w:themeColor="text1"/>
          <w:sz w:val="40"/>
        </w:rPr>
        <w:lastRenderedPageBreak/>
        <w:t>D-</w:t>
      </w:r>
      <w:r w:rsidR="00F45500" w:rsidRPr="007B192E">
        <w:rPr>
          <w:color w:val="000000" w:themeColor="text1"/>
          <w:sz w:val="40"/>
        </w:rPr>
        <w:t>01.02.04</w:t>
      </w:r>
      <w:r w:rsidR="008F7A94" w:rsidRPr="007B192E">
        <w:rPr>
          <w:color w:val="000000" w:themeColor="text1"/>
          <w:sz w:val="40"/>
        </w:rPr>
        <w:t xml:space="preserve"> </w:t>
      </w:r>
      <w:r w:rsidR="00F45500" w:rsidRPr="007B192E">
        <w:rPr>
          <w:color w:val="000000" w:themeColor="text1"/>
          <w:sz w:val="40"/>
        </w:rPr>
        <w:t>ROZBIÓRKA ELEMENTÓW DRÓG</w:t>
      </w:r>
      <w:bookmarkEnd w:id="139"/>
    </w:p>
    <w:p w14:paraId="3886A50D" w14:textId="77777777" w:rsidR="00F45500" w:rsidRPr="007B192E" w:rsidRDefault="00F45500" w:rsidP="00EC199A">
      <w:pPr>
        <w:pStyle w:val="Nagwek2"/>
        <w:rPr>
          <w:i w:val="0"/>
          <w:color w:val="000000" w:themeColor="text1"/>
          <w:sz w:val="24"/>
        </w:rPr>
      </w:pPr>
      <w:r w:rsidRPr="007B192E">
        <w:rPr>
          <w:i w:val="0"/>
          <w:color w:val="000000" w:themeColor="text1"/>
          <w:sz w:val="24"/>
        </w:rPr>
        <w:t>1. WSTĘP</w:t>
      </w:r>
    </w:p>
    <w:p w14:paraId="2076C67B"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1.1.Przedmiot ST</w:t>
      </w:r>
    </w:p>
    <w:p w14:paraId="07A91F99" w14:textId="77777777" w:rsidR="00F45500" w:rsidRPr="007B192E" w:rsidRDefault="00F45500" w:rsidP="00F45500">
      <w:pPr>
        <w:pStyle w:val="tekstost"/>
        <w:spacing w:line="216" w:lineRule="auto"/>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Przedmiotem niniejszej specyfikacji technicznej (ST) są wymagania dotyczące wykonania i odbioru robót  związanych z rozbiórką elementów dróg i ogrodzeń.</w:t>
      </w:r>
    </w:p>
    <w:p w14:paraId="7E2DEBE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42C0B78B" w14:textId="77777777" w:rsidR="00F45500" w:rsidRPr="007B192E" w:rsidRDefault="00F45500" w:rsidP="00F45500">
      <w:pPr>
        <w:pStyle w:val="tekstost"/>
        <w:spacing w:line="216" w:lineRule="auto"/>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764E1E3E"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1.3. Zakres robót objętych ST</w:t>
      </w:r>
    </w:p>
    <w:p w14:paraId="2DEB2D0E" w14:textId="77777777" w:rsidR="00F45500" w:rsidRPr="007B192E" w:rsidRDefault="00F45500" w:rsidP="00F45500">
      <w:pPr>
        <w:pStyle w:val="Standard"/>
        <w:tabs>
          <w:tab w:val="right" w:pos="-1985"/>
          <w:tab w:val="right" w:pos="8504"/>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Ustalenia zawarte w niniejszej specyfikacji dotyczą zasad prowadzenia robót związanych z rozbiórką:</w:t>
      </w:r>
    </w:p>
    <w:p w14:paraId="322C47BB" w14:textId="77777777" w:rsidR="00F45500" w:rsidRPr="007B192E" w:rsidRDefault="00F45500" w:rsidP="00F45500">
      <w:pPr>
        <w:pStyle w:val="Standard"/>
        <w:widowControl w:val="0"/>
        <w:numPr>
          <w:ilvl w:val="0"/>
          <w:numId w:val="17"/>
        </w:numPr>
        <w:tabs>
          <w:tab w:val="clear" w:pos="0"/>
        </w:tabs>
        <w:textAlignment w:val="baseline"/>
        <w:rPr>
          <w:rFonts w:ascii="Arial" w:hAnsi="Arial" w:cs="Arial"/>
          <w:color w:val="000000" w:themeColor="text1"/>
          <w:sz w:val="18"/>
          <w:szCs w:val="18"/>
        </w:rPr>
      </w:pPr>
      <w:r w:rsidRPr="007B192E">
        <w:rPr>
          <w:rFonts w:ascii="Arial" w:hAnsi="Arial" w:cs="Arial"/>
          <w:color w:val="000000" w:themeColor="text1"/>
          <w:sz w:val="18"/>
          <w:szCs w:val="18"/>
        </w:rPr>
        <w:t>warstw nawierzchni,</w:t>
      </w:r>
    </w:p>
    <w:p w14:paraId="67C89C02" w14:textId="77777777" w:rsidR="00F45500" w:rsidRPr="007B192E" w:rsidRDefault="00F45500" w:rsidP="00F45500">
      <w:pPr>
        <w:pStyle w:val="Standard"/>
        <w:widowControl w:val="0"/>
        <w:numPr>
          <w:ilvl w:val="0"/>
          <w:numId w:val="17"/>
        </w:numPr>
        <w:tabs>
          <w:tab w:val="clear" w:pos="0"/>
        </w:tabs>
        <w:textAlignment w:val="baseline"/>
        <w:rPr>
          <w:rFonts w:ascii="Arial" w:hAnsi="Arial" w:cs="Arial"/>
          <w:color w:val="000000" w:themeColor="text1"/>
          <w:sz w:val="18"/>
          <w:szCs w:val="18"/>
        </w:rPr>
      </w:pPr>
      <w:r w:rsidRPr="007B192E">
        <w:rPr>
          <w:rFonts w:ascii="Arial" w:hAnsi="Arial" w:cs="Arial"/>
          <w:color w:val="000000" w:themeColor="text1"/>
          <w:sz w:val="18"/>
          <w:szCs w:val="18"/>
        </w:rPr>
        <w:t>krawężników, obrzeży i oporników,</w:t>
      </w:r>
    </w:p>
    <w:p w14:paraId="1615F915" w14:textId="77777777" w:rsidR="00F45500" w:rsidRPr="007B192E"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chodników,</w:t>
      </w:r>
    </w:p>
    <w:p w14:paraId="640153DF" w14:textId="77777777" w:rsidR="00F45500" w:rsidRPr="007B192E"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znaków drogowych,</w:t>
      </w:r>
    </w:p>
    <w:p w14:paraId="21FB8986" w14:textId="77777777" w:rsidR="00F45500" w:rsidRPr="007B192E" w:rsidRDefault="00F45500" w:rsidP="00F45500">
      <w:pPr>
        <w:pStyle w:val="Standard"/>
        <w:numPr>
          <w:ilvl w:val="0"/>
          <w:numId w:val="17"/>
        </w:numPr>
        <w:tabs>
          <w:tab w:val="clear" w:pos="0"/>
        </w:tabs>
        <w:suppressAutoHyphens w:val="0"/>
        <w:overflowPunct w:val="0"/>
        <w:autoSpaceDE w:val="0"/>
        <w:adjustRightInd w:val="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ogrodzeń.</w:t>
      </w:r>
    </w:p>
    <w:p w14:paraId="49D7A8A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1.4. Określenia podstawowe</w:t>
      </w:r>
    </w:p>
    <w:p w14:paraId="716DF9B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Stosowane określenia podstawowe są zgodne z obowiązującymi, odpowiednimi polskimi normami oraz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2312B728"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1.5. Wymagania dotyczące robót</w:t>
      </w:r>
    </w:p>
    <w:p w14:paraId="200937CD"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1CAE64C7" w14:textId="77777777" w:rsidR="00F45500" w:rsidRPr="007B192E" w:rsidRDefault="00F45500" w:rsidP="00EC199A">
      <w:pPr>
        <w:pStyle w:val="Nagwek2"/>
        <w:rPr>
          <w:i w:val="0"/>
          <w:color w:val="000000" w:themeColor="text1"/>
          <w:sz w:val="24"/>
        </w:rPr>
      </w:pPr>
      <w:r w:rsidRPr="007B192E">
        <w:rPr>
          <w:i w:val="0"/>
          <w:color w:val="000000" w:themeColor="text1"/>
          <w:sz w:val="24"/>
        </w:rPr>
        <w:t>2. MATERIAŁY</w:t>
      </w:r>
    </w:p>
    <w:p w14:paraId="695CEDB3"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2.1. Wymagania dotyczące materiałów</w:t>
      </w:r>
    </w:p>
    <w:p w14:paraId="2D17C9D7"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2.</w:t>
      </w:r>
    </w:p>
    <w:p w14:paraId="04A70078" w14:textId="77777777" w:rsidR="00F45500" w:rsidRPr="007B192E" w:rsidRDefault="00F45500" w:rsidP="00EC199A">
      <w:pPr>
        <w:pStyle w:val="Nagwek2"/>
        <w:rPr>
          <w:i w:val="0"/>
          <w:color w:val="000000" w:themeColor="text1"/>
          <w:sz w:val="24"/>
        </w:rPr>
      </w:pPr>
      <w:r w:rsidRPr="007B192E">
        <w:rPr>
          <w:i w:val="0"/>
          <w:color w:val="000000" w:themeColor="text1"/>
          <w:sz w:val="24"/>
        </w:rPr>
        <w:t>3. SPRZĘT</w:t>
      </w:r>
    </w:p>
    <w:p w14:paraId="15C9BA63"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3.1. Wymagania dotyczące sprzętu</w:t>
      </w:r>
    </w:p>
    <w:p w14:paraId="770023AE"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5B65C17F"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3.2. Sprzęt do rozbiórki</w:t>
      </w:r>
    </w:p>
    <w:p w14:paraId="69BD0591"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 wykonania robót związanych z rozbiórką elementów dróg i ogrodzeń, ogrodzeń i przepustów może być wykorzystany sprzęt podany poniżej, lub inny zaakceptowany przez Inżyniera:</w:t>
      </w:r>
    </w:p>
    <w:p w14:paraId="138B831D"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spycharki,</w:t>
      </w:r>
    </w:p>
    <w:p w14:paraId="6A31B78A"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ładowarki,</w:t>
      </w:r>
    </w:p>
    <w:p w14:paraId="105B1854"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żurawie samochodowe,</w:t>
      </w:r>
    </w:p>
    <w:p w14:paraId="11C11746"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samochody ciężarowe,</w:t>
      </w:r>
    </w:p>
    <w:p w14:paraId="37A69A38"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zrywarki,</w:t>
      </w:r>
    </w:p>
    <w:p w14:paraId="0D771C41"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młoty pneumatyczne,</w:t>
      </w:r>
    </w:p>
    <w:p w14:paraId="2D83AF26"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piły mechaniczne,</w:t>
      </w:r>
    </w:p>
    <w:p w14:paraId="2FE30DDC"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frezarki nawierzchni,</w:t>
      </w:r>
    </w:p>
    <w:p w14:paraId="34978E95" w14:textId="77777777" w:rsidR="00F45500" w:rsidRPr="007B192E" w:rsidRDefault="00F45500" w:rsidP="00F45500">
      <w:pPr>
        <w:pStyle w:val="Standard"/>
        <w:widowControl w:val="0"/>
        <w:numPr>
          <w:ilvl w:val="0"/>
          <w:numId w:val="31"/>
        </w:numPr>
        <w:tabs>
          <w:tab w:val="clear" w:pos="360"/>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koparki.</w:t>
      </w:r>
    </w:p>
    <w:p w14:paraId="3545C5EB" w14:textId="77777777" w:rsidR="00F45500" w:rsidRPr="007B192E" w:rsidRDefault="00F45500" w:rsidP="00EC199A">
      <w:pPr>
        <w:pStyle w:val="Nagwek2"/>
        <w:rPr>
          <w:i w:val="0"/>
          <w:color w:val="000000" w:themeColor="text1"/>
          <w:sz w:val="24"/>
        </w:rPr>
      </w:pPr>
      <w:r w:rsidRPr="007B192E">
        <w:rPr>
          <w:i w:val="0"/>
          <w:color w:val="000000" w:themeColor="text1"/>
          <w:sz w:val="24"/>
        </w:rPr>
        <w:t>4. TRANSPORT</w:t>
      </w:r>
    </w:p>
    <w:p w14:paraId="50C68F6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4.1. Wymagania dotyczące transportu</w:t>
      </w:r>
    </w:p>
    <w:p w14:paraId="6C7843BF"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5CCBF4B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4.2. Transport materiałów z rozbiórki</w:t>
      </w:r>
    </w:p>
    <w:p w14:paraId="1777F3EA"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Materiał z rozbiórki można przewozić dowolnym środkiem transportu.</w:t>
      </w:r>
    </w:p>
    <w:p w14:paraId="6FD50CE8" w14:textId="77777777" w:rsidR="00F45500" w:rsidRPr="007B192E" w:rsidRDefault="00F45500" w:rsidP="00EC199A">
      <w:pPr>
        <w:pStyle w:val="Nagwek2"/>
        <w:rPr>
          <w:i w:val="0"/>
          <w:color w:val="000000" w:themeColor="text1"/>
          <w:sz w:val="24"/>
        </w:rPr>
      </w:pPr>
      <w:r w:rsidRPr="007B192E">
        <w:rPr>
          <w:i w:val="0"/>
          <w:color w:val="000000" w:themeColor="text1"/>
          <w:sz w:val="24"/>
        </w:rPr>
        <w:t>5. WYKONANIE ROBÓT</w:t>
      </w:r>
    </w:p>
    <w:p w14:paraId="5B5D0343"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5.1. Zasady wykonania robót</w:t>
      </w:r>
    </w:p>
    <w:p w14:paraId="1A52F93C"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w:t>
      </w:r>
    </w:p>
    <w:p w14:paraId="7C3028BE"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5.2. Wykonanie robót rozbiórkowych</w:t>
      </w:r>
    </w:p>
    <w:p w14:paraId="5E97F8D5"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Roboty rozbiórkowe elementów dróg i ogrodzeń obejmują usunięcie z terenu budowy wszystkich elementów wymienionych w pkt 1.3, zgodnie z dokumentacją projektową lub wskazanych przez Inżyniera.</w:t>
      </w:r>
    </w:p>
    <w:p w14:paraId="0731EE4E"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Inżynier może polecić Wykonawcy sporządzenie dokumentacji inwentaryzacyjnej, w której zostanie określony przewidziany odzysk materiałów.</w:t>
      </w:r>
    </w:p>
    <w:p w14:paraId="218FE188"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Roboty rozbiórkowe można wykonywać mechanicznie lub ręcznie w sposób określony w ST lub przez Inżyniera.</w:t>
      </w:r>
    </w:p>
    <w:p w14:paraId="27CBE4EA" w14:textId="77777777" w:rsidR="00973813" w:rsidRPr="007B192E" w:rsidRDefault="00F45500" w:rsidP="00973813">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Wszystkie elementy możliwe do powtórnego wykorzystania powinny być usuwane bez powodowania zbędnych uszkodzeń, Wykonawca powinien przewieźć je na miejsce wskazane przez Inżyniera.</w:t>
      </w:r>
    </w:p>
    <w:p w14:paraId="5419BBEC" w14:textId="77777777" w:rsidR="00973813" w:rsidRPr="007B192E" w:rsidRDefault="00973813" w:rsidP="00973813">
      <w:pPr>
        <w:pStyle w:val="Standard"/>
        <w:tabs>
          <w:tab w:val="right" w:leader="dot" w:pos="-1985"/>
        </w:tabs>
        <w:spacing w:line="216" w:lineRule="auto"/>
        <w:jc w:val="both"/>
        <w:rPr>
          <w:rFonts w:ascii="Arial" w:hAnsi="Arial" w:cs="Arial"/>
          <w:color w:val="000000" w:themeColor="text1"/>
          <w:sz w:val="18"/>
          <w:szCs w:val="18"/>
        </w:rPr>
      </w:pPr>
    </w:p>
    <w:p w14:paraId="7A4B418B" w14:textId="77777777" w:rsidR="00F45500" w:rsidRPr="007B192E" w:rsidRDefault="00F45500" w:rsidP="00973813">
      <w:pPr>
        <w:pStyle w:val="Standard"/>
        <w:tabs>
          <w:tab w:val="right" w:leader="dot" w:pos="-1985"/>
        </w:tabs>
        <w:spacing w:line="216" w:lineRule="auto"/>
        <w:jc w:val="both"/>
        <w:rPr>
          <w:rFonts w:ascii="Arial" w:eastAsia="Times New Roman" w:hAnsi="Arial" w:cs="Arial"/>
          <w:b/>
          <w:bCs/>
          <w:iCs/>
          <w:color w:val="000000" w:themeColor="text1"/>
          <w:kern w:val="0"/>
          <w:szCs w:val="28"/>
          <w:lang w:eastAsia="ar-SA"/>
        </w:rPr>
      </w:pPr>
      <w:r w:rsidRPr="007B192E">
        <w:rPr>
          <w:rFonts w:ascii="Arial" w:eastAsia="Times New Roman" w:hAnsi="Arial" w:cs="Arial"/>
          <w:b/>
          <w:bCs/>
          <w:iCs/>
          <w:color w:val="000000" w:themeColor="text1"/>
          <w:kern w:val="0"/>
          <w:szCs w:val="28"/>
          <w:lang w:eastAsia="ar-SA"/>
        </w:rPr>
        <w:t>6. KONTROLA JAKOŚCI ROBÓT</w:t>
      </w:r>
    </w:p>
    <w:p w14:paraId="341E788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6.1. Zasady kontroli jakości robót</w:t>
      </w:r>
    </w:p>
    <w:p w14:paraId="10024615"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42475D3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lastRenderedPageBreak/>
        <w:t>6.2. Kontrola jakości robót rozbiórkowych</w:t>
      </w:r>
    </w:p>
    <w:p w14:paraId="46CFA254"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Kontrola jakości robót polega na wizualnej ocenie kompletności wykonanych robót rozbiórkowych oraz sprawdzeniu stopnia uszkodzenia elementów przewidzianych do powtórnego wykorzystania.</w:t>
      </w:r>
    </w:p>
    <w:p w14:paraId="269355D2" w14:textId="77777777" w:rsidR="00F45500" w:rsidRPr="007B192E" w:rsidRDefault="00F45500" w:rsidP="00F45500">
      <w:pPr>
        <w:numPr>
          <w:ilvl w:val="12"/>
          <w:numId w:val="0"/>
        </w:numPr>
        <w:tabs>
          <w:tab w:val="right" w:leader="dot" w:pos="-1985"/>
          <w:tab w:val="left" w:pos="426"/>
          <w:tab w:val="right" w:leader="dot" w:pos="8505"/>
        </w:tabs>
        <w:spacing w:before="120"/>
        <w:rPr>
          <w:rFonts w:ascii="Arial" w:hAnsi="Arial" w:cs="Arial"/>
          <w:color w:val="000000" w:themeColor="text1"/>
          <w:sz w:val="18"/>
          <w:szCs w:val="18"/>
        </w:rPr>
      </w:pPr>
      <w:r w:rsidRPr="007B192E">
        <w:rPr>
          <w:rFonts w:ascii="Arial" w:hAnsi="Arial" w:cs="Arial"/>
          <w:color w:val="000000" w:themeColor="text1"/>
          <w:sz w:val="18"/>
          <w:szCs w:val="18"/>
        </w:rPr>
        <w:tab/>
        <w:t>Zagęszczenie gruntu wypełniającego ewentualne doły po usuniętych elementach nawierzchni, ogrodzeń i przepustów powinno spełniać odpowiednie wymagania określone w ST D-02.00.00 „Roboty ziemne”.</w:t>
      </w:r>
    </w:p>
    <w:p w14:paraId="7D5022F1" w14:textId="77777777" w:rsidR="00F45500" w:rsidRPr="007B192E" w:rsidRDefault="00F45500" w:rsidP="00056B48">
      <w:pPr>
        <w:pStyle w:val="Nagwek2"/>
        <w:rPr>
          <w:i w:val="0"/>
          <w:color w:val="000000" w:themeColor="text1"/>
          <w:sz w:val="22"/>
        </w:rPr>
      </w:pPr>
      <w:r w:rsidRPr="007B192E">
        <w:rPr>
          <w:i w:val="0"/>
          <w:color w:val="000000" w:themeColor="text1"/>
          <w:sz w:val="22"/>
        </w:rPr>
        <w:t>7. OBMIAR ROBÓT</w:t>
      </w:r>
    </w:p>
    <w:p w14:paraId="0659669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7.1. Zasady obmiaru robót</w:t>
      </w:r>
    </w:p>
    <w:p w14:paraId="2EC1B68D"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58851730"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7.2. Jednostka obmiarowa</w:t>
      </w:r>
    </w:p>
    <w:p w14:paraId="04D76FB9"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Jednostką obmiarową robót związanych z rozbiórką elementów dróg i ogrodzeń jest:</w:t>
      </w:r>
    </w:p>
    <w:p w14:paraId="57E5B32B" w14:textId="77777777" w:rsidR="00F45500" w:rsidRPr="007B192E" w:rsidRDefault="00F45500" w:rsidP="00F45500">
      <w:pPr>
        <w:pStyle w:val="Standard"/>
        <w:widowControl w:val="0"/>
        <w:numPr>
          <w:ilvl w:val="0"/>
          <w:numId w:val="162"/>
        </w:numPr>
        <w:tabs>
          <w:tab w:val="right" w:leader="dot" w:pos="-1985"/>
          <w:tab w:val="left" w:pos="426"/>
          <w:tab w:val="right" w:leader="dot" w:pos="850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dla nawierzchni i chodnika - m2 (metr kwadratowy),</w:t>
      </w:r>
    </w:p>
    <w:p w14:paraId="221763D8" w14:textId="77777777" w:rsidR="00F45500" w:rsidRPr="007B192E" w:rsidRDefault="00F45500" w:rsidP="00F45500">
      <w:pPr>
        <w:pStyle w:val="Standard"/>
        <w:widowControl w:val="0"/>
        <w:numPr>
          <w:ilvl w:val="0"/>
          <w:numId w:val="162"/>
        </w:numPr>
        <w:tabs>
          <w:tab w:val="right" w:leader="dot" w:pos="-1985"/>
          <w:tab w:val="left" w:pos="426"/>
          <w:tab w:val="right" w:leader="dot" w:pos="8505"/>
        </w:tabs>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dla krawężnika, opornika, obrzeża, ścieków prefabrykowanych, ogrodzeń, barier i poręczy - m (metr).</w:t>
      </w:r>
    </w:p>
    <w:p w14:paraId="765E2C88" w14:textId="77777777" w:rsidR="00F45500" w:rsidRPr="007B192E" w:rsidRDefault="00F45500" w:rsidP="00056B48">
      <w:pPr>
        <w:pStyle w:val="Nagwek2"/>
        <w:rPr>
          <w:i w:val="0"/>
          <w:color w:val="000000" w:themeColor="text1"/>
          <w:sz w:val="22"/>
        </w:rPr>
      </w:pPr>
      <w:r w:rsidRPr="007B192E">
        <w:rPr>
          <w:i w:val="0"/>
          <w:color w:val="000000" w:themeColor="text1"/>
          <w:sz w:val="22"/>
        </w:rPr>
        <w:t>8. ODBIÓR ROBÓT</w:t>
      </w:r>
    </w:p>
    <w:p w14:paraId="15DF6029"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3578B706" w14:textId="77777777" w:rsidR="00F45500" w:rsidRPr="007B192E" w:rsidRDefault="00F45500" w:rsidP="00056B48">
      <w:pPr>
        <w:pStyle w:val="Nagwek2"/>
        <w:rPr>
          <w:i w:val="0"/>
          <w:color w:val="000000" w:themeColor="text1"/>
          <w:sz w:val="22"/>
        </w:rPr>
      </w:pPr>
      <w:r w:rsidRPr="007B192E">
        <w:rPr>
          <w:i w:val="0"/>
          <w:color w:val="000000" w:themeColor="text1"/>
          <w:sz w:val="22"/>
        </w:rPr>
        <w:t>9. PODSTAWA PŁATNOŚCI</w:t>
      </w:r>
    </w:p>
    <w:p w14:paraId="7312288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9.1. Ustalenia dotyczące podstawy płatności</w:t>
      </w:r>
    </w:p>
    <w:p w14:paraId="1AA9006F" w14:textId="77777777" w:rsidR="00F45500" w:rsidRPr="007B192E" w:rsidRDefault="00F45500" w:rsidP="00F45500">
      <w:pPr>
        <w:pStyle w:val="Standard"/>
        <w:tabs>
          <w:tab w:val="right" w:leader="dot" w:pos="-1985"/>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9.</w:t>
      </w:r>
    </w:p>
    <w:p w14:paraId="608269E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9.2. Cena jednostki obmiarowej</w:t>
      </w:r>
    </w:p>
    <w:p w14:paraId="0624C87D" w14:textId="77777777" w:rsidR="00F45500" w:rsidRPr="007B192E"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obejmuje:</w:t>
      </w:r>
    </w:p>
    <w:p w14:paraId="4C2C1E87" w14:textId="77777777" w:rsidR="00F45500" w:rsidRPr="007B192E"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 dla rozbiórki warstw nawierzchni:</w:t>
      </w:r>
    </w:p>
    <w:p w14:paraId="539C06F2"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wyznaczenie powierzchni przeznaczonej do rozbiórki,</w:t>
      </w:r>
    </w:p>
    <w:p w14:paraId="23C34CF4"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rozkucie i zerwanie nawierzchni,</w:t>
      </w:r>
    </w:p>
    <w:p w14:paraId="166BFAB8"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ew. przesortowanie materiału uzyskanego z rozbiórki, w celu ponownego jej użycia, z ułożeniem na poboczu,</w:t>
      </w:r>
    </w:p>
    <w:p w14:paraId="477E22A9"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załadunek i wywiezienie materiałów z rozbiórki,</w:t>
      </w:r>
    </w:p>
    <w:p w14:paraId="4D04819D"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wyrównanie podłoża i uporządkowanie terenu rozbiórki;</w:t>
      </w:r>
    </w:p>
    <w:p w14:paraId="40ED442B" w14:textId="77777777" w:rsidR="00F45500" w:rsidRPr="007B192E"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b) dla rozbiórki krawężników, obrzeży i oporników:</w:t>
      </w:r>
    </w:p>
    <w:p w14:paraId="695D012E"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odkopanie krawężników, obrzeży i oporników wraz z wyjęciem i oczyszczeniem,</w:t>
      </w:r>
    </w:p>
    <w:p w14:paraId="30034091"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zerwanie podsypki cementowo-piaskowej i ew. ław,</w:t>
      </w:r>
    </w:p>
    <w:p w14:paraId="07D0C203"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załadunek i wywiezienie materiału z rozbiórki,</w:t>
      </w:r>
    </w:p>
    <w:p w14:paraId="6EAF9D91"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wyrównanie podłoża i uporządkowanie terenu rozbiórki;</w:t>
      </w:r>
    </w:p>
    <w:p w14:paraId="623CB185" w14:textId="77777777" w:rsidR="00F45500" w:rsidRPr="007B192E" w:rsidRDefault="00F45500" w:rsidP="00F45500">
      <w:pPr>
        <w:pStyle w:val="Standard"/>
        <w:tabs>
          <w:tab w:val="right" w:leader="dot" w:pos="-1985"/>
          <w:tab w:val="left" w:pos="426"/>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c) dla rozbiórki chodników:</w:t>
      </w:r>
    </w:p>
    <w:p w14:paraId="4D73203F"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ręczne wyjęcie płyt chodnikowych, lub rozkucie i zerwanie innych materiałów chodnikowych,</w:t>
      </w:r>
    </w:p>
    <w:p w14:paraId="54A8DE10"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ew. przesortowanie materiału uzyskanego z rozbiórki w celu ponownego jego użycia, z ułożeniem na poboczu,</w:t>
      </w:r>
    </w:p>
    <w:p w14:paraId="6D5BE919"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zerwanie podsypki cementowo-piaskowej,</w:t>
      </w:r>
    </w:p>
    <w:p w14:paraId="7A0A4363"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załadunek i wywiezienie materiałów z rozbiórki,</w:t>
      </w:r>
    </w:p>
    <w:p w14:paraId="76C82EF6" w14:textId="77777777" w:rsidR="00F45500" w:rsidRPr="007B192E" w:rsidRDefault="00F45500" w:rsidP="00F45500">
      <w:pPr>
        <w:pStyle w:val="Standard"/>
        <w:widowControl w:val="0"/>
        <w:numPr>
          <w:ilvl w:val="0"/>
          <w:numId w:val="25"/>
        </w:numPr>
        <w:tabs>
          <w:tab w:val="clear" w:pos="0"/>
          <w:tab w:val="right" w:leader="dot" w:pos="-1985"/>
          <w:tab w:val="left" w:pos="426"/>
          <w:tab w:val="right" w:leader="dot" w:pos="8505"/>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wyrównanie podłoża i uporządkowanie terenu rozbiórki;</w:t>
      </w:r>
    </w:p>
    <w:p w14:paraId="78BE9943" w14:textId="77777777" w:rsidR="00F45500" w:rsidRPr="007B192E" w:rsidRDefault="00F45500" w:rsidP="00F45500">
      <w:pPr>
        <w:numPr>
          <w:ilvl w:val="12"/>
          <w:numId w:val="0"/>
        </w:numPr>
        <w:tabs>
          <w:tab w:val="right" w:leader="dot" w:pos="-1985"/>
          <w:tab w:val="left" w:pos="426"/>
          <w:tab w:val="right" w:leader="dot" w:pos="8505"/>
        </w:tabs>
        <w:rPr>
          <w:rFonts w:ascii="Arial" w:hAnsi="Arial" w:cs="Arial"/>
          <w:color w:val="000000" w:themeColor="text1"/>
          <w:sz w:val="18"/>
          <w:szCs w:val="18"/>
        </w:rPr>
      </w:pPr>
      <w:r w:rsidRPr="007B192E">
        <w:rPr>
          <w:rFonts w:ascii="Arial" w:hAnsi="Arial" w:cs="Arial"/>
          <w:color w:val="000000" w:themeColor="text1"/>
          <w:sz w:val="18"/>
          <w:szCs w:val="18"/>
        </w:rPr>
        <w:t>d) dla rozbiórki ogrodzeń:</w:t>
      </w:r>
    </w:p>
    <w:p w14:paraId="430A8FF5" w14:textId="77777777" w:rsidR="00F45500" w:rsidRPr="007B192E"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demontaż elementów ogrodzenia,</w:t>
      </w:r>
    </w:p>
    <w:p w14:paraId="07418425" w14:textId="77777777" w:rsidR="00F45500" w:rsidRPr="007B192E"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odkopanie i wydobycie słupków wraz z fundamentem,</w:t>
      </w:r>
    </w:p>
    <w:p w14:paraId="7777469F" w14:textId="77777777" w:rsidR="00F45500" w:rsidRPr="007B192E"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zasypanie dołów po słupkach z zagęszczeniem do uzyskania </w:t>
      </w:r>
      <w:proofErr w:type="spellStart"/>
      <w:r w:rsidRPr="007B192E">
        <w:rPr>
          <w:rFonts w:ascii="Arial" w:hAnsi="Arial" w:cs="Arial"/>
          <w:color w:val="000000" w:themeColor="text1"/>
          <w:sz w:val="18"/>
          <w:szCs w:val="18"/>
        </w:rPr>
        <w:t>Is</w:t>
      </w:r>
      <w:proofErr w:type="spellEnd"/>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sym w:font="Symbol" w:char="F0B3"/>
      </w:r>
      <w:r w:rsidRPr="007B192E">
        <w:rPr>
          <w:rFonts w:ascii="Arial" w:hAnsi="Arial" w:cs="Arial"/>
          <w:color w:val="000000" w:themeColor="text1"/>
          <w:sz w:val="18"/>
          <w:szCs w:val="18"/>
        </w:rPr>
        <w:t xml:space="preserve"> 1,00 wg BN-77/8931-12 [9],</w:t>
      </w:r>
    </w:p>
    <w:p w14:paraId="35DD3108" w14:textId="77777777" w:rsidR="00F45500" w:rsidRPr="007B192E"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przesortowanie materiału uzyskanego z rozbiórki, w celu ponownego jego użycia, z ułożeniem w stosy na poboczu,</w:t>
      </w:r>
    </w:p>
    <w:p w14:paraId="01AECFB6" w14:textId="77777777" w:rsidR="00F45500" w:rsidRPr="007B192E"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załadunek i wywiezienie materiałów z rozbiórki,</w:t>
      </w:r>
    </w:p>
    <w:p w14:paraId="2A631764" w14:textId="77777777" w:rsidR="00F45500" w:rsidRPr="007B192E" w:rsidRDefault="00F45500" w:rsidP="00F45500">
      <w:pPr>
        <w:widowControl/>
        <w:numPr>
          <w:ilvl w:val="0"/>
          <w:numId w:val="196"/>
        </w:numPr>
        <w:tabs>
          <w:tab w:val="right" w:leader="dot" w:pos="-1985"/>
          <w:tab w:val="left" w:pos="426"/>
          <w:tab w:val="right" w:leader="dot" w:pos="8505"/>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uporządkowanie terenu rozbiórki.</w:t>
      </w:r>
    </w:p>
    <w:p w14:paraId="3685197E" w14:textId="77777777" w:rsidR="00F45500" w:rsidRPr="007B192E" w:rsidRDefault="00F45500" w:rsidP="00056B48">
      <w:pPr>
        <w:pStyle w:val="Nagwek2"/>
        <w:rPr>
          <w:i w:val="0"/>
          <w:color w:val="000000" w:themeColor="text1"/>
          <w:sz w:val="22"/>
        </w:rPr>
      </w:pPr>
      <w:r w:rsidRPr="007B192E">
        <w:rPr>
          <w:i w:val="0"/>
          <w:color w:val="000000" w:themeColor="text1"/>
          <w:sz w:val="22"/>
        </w:rPr>
        <w:t>10. PRZEPISY ZWIĄZANE</w:t>
      </w:r>
    </w:p>
    <w:p w14:paraId="2B2FD02A"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Normy</w:t>
      </w:r>
    </w:p>
    <w:tbl>
      <w:tblPr>
        <w:tblW w:w="7158" w:type="dxa"/>
        <w:tblLayout w:type="fixed"/>
        <w:tblCellMar>
          <w:left w:w="10" w:type="dxa"/>
          <w:right w:w="10" w:type="dxa"/>
        </w:tblCellMar>
        <w:tblLook w:val="0000" w:firstRow="0" w:lastRow="0" w:firstColumn="0" w:lastColumn="0" w:noHBand="0" w:noVBand="0"/>
      </w:tblPr>
      <w:tblGrid>
        <w:gridCol w:w="496"/>
        <w:gridCol w:w="2552"/>
        <w:gridCol w:w="4110"/>
      </w:tblGrid>
      <w:tr w:rsidR="004D7D23" w:rsidRPr="007B192E" w14:paraId="11A7BDAA" w14:textId="77777777" w:rsidTr="00973813">
        <w:trPr>
          <w:trHeight w:val="340"/>
        </w:trPr>
        <w:tc>
          <w:tcPr>
            <w:tcW w:w="496" w:type="dxa"/>
            <w:tcMar>
              <w:top w:w="0" w:type="dxa"/>
              <w:left w:w="70" w:type="dxa"/>
              <w:bottom w:w="0" w:type="dxa"/>
              <w:right w:w="70" w:type="dxa"/>
            </w:tcMar>
            <w:vAlign w:val="center"/>
          </w:tcPr>
          <w:p w14:paraId="6451A97B"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1.</w:t>
            </w:r>
          </w:p>
        </w:tc>
        <w:tc>
          <w:tcPr>
            <w:tcW w:w="2552" w:type="dxa"/>
            <w:tcMar>
              <w:top w:w="0" w:type="dxa"/>
              <w:left w:w="70" w:type="dxa"/>
              <w:bottom w:w="0" w:type="dxa"/>
              <w:right w:w="70" w:type="dxa"/>
            </w:tcMar>
            <w:vAlign w:val="center"/>
          </w:tcPr>
          <w:p w14:paraId="2BDFC5CD"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PN-D-95017</w:t>
            </w:r>
          </w:p>
        </w:tc>
        <w:tc>
          <w:tcPr>
            <w:tcW w:w="4110" w:type="dxa"/>
            <w:tcMar>
              <w:top w:w="0" w:type="dxa"/>
              <w:left w:w="70" w:type="dxa"/>
              <w:bottom w:w="0" w:type="dxa"/>
              <w:right w:w="70" w:type="dxa"/>
            </w:tcMar>
            <w:vAlign w:val="center"/>
          </w:tcPr>
          <w:p w14:paraId="42B41573"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Surowiec drzewny. Drewno tartaczne iglaste.</w:t>
            </w:r>
          </w:p>
        </w:tc>
      </w:tr>
      <w:tr w:rsidR="004D7D23" w:rsidRPr="007B192E" w14:paraId="668BEC3F" w14:textId="77777777" w:rsidTr="00973813">
        <w:trPr>
          <w:trHeight w:val="340"/>
        </w:trPr>
        <w:tc>
          <w:tcPr>
            <w:tcW w:w="496" w:type="dxa"/>
            <w:tcMar>
              <w:top w:w="0" w:type="dxa"/>
              <w:left w:w="70" w:type="dxa"/>
              <w:bottom w:w="0" w:type="dxa"/>
              <w:right w:w="70" w:type="dxa"/>
            </w:tcMar>
            <w:vAlign w:val="center"/>
          </w:tcPr>
          <w:p w14:paraId="6B23D0E9"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2.</w:t>
            </w:r>
          </w:p>
        </w:tc>
        <w:tc>
          <w:tcPr>
            <w:tcW w:w="2552" w:type="dxa"/>
            <w:tcMar>
              <w:top w:w="0" w:type="dxa"/>
              <w:left w:w="70" w:type="dxa"/>
              <w:bottom w:w="0" w:type="dxa"/>
              <w:right w:w="70" w:type="dxa"/>
            </w:tcMar>
            <w:vAlign w:val="center"/>
          </w:tcPr>
          <w:p w14:paraId="581276A6"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PN-D-96000</w:t>
            </w:r>
          </w:p>
        </w:tc>
        <w:tc>
          <w:tcPr>
            <w:tcW w:w="4110" w:type="dxa"/>
            <w:tcMar>
              <w:top w:w="0" w:type="dxa"/>
              <w:left w:w="70" w:type="dxa"/>
              <w:bottom w:w="0" w:type="dxa"/>
              <w:right w:w="70" w:type="dxa"/>
            </w:tcMar>
            <w:vAlign w:val="center"/>
          </w:tcPr>
          <w:p w14:paraId="575EAFD2"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Tarcica iglasta ogólnego przeznaczenia</w:t>
            </w:r>
          </w:p>
        </w:tc>
      </w:tr>
      <w:tr w:rsidR="004D7D23" w:rsidRPr="007B192E" w14:paraId="640A91B1" w14:textId="77777777" w:rsidTr="00973813">
        <w:trPr>
          <w:trHeight w:val="340"/>
        </w:trPr>
        <w:tc>
          <w:tcPr>
            <w:tcW w:w="496" w:type="dxa"/>
            <w:tcMar>
              <w:top w:w="0" w:type="dxa"/>
              <w:left w:w="70" w:type="dxa"/>
              <w:bottom w:w="0" w:type="dxa"/>
              <w:right w:w="70" w:type="dxa"/>
            </w:tcMar>
            <w:vAlign w:val="center"/>
          </w:tcPr>
          <w:p w14:paraId="20F30860"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3.</w:t>
            </w:r>
          </w:p>
        </w:tc>
        <w:tc>
          <w:tcPr>
            <w:tcW w:w="2552" w:type="dxa"/>
            <w:tcMar>
              <w:top w:w="0" w:type="dxa"/>
              <w:left w:w="70" w:type="dxa"/>
              <w:bottom w:w="0" w:type="dxa"/>
              <w:right w:w="70" w:type="dxa"/>
            </w:tcMar>
            <w:vAlign w:val="center"/>
          </w:tcPr>
          <w:p w14:paraId="26951C66"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PN-D-96002</w:t>
            </w:r>
          </w:p>
        </w:tc>
        <w:tc>
          <w:tcPr>
            <w:tcW w:w="4110" w:type="dxa"/>
            <w:tcMar>
              <w:top w:w="0" w:type="dxa"/>
              <w:left w:w="70" w:type="dxa"/>
              <w:bottom w:w="0" w:type="dxa"/>
              <w:right w:w="70" w:type="dxa"/>
            </w:tcMar>
            <w:vAlign w:val="center"/>
          </w:tcPr>
          <w:p w14:paraId="416F4082"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Tarcica liściasta ogólnego przeznaczenia</w:t>
            </w:r>
          </w:p>
        </w:tc>
      </w:tr>
      <w:tr w:rsidR="004D7D23" w:rsidRPr="007B192E" w14:paraId="274BFCF9" w14:textId="77777777" w:rsidTr="00973813">
        <w:trPr>
          <w:trHeight w:val="340"/>
        </w:trPr>
        <w:tc>
          <w:tcPr>
            <w:tcW w:w="496" w:type="dxa"/>
            <w:tcMar>
              <w:top w:w="0" w:type="dxa"/>
              <w:left w:w="70" w:type="dxa"/>
              <w:bottom w:w="0" w:type="dxa"/>
              <w:right w:w="70" w:type="dxa"/>
            </w:tcMar>
            <w:vAlign w:val="center"/>
          </w:tcPr>
          <w:p w14:paraId="048424AC"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4.</w:t>
            </w:r>
          </w:p>
        </w:tc>
        <w:tc>
          <w:tcPr>
            <w:tcW w:w="2552" w:type="dxa"/>
            <w:tcMar>
              <w:top w:w="0" w:type="dxa"/>
              <w:left w:w="70" w:type="dxa"/>
              <w:bottom w:w="0" w:type="dxa"/>
              <w:right w:w="70" w:type="dxa"/>
            </w:tcMar>
            <w:vAlign w:val="center"/>
          </w:tcPr>
          <w:p w14:paraId="5C7F8724"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PN-H-74219</w:t>
            </w:r>
          </w:p>
        </w:tc>
        <w:tc>
          <w:tcPr>
            <w:tcW w:w="4110" w:type="dxa"/>
            <w:tcMar>
              <w:top w:w="0" w:type="dxa"/>
              <w:left w:w="70" w:type="dxa"/>
              <w:bottom w:w="0" w:type="dxa"/>
              <w:right w:w="70" w:type="dxa"/>
            </w:tcMar>
            <w:vAlign w:val="center"/>
          </w:tcPr>
          <w:p w14:paraId="237053CF"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Rury stalowe bez szwu walcowane na gorąco ogólnego stosowania</w:t>
            </w:r>
          </w:p>
        </w:tc>
      </w:tr>
      <w:tr w:rsidR="004D7D23" w:rsidRPr="007B192E" w14:paraId="600D7736" w14:textId="77777777" w:rsidTr="00973813">
        <w:trPr>
          <w:trHeight w:val="340"/>
        </w:trPr>
        <w:tc>
          <w:tcPr>
            <w:tcW w:w="496" w:type="dxa"/>
            <w:tcMar>
              <w:top w:w="0" w:type="dxa"/>
              <w:left w:w="70" w:type="dxa"/>
              <w:bottom w:w="0" w:type="dxa"/>
              <w:right w:w="70" w:type="dxa"/>
            </w:tcMar>
            <w:vAlign w:val="center"/>
          </w:tcPr>
          <w:p w14:paraId="2934AEF4"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5.</w:t>
            </w:r>
          </w:p>
        </w:tc>
        <w:tc>
          <w:tcPr>
            <w:tcW w:w="2552" w:type="dxa"/>
            <w:tcMar>
              <w:top w:w="0" w:type="dxa"/>
              <w:left w:w="70" w:type="dxa"/>
              <w:bottom w:w="0" w:type="dxa"/>
              <w:right w:w="70" w:type="dxa"/>
            </w:tcMar>
            <w:vAlign w:val="center"/>
          </w:tcPr>
          <w:p w14:paraId="65289FF4"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PN-H-74220</w:t>
            </w:r>
          </w:p>
        </w:tc>
        <w:tc>
          <w:tcPr>
            <w:tcW w:w="4110" w:type="dxa"/>
            <w:tcMar>
              <w:top w:w="0" w:type="dxa"/>
              <w:left w:w="70" w:type="dxa"/>
              <w:bottom w:w="0" w:type="dxa"/>
              <w:right w:w="70" w:type="dxa"/>
            </w:tcMar>
            <w:vAlign w:val="center"/>
          </w:tcPr>
          <w:p w14:paraId="628D4142"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Rury stalowe bez szwu ciągnione i walcowane na zimno ogólnego przeznaczenia</w:t>
            </w:r>
          </w:p>
        </w:tc>
      </w:tr>
      <w:tr w:rsidR="004D7D23" w:rsidRPr="007B192E" w14:paraId="1584632E" w14:textId="77777777" w:rsidTr="00973813">
        <w:trPr>
          <w:trHeight w:val="340"/>
        </w:trPr>
        <w:tc>
          <w:tcPr>
            <w:tcW w:w="496" w:type="dxa"/>
            <w:tcMar>
              <w:top w:w="0" w:type="dxa"/>
              <w:left w:w="70" w:type="dxa"/>
              <w:bottom w:w="0" w:type="dxa"/>
              <w:right w:w="70" w:type="dxa"/>
            </w:tcMar>
            <w:vAlign w:val="center"/>
          </w:tcPr>
          <w:p w14:paraId="7FA34494"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6.</w:t>
            </w:r>
          </w:p>
        </w:tc>
        <w:tc>
          <w:tcPr>
            <w:tcW w:w="2552" w:type="dxa"/>
            <w:tcMar>
              <w:top w:w="0" w:type="dxa"/>
              <w:left w:w="70" w:type="dxa"/>
              <w:bottom w:w="0" w:type="dxa"/>
              <w:right w:w="70" w:type="dxa"/>
            </w:tcMar>
            <w:vAlign w:val="center"/>
          </w:tcPr>
          <w:p w14:paraId="358AEC89"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PN-H-93401</w:t>
            </w:r>
          </w:p>
        </w:tc>
        <w:tc>
          <w:tcPr>
            <w:tcW w:w="4110" w:type="dxa"/>
            <w:tcMar>
              <w:top w:w="0" w:type="dxa"/>
              <w:left w:w="70" w:type="dxa"/>
              <w:bottom w:w="0" w:type="dxa"/>
              <w:right w:w="70" w:type="dxa"/>
            </w:tcMar>
            <w:vAlign w:val="center"/>
          </w:tcPr>
          <w:p w14:paraId="2DA10688"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Stal walcowana. Kątowniki równoramienne</w:t>
            </w:r>
          </w:p>
        </w:tc>
      </w:tr>
      <w:tr w:rsidR="004D7D23" w:rsidRPr="007B192E" w14:paraId="0E426F3F" w14:textId="77777777" w:rsidTr="00973813">
        <w:trPr>
          <w:trHeight w:val="340"/>
        </w:trPr>
        <w:tc>
          <w:tcPr>
            <w:tcW w:w="496" w:type="dxa"/>
            <w:tcMar>
              <w:top w:w="0" w:type="dxa"/>
              <w:left w:w="70" w:type="dxa"/>
              <w:bottom w:w="0" w:type="dxa"/>
              <w:right w:w="70" w:type="dxa"/>
            </w:tcMar>
            <w:vAlign w:val="center"/>
          </w:tcPr>
          <w:p w14:paraId="12DD9209"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7.</w:t>
            </w:r>
          </w:p>
        </w:tc>
        <w:tc>
          <w:tcPr>
            <w:tcW w:w="2552" w:type="dxa"/>
            <w:tcMar>
              <w:top w:w="0" w:type="dxa"/>
              <w:left w:w="70" w:type="dxa"/>
              <w:bottom w:w="0" w:type="dxa"/>
              <w:right w:w="70" w:type="dxa"/>
            </w:tcMar>
            <w:vAlign w:val="center"/>
          </w:tcPr>
          <w:p w14:paraId="59383132"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PN-H-93402</w:t>
            </w:r>
          </w:p>
        </w:tc>
        <w:tc>
          <w:tcPr>
            <w:tcW w:w="4110" w:type="dxa"/>
            <w:tcMar>
              <w:top w:w="0" w:type="dxa"/>
              <w:left w:w="70" w:type="dxa"/>
              <w:bottom w:w="0" w:type="dxa"/>
              <w:right w:w="70" w:type="dxa"/>
            </w:tcMar>
            <w:vAlign w:val="center"/>
          </w:tcPr>
          <w:p w14:paraId="5BC42168"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Kątowniki nierównoramienne stalowe walcowane na gorąco</w:t>
            </w:r>
          </w:p>
        </w:tc>
      </w:tr>
      <w:tr w:rsidR="004D7D23" w:rsidRPr="007B192E" w14:paraId="31A0676C" w14:textId="77777777" w:rsidTr="00973813">
        <w:trPr>
          <w:trHeight w:val="340"/>
        </w:trPr>
        <w:tc>
          <w:tcPr>
            <w:tcW w:w="496" w:type="dxa"/>
            <w:tcMar>
              <w:top w:w="0" w:type="dxa"/>
              <w:left w:w="70" w:type="dxa"/>
              <w:bottom w:w="0" w:type="dxa"/>
              <w:right w:w="70" w:type="dxa"/>
            </w:tcMar>
            <w:vAlign w:val="center"/>
          </w:tcPr>
          <w:p w14:paraId="25B27CE9"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8.</w:t>
            </w:r>
          </w:p>
        </w:tc>
        <w:tc>
          <w:tcPr>
            <w:tcW w:w="2552" w:type="dxa"/>
            <w:tcMar>
              <w:top w:w="0" w:type="dxa"/>
              <w:left w:w="70" w:type="dxa"/>
              <w:bottom w:w="0" w:type="dxa"/>
              <w:right w:w="70" w:type="dxa"/>
            </w:tcMar>
            <w:vAlign w:val="center"/>
          </w:tcPr>
          <w:p w14:paraId="4B6EB2E3"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BN-87/5028-12</w:t>
            </w:r>
          </w:p>
        </w:tc>
        <w:tc>
          <w:tcPr>
            <w:tcW w:w="4110" w:type="dxa"/>
            <w:tcMar>
              <w:top w:w="0" w:type="dxa"/>
              <w:left w:w="70" w:type="dxa"/>
              <w:bottom w:w="0" w:type="dxa"/>
              <w:right w:w="70" w:type="dxa"/>
            </w:tcMar>
            <w:vAlign w:val="center"/>
          </w:tcPr>
          <w:p w14:paraId="70D189CD"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Gwoździe budowlane. Gwoździe z trzpieniem gładkim, okrągłym i kwadratowym</w:t>
            </w:r>
          </w:p>
        </w:tc>
      </w:tr>
      <w:tr w:rsidR="004D7D23" w:rsidRPr="007B192E" w14:paraId="51100791" w14:textId="77777777" w:rsidTr="00973813">
        <w:trPr>
          <w:trHeight w:val="340"/>
        </w:trPr>
        <w:tc>
          <w:tcPr>
            <w:tcW w:w="496" w:type="dxa"/>
            <w:tcMar>
              <w:top w:w="0" w:type="dxa"/>
              <w:left w:w="70" w:type="dxa"/>
              <w:bottom w:w="0" w:type="dxa"/>
              <w:right w:w="70" w:type="dxa"/>
            </w:tcMar>
            <w:vAlign w:val="center"/>
          </w:tcPr>
          <w:p w14:paraId="71AC6E14"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9.</w:t>
            </w:r>
          </w:p>
        </w:tc>
        <w:tc>
          <w:tcPr>
            <w:tcW w:w="2552" w:type="dxa"/>
            <w:tcMar>
              <w:top w:w="0" w:type="dxa"/>
              <w:left w:w="70" w:type="dxa"/>
              <w:bottom w:w="0" w:type="dxa"/>
              <w:right w:w="70" w:type="dxa"/>
            </w:tcMar>
            <w:vAlign w:val="center"/>
          </w:tcPr>
          <w:p w14:paraId="7F07D8EB"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BN-77/8931-12</w:t>
            </w:r>
          </w:p>
        </w:tc>
        <w:tc>
          <w:tcPr>
            <w:tcW w:w="4110" w:type="dxa"/>
            <w:tcMar>
              <w:top w:w="0" w:type="dxa"/>
              <w:left w:w="70" w:type="dxa"/>
              <w:bottom w:w="0" w:type="dxa"/>
              <w:right w:w="70" w:type="dxa"/>
            </w:tcMar>
            <w:vAlign w:val="center"/>
          </w:tcPr>
          <w:p w14:paraId="6B199FB0" w14:textId="77777777" w:rsidR="00F45500" w:rsidRPr="007B192E" w:rsidRDefault="00F45500" w:rsidP="00973813">
            <w:pPr>
              <w:pStyle w:val="Standard"/>
              <w:tabs>
                <w:tab w:val="right" w:leader="dot" w:pos="-1985"/>
                <w:tab w:val="left" w:pos="142"/>
                <w:tab w:val="left" w:pos="426"/>
                <w:tab w:val="right" w:leader="dot" w:pos="8505"/>
              </w:tabs>
              <w:snapToGrid w:val="0"/>
              <w:rPr>
                <w:rFonts w:ascii="Arial" w:hAnsi="Arial" w:cs="Arial"/>
                <w:color w:val="000000" w:themeColor="text1"/>
                <w:sz w:val="16"/>
                <w:szCs w:val="18"/>
              </w:rPr>
            </w:pPr>
            <w:r w:rsidRPr="007B192E">
              <w:rPr>
                <w:rFonts w:ascii="Arial" w:hAnsi="Arial" w:cs="Arial"/>
                <w:color w:val="000000" w:themeColor="text1"/>
                <w:sz w:val="16"/>
                <w:szCs w:val="18"/>
              </w:rPr>
              <w:t>Oznaczenie wskaźnika zagęszczenia gruntu.</w:t>
            </w:r>
          </w:p>
        </w:tc>
      </w:tr>
    </w:tbl>
    <w:p w14:paraId="6EFF1D6A" w14:textId="77777777" w:rsidR="00F45500" w:rsidRPr="007B192E" w:rsidRDefault="00F45500" w:rsidP="00F45500">
      <w:pPr>
        <w:rPr>
          <w:rFonts w:ascii="Arial" w:hAnsi="Arial" w:cs="Arial"/>
          <w:b/>
          <w:bCs/>
          <w:color w:val="000000" w:themeColor="text1"/>
          <w:sz w:val="28"/>
          <w:szCs w:val="28"/>
        </w:rPr>
      </w:pPr>
      <w:r w:rsidRPr="007B192E">
        <w:rPr>
          <w:rFonts w:ascii="Arial" w:hAnsi="Arial" w:cs="Arial"/>
          <w:b/>
          <w:bCs/>
          <w:color w:val="000000" w:themeColor="text1"/>
          <w:sz w:val="28"/>
          <w:szCs w:val="28"/>
        </w:rPr>
        <w:br w:type="page"/>
      </w:r>
    </w:p>
    <w:p w14:paraId="4C18603F" w14:textId="77777777" w:rsidR="00F45500" w:rsidRPr="007B192E" w:rsidRDefault="00072856" w:rsidP="008F7A94">
      <w:pPr>
        <w:pStyle w:val="Nagwek1"/>
        <w:jc w:val="center"/>
        <w:rPr>
          <w:color w:val="000000" w:themeColor="text1"/>
          <w:sz w:val="40"/>
        </w:rPr>
      </w:pPr>
      <w:bookmarkStart w:id="140" w:name="_Toc163481049"/>
      <w:r w:rsidRPr="007B192E">
        <w:rPr>
          <w:color w:val="000000" w:themeColor="text1"/>
          <w:sz w:val="40"/>
        </w:rPr>
        <w:lastRenderedPageBreak/>
        <w:t>D-</w:t>
      </w:r>
      <w:r w:rsidR="00F45500" w:rsidRPr="007B192E">
        <w:rPr>
          <w:color w:val="000000" w:themeColor="text1"/>
          <w:sz w:val="40"/>
        </w:rPr>
        <w:t>01.02.05</w:t>
      </w:r>
      <w:r w:rsidR="008F7A94" w:rsidRPr="007B192E">
        <w:rPr>
          <w:color w:val="000000" w:themeColor="text1"/>
          <w:sz w:val="40"/>
        </w:rPr>
        <w:t xml:space="preserve"> </w:t>
      </w:r>
      <w:r w:rsidR="00F45500" w:rsidRPr="007B192E">
        <w:rPr>
          <w:color w:val="000000" w:themeColor="text1"/>
          <w:sz w:val="40"/>
        </w:rPr>
        <w:t>FREZOWANIE NAWIERZCHNI ASFALTOWEJ NA ZIMNO</w:t>
      </w:r>
      <w:bookmarkEnd w:id="140"/>
    </w:p>
    <w:p w14:paraId="5E312AB9" w14:textId="77777777" w:rsidR="00F45500" w:rsidRPr="007B192E" w:rsidRDefault="00F45500" w:rsidP="00056B48">
      <w:pPr>
        <w:pStyle w:val="Nagwek2"/>
        <w:rPr>
          <w:i w:val="0"/>
          <w:color w:val="000000" w:themeColor="text1"/>
        </w:rPr>
      </w:pPr>
      <w:r w:rsidRPr="007B192E">
        <w:rPr>
          <w:i w:val="0"/>
          <w:color w:val="000000" w:themeColor="text1"/>
        </w:rPr>
        <w:t>1. WSTĘP</w:t>
      </w:r>
    </w:p>
    <w:p w14:paraId="1F40F33F"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1.1. Przedmiot ST</w:t>
      </w:r>
    </w:p>
    <w:p w14:paraId="19C06AEA" w14:textId="77777777" w:rsidR="00F45500" w:rsidRPr="007B192E" w:rsidRDefault="00F45500" w:rsidP="00F45500">
      <w:pPr>
        <w:pStyle w:val="Standardowytekst"/>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frezowaniem nawierzchni asfaltowych na zimno</w:t>
      </w:r>
      <w:r w:rsidRPr="007B192E">
        <w:rPr>
          <w:rFonts w:ascii="Arial" w:eastAsia="Times New Roman" w:hAnsi="Arial" w:cs="Arial"/>
          <w:i/>
          <w:iCs/>
          <w:color w:val="000000" w:themeColor="text1"/>
          <w:sz w:val="18"/>
          <w:szCs w:val="18"/>
        </w:rPr>
        <w:t>.</w:t>
      </w:r>
    </w:p>
    <w:p w14:paraId="05D2613D"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1.2. Zakres stosowania ST</w:t>
      </w:r>
    </w:p>
    <w:p w14:paraId="72E9068C" w14:textId="77777777" w:rsidR="00F45500" w:rsidRPr="007B192E" w:rsidRDefault="00F45500" w:rsidP="00F45500">
      <w:pPr>
        <w:pStyle w:val="Standardowytekst"/>
        <w:rPr>
          <w:rFonts w:ascii="Arial" w:hAnsi="Arial" w:cs="Arial"/>
          <w:color w:val="000000" w:themeColor="text1"/>
          <w:sz w:val="18"/>
          <w:szCs w:val="18"/>
        </w:rPr>
      </w:pPr>
      <w:r w:rsidRPr="007B192E">
        <w:rPr>
          <w:rFonts w:ascii="Arial" w:hAnsi="Arial" w:cs="Arial"/>
          <w:b/>
          <w:bCs/>
          <w:color w:val="000000" w:themeColor="text1"/>
          <w:sz w:val="18"/>
          <w:szCs w:val="18"/>
        </w:rPr>
        <w:tab/>
      </w:r>
      <w:r w:rsidRPr="007B192E">
        <w:rPr>
          <w:rFonts w:ascii="Arial" w:hAnsi="Arial" w:cs="Arial"/>
          <w:color w:val="000000" w:themeColor="text1"/>
          <w:sz w:val="18"/>
          <w:szCs w:val="18"/>
        </w:rPr>
        <w:t>Specyfikacja techniczna stanowi dokument przetargowy i kontraktowy stosowany przy zlecaniu i realizacji robót budowlanych wymienionych w punkcie 1.1.</w:t>
      </w:r>
    </w:p>
    <w:p w14:paraId="70AD1B33"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1.3. Zakres robót objętych ST</w:t>
      </w:r>
    </w:p>
    <w:p w14:paraId="3BF9548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frezowaniem nawierzchni asfaltowych na zimno.</w:t>
      </w:r>
    </w:p>
    <w:p w14:paraId="672DD47A"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1.4. Określenia podstawowe</w:t>
      </w:r>
    </w:p>
    <w:p w14:paraId="643D470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Recykling nawierzchni asfaltowej - powtórne użycie mieszanki mineralno-asfaltowej odzyskanej z nawierzchni.</w:t>
      </w:r>
    </w:p>
    <w:p w14:paraId="1DDBABCB"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Frezowanie nawierzchni asfaltowej na zimno - kontrolowany proces skrawania górnej warstwy nawierzchni asfaltowej, bez jej ogrzania, na określoną głębokość.</w:t>
      </w:r>
    </w:p>
    <w:p w14:paraId="0F5A5E12"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1.4.3. </w:t>
      </w:r>
      <w:r w:rsidRPr="007B192E">
        <w:rPr>
          <w:rFonts w:ascii="Arial" w:hAnsi="Arial" w:cs="Arial"/>
          <w:color w:val="000000" w:themeColor="text1"/>
          <w:sz w:val="18"/>
          <w:szCs w:val="18"/>
        </w:rPr>
        <w:t xml:space="preserve">Pozostałe określenia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18D78B6B"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1.5. Ogólne wymagania dotyczące robót</w:t>
      </w:r>
    </w:p>
    <w:p w14:paraId="200C482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123920E4" w14:textId="77777777" w:rsidR="00F45500" w:rsidRPr="007B192E" w:rsidRDefault="00F45500" w:rsidP="00056B48">
      <w:pPr>
        <w:pStyle w:val="Nagwek2"/>
        <w:rPr>
          <w:i w:val="0"/>
          <w:color w:val="000000" w:themeColor="text1"/>
        </w:rPr>
      </w:pPr>
      <w:r w:rsidRPr="007B192E">
        <w:rPr>
          <w:i w:val="0"/>
          <w:color w:val="000000" w:themeColor="text1"/>
        </w:rPr>
        <w:t>2. MATERIAŁY</w:t>
      </w:r>
    </w:p>
    <w:p w14:paraId="34AF960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Nie występują.</w:t>
      </w:r>
    </w:p>
    <w:p w14:paraId="4F1C7F03" w14:textId="77777777" w:rsidR="00F45500" w:rsidRPr="007B192E" w:rsidRDefault="00F45500" w:rsidP="00056B48">
      <w:pPr>
        <w:pStyle w:val="Nagwek2"/>
        <w:rPr>
          <w:i w:val="0"/>
          <w:color w:val="000000" w:themeColor="text1"/>
        </w:rPr>
      </w:pPr>
      <w:r w:rsidRPr="007B192E">
        <w:rPr>
          <w:i w:val="0"/>
          <w:color w:val="000000" w:themeColor="text1"/>
        </w:rPr>
        <w:t>3. SPRZĘT</w:t>
      </w:r>
    </w:p>
    <w:p w14:paraId="13416D76"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3.1. Ogólne wymagania dotyczące sprzętu</w:t>
      </w:r>
    </w:p>
    <w:p w14:paraId="5010F36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35567E5A"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3.2. Sprzęt do frezowania</w:t>
      </w:r>
    </w:p>
    <w:p w14:paraId="523A048E"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Należy stosować frezarki drogowe umożliwiające frezowanie nawierzchni asfaltowej na zimno na określoną głębokość.</w:t>
      </w:r>
    </w:p>
    <w:p w14:paraId="16CDAED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Frezarka powinna być sterowana elektronicznie i zapewniać zachowanie wymaganej równości oraz pochyleń poprzecznych i podłużnych powierzchni po frezowaniu. Do małych robót (naprawy części jezdni) Inżynier może dopuścić frezarki sterowane mechanicznie.</w:t>
      </w:r>
    </w:p>
    <w:p w14:paraId="6BB8BC6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w:t>
      </w:r>
    </w:p>
    <w:p w14:paraId="2921916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dużych robotach frezarki muszą być wyposażone w przenośnik sfrezowanego materiału, podający go z jezdni na środki transportu.</w:t>
      </w:r>
    </w:p>
    <w:p w14:paraId="07D3837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frezowaniu warstw asfaltowych na głębokość ponad 50 mm, z przeznaczeniem odzyskanego materiału, zaleca się frezowanie współbieżne, tzn. takie, w którym kierunek obrotów bębna skrawającego jest zgodny z kierunkiem ruchu frezarki. Za zgodą Inżyniera może być dopuszczone frezowanie przeciwbieżne, tzn. takie, w którym kierunek obrotów bębna skrawającego jest przeciwny do kierunku ruchu frezarki.</w:t>
      </w:r>
    </w:p>
    <w:p w14:paraId="586759C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pracach prowadzonych w terenie zabudowanym frezarki muszą, a poza nimi powinny, być zaopatrzone w systemy odpylania.</w:t>
      </w:r>
    </w:p>
    <w:p w14:paraId="0FEBF034"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Wykonawca może używać tylko frezarki zaakceptowane przez Inżyniera. Wykonawca powinien przedstawić dane techniczne frezarek, a w przypadkach jakichkolwiek wątpliwości przeprowadzić demonstrację pracy frezarki, na własny koszt.</w:t>
      </w:r>
    </w:p>
    <w:p w14:paraId="696AA440" w14:textId="77777777" w:rsidR="00F45500" w:rsidRPr="007B192E" w:rsidRDefault="00F45500" w:rsidP="00056B48">
      <w:pPr>
        <w:pStyle w:val="Nagwek2"/>
        <w:rPr>
          <w:i w:val="0"/>
          <w:color w:val="000000" w:themeColor="text1"/>
        </w:rPr>
      </w:pPr>
      <w:r w:rsidRPr="007B192E">
        <w:rPr>
          <w:i w:val="0"/>
          <w:color w:val="000000" w:themeColor="text1"/>
        </w:rPr>
        <w:t>4. TRANSPORT</w:t>
      </w:r>
    </w:p>
    <w:p w14:paraId="3B2C0F48"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4.1. Ogólne wymagania dotyczące transportu</w:t>
      </w:r>
    </w:p>
    <w:p w14:paraId="2453037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1FB7C811"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4.2. Transport sfrezowanego materiału</w:t>
      </w:r>
    </w:p>
    <w:p w14:paraId="6882E8A0"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Transport sfrezowanego materiału powinien być tak zorganizowany, aby zapewnić pracę frezarki bez postojów. Materiał może być wywożony dowolnymi środkami transportowymi.</w:t>
      </w:r>
    </w:p>
    <w:p w14:paraId="012321AA" w14:textId="77777777" w:rsidR="00F45500" w:rsidRPr="007B192E" w:rsidRDefault="00F45500" w:rsidP="00056B48">
      <w:pPr>
        <w:pStyle w:val="Nagwek2"/>
        <w:rPr>
          <w:i w:val="0"/>
          <w:color w:val="000000" w:themeColor="text1"/>
        </w:rPr>
      </w:pPr>
      <w:r w:rsidRPr="007B192E">
        <w:rPr>
          <w:i w:val="0"/>
          <w:color w:val="000000" w:themeColor="text1"/>
        </w:rPr>
        <w:lastRenderedPageBreak/>
        <w:t>5. WYKONANIE ROBÓT</w:t>
      </w:r>
    </w:p>
    <w:p w14:paraId="3BCF1A93"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5.1. Ogólne zasady wykonania robót</w:t>
      </w:r>
    </w:p>
    <w:p w14:paraId="133B4C8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w:t>
      </w:r>
    </w:p>
    <w:p w14:paraId="64F29A4C"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5.2. Wykonanie frezowania</w:t>
      </w:r>
    </w:p>
    <w:p w14:paraId="4A16409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Nawierzchnia powinna być frezowana do głębokości, szerokości i pochyleń zgodnych z dokumentacją projektową i ST.</w:t>
      </w:r>
    </w:p>
    <w:p w14:paraId="52B962D5" w14:textId="77777777" w:rsidR="00F45500" w:rsidRPr="007B192E" w:rsidRDefault="00F45500" w:rsidP="00056B48">
      <w:pPr>
        <w:pStyle w:val="Nagwek2"/>
        <w:rPr>
          <w:i w:val="0"/>
          <w:color w:val="000000" w:themeColor="text1"/>
        </w:rPr>
      </w:pPr>
      <w:r w:rsidRPr="007B192E">
        <w:rPr>
          <w:i w:val="0"/>
          <w:color w:val="000000" w:themeColor="text1"/>
        </w:rPr>
        <w:t>6. KONTROLA JAKOŚCI ROBÓT</w:t>
      </w:r>
    </w:p>
    <w:p w14:paraId="2D116E21"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6.1. Ogólne zasady kontroli jakości robót</w:t>
      </w:r>
    </w:p>
    <w:p w14:paraId="10BABF4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6748F815" w14:textId="77777777" w:rsidR="00F45500" w:rsidRPr="007B192E" w:rsidRDefault="00F45500" w:rsidP="00056B48">
      <w:pPr>
        <w:pStyle w:val="Nagwek2"/>
        <w:rPr>
          <w:i w:val="0"/>
          <w:color w:val="000000" w:themeColor="text1"/>
        </w:rPr>
      </w:pPr>
      <w:r w:rsidRPr="007B192E">
        <w:rPr>
          <w:i w:val="0"/>
          <w:color w:val="000000" w:themeColor="text1"/>
        </w:rPr>
        <w:t>7. OBMIAR ROBÓT</w:t>
      </w:r>
    </w:p>
    <w:p w14:paraId="7562300B"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7.1. Ogólne zasady obmiaru robót</w:t>
      </w:r>
    </w:p>
    <w:p w14:paraId="52D9FDD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0FEC3E62"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7.2. Jednostka obmiarowa</w:t>
      </w:r>
    </w:p>
    <w:p w14:paraId="7521F331"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w:t>
      </w:r>
    </w:p>
    <w:p w14:paraId="327B847B" w14:textId="77777777" w:rsidR="00F45500" w:rsidRPr="007B192E" w:rsidRDefault="00F45500" w:rsidP="00056B48">
      <w:pPr>
        <w:pStyle w:val="Nagwek2"/>
        <w:rPr>
          <w:i w:val="0"/>
          <w:color w:val="000000" w:themeColor="text1"/>
        </w:rPr>
      </w:pPr>
      <w:r w:rsidRPr="007B192E">
        <w:rPr>
          <w:i w:val="0"/>
          <w:color w:val="000000" w:themeColor="text1"/>
        </w:rPr>
        <w:t>8. ODBIÓR ROBÓT</w:t>
      </w:r>
    </w:p>
    <w:p w14:paraId="479628E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66AB943C"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5F62A0BB" w14:textId="77777777" w:rsidR="00F45500" w:rsidRPr="007B192E" w:rsidRDefault="00F45500" w:rsidP="00056B48">
      <w:pPr>
        <w:pStyle w:val="Nagwek2"/>
        <w:rPr>
          <w:i w:val="0"/>
          <w:color w:val="000000" w:themeColor="text1"/>
        </w:rPr>
      </w:pPr>
      <w:r w:rsidRPr="007B192E">
        <w:rPr>
          <w:i w:val="0"/>
          <w:color w:val="000000" w:themeColor="text1"/>
        </w:rPr>
        <w:t>9. PODSTAWA PŁATNOŚCI</w:t>
      </w:r>
    </w:p>
    <w:p w14:paraId="65BD0517" w14:textId="77777777" w:rsidR="00F45500" w:rsidRPr="007B192E" w:rsidRDefault="00F45500" w:rsidP="00F45500">
      <w:pPr>
        <w:widowControl/>
        <w:suppressAutoHyphens w:val="0"/>
        <w:adjustRightInd w:val="0"/>
        <w:spacing w:after="120"/>
        <w:rPr>
          <w:rFonts w:ascii="Arial" w:hAnsi="Arial" w:cs="Arial"/>
          <w:color w:val="000000" w:themeColor="text1"/>
          <w:sz w:val="18"/>
          <w:szCs w:val="18"/>
        </w:rPr>
      </w:pPr>
      <w:r w:rsidRPr="007B192E">
        <w:rPr>
          <w:rFonts w:ascii="Arial" w:hAnsi="Arial" w:cs="Arial"/>
          <w:color w:val="000000" w:themeColor="text1"/>
          <w:sz w:val="18"/>
          <w:szCs w:val="18"/>
        </w:rPr>
        <w:t xml:space="preserve">Nie dotyczy. </w:t>
      </w:r>
      <w:r w:rsidRPr="007B192E">
        <w:rPr>
          <w:rFonts w:ascii="Arial" w:hAnsi="Arial" w:cs="Arial"/>
          <w:color w:val="000000" w:themeColor="text1"/>
          <w:sz w:val="18"/>
          <w:szCs w:val="18"/>
        </w:rPr>
        <w:tab/>
      </w:r>
    </w:p>
    <w:p w14:paraId="1F79376C" w14:textId="77777777" w:rsidR="00F45500" w:rsidRPr="007B192E" w:rsidRDefault="00F45500" w:rsidP="00056B48">
      <w:pPr>
        <w:pStyle w:val="Nagwek2"/>
        <w:rPr>
          <w:i w:val="0"/>
          <w:color w:val="000000" w:themeColor="text1"/>
        </w:rPr>
      </w:pPr>
      <w:r w:rsidRPr="007B192E">
        <w:rPr>
          <w:i w:val="0"/>
          <w:color w:val="000000" w:themeColor="text1"/>
        </w:rPr>
        <w:t>10. PRZEPISY ZWIĄZANE</w:t>
      </w:r>
    </w:p>
    <w:p w14:paraId="084FEB93" w14:textId="77777777" w:rsidR="00F45500" w:rsidRPr="007B192E" w:rsidRDefault="00F45500" w:rsidP="00F45500">
      <w:pPr>
        <w:pStyle w:val="Standard"/>
        <w:keepNext/>
        <w:tabs>
          <w:tab w:val="left" w:pos="142"/>
        </w:tabs>
        <w:spacing w:before="119" w:after="119"/>
        <w:jc w:val="both"/>
        <w:rPr>
          <w:rFonts w:ascii="Arial" w:hAnsi="Arial" w:cs="Arial"/>
          <w:color w:val="000000" w:themeColor="text1"/>
          <w:sz w:val="18"/>
          <w:szCs w:val="18"/>
        </w:rPr>
      </w:pPr>
      <w:r w:rsidRPr="007B192E">
        <w:rPr>
          <w:rFonts w:ascii="Arial" w:hAnsi="Arial" w:cs="Arial"/>
          <w:color w:val="000000" w:themeColor="text1"/>
          <w:sz w:val="18"/>
          <w:szCs w:val="18"/>
        </w:rPr>
        <w:t>Nie występują.</w:t>
      </w:r>
    </w:p>
    <w:p w14:paraId="7D0D28DC" w14:textId="77777777" w:rsidR="00F45500" w:rsidRPr="007B192E" w:rsidRDefault="00F45500" w:rsidP="00F45500">
      <w:pPr>
        <w:jc w:val="center"/>
        <w:rPr>
          <w:rFonts w:ascii="Arial" w:hAnsi="Arial" w:cs="Arial"/>
          <w:b/>
          <w:bCs/>
          <w:color w:val="000000" w:themeColor="text1"/>
          <w:sz w:val="28"/>
          <w:szCs w:val="28"/>
        </w:rPr>
      </w:pPr>
    </w:p>
    <w:p w14:paraId="7CE5848B" w14:textId="77777777" w:rsidR="00F45500" w:rsidRPr="007B192E" w:rsidRDefault="00F45500" w:rsidP="00F45500">
      <w:pPr>
        <w:rPr>
          <w:rFonts w:ascii="Arial" w:hAnsi="Arial" w:cs="Arial"/>
          <w:b/>
          <w:bCs/>
          <w:color w:val="000000" w:themeColor="text1"/>
          <w:sz w:val="28"/>
          <w:szCs w:val="28"/>
        </w:rPr>
      </w:pPr>
      <w:r w:rsidRPr="007B192E">
        <w:rPr>
          <w:rFonts w:ascii="Arial" w:hAnsi="Arial" w:cs="Arial"/>
          <w:b/>
          <w:bCs/>
          <w:color w:val="000000" w:themeColor="text1"/>
          <w:sz w:val="28"/>
          <w:szCs w:val="28"/>
        </w:rPr>
        <w:br w:type="page"/>
      </w:r>
    </w:p>
    <w:p w14:paraId="0C1AB5D2" w14:textId="77777777" w:rsidR="00F45500" w:rsidRPr="007B192E" w:rsidRDefault="008F7A94" w:rsidP="008F7A94">
      <w:pPr>
        <w:pStyle w:val="Nagwek1"/>
        <w:jc w:val="center"/>
        <w:rPr>
          <w:color w:val="000000" w:themeColor="text1"/>
        </w:rPr>
      </w:pPr>
      <w:bookmarkStart w:id="141" w:name="_Toc138757090"/>
      <w:bookmarkStart w:id="142" w:name="_Toc163481050"/>
      <w:r w:rsidRPr="007B192E">
        <w:rPr>
          <w:color w:val="000000" w:themeColor="text1"/>
          <w:sz w:val="40"/>
        </w:rPr>
        <w:lastRenderedPageBreak/>
        <w:t xml:space="preserve">D-04.00.00 </w:t>
      </w:r>
      <w:r w:rsidR="00F45500" w:rsidRPr="007B192E">
        <w:rPr>
          <w:color w:val="000000" w:themeColor="text1"/>
          <w:sz w:val="40"/>
        </w:rPr>
        <w:t>PODBUDOWY</w:t>
      </w:r>
      <w:bookmarkEnd w:id="141"/>
      <w:bookmarkEnd w:id="142"/>
    </w:p>
    <w:p w14:paraId="77BDED5C" w14:textId="77777777" w:rsidR="00F45500" w:rsidRPr="007B192E" w:rsidRDefault="00072856" w:rsidP="008F7A94">
      <w:pPr>
        <w:pStyle w:val="Nagwek1"/>
        <w:jc w:val="center"/>
        <w:rPr>
          <w:color w:val="000000" w:themeColor="text1"/>
          <w:sz w:val="40"/>
        </w:rPr>
      </w:pPr>
      <w:bookmarkStart w:id="143" w:name="_Toc138757091"/>
      <w:bookmarkStart w:id="144" w:name="_Toc163481051"/>
      <w:r w:rsidRPr="007B192E">
        <w:rPr>
          <w:color w:val="000000" w:themeColor="text1"/>
          <w:sz w:val="40"/>
        </w:rPr>
        <w:t>D-</w:t>
      </w:r>
      <w:r w:rsidR="00F45500" w:rsidRPr="007B192E">
        <w:rPr>
          <w:color w:val="000000" w:themeColor="text1"/>
          <w:sz w:val="40"/>
        </w:rPr>
        <w:t>04.01.01</w:t>
      </w:r>
      <w:r w:rsidR="008F7A94" w:rsidRPr="007B192E">
        <w:rPr>
          <w:color w:val="000000" w:themeColor="text1"/>
          <w:sz w:val="40"/>
        </w:rPr>
        <w:t xml:space="preserve"> </w:t>
      </w:r>
      <w:r w:rsidR="00F45500" w:rsidRPr="007B192E">
        <w:rPr>
          <w:color w:val="000000" w:themeColor="text1"/>
          <w:sz w:val="40"/>
        </w:rPr>
        <w:t>KORYTO WRAZ Z PROFILOWANIEM</w:t>
      </w:r>
      <w:r w:rsidR="008F7A94" w:rsidRPr="007B192E">
        <w:rPr>
          <w:color w:val="000000" w:themeColor="text1"/>
          <w:sz w:val="40"/>
        </w:rPr>
        <w:t xml:space="preserve"> </w:t>
      </w:r>
      <w:r w:rsidR="00F45500" w:rsidRPr="007B192E">
        <w:rPr>
          <w:color w:val="000000" w:themeColor="text1"/>
          <w:sz w:val="40"/>
        </w:rPr>
        <w:t>I ZAGĘSZCZANIEM PODŁOŻA</w:t>
      </w:r>
      <w:bookmarkEnd w:id="143"/>
      <w:bookmarkEnd w:id="144"/>
    </w:p>
    <w:p w14:paraId="4C47EBD7" w14:textId="77777777" w:rsidR="00F45500" w:rsidRPr="007B192E" w:rsidRDefault="00F45500" w:rsidP="00056B48">
      <w:pPr>
        <w:pStyle w:val="Nagwek2"/>
        <w:rPr>
          <w:i w:val="0"/>
          <w:color w:val="000000" w:themeColor="text1"/>
        </w:rPr>
      </w:pPr>
      <w:r w:rsidRPr="007B192E">
        <w:rPr>
          <w:i w:val="0"/>
          <w:color w:val="000000" w:themeColor="text1"/>
        </w:rPr>
        <w:t>1. WSTĘP</w:t>
      </w:r>
    </w:p>
    <w:p w14:paraId="7E2F760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7DD03CC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wykonywaniem koryta wraz z profilowaniem i zagęszczaniem podłoża gruntowego.</w:t>
      </w:r>
    </w:p>
    <w:p w14:paraId="38B9059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2D188DE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2209CB04"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1.3. Zakres robót objętych ST</w:t>
      </w:r>
    </w:p>
    <w:p w14:paraId="6CBE0CF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wykonaniem koryta przeznaczonego do ułożenia konstrukcji nawierzchni.</w:t>
      </w:r>
    </w:p>
    <w:p w14:paraId="5204B95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1.4. Określenia podstawowe</w:t>
      </w:r>
    </w:p>
    <w:p w14:paraId="1A466B37"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Określenia podstawowe są zgodne z obowiązującymi, odpowiednimi polskimi normami i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1A8BCA1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1.5. Wymagania dotyczące robót</w:t>
      </w:r>
    </w:p>
    <w:p w14:paraId="7FD4952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196B7109" w14:textId="77777777" w:rsidR="00F45500" w:rsidRPr="007B192E" w:rsidRDefault="00F45500" w:rsidP="00056B48">
      <w:pPr>
        <w:pStyle w:val="Nagwek2"/>
        <w:rPr>
          <w:i w:val="0"/>
          <w:color w:val="000000" w:themeColor="text1"/>
        </w:rPr>
      </w:pPr>
      <w:r w:rsidRPr="007B192E">
        <w:rPr>
          <w:i w:val="0"/>
          <w:color w:val="000000" w:themeColor="text1"/>
        </w:rPr>
        <w:t xml:space="preserve">2. </w:t>
      </w:r>
      <w:r w:rsidR="008F7A94" w:rsidRPr="007B192E">
        <w:rPr>
          <w:i w:val="0"/>
          <w:color w:val="000000" w:themeColor="text1"/>
        </w:rPr>
        <w:t>MATERIAŁY</w:t>
      </w:r>
    </w:p>
    <w:p w14:paraId="49DC14A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Nie występują.</w:t>
      </w:r>
    </w:p>
    <w:p w14:paraId="1B110EDB" w14:textId="77777777" w:rsidR="00F45500" w:rsidRPr="007B192E" w:rsidRDefault="00466B6A" w:rsidP="00056B48">
      <w:pPr>
        <w:pStyle w:val="Nagwek2"/>
        <w:rPr>
          <w:i w:val="0"/>
          <w:color w:val="000000" w:themeColor="text1"/>
        </w:rPr>
      </w:pPr>
      <w:r w:rsidRPr="007B192E">
        <w:rPr>
          <w:i w:val="0"/>
          <w:color w:val="000000" w:themeColor="text1"/>
        </w:rPr>
        <w:t>3. SPRZĘT</w:t>
      </w:r>
    </w:p>
    <w:p w14:paraId="7873A64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3.1. Wymagania dotyczące sprzętu</w:t>
      </w:r>
    </w:p>
    <w:p w14:paraId="07BEA68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3807F78A"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3.2. Sprzęt do wykonania robót</w:t>
      </w:r>
    </w:p>
    <w:p w14:paraId="24B04931"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Wykonawca przystępujący do wykonania koryta i profilowania podłoża powinien wykazać się możliwością korzystania z następującego sprzętu:</w:t>
      </w:r>
    </w:p>
    <w:p w14:paraId="19F4B166" w14:textId="77777777" w:rsidR="00F45500" w:rsidRPr="007B192E"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równiarek lub spycharek uniwersalnych z ukośnie ustawianym lemieszem; Inżynier może dopuścić wykonanie </w:t>
      </w:r>
      <w:r w:rsidRPr="007B192E">
        <w:rPr>
          <w:rFonts w:ascii="Arial" w:hAnsi="Arial" w:cs="Arial"/>
          <w:color w:val="000000" w:themeColor="text1"/>
          <w:sz w:val="18"/>
          <w:szCs w:val="18"/>
        </w:rPr>
        <w:tab/>
        <w:t xml:space="preserve">koryta i profilowanie podłoża z zastosowaniem spycharki z lemieszem ustawionym prostopadle do kierunku </w:t>
      </w:r>
      <w:r w:rsidRPr="007B192E">
        <w:rPr>
          <w:rFonts w:ascii="Arial" w:hAnsi="Arial" w:cs="Arial"/>
          <w:color w:val="000000" w:themeColor="text1"/>
          <w:sz w:val="18"/>
          <w:szCs w:val="18"/>
        </w:rPr>
        <w:tab/>
        <w:t>pracy maszyny,</w:t>
      </w:r>
    </w:p>
    <w:p w14:paraId="5B464C4D" w14:textId="77777777" w:rsidR="00F45500" w:rsidRPr="007B192E"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koparek z czerpakami profilowymi (przy wykonywaniu wąskich koryt),</w:t>
      </w:r>
    </w:p>
    <w:p w14:paraId="32EA134B" w14:textId="77777777" w:rsidR="00F45500" w:rsidRPr="007B192E" w:rsidRDefault="00F45500" w:rsidP="00F45500">
      <w:pPr>
        <w:pStyle w:val="Standard"/>
        <w:widowControl w:val="0"/>
        <w:numPr>
          <w:ilvl w:val="0"/>
          <w:numId w:val="92"/>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walców statycznych, wibracyjnych lub płyt wibracyjnych.</w:t>
      </w:r>
    </w:p>
    <w:p w14:paraId="58F2FE9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Stosowany sprzęt nie może spowodować niekorzystnego wpływu na właściwości gruntu podłoża.</w:t>
      </w:r>
    </w:p>
    <w:p w14:paraId="7D1E82C1" w14:textId="77777777" w:rsidR="00F45500" w:rsidRPr="007B192E" w:rsidRDefault="00466B6A" w:rsidP="00056B48">
      <w:pPr>
        <w:pStyle w:val="Nagwek2"/>
        <w:rPr>
          <w:i w:val="0"/>
          <w:color w:val="000000" w:themeColor="text1"/>
        </w:rPr>
      </w:pPr>
      <w:r w:rsidRPr="007B192E">
        <w:rPr>
          <w:i w:val="0"/>
          <w:color w:val="000000" w:themeColor="text1"/>
        </w:rPr>
        <w:t>4. TRANSPORT</w:t>
      </w:r>
    </w:p>
    <w:p w14:paraId="168B2F6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4.1. Wymagania dotyczące transportu</w:t>
      </w:r>
    </w:p>
    <w:p w14:paraId="74A59372"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0F167C3F" w14:textId="77777777" w:rsidR="00F45500" w:rsidRPr="007B192E" w:rsidRDefault="00466B6A" w:rsidP="00056B48">
      <w:pPr>
        <w:pStyle w:val="Nagwek2"/>
        <w:rPr>
          <w:i w:val="0"/>
          <w:color w:val="000000" w:themeColor="text1"/>
        </w:rPr>
      </w:pPr>
      <w:r w:rsidRPr="007B192E">
        <w:rPr>
          <w:i w:val="0"/>
          <w:color w:val="000000" w:themeColor="text1"/>
        </w:rPr>
        <w:t>5. WYKONANIE ROBÓT</w:t>
      </w:r>
    </w:p>
    <w:p w14:paraId="6CA92BD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5.1. Zasady wykonania robót</w:t>
      </w:r>
    </w:p>
    <w:p w14:paraId="3104B938"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w:t>
      </w:r>
    </w:p>
    <w:p w14:paraId="1D425D9B"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5.2. Warunki przystąpienia do robót</w:t>
      </w:r>
    </w:p>
    <w:p w14:paraId="160DC8F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Wykonawca powinien przystąpić do wykonania koryta oraz profilowania i zagęszczenia podłoża bezpośrednio przed rozpoczęciem robót związanych z wykonaniem warstw nawierzchni. Wcześniejsze przystąpienie do wykonania koryta oraz profilowania i zagęszczania </w:t>
      </w:r>
      <w:proofErr w:type="spellStart"/>
      <w:r w:rsidRPr="007B192E">
        <w:rPr>
          <w:rFonts w:ascii="Arial" w:hAnsi="Arial" w:cs="Arial"/>
          <w:color w:val="000000" w:themeColor="text1"/>
          <w:sz w:val="18"/>
          <w:szCs w:val="18"/>
        </w:rPr>
        <w:t>podłoża,jest</w:t>
      </w:r>
      <w:proofErr w:type="spellEnd"/>
      <w:r w:rsidRPr="007B192E">
        <w:rPr>
          <w:rFonts w:ascii="Arial" w:hAnsi="Arial" w:cs="Arial"/>
          <w:color w:val="000000" w:themeColor="text1"/>
          <w:sz w:val="18"/>
          <w:szCs w:val="18"/>
        </w:rPr>
        <w:t xml:space="preserve"> możliwe wyłącznie za zgodą Inżyniera, w korzystnych warunkach atmosferycznych.</w:t>
      </w:r>
    </w:p>
    <w:p w14:paraId="29E48F4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 wykonanym korycie oraz po wyprofilowanym i zagęszczonym podłożu nie może odbywać się ruch budowlany, niezwiązany bezpośrednio z wykonaniem pierwszej warstwy nawierzchni.</w:t>
      </w:r>
    </w:p>
    <w:p w14:paraId="4058F91F"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5.3. Wykonanie koryta</w:t>
      </w:r>
    </w:p>
    <w:p w14:paraId="3059F6C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Paliki lub szpilki do prawidłowego ukształtowania koryta w planie i profilu powinny być wcześniej przygotowane.</w:t>
      </w:r>
    </w:p>
    <w:p w14:paraId="065DD677"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58F94B5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Rodzaj sprzętu, a w szczególności jego moc należy dostosować do rodzaju gruntu, w którym prowadzone są roboty i do trudności jego odspojenia.</w:t>
      </w:r>
    </w:p>
    <w:p w14:paraId="6ECC9768"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Koryto można wykonywać ręcznie, gdy jego szerokość nie pozwala na zastosowanie maszyn, na przykład na poszerzeniach lub w przypadku robót o małym zakresie. Sposób wykonania musi być zaakceptowany przez Inżyniera.</w:t>
      </w:r>
    </w:p>
    <w:p w14:paraId="39D9573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Grunt odspojony w czasie wykonywania koryta powinien być wykorzystany zgodnie z ustaleniami dokumentacji projektowej i ST, tj. wbudowany w nasyp lub odwieziony na odkład w miejsce wskazane przez Inżyniera.</w:t>
      </w:r>
    </w:p>
    <w:p w14:paraId="61F371C8"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Profilowanie i zagęszczenie podłoża należy wykonać zgodnie z zasadami określonymi w pkt 5.4.</w:t>
      </w:r>
    </w:p>
    <w:p w14:paraId="5360E43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5.4. Profilowanie i zagęszczanie podłoża</w:t>
      </w:r>
    </w:p>
    <w:p w14:paraId="471FF4A9"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profilowania podłoże powinno być oczyszczone ze wszelkich zanieczyszczeń.</w:t>
      </w:r>
    </w:p>
    <w:p w14:paraId="2FF9D9B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1F218DD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654BDEA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Do profilowania podłoża należy stosować równiarki. Ścięty grunt powinien być wykorzystany w robotach ziemnych lub w inny sposób zaakceptowany przez Inżyniera.</w:t>
      </w:r>
    </w:p>
    <w:p w14:paraId="2AA898B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20F65562"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Tablica 1. Minimalne wartości wskaźnika zagęszczenia podłoża (</w:t>
      </w:r>
      <w:proofErr w:type="spellStart"/>
      <w:r w:rsidRPr="007B192E">
        <w:rPr>
          <w:rFonts w:ascii="Arial" w:hAnsi="Arial" w:cs="Arial"/>
          <w:color w:val="000000" w:themeColor="text1"/>
          <w:sz w:val="18"/>
          <w:szCs w:val="18"/>
        </w:rPr>
        <w:t>I</w:t>
      </w:r>
      <w:r w:rsidRPr="007B192E">
        <w:rPr>
          <w:rFonts w:ascii="Arial" w:hAnsi="Arial" w:cs="Arial"/>
          <w:color w:val="000000" w:themeColor="text1"/>
          <w:sz w:val="18"/>
          <w:szCs w:val="18"/>
          <w:vertAlign w:val="subscript"/>
        </w:rPr>
        <w:t>s</w:t>
      </w:r>
      <w:proofErr w:type="spellEnd"/>
      <w:r w:rsidRPr="007B192E">
        <w:rPr>
          <w:rFonts w:ascii="Arial" w:hAnsi="Arial" w:cs="Arial"/>
          <w:color w:val="000000" w:themeColor="text1"/>
          <w:sz w:val="18"/>
          <w:szCs w:val="18"/>
        </w:rPr>
        <w:t>)</w:t>
      </w:r>
    </w:p>
    <w:tbl>
      <w:tblPr>
        <w:tblW w:w="9214" w:type="dxa"/>
        <w:tblInd w:w="70" w:type="dxa"/>
        <w:tblLayout w:type="fixed"/>
        <w:tblCellMar>
          <w:left w:w="10" w:type="dxa"/>
          <w:right w:w="10" w:type="dxa"/>
        </w:tblCellMar>
        <w:tblLook w:val="0000" w:firstRow="0" w:lastRow="0" w:firstColumn="0" w:lastColumn="0" w:noHBand="0" w:noVBand="0"/>
      </w:tblPr>
      <w:tblGrid>
        <w:gridCol w:w="4962"/>
        <w:gridCol w:w="4252"/>
      </w:tblGrid>
      <w:tr w:rsidR="004D7D23" w:rsidRPr="007B192E" w14:paraId="258F6A51" w14:textId="77777777" w:rsidTr="00056B48">
        <w:tc>
          <w:tcPr>
            <w:tcW w:w="4962" w:type="dxa"/>
            <w:vMerge w:val="restart"/>
            <w:tcBorders>
              <w:top w:val="single" w:sz="2" w:space="0" w:color="000000"/>
              <w:left w:val="single" w:sz="2" w:space="0" w:color="000000"/>
              <w:bottom w:val="single" w:sz="2" w:space="0" w:color="000000"/>
            </w:tcBorders>
            <w:tcMar>
              <w:top w:w="70" w:type="dxa"/>
              <w:left w:w="70" w:type="dxa"/>
              <w:bottom w:w="70" w:type="dxa"/>
              <w:right w:w="70" w:type="dxa"/>
            </w:tcMar>
            <w:vAlign w:val="center"/>
          </w:tcPr>
          <w:p w14:paraId="253641FB"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Strefa</w:t>
            </w:r>
          </w:p>
          <w:p w14:paraId="2D8E088F"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korpusu</w:t>
            </w:r>
          </w:p>
        </w:tc>
        <w:tc>
          <w:tcPr>
            <w:tcW w:w="4252"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vAlign w:val="center"/>
          </w:tcPr>
          <w:p w14:paraId="3CEB2FA4"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Minimalna wartość </w:t>
            </w:r>
            <w:proofErr w:type="spellStart"/>
            <w:r w:rsidRPr="007B192E">
              <w:rPr>
                <w:rFonts w:ascii="Arial" w:hAnsi="Arial" w:cs="Arial"/>
                <w:color w:val="000000" w:themeColor="text1"/>
                <w:sz w:val="18"/>
                <w:szCs w:val="18"/>
              </w:rPr>
              <w:t>I</w:t>
            </w:r>
            <w:r w:rsidRPr="007B192E">
              <w:rPr>
                <w:rFonts w:ascii="Arial" w:hAnsi="Arial" w:cs="Arial"/>
                <w:color w:val="000000" w:themeColor="text1"/>
                <w:sz w:val="18"/>
                <w:szCs w:val="18"/>
                <w:vertAlign w:val="subscript"/>
              </w:rPr>
              <w:t>s</w:t>
            </w:r>
            <w:proofErr w:type="spellEnd"/>
            <w:r w:rsidRPr="007B192E">
              <w:rPr>
                <w:rFonts w:ascii="Arial" w:hAnsi="Arial" w:cs="Arial"/>
                <w:color w:val="000000" w:themeColor="text1"/>
                <w:sz w:val="18"/>
                <w:szCs w:val="18"/>
              </w:rPr>
              <w:t xml:space="preserve"> dla:</w:t>
            </w:r>
          </w:p>
        </w:tc>
      </w:tr>
      <w:tr w:rsidR="004D7D23" w:rsidRPr="007B192E" w14:paraId="3D8EE9E0" w14:textId="77777777" w:rsidTr="00056B48">
        <w:tc>
          <w:tcPr>
            <w:tcW w:w="4962" w:type="dxa"/>
            <w:vMerge/>
            <w:tcBorders>
              <w:top w:val="single" w:sz="2" w:space="0" w:color="000000"/>
              <w:left w:val="single" w:sz="2" w:space="0" w:color="000000"/>
              <w:bottom w:val="single" w:sz="2" w:space="0" w:color="000000"/>
            </w:tcBorders>
            <w:tcMar>
              <w:top w:w="70" w:type="dxa"/>
              <w:left w:w="70" w:type="dxa"/>
              <w:bottom w:w="70" w:type="dxa"/>
              <w:right w:w="70" w:type="dxa"/>
            </w:tcMar>
            <w:vAlign w:val="center"/>
          </w:tcPr>
          <w:p w14:paraId="09EE60B3" w14:textId="77777777" w:rsidR="00F45500" w:rsidRPr="007B192E" w:rsidRDefault="00F45500" w:rsidP="008F7A94">
            <w:pPr>
              <w:rPr>
                <w:rFonts w:ascii="Arial" w:hAnsi="Arial" w:cs="Arial"/>
                <w:color w:val="000000" w:themeColor="text1"/>
                <w:sz w:val="18"/>
                <w:szCs w:val="18"/>
              </w:rPr>
            </w:pPr>
          </w:p>
        </w:tc>
        <w:tc>
          <w:tcPr>
            <w:tcW w:w="4252" w:type="dxa"/>
            <w:tcBorders>
              <w:left w:val="single" w:sz="2" w:space="0" w:color="000000"/>
              <w:bottom w:val="single" w:sz="2" w:space="0" w:color="000000"/>
              <w:right w:val="single" w:sz="2" w:space="0" w:color="000000"/>
            </w:tcBorders>
            <w:tcMar>
              <w:top w:w="70" w:type="dxa"/>
              <w:left w:w="70" w:type="dxa"/>
              <w:bottom w:w="70" w:type="dxa"/>
              <w:right w:w="70" w:type="dxa"/>
            </w:tcMar>
            <w:vAlign w:val="center"/>
          </w:tcPr>
          <w:p w14:paraId="19005A25"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Ruch ciężki i bardzo ciężki</w:t>
            </w:r>
          </w:p>
        </w:tc>
      </w:tr>
      <w:tr w:rsidR="004D7D23" w:rsidRPr="007B192E" w14:paraId="15DB1522" w14:textId="77777777" w:rsidTr="00056B48">
        <w:tc>
          <w:tcPr>
            <w:tcW w:w="4962" w:type="dxa"/>
            <w:tcBorders>
              <w:top w:val="single" w:sz="2" w:space="0" w:color="000000"/>
              <w:left w:val="single" w:sz="2" w:space="0" w:color="000000"/>
              <w:bottom w:val="single" w:sz="2" w:space="0" w:color="000000"/>
            </w:tcBorders>
            <w:tcMar>
              <w:top w:w="70" w:type="dxa"/>
              <w:left w:w="70" w:type="dxa"/>
              <w:bottom w:w="70" w:type="dxa"/>
              <w:right w:w="70" w:type="dxa"/>
            </w:tcMar>
            <w:vAlign w:val="center"/>
          </w:tcPr>
          <w:p w14:paraId="2EAF0533" w14:textId="77777777" w:rsidR="00F45500" w:rsidRPr="007B192E" w:rsidRDefault="00F45500" w:rsidP="008F7A94">
            <w:pPr>
              <w:pStyle w:val="Standard"/>
              <w:spacing w:before="60"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Górna warstwa o grubości 20 cm</w:t>
            </w:r>
          </w:p>
        </w:tc>
        <w:tc>
          <w:tcPr>
            <w:tcW w:w="4252" w:type="dxa"/>
            <w:tcBorders>
              <w:top w:val="single" w:sz="2" w:space="0" w:color="000000"/>
              <w:left w:val="single" w:sz="2" w:space="0" w:color="000000"/>
              <w:bottom w:val="single" w:sz="2" w:space="0" w:color="000000"/>
              <w:right w:val="single" w:sz="2" w:space="0" w:color="000000"/>
            </w:tcBorders>
            <w:tcMar>
              <w:top w:w="70" w:type="dxa"/>
              <w:left w:w="70" w:type="dxa"/>
              <w:bottom w:w="70" w:type="dxa"/>
              <w:right w:w="70" w:type="dxa"/>
            </w:tcMar>
            <w:vAlign w:val="center"/>
          </w:tcPr>
          <w:p w14:paraId="0B6752AB" w14:textId="77777777" w:rsidR="00F45500" w:rsidRPr="007B192E" w:rsidRDefault="00F45500" w:rsidP="008F7A94">
            <w:pPr>
              <w:pStyle w:val="Standard"/>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r>
      <w:tr w:rsidR="00F45500" w:rsidRPr="007B192E" w14:paraId="0EFFF0AE" w14:textId="77777777" w:rsidTr="00056B48">
        <w:tc>
          <w:tcPr>
            <w:tcW w:w="4962" w:type="dxa"/>
            <w:tcBorders>
              <w:left w:val="single" w:sz="2" w:space="0" w:color="000000"/>
              <w:bottom w:val="single" w:sz="2" w:space="0" w:color="000000"/>
            </w:tcBorders>
            <w:tcMar>
              <w:top w:w="70" w:type="dxa"/>
              <w:left w:w="70" w:type="dxa"/>
              <w:bottom w:w="70" w:type="dxa"/>
              <w:right w:w="70" w:type="dxa"/>
            </w:tcMar>
            <w:vAlign w:val="center"/>
          </w:tcPr>
          <w:p w14:paraId="10C676DF"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Na głębokości od 20 do 50 cm od powierzchni podłoża</w:t>
            </w:r>
          </w:p>
        </w:tc>
        <w:tc>
          <w:tcPr>
            <w:tcW w:w="4252" w:type="dxa"/>
            <w:tcBorders>
              <w:left w:val="single" w:sz="2" w:space="0" w:color="000000"/>
              <w:bottom w:val="single" w:sz="2" w:space="0" w:color="000000"/>
              <w:right w:val="single" w:sz="2" w:space="0" w:color="000000"/>
            </w:tcBorders>
            <w:tcMar>
              <w:top w:w="70" w:type="dxa"/>
              <w:left w:w="70" w:type="dxa"/>
              <w:bottom w:w="70" w:type="dxa"/>
              <w:right w:w="70" w:type="dxa"/>
            </w:tcMar>
            <w:vAlign w:val="center"/>
          </w:tcPr>
          <w:p w14:paraId="28CB015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r>
    </w:tbl>
    <w:p w14:paraId="0BC0F6EA" w14:textId="77777777" w:rsidR="00F45500" w:rsidRPr="007B192E" w:rsidRDefault="00F45500" w:rsidP="00F45500">
      <w:pPr>
        <w:pStyle w:val="tekstost"/>
        <w:spacing w:line="216" w:lineRule="auto"/>
        <w:rPr>
          <w:rFonts w:ascii="Arial" w:hAnsi="Arial" w:cs="Arial"/>
          <w:color w:val="000000" w:themeColor="text1"/>
          <w:sz w:val="18"/>
          <w:szCs w:val="18"/>
        </w:rPr>
      </w:pPr>
    </w:p>
    <w:p w14:paraId="04CD2F3A" w14:textId="77777777" w:rsidR="00F45500" w:rsidRPr="007B192E" w:rsidRDefault="00F45500" w:rsidP="00F45500">
      <w:pPr>
        <w:pStyle w:val="tekstost"/>
        <w:spacing w:line="216" w:lineRule="auto"/>
        <w:rPr>
          <w:rFonts w:ascii="Arial" w:hAnsi="Arial" w:cs="Arial"/>
          <w:color w:val="000000" w:themeColor="text1"/>
          <w:sz w:val="18"/>
          <w:szCs w:val="18"/>
        </w:rPr>
      </w:pPr>
      <w:r w:rsidRPr="007B192E">
        <w:rPr>
          <w:rFonts w:ascii="Arial" w:hAnsi="Arial" w:cs="Arial"/>
          <w:color w:val="000000" w:themeColor="text1"/>
          <w:sz w:val="18"/>
          <w:szCs w:val="18"/>
        </w:rPr>
        <w:tab/>
        <w:t>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4E996ABC" w14:textId="77777777" w:rsidR="00F45500" w:rsidRPr="007B192E" w:rsidRDefault="00F45500" w:rsidP="00F45500">
      <w:pPr>
        <w:pStyle w:val="tekstost"/>
        <w:spacing w:line="216" w:lineRule="auto"/>
        <w:rPr>
          <w:rFonts w:ascii="Arial" w:hAnsi="Arial" w:cs="Arial"/>
          <w:color w:val="000000" w:themeColor="text1"/>
          <w:sz w:val="18"/>
          <w:szCs w:val="18"/>
        </w:rPr>
      </w:pPr>
      <w:r w:rsidRPr="007B192E">
        <w:rPr>
          <w:rFonts w:ascii="Arial" w:hAnsi="Arial" w:cs="Arial"/>
          <w:color w:val="000000" w:themeColor="text1"/>
          <w:sz w:val="18"/>
          <w:szCs w:val="18"/>
        </w:rPr>
        <w:tab/>
        <w:t>Wilgotność gruntu podłoża podczas zagęszczania powinna być równa wilgotności optymalnej z tolerancją od -20% do +10%.</w:t>
      </w:r>
    </w:p>
    <w:p w14:paraId="6EA07DA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5.5. Utrzymanie koryta oraz wyprofilowanego i zagęszczonego podłoża</w:t>
      </w:r>
    </w:p>
    <w:p w14:paraId="1E010A7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Podłoże (koryto) po wyprofilowaniu i zagęszczeniu powinno być utrzymywane w dobrym stanie.</w:t>
      </w:r>
    </w:p>
    <w:p w14:paraId="28FC5ED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74CE1FA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Jeżeli wyprofilowane i zagęszczone podłoże uległo nadmiernemu zawilgoceniu, to do układania kolejnej warstwy można przystąpić dopiero po jego naturalnym osuszeniu.</w:t>
      </w:r>
    </w:p>
    <w:p w14:paraId="22A0946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Po osuszeniu podłoża Inżynier oceni jego stan i ewentualnie zaleci wykonanie niezbędnych napraw. Jeżeli zawilgocenie nastąpiło wskutek zaniedbania Wykonawcy, to naprawę wykona on na własny koszt.</w:t>
      </w:r>
    </w:p>
    <w:p w14:paraId="0569BAFD" w14:textId="77777777" w:rsidR="00F45500" w:rsidRPr="007B192E" w:rsidRDefault="00466B6A" w:rsidP="00056B48">
      <w:pPr>
        <w:pStyle w:val="Nagwek2"/>
        <w:rPr>
          <w:i w:val="0"/>
          <w:color w:val="000000" w:themeColor="text1"/>
        </w:rPr>
      </w:pPr>
      <w:r w:rsidRPr="007B192E">
        <w:rPr>
          <w:i w:val="0"/>
          <w:color w:val="000000" w:themeColor="text1"/>
        </w:rPr>
        <w:t>6. KONTROLA JAKOŚCI ROBÓT</w:t>
      </w:r>
    </w:p>
    <w:p w14:paraId="44373CA6"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6.1. Zasady kontroli jakości robót</w:t>
      </w:r>
    </w:p>
    <w:p w14:paraId="161E83C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2BB10F4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6.2. Badania w czasie robót</w:t>
      </w:r>
    </w:p>
    <w:p w14:paraId="42A2F46C"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6.2.1. </w:t>
      </w:r>
      <w:r w:rsidRPr="007B192E">
        <w:rPr>
          <w:rFonts w:ascii="Arial" w:hAnsi="Arial" w:cs="Arial"/>
          <w:color w:val="000000" w:themeColor="text1"/>
          <w:sz w:val="18"/>
          <w:szCs w:val="18"/>
        </w:rPr>
        <w:t>Częstotliwość oraz zakres badań i pomiarów</w:t>
      </w:r>
    </w:p>
    <w:p w14:paraId="0087BBD7"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Częstotliwość oraz zakres badań i pomiarów dotyczących cech geometrycznych i zagęszczenia koryta i wyprofilowanego podłoża podaje tablica 2.</w:t>
      </w:r>
    </w:p>
    <w:p w14:paraId="723DCA18"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Tablica 2.</w:t>
      </w:r>
      <w:r w:rsidRPr="007B192E">
        <w:rPr>
          <w:rFonts w:ascii="Arial" w:hAnsi="Arial" w:cs="Arial"/>
          <w:color w:val="000000" w:themeColor="text1"/>
          <w:sz w:val="18"/>
          <w:szCs w:val="18"/>
        </w:rPr>
        <w:tab/>
        <w:t>Częstotliwość oraz zakres badań i pomiarów wykonanego koryta i wyprofilowanego podłoża</w:t>
      </w:r>
    </w:p>
    <w:tbl>
      <w:tblPr>
        <w:tblW w:w="9448" w:type="dxa"/>
        <w:jc w:val="center"/>
        <w:tblLayout w:type="fixed"/>
        <w:tblCellMar>
          <w:left w:w="10" w:type="dxa"/>
          <w:right w:w="10" w:type="dxa"/>
        </w:tblCellMar>
        <w:tblLook w:val="0000" w:firstRow="0" w:lastRow="0" w:firstColumn="0" w:lastColumn="0" w:noHBand="0" w:noVBand="0"/>
      </w:tblPr>
      <w:tblGrid>
        <w:gridCol w:w="659"/>
        <w:gridCol w:w="2693"/>
        <w:gridCol w:w="6096"/>
      </w:tblGrid>
      <w:tr w:rsidR="004D7D23" w:rsidRPr="007B192E" w14:paraId="7458B16C" w14:textId="77777777" w:rsidTr="0032015E">
        <w:trPr>
          <w:jc w:val="center"/>
        </w:trPr>
        <w:tc>
          <w:tcPr>
            <w:tcW w:w="659" w:type="dxa"/>
            <w:tcBorders>
              <w:top w:val="single" w:sz="4" w:space="0" w:color="000000"/>
              <w:left w:val="single" w:sz="4" w:space="0" w:color="000000"/>
              <w:bottom w:val="double" w:sz="2" w:space="0" w:color="000000"/>
            </w:tcBorders>
            <w:tcMar>
              <w:top w:w="0" w:type="dxa"/>
              <w:left w:w="70" w:type="dxa"/>
              <w:bottom w:w="0" w:type="dxa"/>
              <w:right w:w="70" w:type="dxa"/>
            </w:tcMar>
          </w:tcPr>
          <w:p w14:paraId="477EF441"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2693" w:type="dxa"/>
            <w:tcBorders>
              <w:top w:val="single" w:sz="4" w:space="0" w:color="000000"/>
              <w:left w:val="single" w:sz="4" w:space="0" w:color="000000"/>
              <w:bottom w:val="double" w:sz="2" w:space="0" w:color="000000"/>
            </w:tcBorders>
            <w:tcMar>
              <w:top w:w="0" w:type="dxa"/>
              <w:left w:w="70" w:type="dxa"/>
              <w:bottom w:w="0" w:type="dxa"/>
              <w:right w:w="70" w:type="dxa"/>
            </w:tcMar>
          </w:tcPr>
          <w:p w14:paraId="6C6D3874" w14:textId="77777777" w:rsidR="00F45500" w:rsidRPr="007B192E" w:rsidRDefault="00F45500" w:rsidP="008F7A94">
            <w:pPr>
              <w:pStyle w:val="Standard"/>
              <w:spacing w:before="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Wyszczególnienie badań</w:t>
            </w:r>
          </w:p>
          <w:p w14:paraId="351BA7F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i pomiarów</w:t>
            </w:r>
          </w:p>
        </w:tc>
        <w:tc>
          <w:tcPr>
            <w:tcW w:w="6096"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0108537B" w14:textId="77777777" w:rsidR="00F45500" w:rsidRPr="007B192E" w:rsidRDefault="00F45500" w:rsidP="008F7A94">
            <w:pPr>
              <w:pStyle w:val="Standard"/>
              <w:spacing w:before="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Minimalna częstotliwość</w:t>
            </w:r>
          </w:p>
          <w:p w14:paraId="37773C7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badań i pomiarów</w:t>
            </w:r>
          </w:p>
        </w:tc>
      </w:tr>
      <w:tr w:rsidR="004D7D23" w:rsidRPr="007B192E" w14:paraId="0EC2F9B1" w14:textId="77777777" w:rsidTr="0032015E">
        <w:trPr>
          <w:jc w:val="center"/>
        </w:trPr>
        <w:tc>
          <w:tcPr>
            <w:tcW w:w="659" w:type="dxa"/>
            <w:tcBorders>
              <w:left w:val="single" w:sz="4" w:space="0" w:color="000000"/>
              <w:bottom w:val="single" w:sz="4" w:space="0" w:color="000000"/>
            </w:tcBorders>
            <w:tcMar>
              <w:top w:w="0" w:type="dxa"/>
              <w:left w:w="70" w:type="dxa"/>
              <w:bottom w:w="0" w:type="dxa"/>
              <w:right w:w="70" w:type="dxa"/>
            </w:tcMar>
          </w:tcPr>
          <w:p w14:paraId="099B6703"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2693" w:type="dxa"/>
            <w:tcBorders>
              <w:left w:val="single" w:sz="4" w:space="0" w:color="000000"/>
              <w:bottom w:val="single" w:sz="4" w:space="0" w:color="000000"/>
            </w:tcBorders>
            <w:tcMar>
              <w:top w:w="0" w:type="dxa"/>
              <w:left w:w="70" w:type="dxa"/>
              <w:bottom w:w="0" w:type="dxa"/>
              <w:right w:w="70" w:type="dxa"/>
            </w:tcMar>
          </w:tcPr>
          <w:p w14:paraId="29CB8B6C"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Szerokość koryta</w:t>
            </w:r>
          </w:p>
        </w:tc>
        <w:tc>
          <w:tcPr>
            <w:tcW w:w="6096" w:type="dxa"/>
            <w:tcBorders>
              <w:left w:val="single" w:sz="4" w:space="0" w:color="000000"/>
              <w:bottom w:val="single" w:sz="4" w:space="0" w:color="000000"/>
              <w:right w:val="single" w:sz="4" w:space="0" w:color="000000"/>
            </w:tcBorders>
            <w:tcMar>
              <w:top w:w="0" w:type="dxa"/>
              <w:left w:w="70" w:type="dxa"/>
              <w:bottom w:w="0" w:type="dxa"/>
              <w:right w:w="70" w:type="dxa"/>
            </w:tcMar>
          </w:tcPr>
          <w:p w14:paraId="00B083F5"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 razy na 1 km</w:t>
            </w:r>
          </w:p>
        </w:tc>
      </w:tr>
      <w:tr w:rsidR="004D7D23" w:rsidRPr="007B192E" w14:paraId="05E370E5"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68F1AACE"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1A328C53"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Równość podłużna</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03E021A"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co 20 m na każdym pasie ruchu</w:t>
            </w:r>
          </w:p>
        </w:tc>
      </w:tr>
      <w:tr w:rsidR="004D7D23" w:rsidRPr="007B192E" w14:paraId="34188478"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016EC5AE"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11A25870"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Równość poprzeczna</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C278B52"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 razy na 1 km</w:t>
            </w:r>
          </w:p>
        </w:tc>
      </w:tr>
      <w:tr w:rsidR="004D7D23" w:rsidRPr="007B192E" w14:paraId="629D3D1E"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2B9ED037"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06A69D4C"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Spadki poprzeczne </w:t>
            </w:r>
            <w:r w:rsidRPr="007B192E">
              <w:rPr>
                <w:rFonts w:ascii="Arial" w:hAnsi="Arial" w:cs="Arial"/>
                <w:color w:val="000000" w:themeColor="text1"/>
                <w:sz w:val="18"/>
                <w:szCs w:val="18"/>
                <w:vertAlign w:val="superscript"/>
              </w:rPr>
              <w:t>*)</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0ED1722" w14:textId="77777777" w:rsidR="00F45500" w:rsidRPr="007B192E" w:rsidRDefault="00F45500" w:rsidP="008F7A94">
            <w:pPr>
              <w:pStyle w:val="Standard"/>
              <w:spacing w:before="6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 razy na 1 km</w:t>
            </w:r>
          </w:p>
        </w:tc>
      </w:tr>
      <w:tr w:rsidR="004D7D23" w:rsidRPr="007B192E" w14:paraId="7750BE27"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453E8E40"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0BE40BBD"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Rzędne wysokościowe</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46A30702" w14:textId="77777777" w:rsidR="00F45500" w:rsidRPr="007B192E" w:rsidRDefault="00F45500" w:rsidP="0032015E">
            <w:pPr>
              <w:pStyle w:val="Standard"/>
              <w:spacing w:before="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co 25 m w osi jezdni i na jej krawędziach dla autostrad</w:t>
            </w:r>
            <w:r w:rsidR="0032015E"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t>i dróg ekspresowych, co 100 m dla pozostałych dróg</w:t>
            </w:r>
          </w:p>
        </w:tc>
      </w:tr>
      <w:tr w:rsidR="004D7D23" w:rsidRPr="007B192E" w14:paraId="4963A6B8" w14:textId="77777777" w:rsidTr="0032015E">
        <w:trPr>
          <w:jc w:val="center"/>
        </w:trPr>
        <w:tc>
          <w:tcPr>
            <w:tcW w:w="659" w:type="dxa"/>
            <w:tcBorders>
              <w:top w:val="single" w:sz="4" w:space="0" w:color="000000"/>
              <w:left w:val="single" w:sz="4" w:space="0" w:color="000000"/>
              <w:bottom w:val="single" w:sz="4" w:space="0" w:color="000000"/>
            </w:tcBorders>
            <w:tcMar>
              <w:top w:w="0" w:type="dxa"/>
              <w:left w:w="70" w:type="dxa"/>
              <w:bottom w:w="0" w:type="dxa"/>
              <w:right w:w="70" w:type="dxa"/>
            </w:tcMar>
          </w:tcPr>
          <w:p w14:paraId="6F9BC39E"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693" w:type="dxa"/>
            <w:tcBorders>
              <w:top w:val="single" w:sz="4" w:space="0" w:color="000000"/>
              <w:left w:val="single" w:sz="4" w:space="0" w:color="000000"/>
              <w:bottom w:val="single" w:sz="4" w:space="0" w:color="000000"/>
            </w:tcBorders>
            <w:tcMar>
              <w:top w:w="0" w:type="dxa"/>
              <w:left w:w="70" w:type="dxa"/>
              <w:bottom w:w="0" w:type="dxa"/>
              <w:right w:w="70" w:type="dxa"/>
            </w:tcMar>
          </w:tcPr>
          <w:p w14:paraId="45AC8281" w14:textId="77777777" w:rsidR="00F45500" w:rsidRPr="007B192E" w:rsidRDefault="00F45500" w:rsidP="008F7A94">
            <w:pPr>
              <w:pStyle w:val="Standard"/>
              <w:spacing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Ukształtowanie osi w planie </w:t>
            </w:r>
            <w:r w:rsidRPr="007B192E">
              <w:rPr>
                <w:rFonts w:ascii="Arial" w:hAnsi="Arial" w:cs="Arial"/>
                <w:color w:val="000000" w:themeColor="text1"/>
                <w:sz w:val="18"/>
                <w:szCs w:val="18"/>
                <w:vertAlign w:val="superscript"/>
              </w:rPr>
              <w:t>*)</w:t>
            </w:r>
          </w:p>
        </w:tc>
        <w:tc>
          <w:tcPr>
            <w:tcW w:w="6096"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6175D51" w14:textId="77777777" w:rsidR="00F45500" w:rsidRPr="007B192E" w:rsidRDefault="00F45500" w:rsidP="0032015E">
            <w:pPr>
              <w:pStyle w:val="Standard"/>
              <w:spacing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co 25 m w osi jezdni i na jej kr</w:t>
            </w:r>
            <w:r w:rsidR="0032015E" w:rsidRPr="007B192E">
              <w:rPr>
                <w:rFonts w:ascii="Arial" w:hAnsi="Arial" w:cs="Arial"/>
                <w:color w:val="000000" w:themeColor="text1"/>
                <w:sz w:val="18"/>
                <w:szCs w:val="18"/>
              </w:rPr>
              <w:t xml:space="preserve">awędziach dla autostrad </w:t>
            </w:r>
            <w:r w:rsidRPr="007B192E">
              <w:rPr>
                <w:rFonts w:ascii="Arial" w:hAnsi="Arial" w:cs="Arial"/>
                <w:color w:val="000000" w:themeColor="text1"/>
                <w:sz w:val="18"/>
                <w:szCs w:val="18"/>
              </w:rPr>
              <w:t>i dróg ekspresowych, co 100 m dla pozostałych dróg</w:t>
            </w:r>
          </w:p>
        </w:tc>
      </w:tr>
      <w:tr w:rsidR="004D7D23" w:rsidRPr="007B192E" w14:paraId="138C59DF" w14:textId="77777777" w:rsidTr="0032015E">
        <w:trPr>
          <w:jc w:val="center"/>
        </w:trPr>
        <w:tc>
          <w:tcPr>
            <w:tcW w:w="659" w:type="dxa"/>
            <w:tcBorders>
              <w:left w:val="single" w:sz="4" w:space="0" w:color="000000"/>
              <w:bottom w:val="single" w:sz="4" w:space="0" w:color="000000"/>
            </w:tcBorders>
            <w:tcMar>
              <w:top w:w="0" w:type="dxa"/>
              <w:left w:w="70" w:type="dxa"/>
              <w:bottom w:w="0" w:type="dxa"/>
              <w:right w:w="70" w:type="dxa"/>
            </w:tcMar>
          </w:tcPr>
          <w:p w14:paraId="0EFFC6D3"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693" w:type="dxa"/>
            <w:tcBorders>
              <w:left w:val="single" w:sz="4" w:space="0" w:color="000000"/>
              <w:bottom w:val="single" w:sz="4" w:space="0" w:color="000000"/>
            </w:tcBorders>
            <w:tcMar>
              <w:top w:w="0" w:type="dxa"/>
              <w:left w:w="70" w:type="dxa"/>
              <w:bottom w:w="0" w:type="dxa"/>
              <w:right w:w="70" w:type="dxa"/>
            </w:tcMar>
          </w:tcPr>
          <w:p w14:paraId="057B484D" w14:textId="77777777" w:rsidR="00F45500" w:rsidRPr="007B192E" w:rsidRDefault="00F45500" w:rsidP="0032015E">
            <w:pPr>
              <w:pStyle w:val="Standard"/>
              <w:spacing w:before="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Zagęszczenie,</w:t>
            </w:r>
            <w:r w:rsidR="0032015E"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t>wilgotność gruntu podłoża</w:t>
            </w:r>
          </w:p>
        </w:tc>
        <w:tc>
          <w:tcPr>
            <w:tcW w:w="6096" w:type="dxa"/>
            <w:tcBorders>
              <w:left w:val="single" w:sz="4" w:space="0" w:color="000000"/>
              <w:bottom w:val="single" w:sz="4" w:space="0" w:color="000000"/>
              <w:right w:val="single" w:sz="4" w:space="0" w:color="000000"/>
            </w:tcBorders>
            <w:tcMar>
              <w:top w:w="0" w:type="dxa"/>
              <w:left w:w="70" w:type="dxa"/>
              <w:bottom w:w="0" w:type="dxa"/>
              <w:right w:w="70" w:type="dxa"/>
            </w:tcMar>
          </w:tcPr>
          <w:p w14:paraId="65915590" w14:textId="77777777" w:rsidR="00F45500" w:rsidRPr="007B192E" w:rsidRDefault="00F45500" w:rsidP="008F7A94">
            <w:pPr>
              <w:pStyle w:val="Standard"/>
              <w:spacing w:before="2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 2 punktach na dziennej działce roboczej, lecz nie rzadziej niż raz na 600 m</w:t>
            </w:r>
            <w:r w:rsidRPr="007B192E">
              <w:rPr>
                <w:rFonts w:ascii="Arial" w:hAnsi="Arial" w:cs="Arial"/>
                <w:color w:val="000000" w:themeColor="text1"/>
                <w:sz w:val="18"/>
                <w:szCs w:val="18"/>
                <w:vertAlign w:val="superscript"/>
              </w:rPr>
              <w:t>2</w:t>
            </w:r>
          </w:p>
        </w:tc>
      </w:tr>
      <w:tr w:rsidR="004D7D23" w:rsidRPr="007B192E" w14:paraId="2FDCA3DC" w14:textId="77777777" w:rsidTr="0032015E">
        <w:trPr>
          <w:jc w:val="center"/>
        </w:trPr>
        <w:tc>
          <w:tcPr>
            <w:tcW w:w="9448" w:type="dxa"/>
            <w:gridSpan w:val="3"/>
            <w:tcBorders>
              <w:left w:val="single" w:sz="4" w:space="0" w:color="000000"/>
              <w:bottom w:val="single" w:sz="4" w:space="0" w:color="000000"/>
              <w:right w:val="single" w:sz="4" w:space="0" w:color="000000"/>
            </w:tcBorders>
            <w:tcMar>
              <w:top w:w="0" w:type="dxa"/>
              <w:left w:w="70" w:type="dxa"/>
              <w:bottom w:w="0" w:type="dxa"/>
              <w:right w:w="70" w:type="dxa"/>
            </w:tcMar>
          </w:tcPr>
          <w:p w14:paraId="0A606A5A" w14:textId="77777777" w:rsidR="00F45500" w:rsidRPr="007B192E" w:rsidRDefault="00F45500" w:rsidP="008F7A94">
            <w:pPr>
              <w:pStyle w:val="Standard"/>
              <w:spacing w:before="20" w:after="6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Dodatkowe pomiary spadków poprzecznych i ukształtowania osi w planie należy wykonać w punktach głównych łuków poziomych</w:t>
            </w:r>
          </w:p>
        </w:tc>
      </w:tr>
    </w:tbl>
    <w:p w14:paraId="3E870C5C" w14:textId="77777777" w:rsidR="00F45500" w:rsidRPr="007B192E" w:rsidRDefault="00F45500" w:rsidP="00F45500">
      <w:pPr>
        <w:pStyle w:val="Standard"/>
        <w:spacing w:before="24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6.2.2. </w:t>
      </w:r>
      <w:r w:rsidRPr="007B192E">
        <w:rPr>
          <w:rFonts w:ascii="Arial" w:hAnsi="Arial" w:cs="Arial"/>
          <w:color w:val="000000" w:themeColor="text1"/>
          <w:sz w:val="18"/>
          <w:szCs w:val="18"/>
        </w:rPr>
        <w:t>Szerokość koryta (profilowanego podłoża)</w:t>
      </w:r>
    </w:p>
    <w:p w14:paraId="5DF1EC4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Szerokość koryta i profilowanego podłoża nie może różnić się od szerokości projektowanej o więcej niż +10 cm i -5 cm.</w:t>
      </w:r>
    </w:p>
    <w:p w14:paraId="25033FBC"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6.2.3. </w:t>
      </w:r>
      <w:r w:rsidRPr="007B192E">
        <w:rPr>
          <w:rFonts w:ascii="Arial" w:hAnsi="Arial" w:cs="Arial"/>
          <w:color w:val="000000" w:themeColor="text1"/>
          <w:sz w:val="18"/>
          <w:szCs w:val="18"/>
        </w:rPr>
        <w:t>Równość koryta (profilowanego podłoża)</w:t>
      </w:r>
    </w:p>
    <w:p w14:paraId="08B0C92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Nierówności podłużne koryta i profilowanego podłoża należy mierzyć 4-metrową łatą zgodnie z normą BN-68/8931-04 [4].</w:t>
      </w:r>
    </w:p>
    <w:p w14:paraId="01214C9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Nierówności poprzeczne należy mierzyć 4-metrową łatą.</w:t>
      </w:r>
    </w:p>
    <w:p w14:paraId="7584D10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Nierówności nie mogą przekraczać 20 mm.</w:t>
      </w:r>
    </w:p>
    <w:p w14:paraId="03545AB5"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6.2.4. </w:t>
      </w:r>
      <w:r w:rsidRPr="007B192E">
        <w:rPr>
          <w:rFonts w:ascii="Arial" w:hAnsi="Arial" w:cs="Arial"/>
          <w:color w:val="000000" w:themeColor="text1"/>
          <w:sz w:val="18"/>
          <w:szCs w:val="18"/>
        </w:rPr>
        <w:t>Spadki poprzeczne</w:t>
      </w:r>
    </w:p>
    <w:p w14:paraId="56288A5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Spadki poprzeczne koryta i profilowanego podłoża powinny być zgodne z dokumentacją projektową z tolerancją ± 0,5%.</w:t>
      </w:r>
    </w:p>
    <w:p w14:paraId="6C4F7150"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6.2.5. </w:t>
      </w:r>
      <w:r w:rsidRPr="007B192E">
        <w:rPr>
          <w:rFonts w:ascii="Arial" w:hAnsi="Arial" w:cs="Arial"/>
          <w:color w:val="000000" w:themeColor="text1"/>
          <w:sz w:val="18"/>
          <w:szCs w:val="18"/>
        </w:rPr>
        <w:t>Rzędne wysokościowe</w:t>
      </w:r>
    </w:p>
    <w:p w14:paraId="3EBAEEC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Różnice pomiędzy rzędnymi wysokościowymi koryta lub wyprofilowanego podłoża i rzędnymi projektowanymi nie powinny przekraczać +1 cm, -2 cm.</w:t>
      </w:r>
    </w:p>
    <w:p w14:paraId="2466B3D7"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6.2.6. </w:t>
      </w:r>
      <w:r w:rsidRPr="007B192E">
        <w:rPr>
          <w:rFonts w:ascii="Arial" w:hAnsi="Arial" w:cs="Arial"/>
          <w:color w:val="000000" w:themeColor="text1"/>
          <w:sz w:val="18"/>
          <w:szCs w:val="18"/>
        </w:rPr>
        <w:t>Ukształtowanie osi w planie</w:t>
      </w:r>
    </w:p>
    <w:p w14:paraId="130E026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Oś w planie nie może być przesunięta w stosunku do osi projektowanej o więcej niż ± 3 cm dla autostrad i dróg ekspresowych lub więcej niż ± 5 cm dla pozostałych dróg.</w:t>
      </w:r>
    </w:p>
    <w:p w14:paraId="1B7E9484"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6.2.7. </w:t>
      </w:r>
      <w:r w:rsidRPr="007B192E">
        <w:rPr>
          <w:rFonts w:ascii="Arial" w:hAnsi="Arial" w:cs="Arial"/>
          <w:color w:val="000000" w:themeColor="text1"/>
          <w:sz w:val="18"/>
          <w:szCs w:val="18"/>
        </w:rPr>
        <w:t>Zagęszczenie koryta (profilowanego podłoża)</w:t>
      </w:r>
    </w:p>
    <w:p w14:paraId="62144BC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Wskaźnik zagęszczenia koryta i wyprofilowanego podłoża określony wg BN-77/8931-12 [5] nie powinien być mniejszy od podanego w tablicy 1.</w:t>
      </w:r>
    </w:p>
    <w:p w14:paraId="3FAC7B4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Jeśli jako kryterium dobrego zagęszczenia stosuje się porównanie wartości modułów odkształcenia, to wartość stosunku wtórnego do pierwotnego modułu odkształcenia, określonych zgodnie z normą BN-64/8931-02 [3] nie powinna być większa od 2,2.</w:t>
      </w:r>
    </w:p>
    <w:p w14:paraId="5702D03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Wilgotność w czasie zagęszczania należy badać według PN-B-06714-17 [2]. Wilgotność gruntu podłoża powinna być równa wilgotności optymalnej z tolerancją od  -20% do + 10%.</w:t>
      </w:r>
    </w:p>
    <w:p w14:paraId="21FA1A3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6.3. Zasady postępowania z wadliwie wykonanymi odcinkami koryta (profilowanego podłoża)</w:t>
      </w:r>
    </w:p>
    <w:p w14:paraId="12CC296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3D5C9567" w14:textId="77777777" w:rsidR="00F45500" w:rsidRPr="007B192E" w:rsidRDefault="00466B6A" w:rsidP="00056B48">
      <w:pPr>
        <w:pStyle w:val="Nagwek2"/>
        <w:rPr>
          <w:i w:val="0"/>
          <w:color w:val="000000" w:themeColor="text1"/>
        </w:rPr>
      </w:pPr>
      <w:r w:rsidRPr="007B192E">
        <w:rPr>
          <w:i w:val="0"/>
          <w:color w:val="000000" w:themeColor="text1"/>
        </w:rPr>
        <w:t>7. OBMIAR ROBÓT</w:t>
      </w:r>
    </w:p>
    <w:p w14:paraId="23DC737A"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7.1. Zasady obmiaru robót</w:t>
      </w:r>
    </w:p>
    <w:p w14:paraId="5B46C7B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4569953F"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7.2. Jednostka obmiarowa</w:t>
      </w:r>
    </w:p>
    <w:p w14:paraId="7E8F67D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wykonanego i odebranego koryta.</w:t>
      </w:r>
    </w:p>
    <w:p w14:paraId="5E8F16F7" w14:textId="77777777" w:rsidR="00F45500" w:rsidRPr="007B192E" w:rsidRDefault="00466B6A" w:rsidP="00056B48">
      <w:pPr>
        <w:pStyle w:val="Nagwek2"/>
        <w:rPr>
          <w:i w:val="0"/>
          <w:color w:val="000000" w:themeColor="text1"/>
        </w:rPr>
      </w:pPr>
      <w:r w:rsidRPr="007B192E">
        <w:rPr>
          <w:i w:val="0"/>
          <w:color w:val="000000" w:themeColor="text1"/>
        </w:rPr>
        <w:t>8. ODBIÓR ROBÓT</w:t>
      </w:r>
    </w:p>
    <w:p w14:paraId="3270F1C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31F71B6E"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dokumentacja projektową, ST i wymaganiami Inżyniera, jeżeli wszystkie pomiary i badania z zachowaniem tolerancji wg punktu 6 dały wyniki pozytywne.</w:t>
      </w:r>
    </w:p>
    <w:p w14:paraId="6FE42C24" w14:textId="77777777" w:rsidR="00F45500" w:rsidRPr="007B192E" w:rsidRDefault="00466B6A" w:rsidP="00056B48">
      <w:pPr>
        <w:pStyle w:val="Nagwek2"/>
        <w:rPr>
          <w:i w:val="0"/>
          <w:color w:val="000000" w:themeColor="text1"/>
        </w:rPr>
      </w:pPr>
      <w:r w:rsidRPr="007B192E">
        <w:rPr>
          <w:i w:val="0"/>
          <w:color w:val="000000" w:themeColor="text1"/>
        </w:rPr>
        <w:t>9. PODSTAWA PŁATNOŚCI</w:t>
      </w:r>
    </w:p>
    <w:p w14:paraId="1F7E517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9.1. Ustalenia dotyczące podstawy płatności</w:t>
      </w:r>
    </w:p>
    <w:p w14:paraId="4C08541E"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9.</w:t>
      </w:r>
    </w:p>
    <w:p w14:paraId="768FCF7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jednostki obmiarowej</w:t>
      </w:r>
    </w:p>
    <w:p w14:paraId="0617473A" w14:textId="77777777" w:rsidR="00F45500" w:rsidRPr="007B192E" w:rsidRDefault="00F45500" w:rsidP="00F45500">
      <w:pPr>
        <w:pStyle w:val="Standard"/>
        <w:rPr>
          <w:rFonts w:ascii="Arial" w:hAnsi="Arial" w:cs="Arial"/>
          <w:color w:val="000000" w:themeColor="text1"/>
          <w:sz w:val="18"/>
          <w:szCs w:val="18"/>
        </w:rPr>
      </w:pPr>
      <w:r w:rsidRPr="007B192E">
        <w:rPr>
          <w:rFonts w:ascii="Arial" w:hAnsi="Arial" w:cs="Arial"/>
          <w:color w:val="000000" w:themeColor="text1"/>
          <w:sz w:val="18"/>
          <w:szCs w:val="18"/>
        </w:rPr>
        <w:tab/>
        <w:t>Cena wykonania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koryta obejmuje:</w:t>
      </w:r>
    </w:p>
    <w:p w14:paraId="46142FB2"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0F769F47"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zdjęcie warstwy humusu,</w:t>
      </w:r>
    </w:p>
    <w:p w14:paraId="54C91193"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odspojenie gruntu z przerzutem na pobocze i rozplantowaniem,</w:t>
      </w:r>
    </w:p>
    <w:p w14:paraId="40B429BE"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załadunek nadmiaru odspojonego gruntu na środki transportowe i odwiezienie na odkład lub nasyp,</w:t>
      </w:r>
    </w:p>
    <w:p w14:paraId="5AB222BB"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profilowanie dna koryta lub podłoża,</w:t>
      </w:r>
    </w:p>
    <w:p w14:paraId="7EEB4F6C"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zagęszczenie,</w:t>
      </w:r>
    </w:p>
    <w:p w14:paraId="2452ED3A"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utrzymanie koryta lub podłoża,</w:t>
      </w:r>
    </w:p>
    <w:p w14:paraId="1C63A1D0" w14:textId="77777777" w:rsidR="00F45500" w:rsidRPr="007B192E" w:rsidRDefault="00F45500" w:rsidP="00F45500">
      <w:pPr>
        <w:pStyle w:val="Standard"/>
        <w:widowControl w:val="0"/>
        <w:numPr>
          <w:ilvl w:val="0"/>
          <w:numId w:val="93"/>
        </w:numPr>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laboratoryjnych, wymaganych w specyfikacji technicznej.</w:t>
      </w:r>
    </w:p>
    <w:p w14:paraId="354376F0" w14:textId="77777777" w:rsidR="00F45500" w:rsidRPr="007B192E" w:rsidRDefault="00466B6A" w:rsidP="00056B48">
      <w:pPr>
        <w:pStyle w:val="Nagwek2"/>
        <w:rPr>
          <w:i w:val="0"/>
          <w:color w:val="000000" w:themeColor="text1"/>
        </w:rPr>
      </w:pPr>
      <w:r w:rsidRPr="007B192E">
        <w:rPr>
          <w:i w:val="0"/>
          <w:color w:val="000000" w:themeColor="text1"/>
        </w:rPr>
        <w:t>10. PRZEPISY ZWIĄZANE</w:t>
      </w:r>
    </w:p>
    <w:p w14:paraId="7836AEE0"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Normy</w:t>
      </w:r>
    </w:p>
    <w:tbl>
      <w:tblPr>
        <w:tblW w:w="7512" w:type="dxa"/>
        <w:tblLayout w:type="fixed"/>
        <w:tblCellMar>
          <w:left w:w="10" w:type="dxa"/>
          <w:right w:w="10" w:type="dxa"/>
        </w:tblCellMar>
        <w:tblLook w:val="0000" w:firstRow="0" w:lastRow="0" w:firstColumn="0" w:lastColumn="0" w:noHBand="0" w:noVBand="0"/>
      </w:tblPr>
      <w:tblGrid>
        <w:gridCol w:w="496"/>
        <w:gridCol w:w="1701"/>
        <w:gridCol w:w="5315"/>
      </w:tblGrid>
      <w:tr w:rsidR="004D7D23" w:rsidRPr="007B192E" w14:paraId="448355D3" w14:textId="77777777" w:rsidTr="008F7A94">
        <w:tc>
          <w:tcPr>
            <w:tcW w:w="496" w:type="dxa"/>
            <w:tcMar>
              <w:top w:w="0" w:type="dxa"/>
              <w:left w:w="70" w:type="dxa"/>
              <w:bottom w:w="0" w:type="dxa"/>
              <w:right w:w="70" w:type="dxa"/>
            </w:tcMar>
          </w:tcPr>
          <w:p w14:paraId="64DFB179"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701" w:type="dxa"/>
            <w:tcMar>
              <w:top w:w="0" w:type="dxa"/>
              <w:left w:w="70" w:type="dxa"/>
              <w:bottom w:w="0" w:type="dxa"/>
              <w:right w:w="70" w:type="dxa"/>
            </w:tcMar>
          </w:tcPr>
          <w:p w14:paraId="74A8509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PN-B-04481</w:t>
            </w:r>
          </w:p>
        </w:tc>
        <w:tc>
          <w:tcPr>
            <w:tcW w:w="5315" w:type="dxa"/>
            <w:tcMar>
              <w:top w:w="0" w:type="dxa"/>
              <w:left w:w="70" w:type="dxa"/>
              <w:bottom w:w="0" w:type="dxa"/>
              <w:right w:w="70" w:type="dxa"/>
            </w:tcMar>
          </w:tcPr>
          <w:p w14:paraId="78287E54"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Grunty budowlane. Badania próbek gruntu</w:t>
            </w:r>
          </w:p>
        </w:tc>
      </w:tr>
      <w:tr w:rsidR="004D7D23" w:rsidRPr="007B192E" w14:paraId="3E65B2EA" w14:textId="77777777" w:rsidTr="008F7A94">
        <w:tc>
          <w:tcPr>
            <w:tcW w:w="496" w:type="dxa"/>
            <w:tcMar>
              <w:top w:w="0" w:type="dxa"/>
              <w:left w:w="70" w:type="dxa"/>
              <w:bottom w:w="0" w:type="dxa"/>
              <w:right w:w="70" w:type="dxa"/>
            </w:tcMar>
          </w:tcPr>
          <w:p w14:paraId="7D805C7C"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701" w:type="dxa"/>
            <w:tcMar>
              <w:top w:w="0" w:type="dxa"/>
              <w:left w:w="70" w:type="dxa"/>
              <w:bottom w:w="0" w:type="dxa"/>
              <w:right w:w="70" w:type="dxa"/>
            </w:tcMar>
          </w:tcPr>
          <w:p w14:paraId="4069034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PN-/B-06714-17</w:t>
            </w:r>
          </w:p>
        </w:tc>
        <w:tc>
          <w:tcPr>
            <w:tcW w:w="5315" w:type="dxa"/>
            <w:tcMar>
              <w:top w:w="0" w:type="dxa"/>
              <w:left w:w="70" w:type="dxa"/>
              <w:bottom w:w="0" w:type="dxa"/>
              <w:right w:w="70" w:type="dxa"/>
            </w:tcMar>
          </w:tcPr>
          <w:p w14:paraId="17AF6295"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Kruszywa mineralne. Badania. Oznaczanie wilgotności</w:t>
            </w:r>
          </w:p>
        </w:tc>
      </w:tr>
      <w:tr w:rsidR="004D7D23" w:rsidRPr="007B192E" w14:paraId="7954F18D" w14:textId="77777777" w:rsidTr="008F7A94">
        <w:tc>
          <w:tcPr>
            <w:tcW w:w="496" w:type="dxa"/>
            <w:tcMar>
              <w:top w:w="0" w:type="dxa"/>
              <w:left w:w="70" w:type="dxa"/>
              <w:bottom w:w="0" w:type="dxa"/>
              <w:right w:w="70" w:type="dxa"/>
            </w:tcMar>
          </w:tcPr>
          <w:p w14:paraId="5E8D8B1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701" w:type="dxa"/>
            <w:tcMar>
              <w:top w:w="0" w:type="dxa"/>
              <w:left w:w="70" w:type="dxa"/>
              <w:bottom w:w="0" w:type="dxa"/>
              <w:right w:w="70" w:type="dxa"/>
            </w:tcMar>
          </w:tcPr>
          <w:p w14:paraId="771E6B50"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BN-64/8931-02</w:t>
            </w:r>
          </w:p>
        </w:tc>
        <w:tc>
          <w:tcPr>
            <w:tcW w:w="5315" w:type="dxa"/>
            <w:tcMar>
              <w:top w:w="0" w:type="dxa"/>
              <w:left w:w="70" w:type="dxa"/>
              <w:bottom w:w="0" w:type="dxa"/>
              <w:right w:w="70" w:type="dxa"/>
            </w:tcMar>
          </w:tcPr>
          <w:p w14:paraId="6507DA7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Drogi samochodowe. Oznaczanie modułu odkształcenia nawierzchni podatnych i podłoża przez obciążenie płytą</w:t>
            </w:r>
          </w:p>
        </w:tc>
      </w:tr>
      <w:tr w:rsidR="004D7D23" w:rsidRPr="007B192E" w14:paraId="3F34355B" w14:textId="77777777" w:rsidTr="008F7A94">
        <w:tc>
          <w:tcPr>
            <w:tcW w:w="496" w:type="dxa"/>
            <w:tcMar>
              <w:top w:w="0" w:type="dxa"/>
              <w:left w:w="70" w:type="dxa"/>
              <w:bottom w:w="0" w:type="dxa"/>
              <w:right w:w="70" w:type="dxa"/>
            </w:tcMar>
          </w:tcPr>
          <w:p w14:paraId="4AC3A4C2"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701" w:type="dxa"/>
            <w:tcMar>
              <w:top w:w="0" w:type="dxa"/>
              <w:left w:w="70" w:type="dxa"/>
              <w:bottom w:w="0" w:type="dxa"/>
              <w:right w:w="70" w:type="dxa"/>
            </w:tcMar>
          </w:tcPr>
          <w:p w14:paraId="4E948E1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BN-68/8931-04</w:t>
            </w:r>
          </w:p>
        </w:tc>
        <w:tc>
          <w:tcPr>
            <w:tcW w:w="5315" w:type="dxa"/>
            <w:tcMar>
              <w:top w:w="0" w:type="dxa"/>
              <w:left w:w="70" w:type="dxa"/>
              <w:bottom w:w="0" w:type="dxa"/>
              <w:right w:w="70" w:type="dxa"/>
            </w:tcMar>
          </w:tcPr>
          <w:p w14:paraId="341C5D4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Drogi samochodowe. Pomiar równości nawierzchni </w:t>
            </w:r>
            <w:proofErr w:type="spellStart"/>
            <w:r w:rsidRPr="007B192E">
              <w:rPr>
                <w:rFonts w:ascii="Arial" w:hAnsi="Arial" w:cs="Arial"/>
                <w:color w:val="000000" w:themeColor="text1"/>
                <w:sz w:val="18"/>
                <w:szCs w:val="18"/>
              </w:rPr>
              <w:t>planografem</w:t>
            </w:r>
            <w:proofErr w:type="spellEnd"/>
            <w:r w:rsidRPr="007B192E">
              <w:rPr>
                <w:rFonts w:ascii="Arial" w:hAnsi="Arial" w:cs="Arial"/>
                <w:color w:val="000000" w:themeColor="text1"/>
                <w:sz w:val="18"/>
                <w:szCs w:val="18"/>
              </w:rPr>
              <w:t xml:space="preserve"> i łatą</w:t>
            </w:r>
          </w:p>
        </w:tc>
      </w:tr>
      <w:tr w:rsidR="004D7D23" w:rsidRPr="007B192E" w14:paraId="2D947C94" w14:textId="77777777" w:rsidTr="008F7A94">
        <w:tc>
          <w:tcPr>
            <w:tcW w:w="496" w:type="dxa"/>
            <w:tcMar>
              <w:top w:w="0" w:type="dxa"/>
              <w:left w:w="70" w:type="dxa"/>
              <w:bottom w:w="0" w:type="dxa"/>
              <w:right w:w="70" w:type="dxa"/>
            </w:tcMar>
          </w:tcPr>
          <w:p w14:paraId="50EFAA7E"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701" w:type="dxa"/>
            <w:tcMar>
              <w:top w:w="0" w:type="dxa"/>
              <w:left w:w="70" w:type="dxa"/>
              <w:bottom w:w="0" w:type="dxa"/>
              <w:right w:w="70" w:type="dxa"/>
            </w:tcMar>
          </w:tcPr>
          <w:p w14:paraId="156C73B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BN-77/8931-12</w:t>
            </w:r>
          </w:p>
        </w:tc>
        <w:tc>
          <w:tcPr>
            <w:tcW w:w="5315" w:type="dxa"/>
            <w:tcMar>
              <w:top w:w="0" w:type="dxa"/>
              <w:left w:w="70" w:type="dxa"/>
              <w:bottom w:w="0" w:type="dxa"/>
              <w:right w:w="70" w:type="dxa"/>
            </w:tcMar>
          </w:tcPr>
          <w:p w14:paraId="7CA052C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Oznaczanie wskaźnika zagęszczenia gruntu</w:t>
            </w:r>
          </w:p>
        </w:tc>
      </w:tr>
    </w:tbl>
    <w:p w14:paraId="347BFCFA" w14:textId="77777777" w:rsidR="00F45500" w:rsidRPr="007B192E" w:rsidRDefault="00072856" w:rsidP="009F2C89">
      <w:pPr>
        <w:pStyle w:val="Nagwek1"/>
        <w:jc w:val="center"/>
        <w:rPr>
          <w:color w:val="000000" w:themeColor="text1"/>
          <w:sz w:val="40"/>
        </w:rPr>
      </w:pPr>
      <w:bookmarkStart w:id="145" w:name="_Toc138757092"/>
      <w:bookmarkStart w:id="146" w:name="_Toc163481052"/>
      <w:r w:rsidRPr="007B192E">
        <w:rPr>
          <w:color w:val="000000" w:themeColor="text1"/>
          <w:sz w:val="40"/>
        </w:rPr>
        <w:lastRenderedPageBreak/>
        <w:t>D-</w:t>
      </w:r>
      <w:r w:rsidR="009F2C89" w:rsidRPr="007B192E">
        <w:rPr>
          <w:color w:val="000000" w:themeColor="text1"/>
          <w:sz w:val="40"/>
        </w:rPr>
        <w:t xml:space="preserve">04.03.01a </w:t>
      </w:r>
      <w:r w:rsidR="00F45500" w:rsidRPr="007B192E">
        <w:rPr>
          <w:color w:val="000000" w:themeColor="text1"/>
          <w:sz w:val="40"/>
        </w:rPr>
        <w:t>POŁĄCZENIE  MIĘDZYWARSTWOWE  NAWIERZCHNI  DROGOWEJ  EMULSJĄ  ASFALTOWĄ</w:t>
      </w:r>
      <w:bookmarkEnd w:id="145"/>
      <w:bookmarkEnd w:id="146"/>
    </w:p>
    <w:p w14:paraId="13A4DA0A" w14:textId="77777777" w:rsidR="00F45500" w:rsidRPr="007B192E" w:rsidRDefault="00F45500" w:rsidP="004D61EE">
      <w:pPr>
        <w:pStyle w:val="Nagwek2"/>
        <w:rPr>
          <w:i w:val="0"/>
          <w:color w:val="000000" w:themeColor="text1"/>
        </w:rPr>
      </w:pPr>
      <w:r w:rsidRPr="007B192E">
        <w:rPr>
          <w:i w:val="0"/>
          <w:color w:val="000000" w:themeColor="text1"/>
        </w:rPr>
        <w:t>1. WSTĘP</w:t>
      </w:r>
    </w:p>
    <w:p w14:paraId="364D7598" w14:textId="77777777" w:rsidR="00F45500" w:rsidRPr="007B192E" w:rsidRDefault="00F45500" w:rsidP="009F2C89">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54A51864" w14:textId="77777777" w:rsidR="00F45500" w:rsidRPr="007B192E" w:rsidRDefault="00F45500" w:rsidP="00F45500">
      <w:pPr>
        <w:pStyle w:val="tekstost"/>
        <w:spacing w:line="216" w:lineRule="auto"/>
        <w:rPr>
          <w:rFonts w:ascii="Arial" w:hAnsi="Arial" w:cs="Arial"/>
          <w:color w:val="000000" w:themeColor="text1"/>
          <w:sz w:val="18"/>
          <w:szCs w:val="18"/>
        </w:rPr>
      </w:pPr>
      <w:r w:rsidRPr="007B192E">
        <w:rPr>
          <w:rFonts w:ascii="Arial" w:hAnsi="Arial" w:cs="Arial"/>
          <w:color w:val="000000" w:themeColor="text1"/>
          <w:sz w:val="18"/>
          <w:szCs w:val="18"/>
        </w:rPr>
        <w:tab/>
        <w:t xml:space="preserve">Przedmiotem niniejszej specyfikacji technicznej (ST są wymagania dotyczące wykonania i odbioru robót związanych z połączeniem </w:t>
      </w:r>
      <w:proofErr w:type="spellStart"/>
      <w:r w:rsidRPr="007B192E">
        <w:rPr>
          <w:rFonts w:ascii="Arial" w:hAnsi="Arial" w:cs="Arial"/>
          <w:color w:val="000000" w:themeColor="text1"/>
          <w:sz w:val="18"/>
          <w:szCs w:val="18"/>
        </w:rPr>
        <w:t>międzywarstwowym</w:t>
      </w:r>
      <w:proofErr w:type="spellEnd"/>
      <w:r w:rsidRPr="007B192E">
        <w:rPr>
          <w:rFonts w:ascii="Arial" w:hAnsi="Arial" w:cs="Arial"/>
          <w:color w:val="000000" w:themeColor="text1"/>
          <w:sz w:val="18"/>
          <w:szCs w:val="18"/>
        </w:rPr>
        <w:t xml:space="preserve"> emulsją asfaltową warstw nawierzchni drogowej.</w:t>
      </w:r>
    </w:p>
    <w:p w14:paraId="5CA59BC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585701C1" w14:textId="77777777" w:rsidR="00F45500" w:rsidRPr="007B192E" w:rsidRDefault="00F45500" w:rsidP="00F45500">
      <w:pPr>
        <w:pStyle w:val="tekstost"/>
        <w:spacing w:line="216" w:lineRule="auto"/>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1CEB33B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062C9F5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Ustalenia zawarte w niniejszej specyfikacji dotyczą zasad prowadzenia robót związanych z wykonaniem i odbiorem połączeń </w:t>
      </w:r>
      <w:proofErr w:type="spellStart"/>
      <w:r w:rsidRPr="007B192E">
        <w:rPr>
          <w:rFonts w:ascii="Arial" w:hAnsi="Arial" w:cs="Arial"/>
          <w:color w:val="000000" w:themeColor="text1"/>
          <w:sz w:val="18"/>
          <w:szCs w:val="18"/>
        </w:rPr>
        <w:t>międzywarstwowych</w:t>
      </w:r>
      <w:proofErr w:type="spellEnd"/>
      <w:r w:rsidRPr="007B192E">
        <w:rPr>
          <w:rFonts w:ascii="Arial" w:hAnsi="Arial" w:cs="Arial"/>
          <w:color w:val="000000" w:themeColor="text1"/>
          <w:sz w:val="18"/>
          <w:szCs w:val="18"/>
        </w:rPr>
        <w:t xml:space="preserve"> warstw z mieszanek mineralno-asfaltowych i warstwy podbudowy znajdujących się w ciągu drogi.</w:t>
      </w:r>
    </w:p>
    <w:p w14:paraId="78E9C9F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3BF5B7C9" w14:textId="77777777" w:rsidR="00F45500" w:rsidRPr="007B192E" w:rsidRDefault="00F45500" w:rsidP="00F45500">
      <w:pPr>
        <w:spacing w:after="120"/>
        <w:jc w:val="both"/>
        <w:rPr>
          <w:rFonts w:ascii="Arial" w:hAnsi="Arial" w:cs="Arial"/>
          <w:b/>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Nawierzchnia – konstrukcja składająca się z jednej lub kilku warstw, służących do przejmowania i rozkładania na podłoże obciążeń od ruchu pojazdów.</w:t>
      </w:r>
    </w:p>
    <w:p w14:paraId="5C98768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Warstwa – element konstrukcji nawierzchni zbudowany z jednego materiału, który może składać się z jednej lub wielu warstw układanych w pojedynczej operacji.</w:t>
      </w:r>
    </w:p>
    <w:p w14:paraId="60090BF0"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1.4.3. </w:t>
      </w:r>
      <w:r w:rsidRPr="007B192E">
        <w:rPr>
          <w:rFonts w:ascii="Arial" w:hAnsi="Arial" w:cs="Arial"/>
          <w:color w:val="000000" w:themeColor="text1"/>
          <w:sz w:val="18"/>
          <w:szCs w:val="18"/>
        </w:rPr>
        <w:t>Warstwa ścieralna</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 górna warstwa nawierzchni będąca w bezpośrednim kontakcie z kołami pojazdów.</w:t>
      </w:r>
    </w:p>
    <w:p w14:paraId="561BD4AC"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1.4.4. </w:t>
      </w:r>
      <w:r w:rsidRPr="007B192E">
        <w:rPr>
          <w:rFonts w:ascii="Arial" w:hAnsi="Arial" w:cs="Arial"/>
          <w:color w:val="000000" w:themeColor="text1"/>
          <w:sz w:val="18"/>
          <w:szCs w:val="18"/>
        </w:rPr>
        <w:t>Warstwa wiążąca – warstwa nawierzchni między warstwą ścieralną a podbudową.</w:t>
      </w:r>
    </w:p>
    <w:p w14:paraId="04BAA633"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1.4.5. </w:t>
      </w:r>
      <w:r w:rsidRPr="007B192E">
        <w:rPr>
          <w:rFonts w:ascii="Arial" w:hAnsi="Arial" w:cs="Arial"/>
          <w:color w:val="000000" w:themeColor="text1"/>
          <w:sz w:val="18"/>
          <w:szCs w:val="18"/>
        </w:rPr>
        <w:t>Podbudowa – główny element konstrukcyjny nawierzchni przenoszący obciążenia na warstwę podłoża, który może być ułożony w jednej lub kilku warstwach.</w:t>
      </w:r>
    </w:p>
    <w:p w14:paraId="0786B298"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1.4.6.</w:t>
      </w:r>
      <w:r w:rsidRPr="007B192E">
        <w:rPr>
          <w:rFonts w:ascii="Arial" w:hAnsi="Arial" w:cs="Arial"/>
          <w:color w:val="000000" w:themeColor="text1"/>
          <w:sz w:val="18"/>
          <w:szCs w:val="18"/>
        </w:rPr>
        <w:t xml:space="preserve"> Mieszanka mineralno-asfaltowa – mieszanka kruszywa i lepiszcza asfaltowego.</w:t>
      </w:r>
    </w:p>
    <w:p w14:paraId="557E304F"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1.4.7.</w:t>
      </w:r>
      <w:r w:rsidRPr="007B192E">
        <w:rPr>
          <w:rFonts w:ascii="Arial" w:hAnsi="Arial" w:cs="Arial"/>
          <w:color w:val="000000" w:themeColor="text1"/>
          <w:sz w:val="18"/>
          <w:szCs w:val="18"/>
        </w:rPr>
        <w:t xml:space="preserve"> Beton asfaltowy – mieszanka mineralno-asfaltowa, w której kruszywo o uziarnieniu ciągłym lub nieciągłym tworzy strukturę wzajemnie klinującą się.</w:t>
      </w:r>
    </w:p>
    <w:p w14:paraId="65101E4A"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1.4.8.</w:t>
      </w:r>
      <w:r w:rsidRPr="007B192E">
        <w:rPr>
          <w:rFonts w:ascii="Arial" w:hAnsi="Arial" w:cs="Arial"/>
          <w:color w:val="000000" w:themeColor="text1"/>
          <w:sz w:val="18"/>
          <w:szCs w:val="18"/>
        </w:rPr>
        <w:t xml:space="preserve"> Mieszanka SMA – mieszanka mastyksowo-grysowa, będąca mieszanką mineralno-asfaltową, składająca się z grubego łamanego kruszywa o nieciągłym uziarnieniu, związanego zaprawą mastyksową.</w:t>
      </w:r>
    </w:p>
    <w:p w14:paraId="3666E3A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1.4.9.</w:t>
      </w:r>
      <w:r w:rsidRPr="007B192E">
        <w:rPr>
          <w:rFonts w:ascii="Arial" w:hAnsi="Arial" w:cs="Arial"/>
          <w:color w:val="000000" w:themeColor="text1"/>
          <w:sz w:val="18"/>
          <w:szCs w:val="18"/>
        </w:rPr>
        <w:t xml:space="preserve"> Mieszanka SMA LA – mieszanka mineralno-asfaltowa składająca się z grubego łamanego kruszywa o nieciągłym uziarnieniu, związanego zaprawą mastyksową, o zwiększonej zawartości wolnej przestrzeni w celu polepszenia zdolności tłumienia hałasu na styku opona – nawierzchnia asfaltowa.</w:t>
      </w:r>
    </w:p>
    <w:p w14:paraId="2439928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1.4.10.</w:t>
      </w:r>
      <w:r w:rsidRPr="007B192E">
        <w:rPr>
          <w:rFonts w:ascii="Arial" w:hAnsi="Arial" w:cs="Arial"/>
          <w:color w:val="000000" w:themeColor="text1"/>
          <w:sz w:val="18"/>
          <w:szCs w:val="18"/>
        </w:rPr>
        <w:t xml:space="preserve"> Mieszanka BBTM – beton asfaltowy do bardzo cienkich warstw grubości od 20 do 30 mm, w którym kruszywo ma nieciągłe uziarnienie i tworzy połączenia ziarno do ziarna, co zapewnia uzyskanie otwartej tekstury.</w:t>
      </w:r>
    </w:p>
    <w:p w14:paraId="4FB64836"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1.4.11.</w:t>
      </w:r>
      <w:r w:rsidRPr="007B192E">
        <w:rPr>
          <w:rFonts w:ascii="Arial" w:hAnsi="Arial" w:cs="Arial"/>
          <w:color w:val="000000" w:themeColor="text1"/>
          <w:sz w:val="18"/>
          <w:szCs w:val="18"/>
        </w:rPr>
        <w:t xml:space="preserve"> Asfalt lany – mieszanka mineralno-asfaltowa o bardzo małej zawartości wolnych przestrzeni, w której objętość wypełniacza i lepiszcza jest większa niż objętość wolnych przestrzeni w kruszywie.</w:t>
      </w:r>
    </w:p>
    <w:p w14:paraId="1EFD284B"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1.4.12.</w:t>
      </w:r>
      <w:r w:rsidRPr="007B192E">
        <w:rPr>
          <w:rFonts w:ascii="Arial" w:hAnsi="Arial" w:cs="Arial"/>
          <w:color w:val="000000" w:themeColor="text1"/>
          <w:sz w:val="18"/>
          <w:szCs w:val="18"/>
        </w:rPr>
        <w:t xml:space="preserve"> Asfalt porowaty –  mieszanka mineralno-asfaltowa o bardzo dużej zawartości połączonych wolnych przestrzeni, które umożliwiają przepływ wody i powietrza, co zapewnia właściwości drenażowe i zmniejszające hałas.</w:t>
      </w:r>
    </w:p>
    <w:p w14:paraId="70FF9591"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1.4.13.</w:t>
      </w:r>
      <w:r w:rsidRPr="007B192E">
        <w:rPr>
          <w:rFonts w:ascii="Arial" w:hAnsi="Arial" w:cs="Arial"/>
          <w:color w:val="000000" w:themeColor="text1"/>
          <w:sz w:val="18"/>
          <w:szCs w:val="18"/>
        </w:rPr>
        <w:t xml:space="preserve">  Emulsja asfaltowa – emulsja będąca zawiesiną asfaltu w wodzie, w której fazą zdyspergowaną (rozproszoną) jest asfalt, a fazą ciągłą jest woda lub roztwór wodny.</w:t>
      </w:r>
    </w:p>
    <w:p w14:paraId="1819D11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1.4.14.</w:t>
      </w:r>
      <w:r w:rsidRPr="007B192E">
        <w:rPr>
          <w:rFonts w:ascii="Arial" w:hAnsi="Arial" w:cs="Arial"/>
          <w:color w:val="000000" w:themeColor="text1"/>
          <w:sz w:val="18"/>
          <w:szCs w:val="18"/>
        </w:rPr>
        <w:t xml:space="preserve"> Kationowa emulsja asfaltowa – emulsja, w której emulgator nadaje dodatnie ładunki cząstkom zdyspergowanego asfaltu.</w:t>
      </w:r>
    </w:p>
    <w:p w14:paraId="31772B1C"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1.4.15.</w:t>
      </w:r>
      <w:r w:rsidRPr="007B192E">
        <w:rPr>
          <w:rFonts w:ascii="Arial" w:hAnsi="Arial" w:cs="Arial"/>
          <w:color w:val="000000" w:themeColor="text1"/>
          <w:sz w:val="18"/>
          <w:szCs w:val="18"/>
        </w:rPr>
        <w:t xml:space="preserve"> Emulsja asfaltowa modyfikowana polimerami – emulsja, w której asfalt jest modyfikowany polimerami albo jest to emulsja modyfikowana lateksem kationowym.</w:t>
      </w:r>
    </w:p>
    <w:p w14:paraId="43BD9D26"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1.4.16.</w:t>
      </w:r>
      <w:r w:rsidRPr="007B192E">
        <w:rPr>
          <w:rFonts w:ascii="Arial" w:hAnsi="Arial" w:cs="Arial"/>
          <w:color w:val="000000" w:themeColor="text1"/>
          <w:sz w:val="18"/>
          <w:szCs w:val="18"/>
        </w:rPr>
        <w:t xml:space="preserve"> Połączenie </w:t>
      </w:r>
      <w:proofErr w:type="spellStart"/>
      <w:r w:rsidRPr="007B192E">
        <w:rPr>
          <w:rFonts w:ascii="Arial" w:hAnsi="Arial" w:cs="Arial"/>
          <w:color w:val="000000" w:themeColor="text1"/>
          <w:sz w:val="18"/>
          <w:szCs w:val="18"/>
        </w:rPr>
        <w:t>międzywarstwowe</w:t>
      </w:r>
      <w:proofErr w:type="spellEnd"/>
      <w:r w:rsidRPr="007B192E">
        <w:rPr>
          <w:rFonts w:ascii="Arial" w:hAnsi="Arial" w:cs="Arial"/>
          <w:color w:val="000000" w:themeColor="text1"/>
          <w:sz w:val="18"/>
          <w:szCs w:val="18"/>
        </w:rPr>
        <w:t xml:space="preserve"> – związanie asfaltowych warstw konstrukcyjnych nawierzchni i podbudowy  z kruszyw przez skropienie warstwy dolnej emulsją asfaltową w celu zwiększenia wytrzymałości zespołu warstw (dolnej i górnej) i uniemożliwienia penetracji wody między warstwami.</w:t>
      </w:r>
    </w:p>
    <w:p w14:paraId="5C429BB0"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1.4.17.</w:t>
      </w:r>
      <w:r w:rsidRPr="007B192E">
        <w:rPr>
          <w:rFonts w:ascii="Arial" w:hAnsi="Arial" w:cs="Arial"/>
          <w:color w:val="000000" w:themeColor="text1"/>
          <w:sz w:val="18"/>
          <w:szCs w:val="18"/>
        </w:rPr>
        <w:t xml:space="preserve"> Mieszanka niezwiązana – ziarnisty materiał (kruszywa naturalne, sztuczne, z recyklingu lub mieszaniny tych kruszyw), który jest stosowany do wykonania ulepszonego podłoża gruntowego lub warstw konstrukcji nawierzchni dróg.</w:t>
      </w:r>
    </w:p>
    <w:p w14:paraId="025B8376"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1.4.18.</w:t>
      </w:r>
      <w:r w:rsidRPr="007B192E">
        <w:rPr>
          <w:rFonts w:ascii="Arial" w:hAnsi="Arial" w:cs="Arial"/>
          <w:color w:val="000000" w:themeColor="text1"/>
          <w:sz w:val="18"/>
          <w:szCs w:val="18"/>
        </w:rPr>
        <w:t xml:space="preserve"> Mieszanka związana spoiwem hydraulicznym – mieszanka z kruszywa naturalnego, sztucznego, z recyklingu lub ich mieszanina oraz spoiwa hydraulicznego, w której następuje wiązanie i twardnienie na skutek reakcji hydraulicznych.</w:t>
      </w:r>
    </w:p>
    <w:p w14:paraId="0BCEF52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1.4.19.</w:t>
      </w:r>
      <w:r w:rsidRPr="007B192E">
        <w:rPr>
          <w:rFonts w:ascii="Arial" w:hAnsi="Arial" w:cs="Arial"/>
          <w:color w:val="000000" w:themeColor="text1"/>
          <w:sz w:val="18"/>
          <w:szCs w:val="18"/>
        </w:rPr>
        <w:t xml:space="preserve"> Kategoria ruchu (KR1-KR7) – obciążenie drogi ruchem samochodowym, wyrażone w osiach obliczeniowych </w:t>
      </w:r>
      <w:r w:rsidRPr="007B192E">
        <w:rPr>
          <w:rFonts w:ascii="Arial" w:hAnsi="Arial" w:cs="Arial"/>
          <w:color w:val="000000" w:themeColor="text1"/>
          <w:sz w:val="18"/>
          <w:szCs w:val="18"/>
        </w:rPr>
        <w:lastRenderedPageBreak/>
        <w:t xml:space="preserve">(100 </w:t>
      </w:r>
      <w:proofErr w:type="spellStart"/>
      <w:r w:rsidRPr="007B192E">
        <w:rPr>
          <w:rFonts w:ascii="Arial" w:hAnsi="Arial" w:cs="Arial"/>
          <w:color w:val="000000" w:themeColor="text1"/>
          <w:sz w:val="18"/>
          <w:szCs w:val="18"/>
        </w:rPr>
        <w:t>kN</w:t>
      </w:r>
      <w:proofErr w:type="spellEnd"/>
      <w:r w:rsidRPr="007B192E">
        <w:rPr>
          <w:rFonts w:ascii="Arial" w:hAnsi="Arial" w:cs="Arial"/>
          <w:color w:val="000000" w:themeColor="text1"/>
          <w:sz w:val="18"/>
          <w:szCs w:val="18"/>
        </w:rPr>
        <w:t>) według „Katalogu typowych konstrukcji nawierzchni podatnych i półsztywnych” [24].</w:t>
      </w:r>
    </w:p>
    <w:p w14:paraId="1D9F7DE3" w14:textId="77777777" w:rsidR="00F45500" w:rsidRPr="007B192E" w:rsidRDefault="00F45500" w:rsidP="00F45500">
      <w:pPr>
        <w:spacing w:before="120"/>
        <w:jc w:val="both"/>
        <w:rPr>
          <w:rFonts w:ascii="Arial" w:hAnsi="Arial" w:cs="Arial"/>
          <w:color w:val="000000" w:themeColor="text1"/>
          <w:sz w:val="18"/>
          <w:szCs w:val="18"/>
          <w:lang w:val="en-US"/>
        </w:rPr>
      </w:pPr>
      <w:r w:rsidRPr="007B192E">
        <w:rPr>
          <w:rFonts w:ascii="Arial" w:hAnsi="Arial" w:cs="Arial"/>
          <w:b/>
          <w:color w:val="000000" w:themeColor="text1"/>
          <w:sz w:val="18"/>
          <w:szCs w:val="18"/>
          <w:lang w:val="en-US"/>
        </w:rPr>
        <w:t>1.4.20.</w:t>
      </w:r>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Symbole</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i</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skróty</w:t>
      </w:r>
      <w:proofErr w:type="spellEnd"/>
    </w:p>
    <w:p w14:paraId="0AAD3816" w14:textId="77777777" w:rsidR="00F45500" w:rsidRPr="007B192E" w:rsidRDefault="00F45500" w:rsidP="00F45500">
      <w:pPr>
        <w:tabs>
          <w:tab w:val="left" w:pos="851"/>
          <w:tab w:val="left" w:pos="964"/>
        </w:tabs>
        <w:spacing w:before="120"/>
        <w:ind w:left="964" w:hanging="964"/>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AC</w:t>
      </w:r>
      <w:r w:rsidRPr="007B192E">
        <w:rPr>
          <w:rFonts w:ascii="Arial" w:hAnsi="Arial" w:cs="Arial"/>
          <w:color w:val="000000" w:themeColor="text1"/>
          <w:sz w:val="18"/>
          <w:szCs w:val="18"/>
          <w:lang w:val="en-US"/>
        </w:rPr>
        <w:tab/>
        <w:t>-</w:t>
      </w:r>
      <w:r w:rsidRPr="007B192E">
        <w:rPr>
          <w:rFonts w:ascii="Arial" w:hAnsi="Arial" w:cs="Arial"/>
          <w:color w:val="000000" w:themeColor="text1"/>
          <w:sz w:val="18"/>
          <w:szCs w:val="18"/>
          <w:lang w:val="en-US"/>
        </w:rPr>
        <w:tab/>
      </w:r>
      <w:proofErr w:type="spellStart"/>
      <w:r w:rsidRPr="007B192E">
        <w:rPr>
          <w:rFonts w:ascii="Arial" w:hAnsi="Arial" w:cs="Arial"/>
          <w:color w:val="000000" w:themeColor="text1"/>
          <w:sz w:val="18"/>
          <w:szCs w:val="18"/>
          <w:lang w:val="en-US"/>
        </w:rPr>
        <w:t>beton</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asfaltowy</w:t>
      </w:r>
      <w:proofErr w:type="spellEnd"/>
      <w:r w:rsidRPr="007B192E">
        <w:rPr>
          <w:rFonts w:ascii="Arial" w:hAnsi="Arial" w:cs="Arial"/>
          <w:color w:val="000000" w:themeColor="text1"/>
          <w:sz w:val="18"/>
          <w:szCs w:val="18"/>
          <w:lang w:val="en-US"/>
        </w:rPr>
        <w:t xml:space="preserve"> (ang. Asphalt Concrete)</w:t>
      </w:r>
    </w:p>
    <w:p w14:paraId="324D6B4A"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lang w:val="en-US"/>
        </w:rPr>
      </w:pPr>
      <w:r w:rsidRPr="007B192E">
        <w:rPr>
          <w:rFonts w:ascii="Arial" w:hAnsi="Arial" w:cs="Arial"/>
          <w:color w:val="000000" w:themeColor="text1"/>
          <w:sz w:val="18"/>
          <w:szCs w:val="18"/>
        </w:rPr>
        <w:t>BBTM</w:t>
      </w:r>
      <w:r w:rsidRPr="007B192E">
        <w:rPr>
          <w:rFonts w:ascii="Arial" w:hAnsi="Arial" w:cs="Arial"/>
          <w:color w:val="000000" w:themeColor="text1"/>
          <w:sz w:val="18"/>
          <w:szCs w:val="18"/>
        </w:rPr>
        <w:tab/>
        <w:t>-</w:t>
      </w:r>
      <w:r w:rsidRPr="007B192E">
        <w:rPr>
          <w:rFonts w:ascii="Arial" w:hAnsi="Arial" w:cs="Arial"/>
          <w:color w:val="000000" w:themeColor="text1"/>
          <w:sz w:val="18"/>
          <w:szCs w:val="18"/>
        </w:rPr>
        <w:tab/>
        <w:t xml:space="preserve">beton asfaltowy do bardzo cienkich warstw (franc. </w:t>
      </w:r>
      <w:r w:rsidRPr="007B192E">
        <w:rPr>
          <w:rFonts w:ascii="Arial" w:hAnsi="Arial" w:cs="Arial"/>
          <w:color w:val="000000" w:themeColor="text1"/>
          <w:sz w:val="18"/>
          <w:szCs w:val="18"/>
          <w:lang w:val="en-US"/>
        </w:rPr>
        <w:t xml:space="preserve">Béton </w:t>
      </w:r>
      <w:proofErr w:type="spellStart"/>
      <w:r w:rsidRPr="007B192E">
        <w:rPr>
          <w:rFonts w:ascii="Arial" w:hAnsi="Arial" w:cs="Arial"/>
          <w:color w:val="000000" w:themeColor="text1"/>
          <w:sz w:val="18"/>
          <w:szCs w:val="18"/>
          <w:lang w:val="en-US"/>
        </w:rPr>
        <w:t>bitumineux</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trés</w:t>
      </w:r>
      <w:proofErr w:type="spellEnd"/>
      <w:r w:rsidRPr="007B192E">
        <w:rPr>
          <w:rFonts w:ascii="Arial" w:hAnsi="Arial" w:cs="Arial"/>
          <w:color w:val="000000" w:themeColor="text1"/>
          <w:sz w:val="18"/>
          <w:szCs w:val="18"/>
          <w:lang w:val="en-US"/>
        </w:rPr>
        <w:t xml:space="preserve"> mince)</w:t>
      </w:r>
    </w:p>
    <w:p w14:paraId="5F19B60F"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rPr>
      </w:pPr>
      <w:r w:rsidRPr="007B192E">
        <w:rPr>
          <w:rFonts w:ascii="Arial" w:hAnsi="Arial" w:cs="Arial"/>
          <w:color w:val="000000" w:themeColor="text1"/>
          <w:sz w:val="18"/>
          <w:szCs w:val="18"/>
          <w:lang w:val="en-US"/>
        </w:rPr>
        <w:t>MA</w:t>
      </w:r>
      <w:r w:rsidRPr="007B192E">
        <w:rPr>
          <w:rFonts w:ascii="Arial" w:hAnsi="Arial" w:cs="Arial"/>
          <w:color w:val="000000" w:themeColor="text1"/>
          <w:sz w:val="18"/>
          <w:szCs w:val="18"/>
          <w:lang w:val="en-US"/>
        </w:rPr>
        <w:tab/>
        <w:t>-</w:t>
      </w:r>
      <w:r w:rsidRPr="007B192E">
        <w:rPr>
          <w:rFonts w:ascii="Arial" w:hAnsi="Arial" w:cs="Arial"/>
          <w:color w:val="000000" w:themeColor="text1"/>
          <w:sz w:val="18"/>
          <w:szCs w:val="18"/>
          <w:lang w:val="en-US"/>
        </w:rPr>
        <w:tab/>
      </w:r>
      <w:proofErr w:type="spellStart"/>
      <w:r w:rsidRPr="007B192E">
        <w:rPr>
          <w:rFonts w:ascii="Arial" w:hAnsi="Arial" w:cs="Arial"/>
          <w:color w:val="000000" w:themeColor="text1"/>
          <w:sz w:val="18"/>
          <w:szCs w:val="18"/>
          <w:lang w:val="en-US"/>
        </w:rPr>
        <w:t>asfalt</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lany</w:t>
      </w:r>
      <w:proofErr w:type="spellEnd"/>
      <w:r w:rsidRPr="007B192E">
        <w:rPr>
          <w:rFonts w:ascii="Arial" w:hAnsi="Arial" w:cs="Arial"/>
          <w:color w:val="000000" w:themeColor="text1"/>
          <w:sz w:val="18"/>
          <w:szCs w:val="18"/>
          <w:lang w:val="en-US"/>
        </w:rPr>
        <w:t xml:space="preserve"> (ang. </w:t>
      </w:r>
      <w:proofErr w:type="spellStart"/>
      <w:r w:rsidRPr="007B192E">
        <w:rPr>
          <w:rFonts w:ascii="Arial" w:hAnsi="Arial" w:cs="Arial"/>
          <w:color w:val="000000" w:themeColor="text1"/>
          <w:sz w:val="18"/>
          <w:szCs w:val="18"/>
        </w:rPr>
        <w:t>Mastic</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Asphalt</w:t>
      </w:r>
      <w:proofErr w:type="spellEnd"/>
      <w:r w:rsidRPr="007B192E">
        <w:rPr>
          <w:rFonts w:ascii="Arial" w:hAnsi="Arial" w:cs="Arial"/>
          <w:color w:val="000000" w:themeColor="text1"/>
          <w:sz w:val="18"/>
          <w:szCs w:val="18"/>
        </w:rPr>
        <w:t>)</w:t>
      </w:r>
    </w:p>
    <w:p w14:paraId="786A3A2B"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mma</w:t>
      </w:r>
      <w:proofErr w:type="spellEnd"/>
      <w:r w:rsidRPr="007B192E">
        <w:rPr>
          <w:rFonts w:ascii="Arial" w:hAnsi="Arial" w:cs="Arial"/>
          <w:color w:val="000000" w:themeColor="text1"/>
          <w:sz w:val="18"/>
          <w:szCs w:val="18"/>
        </w:rPr>
        <w:tab/>
        <w:t>-</w:t>
      </w:r>
      <w:r w:rsidRPr="007B192E">
        <w:rPr>
          <w:rFonts w:ascii="Arial" w:hAnsi="Arial" w:cs="Arial"/>
          <w:color w:val="000000" w:themeColor="text1"/>
          <w:sz w:val="18"/>
          <w:szCs w:val="18"/>
        </w:rPr>
        <w:tab/>
        <w:t xml:space="preserve">mieszanka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 xml:space="preserve"> asfaltowa</w:t>
      </w:r>
    </w:p>
    <w:p w14:paraId="1E468E8A"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rPr>
      </w:pPr>
      <w:r w:rsidRPr="007B192E">
        <w:rPr>
          <w:rFonts w:ascii="Arial" w:hAnsi="Arial" w:cs="Arial"/>
          <w:color w:val="000000" w:themeColor="text1"/>
          <w:sz w:val="18"/>
          <w:szCs w:val="18"/>
        </w:rPr>
        <w:t>PA</w:t>
      </w:r>
      <w:r w:rsidRPr="007B192E">
        <w:rPr>
          <w:rFonts w:ascii="Arial" w:hAnsi="Arial" w:cs="Arial"/>
          <w:color w:val="000000" w:themeColor="text1"/>
          <w:sz w:val="18"/>
          <w:szCs w:val="18"/>
        </w:rPr>
        <w:tab/>
        <w:t>-</w:t>
      </w:r>
      <w:r w:rsidRPr="007B192E">
        <w:rPr>
          <w:rFonts w:ascii="Arial" w:hAnsi="Arial" w:cs="Arial"/>
          <w:color w:val="000000" w:themeColor="text1"/>
          <w:sz w:val="18"/>
          <w:szCs w:val="18"/>
        </w:rPr>
        <w:tab/>
        <w:t xml:space="preserve">asfalt porowaty (ang. </w:t>
      </w:r>
      <w:proofErr w:type="spellStart"/>
      <w:r w:rsidRPr="007B192E">
        <w:rPr>
          <w:rFonts w:ascii="Arial" w:hAnsi="Arial" w:cs="Arial"/>
          <w:color w:val="000000" w:themeColor="text1"/>
          <w:sz w:val="18"/>
          <w:szCs w:val="18"/>
        </w:rPr>
        <w:t>Porous</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Asphalt</w:t>
      </w:r>
      <w:proofErr w:type="spellEnd"/>
      <w:r w:rsidRPr="007B192E">
        <w:rPr>
          <w:rFonts w:ascii="Arial" w:hAnsi="Arial" w:cs="Arial"/>
          <w:color w:val="000000" w:themeColor="text1"/>
          <w:sz w:val="18"/>
          <w:szCs w:val="18"/>
        </w:rPr>
        <w:t>)</w:t>
      </w:r>
    </w:p>
    <w:p w14:paraId="13D714FC"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pH</w:t>
      </w:r>
      <w:proofErr w:type="spellEnd"/>
      <w:r w:rsidRPr="007B192E">
        <w:rPr>
          <w:rFonts w:ascii="Arial" w:hAnsi="Arial" w:cs="Arial"/>
          <w:color w:val="000000" w:themeColor="text1"/>
          <w:sz w:val="18"/>
          <w:szCs w:val="18"/>
        </w:rPr>
        <w:tab/>
        <w:t>-</w:t>
      </w:r>
      <w:r w:rsidRPr="007B192E">
        <w:rPr>
          <w:rFonts w:ascii="Arial" w:hAnsi="Arial" w:cs="Arial"/>
          <w:color w:val="000000" w:themeColor="text1"/>
          <w:sz w:val="18"/>
          <w:szCs w:val="18"/>
        </w:rPr>
        <w:tab/>
        <w:t>wykładnik stężenia jonów wodorowych</w:t>
      </w:r>
    </w:p>
    <w:p w14:paraId="3D4CBAA6"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GB"/>
        </w:rPr>
        <w:t>SMA</w:t>
      </w:r>
      <w:r w:rsidRPr="007B192E">
        <w:rPr>
          <w:rFonts w:ascii="Arial" w:hAnsi="Arial" w:cs="Arial"/>
          <w:color w:val="000000" w:themeColor="text1"/>
          <w:sz w:val="18"/>
          <w:szCs w:val="18"/>
          <w:lang w:val="en-GB"/>
        </w:rPr>
        <w:tab/>
        <w:t>-</w:t>
      </w:r>
      <w:r w:rsidRPr="007B192E">
        <w:rPr>
          <w:rFonts w:ascii="Arial" w:hAnsi="Arial" w:cs="Arial"/>
          <w:color w:val="000000" w:themeColor="text1"/>
          <w:sz w:val="18"/>
          <w:szCs w:val="18"/>
          <w:lang w:val="en-GB"/>
        </w:rPr>
        <w:tab/>
      </w:r>
      <w:proofErr w:type="spellStart"/>
      <w:r w:rsidRPr="007B192E">
        <w:rPr>
          <w:rFonts w:ascii="Arial" w:hAnsi="Arial" w:cs="Arial"/>
          <w:color w:val="000000" w:themeColor="text1"/>
          <w:sz w:val="18"/>
          <w:szCs w:val="18"/>
          <w:lang w:val="en-GB"/>
        </w:rPr>
        <w:t>mastyks</w:t>
      </w:r>
      <w:proofErr w:type="spellEnd"/>
      <w:r w:rsidRPr="007B192E">
        <w:rPr>
          <w:rFonts w:ascii="Arial" w:hAnsi="Arial" w:cs="Arial"/>
          <w:color w:val="000000" w:themeColor="text1"/>
          <w:sz w:val="18"/>
          <w:szCs w:val="18"/>
          <w:lang w:val="en-GB"/>
        </w:rPr>
        <w:t xml:space="preserve"> </w:t>
      </w:r>
      <w:proofErr w:type="spellStart"/>
      <w:r w:rsidRPr="007B192E">
        <w:rPr>
          <w:rFonts w:ascii="Arial" w:hAnsi="Arial" w:cs="Arial"/>
          <w:color w:val="000000" w:themeColor="text1"/>
          <w:sz w:val="18"/>
          <w:szCs w:val="18"/>
          <w:lang w:val="en-GB"/>
        </w:rPr>
        <w:t>grysowy</w:t>
      </w:r>
      <w:proofErr w:type="spellEnd"/>
      <w:r w:rsidRPr="007B192E">
        <w:rPr>
          <w:rFonts w:ascii="Arial" w:hAnsi="Arial" w:cs="Arial"/>
          <w:color w:val="000000" w:themeColor="text1"/>
          <w:sz w:val="18"/>
          <w:szCs w:val="18"/>
          <w:lang w:val="en-GB"/>
        </w:rPr>
        <w:t xml:space="preserve"> (ang. </w:t>
      </w:r>
      <w:r w:rsidRPr="007B192E">
        <w:rPr>
          <w:rFonts w:ascii="Arial" w:hAnsi="Arial" w:cs="Arial"/>
          <w:color w:val="000000" w:themeColor="text1"/>
          <w:sz w:val="18"/>
          <w:szCs w:val="18"/>
          <w:lang w:val="en-US"/>
        </w:rPr>
        <w:t>Stone Mastic Asphalt)</w:t>
      </w:r>
    </w:p>
    <w:p w14:paraId="43A14780"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rPr>
      </w:pPr>
      <w:r w:rsidRPr="007B192E">
        <w:rPr>
          <w:rFonts w:ascii="Arial" w:hAnsi="Arial" w:cs="Arial"/>
          <w:color w:val="000000" w:themeColor="text1"/>
          <w:sz w:val="18"/>
          <w:szCs w:val="18"/>
        </w:rPr>
        <w:t>WMS</w:t>
      </w:r>
      <w:r w:rsidRPr="007B192E">
        <w:rPr>
          <w:rFonts w:ascii="Arial" w:hAnsi="Arial" w:cs="Arial"/>
          <w:color w:val="000000" w:themeColor="text1"/>
          <w:sz w:val="18"/>
          <w:szCs w:val="18"/>
        </w:rPr>
        <w:tab/>
        <w:t>-</w:t>
      </w:r>
      <w:r w:rsidRPr="007B192E">
        <w:rPr>
          <w:rFonts w:ascii="Arial" w:hAnsi="Arial" w:cs="Arial"/>
          <w:color w:val="000000" w:themeColor="text1"/>
          <w:sz w:val="18"/>
          <w:szCs w:val="18"/>
        </w:rPr>
        <w:tab/>
        <w:t>wysoki moduł sztywności</w:t>
      </w:r>
    </w:p>
    <w:p w14:paraId="1D40C122" w14:textId="77777777" w:rsidR="00F45500" w:rsidRPr="007B192E" w:rsidRDefault="00F45500" w:rsidP="00F45500">
      <w:pPr>
        <w:tabs>
          <w:tab w:val="left" w:pos="851"/>
          <w:tab w:val="left" w:pos="964"/>
        </w:tabs>
        <w:ind w:left="964" w:hanging="964"/>
        <w:jc w:val="both"/>
        <w:rPr>
          <w:rFonts w:ascii="Arial" w:hAnsi="Arial" w:cs="Arial"/>
          <w:color w:val="000000" w:themeColor="text1"/>
          <w:sz w:val="18"/>
          <w:szCs w:val="18"/>
        </w:rPr>
      </w:pPr>
      <w:r w:rsidRPr="007B192E">
        <w:rPr>
          <w:rFonts w:ascii="Arial" w:hAnsi="Arial" w:cs="Arial"/>
          <w:color w:val="000000" w:themeColor="text1"/>
          <w:sz w:val="18"/>
          <w:szCs w:val="18"/>
        </w:rPr>
        <w:t>%(m/m)</w:t>
      </w:r>
      <w:r w:rsidRPr="007B192E">
        <w:rPr>
          <w:rFonts w:ascii="Arial" w:hAnsi="Arial" w:cs="Arial"/>
          <w:color w:val="000000" w:themeColor="text1"/>
          <w:sz w:val="18"/>
          <w:szCs w:val="18"/>
        </w:rPr>
        <w:tab/>
        <w:t>-</w:t>
      </w:r>
      <w:r w:rsidRPr="007B192E">
        <w:rPr>
          <w:rFonts w:ascii="Arial" w:hAnsi="Arial" w:cs="Arial"/>
          <w:color w:val="000000" w:themeColor="text1"/>
          <w:sz w:val="18"/>
          <w:szCs w:val="18"/>
        </w:rPr>
        <w:tab/>
        <w:t>ułamek masowy wyrażony w procentach</w:t>
      </w:r>
    </w:p>
    <w:p w14:paraId="583E01B4"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1.4.21.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ogólne”[1] pkt 1.4.</w:t>
      </w:r>
    </w:p>
    <w:p w14:paraId="5DD433C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30D2330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0AFC6B10" w14:textId="77777777" w:rsidR="00F45500" w:rsidRPr="007B192E" w:rsidRDefault="004D61EE" w:rsidP="004D61EE">
      <w:pPr>
        <w:pStyle w:val="Nagwek2"/>
        <w:rPr>
          <w:i w:val="0"/>
          <w:color w:val="000000" w:themeColor="text1"/>
        </w:rPr>
      </w:pPr>
      <w:bookmarkStart w:id="147" w:name="_Toc344981394"/>
      <w:r w:rsidRPr="007B192E">
        <w:rPr>
          <w:i w:val="0"/>
          <w:color w:val="000000" w:themeColor="text1"/>
        </w:rPr>
        <w:t>2. MATERIAŁY</w:t>
      </w:r>
      <w:bookmarkEnd w:id="147"/>
    </w:p>
    <w:p w14:paraId="10A3FE4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bookmarkStart w:id="148" w:name="_Toc344981395"/>
      <w:r w:rsidRPr="007B192E">
        <w:rPr>
          <w:color w:val="000000" w:themeColor="text1"/>
          <w:sz w:val="18"/>
          <w:szCs w:val="18"/>
        </w:rPr>
        <w:t>2.1. Ogólne wymagania dotyczące materiałów</w:t>
      </w:r>
    </w:p>
    <w:p w14:paraId="7E5EF63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1C18383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Materiały do wykonania robót</w:t>
      </w:r>
    </w:p>
    <w:p w14:paraId="6831F55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 xml:space="preserve">Zgodność materiałów z dokumentacją projektową </w:t>
      </w:r>
    </w:p>
    <w:p w14:paraId="5F9DF680"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powinny być zgodne z ustaleniami dokumentacji projektowej lub ST.</w:t>
      </w:r>
    </w:p>
    <w:p w14:paraId="4A067BEB"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2.2.2. </w:t>
      </w:r>
      <w:r w:rsidRPr="007B192E">
        <w:rPr>
          <w:rFonts w:ascii="Arial" w:hAnsi="Arial" w:cs="Arial"/>
          <w:color w:val="000000" w:themeColor="text1"/>
          <w:sz w:val="18"/>
          <w:szCs w:val="18"/>
        </w:rPr>
        <w:t xml:space="preserve">Rodzaje materiałów do wykonania połączenia </w:t>
      </w:r>
      <w:proofErr w:type="spellStart"/>
      <w:r w:rsidRPr="007B192E">
        <w:rPr>
          <w:rFonts w:ascii="Arial" w:hAnsi="Arial" w:cs="Arial"/>
          <w:color w:val="000000" w:themeColor="text1"/>
          <w:sz w:val="18"/>
          <w:szCs w:val="18"/>
        </w:rPr>
        <w:t>międzywarstwowego</w:t>
      </w:r>
      <w:proofErr w:type="spellEnd"/>
    </w:p>
    <w:p w14:paraId="75CCC40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wykonania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 xml:space="preserve"> mogą być stosowane następujące materiały:</w:t>
      </w:r>
    </w:p>
    <w:p w14:paraId="4B8942B1" w14:textId="77777777" w:rsidR="00F45500" w:rsidRPr="007B192E" w:rsidRDefault="00F45500" w:rsidP="00C12426">
      <w:pPr>
        <w:widowControl/>
        <w:numPr>
          <w:ilvl w:val="0"/>
          <w:numId w:val="21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kationowe emulsje asfaltowe niemodyfikowane,</w:t>
      </w:r>
    </w:p>
    <w:p w14:paraId="6BD06DC5" w14:textId="77777777" w:rsidR="00F45500" w:rsidRPr="007B192E" w:rsidRDefault="00F45500" w:rsidP="00C12426">
      <w:pPr>
        <w:widowControl/>
        <w:numPr>
          <w:ilvl w:val="0"/>
          <w:numId w:val="21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kationowe emulsje asfaltowe modyfikowane polimerami,</w:t>
      </w:r>
    </w:p>
    <w:p w14:paraId="361006DE" w14:textId="77777777" w:rsidR="00F45500" w:rsidRPr="007B192E" w:rsidRDefault="00F45500" w:rsidP="00C12426">
      <w:pPr>
        <w:widowControl/>
        <w:numPr>
          <w:ilvl w:val="0"/>
          <w:numId w:val="21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(grysy) do posypania emulsji.</w:t>
      </w:r>
    </w:p>
    <w:p w14:paraId="1FE4467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Należy stosować emulsje wg aktualnego wydania Załącznika krajowego NA do PN-EN 13808 [21].</w:t>
      </w:r>
    </w:p>
    <w:p w14:paraId="1371336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Spośród rodzajów emulsji wymienionych w Załączniku krajowym NA [22] do normy PN-EN 13808 [21], należy stosować emulsje oznaczone kodem ZM. </w:t>
      </w:r>
    </w:p>
    <w:p w14:paraId="78CECCC3"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2.2.3. </w:t>
      </w:r>
      <w:r w:rsidRPr="007B192E">
        <w:rPr>
          <w:rFonts w:ascii="Arial" w:hAnsi="Arial" w:cs="Arial"/>
          <w:color w:val="000000" w:themeColor="text1"/>
          <w:sz w:val="18"/>
          <w:szCs w:val="18"/>
        </w:rPr>
        <w:t>Kationowe</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emulsje asfaltowe</w:t>
      </w:r>
    </w:p>
    <w:p w14:paraId="309251D2" w14:textId="77777777" w:rsidR="00F45500" w:rsidRPr="007B192E" w:rsidRDefault="00F45500" w:rsidP="00F45500">
      <w:pPr>
        <w:spacing w:before="120" w:after="120"/>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2.2.3.1. Rodzaje i właściwości kationowych emulsji asfaltowych </w:t>
      </w:r>
    </w:p>
    <w:p w14:paraId="7859BE3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emulsjach kationowych cząstki w emulsji jonowej mają dodatnią polarność wg PN-EN 1430 [8].</w:t>
      </w:r>
    </w:p>
    <w:p w14:paraId="25E3A83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Kationowe emulsje asfaltowe powinny odpowiadać wymaganiom Załącznika krajowego NA (normatywnego) [22] do normy PN-EN 13808 [21], w którym umieszczono następujące trzy krajowe emulsje asfaltowe przeznaczone do złączania warstw asfaltowych nawierzchni:</w:t>
      </w:r>
    </w:p>
    <w:p w14:paraId="29B9043F" w14:textId="77777777" w:rsidR="00F45500" w:rsidRPr="007B192E" w:rsidRDefault="00F45500" w:rsidP="00F45500">
      <w:pPr>
        <w:widowControl/>
        <w:numPr>
          <w:ilvl w:val="0"/>
          <w:numId w:val="110"/>
        </w:numPr>
        <w:tabs>
          <w:tab w:val="clear" w:pos="720"/>
        </w:tabs>
        <w:suppressAutoHyphens w:val="0"/>
        <w:autoSpaceDN w:val="0"/>
        <w:adjustRightInd w:val="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C60B3 ZM,</w:t>
      </w:r>
    </w:p>
    <w:p w14:paraId="39E4BC8E" w14:textId="77777777" w:rsidR="00F45500" w:rsidRPr="007B192E" w:rsidRDefault="00F45500" w:rsidP="00F45500">
      <w:pPr>
        <w:widowControl/>
        <w:numPr>
          <w:ilvl w:val="0"/>
          <w:numId w:val="110"/>
        </w:numPr>
        <w:tabs>
          <w:tab w:val="clear" w:pos="720"/>
        </w:tabs>
        <w:suppressAutoHyphens w:val="0"/>
        <w:autoSpaceDN w:val="0"/>
        <w:adjustRightInd w:val="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C60BP3 ZM,</w:t>
      </w:r>
    </w:p>
    <w:p w14:paraId="17225AFF" w14:textId="77777777" w:rsidR="00F45500" w:rsidRPr="007B192E" w:rsidRDefault="00F45500" w:rsidP="00F45500">
      <w:pPr>
        <w:widowControl/>
        <w:numPr>
          <w:ilvl w:val="0"/>
          <w:numId w:val="110"/>
        </w:numPr>
        <w:tabs>
          <w:tab w:val="clear" w:pos="720"/>
        </w:tabs>
        <w:suppressAutoHyphens w:val="0"/>
        <w:autoSpaceDN w:val="0"/>
        <w:adjustRightInd w:val="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C60B10 ZM/R.</w:t>
      </w:r>
    </w:p>
    <w:p w14:paraId="1C09A01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Pełne nazwy i zastosowanie powyższych emulsji asfaltowych wyspecyfikowano w tablicy 1.</w:t>
      </w:r>
    </w:p>
    <w:p w14:paraId="384F2F5B" w14:textId="77777777" w:rsidR="00F45500" w:rsidRPr="007B192E" w:rsidRDefault="00F45500" w:rsidP="00F45500">
      <w:pPr>
        <w:jc w:val="both"/>
        <w:rPr>
          <w:rFonts w:ascii="Arial" w:hAnsi="Arial" w:cs="Arial"/>
          <w:color w:val="000000" w:themeColor="text1"/>
          <w:sz w:val="18"/>
          <w:szCs w:val="18"/>
        </w:rPr>
      </w:pPr>
    </w:p>
    <w:p w14:paraId="50D874D9"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Tablica 1.</w:t>
      </w:r>
      <w:r w:rsidRPr="007B192E">
        <w:rPr>
          <w:rFonts w:ascii="Arial" w:hAnsi="Arial" w:cs="Arial"/>
          <w:color w:val="000000" w:themeColor="text1"/>
          <w:sz w:val="18"/>
          <w:szCs w:val="18"/>
        </w:rPr>
        <w:tab/>
        <w:t>Nazwa i zastosowanie emulsji asfaltowych wg Załącznika krajowego NA [22] do PN-EN 13808 [21]</w:t>
      </w:r>
    </w:p>
    <w:tbl>
      <w:tblPr>
        <w:tblW w:w="95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7"/>
        <w:gridCol w:w="1276"/>
        <w:gridCol w:w="4111"/>
        <w:gridCol w:w="3588"/>
      </w:tblGrid>
      <w:tr w:rsidR="004D7D23" w:rsidRPr="007B192E" w14:paraId="40011C08" w14:textId="77777777" w:rsidTr="0064424E">
        <w:trPr>
          <w:jc w:val="center"/>
        </w:trPr>
        <w:tc>
          <w:tcPr>
            <w:tcW w:w="537" w:type="dxa"/>
          </w:tcPr>
          <w:p w14:paraId="1B078AEA" w14:textId="77777777" w:rsidR="00F45500" w:rsidRPr="007B192E" w:rsidRDefault="00F45500" w:rsidP="008F7A94">
            <w:pPr>
              <w:jc w:val="both"/>
              <w:rPr>
                <w:rFonts w:ascii="Arial" w:hAnsi="Arial" w:cs="Arial"/>
                <w:color w:val="000000" w:themeColor="text1"/>
                <w:sz w:val="18"/>
                <w:szCs w:val="18"/>
              </w:rPr>
            </w:pPr>
          </w:p>
          <w:p w14:paraId="0B6903E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1276" w:type="dxa"/>
          </w:tcPr>
          <w:p w14:paraId="56C8A1E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Oznaczenie kodowe emulsji</w:t>
            </w:r>
          </w:p>
        </w:tc>
        <w:tc>
          <w:tcPr>
            <w:tcW w:w="4111" w:type="dxa"/>
          </w:tcPr>
          <w:p w14:paraId="69F79F43" w14:textId="77777777" w:rsidR="00F45500" w:rsidRPr="007B192E" w:rsidRDefault="00F45500" w:rsidP="008F7A94">
            <w:pPr>
              <w:jc w:val="both"/>
              <w:rPr>
                <w:rFonts w:ascii="Arial" w:hAnsi="Arial" w:cs="Arial"/>
                <w:color w:val="000000" w:themeColor="text1"/>
                <w:sz w:val="18"/>
                <w:szCs w:val="18"/>
              </w:rPr>
            </w:pPr>
          </w:p>
          <w:p w14:paraId="5BA5BBB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Pełna nazwa emulsji</w:t>
            </w:r>
          </w:p>
        </w:tc>
        <w:tc>
          <w:tcPr>
            <w:tcW w:w="3588" w:type="dxa"/>
          </w:tcPr>
          <w:p w14:paraId="001EFDF4"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Zalecane zastosowanie</w:t>
            </w:r>
          </w:p>
        </w:tc>
      </w:tr>
      <w:tr w:rsidR="004D7D23" w:rsidRPr="007B192E" w14:paraId="4221520A" w14:textId="77777777" w:rsidTr="0064424E">
        <w:trPr>
          <w:jc w:val="center"/>
        </w:trPr>
        <w:tc>
          <w:tcPr>
            <w:tcW w:w="537" w:type="dxa"/>
          </w:tcPr>
          <w:p w14:paraId="059D471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276" w:type="dxa"/>
          </w:tcPr>
          <w:p w14:paraId="7DBBDEB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C60B3 ZM</w:t>
            </w:r>
          </w:p>
        </w:tc>
        <w:tc>
          <w:tcPr>
            <w:tcW w:w="4111" w:type="dxa"/>
          </w:tcPr>
          <w:p w14:paraId="2B5D06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Kationowa emulsja asfaltowa o zawartości lepiszcza 60%, wyprodukowana z asfaltu drogowego, o klasie indeksu rozpadu 3, przeznaczona do złączania warstw konstrukcyjnych nawierzchni</w:t>
            </w:r>
          </w:p>
        </w:tc>
        <w:tc>
          <w:tcPr>
            <w:tcW w:w="3588" w:type="dxa"/>
          </w:tcPr>
          <w:p w14:paraId="2AC0D11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Do złączania warstw asfaltowych, wyko-</w:t>
            </w:r>
            <w:proofErr w:type="spellStart"/>
            <w:r w:rsidRPr="007B192E">
              <w:rPr>
                <w:rFonts w:ascii="Arial" w:hAnsi="Arial" w:cs="Arial"/>
                <w:color w:val="000000" w:themeColor="text1"/>
                <w:sz w:val="18"/>
                <w:szCs w:val="18"/>
              </w:rPr>
              <w:t>nanych</w:t>
            </w:r>
            <w:proofErr w:type="spellEnd"/>
            <w:r w:rsidRPr="007B192E">
              <w:rPr>
                <w:rFonts w:ascii="Arial" w:hAnsi="Arial" w:cs="Arial"/>
                <w:color w:val="000000" w:themeColor="text1"/>
                <w:sz w:val="18"/>
                <w:szCs w:val="18"/>
              </w:rPr>
              <w:t xml:space="preserve"> z asfaltów niemodyfikowanych na drogach obciążonych ruchem od KR1 do KR7</w:t>
            </w:r>
          </w:p>
        </w:tc>
      </w:tr>
      <w:tr w:rsidR="004D7D23" w:rsidRPr="007B192E" w14:paraId="52B359EC" w14:textId="77777777" w:rsidTr="0064424E">
        <w:trPr>
          <w:jc w:val="center"/>
        </w:trPr>
        <w:tc>
          <w:tcPr>
            <w:tcW w:w="537" w:type="dxa"/>
          </w:tcPr>
          <w:p w14:paraId="135533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276" w:type="dxa"/>
          </w:tcPr>
          <w:p w14:paraId="46B14E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C60BP3 ZM</w:t>
            </w:r>
          </w:p>
        </w:tc>
        <w:tc>
          <w:tcPr>
            <w:tcW w:w="4111" w:type="dxa"/>
          </w:tcPr>
          <w:p w14:paraId="1B1AE8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Kationowa emulsja asfaltowa o zawartości lepiszcza 60%, wyprodukowana z asfaltu modyfikowanego polimerami, o klasie indeksu rozpadu 3, przeznaczona do złączania warstw konstrukcyjnych nawierzchni</w:t>
            </w:r>
          </w:p>
        </w:tc>
        <w:tc>
          <w:tcPr>
            <w:tcW w:w="3588" w:type="dxa"/>
          </w:tcPr>
          <w:p w14:paraId="7244C12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Do złączania wszystkich warstw asfaltowych na drogach obciążonych ruchem od KR1 do KR7</w:t>
            </w:r>
          </w:p>
        </w:tc>
      </w:tr>
      <w:tr w:rsidR="004D7D23" w:rsidRPr="007B192E" w14:paraId="4D8075C4" w14:textId="77777777" w:rsidTr="0064424E">
        <w:trPr>
          <w:jc w:val="center"/>
        </w:trPr>
        <w:tc>
          <w:tcPr>
            <w:tcW w:w="537" w:type="dxa"/>
          </w:tcPr>
          <w:p w14:paraId="458DA1B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276" w:type="dxa"/>
          </w:tcPr>
          <w:p w14:paraId="6581509A" w14:textId="77777777" w:rsidR="00F45500" w:rsidRPr="007B192E" w:rsidRDefault="00F45500" w:rsidP="008F7A94">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C60B10 ZM/R</w:t>
            </w:r>
          </w:p>
        </w:tc>
        <w:tc>
          <w:tcPr>
            <w:tcW w:w="4111" w:type="dxa"/>
          </w:tcPr>
          <w:p w14:paraId="2CFE1876" w14:textId="77777777" w:rsidR="00F45500" w:rsidRPr="007B192E" w:rsidRDefault="00F45500" w:rsidP="008F7A94">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Kationowa emulsja asfaltowa o zawartości lepiszcza 60%, wyprodukowana z asfaltu drogowego, o klasie indeksu rozpadu 10, przeznaczona do recyklingu nawierzchni oraz do złączania warstw konstrukcyjnych nawierzchni</w:t>
            </w:r>
          </w:p>
        </w:tc>
        <w:tc>
          <w:tcPr>
            <w:tcW w:w="3588" w:type="dxa"/>
          </w:tcPr>
          <w:p w14:paraId="2AFD2BA7" w14:textId="77777777" w:rsidR="00F45500" w:rsidRPr="007B192E" w:rsidRDefault="00F45500" w:rsidP="008F7A94">
            <w:pPr>
              <w:rPr>
                <w:rFonts w:ascii="Arial" w:hAnsi="Arial" w:cs="Arial"/>
                <w:color w:val="000000" w:themeColor="text1"/>
                <w:sz w:val="18"/>
                <w:szCs w:val="18"/>
                <w:highlight w:val="yellow"/>
              </w:rPr>
            </w:pPr>
            <w:r w:rsidRPr="007B192E">
              <w:rPr>
                <w:rFonts w:ascii="Arial" w:hAnsi="Arial" w:cs="Arial"/>
                <w:color w:val="000000" w:themeColor="text1"/>
                <w:sz w:val="18"/>
                <w:szCs w:val="18"/>
              </w:rPr>
              <w:t xml:space="preserve">Do recyklingu nawierzchni obciążonych ruchem od KR1 do KR7 oraz do złączania wszystkich rodzajów warstw z wyłączeniem warstw asfaltowych wykonanych z asfaltów modyfikowanych, wbudowywanych na drogach obciążonych ruchem od KR1 do KR7 </w:t>
            </w:r>
          </w:p>
        </w:tc>
      </w:tr>
    </w:tbl>
    <w:p w14:paraId="5432C0B6" w14:textId="77777777" w:rsidR="00F45500" w:rsidRPr="007B192E" w:rsidRDefault="00F45500" w:rsidP="00F45500">
      <w:pPr>
        <w:jc w:val="both"/>
        <w:rPr>
          <w:rFonts w:ascii="Arial" w:hAnsi="Arial" w:cs="Arial"/>
          <w:color w:val="000000" w:themeColor="text1"/>
          <w:sz w:val="18"/>
          <w:szCs w:val="18"/>
        </w:rPr>
      </w:pPr>
    </w:p>
    <w:p w14:paraId="3A17DE2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Kationowe emulsje asfaltowe, przeznaczone do wykonania połączeń </w:t>
      </w:r>
      <w:proofErr w:type="spellStart"/>
      <w:r w:rsidRPr="007B192E">
        <w:rPr>
          <w:rFonts w:ascii="Arial" w:hAnsi="Arial" w:cs="Arial"/>
          <w:color w:val="000000" w:themeColor="text1"/>
          <w:sz w:val="18"/>
          <w:szCs w:val="18"/>
        </w:rPr>
        <w:t>międzywarstwowych</w:t>
      </w:r>
      <w:proofErr w:type="spellEnd"/>
      <w:r w:rsidRPr="007B192E">
        <w:rPr>
          <w:rFonts w:ascii="Arial" w:hAnsi="Arial" w:cs="Arial"/>
          <w:color w:val="000000" w:themeColor="text1"/>
          <w:sz w:val="18"/>
          <w:szCs w:val="18"/>
        </w:rPr>
        <w:t xml:space="preserve"> powinny spełniać wymagania określone w tablicy 2.</w:t>
      </w:r>
    </w:p>
    <w:p w14:paraId="40B28EC8" w14:textId="77777777" w:rsidR="00F45500" w:rsidRPr="007B192E" w:rsidRDefault="00F45500" w:rsidP="00F45500">
      <w:pPr>
        <w:spacing w:before="120" w:after="120"/>
        <w:ind w:left="993" w:hanging="108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2. Wymagania dotyczące krajowych emulsji asfaltowych do wykonania połączeń </w:t>
      </w:r>
      <w:proofErr w:type="spellStart"/>
      <w:r w:rsidRPr="007B192E">
        <w:rPr>
          <w:rFonts w:ascii="Arial" w:hAnsi="Arial" w:cs="Arial"/>
          <w:color w:val="000000" w:themeColor="text1"/>
          <w:sz w:val="18"/>
          <w:szCs w:val="18"/>
        </w:rPr>
        <w:t>międzywarstwowych</w:t>
      </w:r>
      <w:proofErr w:type="spellEnd"/>
      <w:r w:rsidRPr="007B192E">
        <w:rPr>
          <w:rFonts w:ascii="Arial" w:hAnsi="Arial" w:cs="Arial"/>
          <w:color w:val="000000" w:themeColor="text1"/>
          <w:sz w:val="18"/>
          <w:szCs w:val="18"/>
        </w:rPr>
        <w:t xml:space="preserve"> wg Załącznika krajowego NA [22] do PN-EN 13808 [21]</w:t>
      </w:r>
    </w:p>
    <w:tbl>
      <w:tblPr>
        <w:tblW w:w="9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1559"/>
        <w:gridCol w:w="2268"/>
        <w:gridCol w:w="1276"/>
        <w:gridCol w:w="1134"/>
        <w:gridCol w:w="1275"/>
        <w:gridCol w:w="1467"/>
      </w:tblGrid>
      <w:tr w:rsidR="004D7D23" w:rsidRPr="007B192E" w14:paraId="2A0FB118" w14:textId="77777777" w:rsidTr="0064424E">
        <w:trPr>
          <w:jc w:val="center"/>
        </w:trPr>
        <w:tc>
          <w:tcPr>
            <w:tcW w:w="534" w:type="dxa"/>
            <w:vMerge w:val="restart"/>
            <w:vAlign w:val="center"/>
          </w:tcPr>
          <w:p w14:paraId="1D1C57DD"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1559" w:type="dxa"/>
            <w:vMerge w:val="restart"/>
            <w:vAlign w:val="center"/>
          </w:tcPr>
          <w:p w14:paraId="63637E84" w14:textId="77777777" w:rsidR="00F45500" w:rsidRPr="007B192E" w:rsidRDefault="00F45500" w:rsidP="008F7A94">
            <w:pPr>
              <w:spacing w:before="120" w:after="120"/>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Właściwość</w:t>
            </w:r>
          </w:p>
        </w:tc>
        <w:tc>
          <w:tcPr>
            <w:tcW w:w="2268" w:type="dxa"/>
            <w:vMerge w:val="restart"/>
            <w:vAlign w:val="center"/>
          </w:tcPr>
          <w:p w14:paraId="7AF987DC"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Metoda badania</w:t>
            </w:r>
          </w:p>
        </w:tc>
        <w:tc>
          <w:tcPr>
            <w:tcW w:w="1276" w:type="dxa"/>
            <w:vMerge w:val="restart"/>
            <w:vAlign w:val="center"/>
          </w:tcPr>
          <w:p w14:paraId="51DDF111" w14:textId="77777777" w:rsidR="00F45500" w:rsidRPr="007B192E" w:rsidRDefault="0064424E"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Jednos</w:t>
            </w:r>
            <w:r w:rsidR="00F45500" w:rsidRPr="007B192E">
              <w:rPr>
                <w:rFonts w:ascii="Arial" w:hAnsi="Arial" w:cs="Arial"/>
                <w:color w:val="000000" w:themeColor="text1"/>
                <w:sz w:val="18"/>
                <w:szCs w:val="18"/>
              </w:rPr>
              <w:t>tka</w:t>
            </w:r>
          </w:p>
        </w:tc>
        <w:tc>
          <w:tcPr>
            <w:tcW w:w="3876" w:type="dxa"/>
            <w:gridSpan w:val="3"/>
            <w:vAlign w:val="center"/>
          </w:tcPr>
          <w:p w14:paraId="4A75F39D"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Wymagania dotyczące emulsji (klasa)</w:t>
            </w:r>
            <w:r w:rsidRPr="007B192E">
              <w:rPr>
                <w:rFonts w:ascii="Arial" w:hAnsi="Arial" w:cs="Arial"/>
                <w:color w:val="000000" w:themeColor="text1"/>
                <w:sz w:val="18"/>
                <w:szCs w:val="18"/>
                <w:vertAlign w:val="superscript"/>
              </w:rPr>
              <w:t xml:space="preserve"> b</w:t>
            </w:r>
          </w:p>
        </w:tc>
      </w:tr>
      <w:tr w:rsidR="004D7D23" w:rsidRPr="007B192E" w14:paraId="490AC16F" w14:textId="77777777" w:rsidTr="0064424E">
        <w:trPr>
          <w:jc w:val="center"/>
        </w:trPr>
        <w:tc>
          <w:tcPr>
            <w:tcW w:w="534" w:type="dxa"/>
            <w:vMerge/>
            <w:vAlign w:val="center"/>
          </w:tcPr>
          <w:p w14:paraId="37099E24" w14:textId="77777777" w:rsidR="00F45500" w:rsidRPr="007B192E" w:rsidRDefault="00F45500" w:rsidP="008F7A94">
            <w:pPr>
              <w:spacing w:before="120" w:after="120"/>
              <w:jc w:val="both"/>
              <w:rPr>
                <w:rFonts w:ascii="Arial" w:hAnsi="Arial" w:cs="Arial"/>
                <w:color w:val="000000" w:themeColor="text1"/>
                <w:sz w:val="18"/>
                <w:szCs w:val="18"/>
              </w:rPr>
            </w:pPr>
          </w:p>
        </w:tc>
        <w:tc>
          <w:tcPr>
            <w:tcW w:w="1559" w:type="dxa"/>
            <w:vMerge/>
            <w:vAlign w:val="center"/>
          </w:tcPr>
          <w:p w14:paraId="07049C4E" w14:textId="77777777" w:rsidR="00F45500" w:rsidRPr="007B192E" w:rsidRDefault="00F45500" w:rsidP="008F7A94">
            <w:pPr>
              <w:spacing w:before="120" w:after="120"/>
              <w:jc w:val="both"/>
              <w:rPr>
                <w:rFonts w:ascii="Arial" w:hAnsi="Arial" w:cs="Arial"/>
                <w:color w:val="000000" w:themeColor="text1"/>
                <w:sz w:val="18"/>
                <w:szCs w:val="18"/>
              </w:rPr>
            </w:pPr>
          </w:p>
        </w:tc>
        <w:tc>
          <w:tcPr>
            <w:tcW w:w="2268" w:type="dxa"/>
            <w:vMerge/>
            <w:vAlign w:val="center"/>
          </w:tcPr>
          <w:p w14:paraId="56ED0BEA" w14:textId="77777777" w:rsidR="00F45500" w:rsidRPr="007B192E" w:rsidRDefault="00F45500" w:rsidP="008F7A94">
            <w:pPr>
              <w:spacing w:before="120" w:after="120"/>
              <w:jc w:val="both"/>
              <w:rPr>
                <w:rFonts w:ascii="Arial" w:hAnsi="Arial" w:cs="Arial"/>
                <w:color w:val="000000" w:themeColor="text1"/>
                <w:sz w:val="18"/>
                <w:szCs w:val="18"/>
              </w:rPr>
            </w:pPr>
          </w:p>
        </w:tc>
        <w:tc>
          <w:tcPr>
            <w:tcW w:w="1276" w:type="dxa"/>
            <w:vMerge/>
            <w:vAlign w:val="center"/>
          </w:tcPr>
          <w:p w14:paraId="5EEEF6F5" w14:textId="77777777" w:rsidR="00F45500" w:rsidRPr="007B192E" w:rsidRDefault="00F45500" w:rsidP="008F7A94">
            <w:pPr>
              <w:spacing w:before="120" w:after="120"/>
              <w:jc w:val="both"/>
              <w:rPr>
                <w:rFonts w:ascii="Arial" w:hAnsi="Arial" w:cs="Arial"/>
                <w:color w:val="000000" w:themeColor="text1"/>
                <w:sz w:val="18"/>
                <w:szCs w:val="18"/>
              </w:rPr>
            </w:pPr>
          </w:p>
        </w:tc>
        <w:tc>
          <w:tcPr>
            <w:tcW w:w="1134" w:type="dxa"/>
            <w:vAlign w:val="center"/>
          </w:tcPr>
          <w:p w14:paraId="108504E0"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C60B3 ZM</w:t>
            </w:r>
          </w:p>
        </w:tc>
        <w:tc>
          <w:tcPr>
            <w:tcW w:w="1275" w:type="dxa"/>
            <w:vAlign w:val="center"/>
          </w:tcPr>
          <w:p w14:paraId="5A18C01E"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C60BP3 ZM</w:t>
            </w:r>
          </w:p>
        </w:tc>
        <w:tc>
          <w:tcPr>
            <w:tcW w:w="1467" w:type="dxa"/>
            <w:vAlign w:val="center"/>
          </w:tcPr>
          <w:p w14:paraId="028F2854"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C60B10 ZM/R</w:t>
            </w:r>
          </w:p>
        </w:tc>
      </w:tr>
      <w:tr w:rsidR="004D7D23" w:rsidRPr="007B192E" w14:paraId="54053344" w14:textId="77777777" w:rsidTr="0064424E">
        <w:trPr>
          <w:jc w:val="center"/>
        </w:trPr>
        <w:tc>
          <w:tcPr>
            <w:tcW w:w="534" w:type="dxa"/>
          </w:tcPr>
          <w:p w14:paraId="3CAB8B8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559" w:type="dxa"/>
          </w:tcPr>
          <w:p w14:paraId="1C14A0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lepiszcza</w:t>
            </w:r>
          </w:p>
        </w:tc>
        <w:tc>
          <w:tcPr>
            <w:tcW w:w="2268" w:type="dxa"/>
          </w:tcPr>
          <w:p w14:paraId="5E5D010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1428[6]</w:t>
            </w:r>
          </w:p>
        </w:tc>
        <w:tc>
          <w:tcPr>
            <w:tcW w:w="1276" w:type="dxa"/>
          </w:tcPr>
          <w:p w14:paraId="30FE00F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(m/m)</w:t>
            </w:r>
          </w:p>
        </w:tc>
        <w:tc>
          <w:tcPr>
            <w:tcW w:w="1134" w:type="dxa"/>
          </w:tcPr>
          <w:p w14:paraId="1B7751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58 do 62(6)</w:t>
            </w:r>
          </w:p>
        </w:tc>
        <w:tc>
          <w:tcPr>
            <w:tcW w:w="1275" w:type="dxa"/>
          </w:tcPr>
          <w:p w14:paraId="4B6E4E3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58 do 62(6)</w:t>
            </w:r>
          </w:p>
        </w:tc>
        <w:tc>
          <w:tcPr>
            <w:tcW w:w="1467" w:type="dxa"/>
          </w:tcPr>
          <w:p w14:paraId="61BABD8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58 do 62(6)</w:t>
            </w:r>
          </w:p>
        </w:tc>
      </w:tr>
      <w:tr w:rsidR="004D7D23" w:rsidRPr="007B192E" w14:paraId="701B3992" w14:textId="77777777" w:rsidTr="0064424E">
        <w:trPr>
          <w:jc w:val="center"/>
        </w:trPr>
        <w:tc>
          <w:tcPr>
            <w:tcW w:w="534" w:type="dxa"/>
          </w:tcPr>
          <w:p w14:paraId="668C88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559" w:type="dxa"/>
          </w:tcPr>
          <w:p w14:paraId="384B43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Indeks rozpadu</w:t>
            </w:r>
          </w:p>
        </w:tc>
        <w:tc>
          <w:tcPr>
            <w:tcW w:w="2268" w:type="dxa"/>
          </w:tcPr>
          <w:p w14:paraId="3A6CE9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13075-1[16]</w:t>
            </w:r>
          </w:p>
        </w:tc>
        <w:tc>
          <w:tcPr>
            <w:tcW w:w="1276" w:type="dxa"/>
          </w:tcPr>
          <w:p w14:paraId="7F55E1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g/100 g</w:t>
            </w:r>
          </w:p>
        </w:tc>
        <w:tc>
          <w:tcPr>
            <w:tcW w:w="1134" w:type="dxa"/>
          </w:tcPr>
          <w:p w14:paraId="1CBB365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70-155 (3)</w:t>
            </w:r>
          </w:p>
        </w:tc>
        <w:tc>
          <w:tcPr>
            <w:tcW w:w="1275" w:type="dxa"/>
          </w:tcPr>
          <w:p w14:paraId="551F959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70-155 (3)</w:t>
            </w:r>
          </w:p>
        </w:tc>
        <w:tc>
          <w:tcPr>
            <w:tcW w:w="1467" w:type="dxa"/>
          </w:tcPr>
          <w:p w14:paraId="37B9DB34"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r>
      <w:tr w:rsidR="004D7D23" w:rsidRPr="007B192E" w14:paraId="701D1942" w14:textId="77777777" w:rsidTr="0064424E">
        <w:trPr>
          <w:jc w:val="center"/>
        </w:trPr>
        <w:tc>
          <w:tcPr>
            <w:tcW w:w="534" w:type="dxa"/>
          </w:tcPr>
          <w:p w14:paraId="5F7C948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559" w:type="dxa"/>
          </w:tcPr>
          <w:p w14:paraId="495A7D2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Pozostałość na sicie</w:t>
            </w:r>
          </w:p>
        </w:tc>
        <w:tc>
          <w:tcPr>
            <w:tcW w:w="2268" w:type="dxa"/>
          </w:tcPr>
          <w:p w14:paraId="2F80C61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1429[7]</w:t>
            </w:r>
          </w:p>
        </w:tc>
        <w:tc>
          <w:tcPr>
            <w:tcW w:w="1276" w:type="dxa"/>
          </w:tcPr>
          <w:p w14:paraId="7A3B66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(m/m)</w:t>
            </w:r>
          </w:p>
        </w:tc>
        <w:tc>
          <w:tcPr>
            <w:tcW w:w="1134" w:type="dxa"/>
          </w:tcPr>
          <w:p w14:paraId="53CA8F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≤0,2 (3)</w:t>
            </w:r>
          </w:p>
        </w:tc>
        <w:tc>
          <w:tcPr>
            <w:tcW w:w="1275" w:type="dxa"/>
          </w:tcPr>
          <w:p w14:paraId="1CFC91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≤0,2 (3)</w:t>
            </w:r>
          </w:p>
        </w:tc>
        <w:tc>
          <w:tcPr>
            <w:tcW w:w="1467" w:type="dxa"/>
          </w:tcPr>
          <w:p w14:paraId="2068D0C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≤0,2 (3)</w:t>
            </w:r>
          </w:p>
        </w:tc>
      </w:tr>
      <w:tr w:rsidR="004D7D23" w:rsidRPr="007B192E" w14:paraId="162D2953" w14:textId="77777777" w:rsidTr="0064424E">
        <w:trPr>
          <w:jc w:val="center"/>
        </w:trPr>
        <w:tc>
          <w:tcPr>
            <w:tcW w:w="534" w:type="dxa"/>
          </w:tcPr>
          <w:p w14:paraId="275EEC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559" w:type="dxa"/>
          </w:tcPr>
          <w:p w14:paraId="7F93220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Czas wypływu Ø 2 mm przy 40°C</w:t>
            </w:r>
          </w:p>
        </w:tc>
        <w:tc>
          <w:tcPr>
            <w:tcW w:w="2268" w:type="dxa"/>
          </w:tcPr>
          <w:p w14:paraId="4A8CC5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12846-1[12]</w:t>
            </w:r>
          </w:p>
        </w:tc>
        <w:tc>
          <w:tcPr>
            <w:tcW w:w="1276" w:type="dxa"/>
          </w:tcPr>
          <w:p w14:paraId="1573362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S</w:t>
            </w:r>
          </w:p>
        </w:tc>
        <w:tc>
          <w:tcPr>
            <w:tcW w:w="1134" w:type="dxa"/>
          </w:tcPr>
          <w:p w14:paraId="7FF1C56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15-70 (3)</w:t>
            </w:r>
          </w:p>
        </w:tc>
        <w:tc>
          <w:tcPr>
            <w:tcW w:w="1275" w:type="dxa"/>
          </w:tcPr>
          <w:p w14:paraId="792F83B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15-70 (3)</w:t>
            </w:r>
          </w:p>
        </w:tc>
        <w:tc>
          <w:tcPr>
            <w:tcW w:w="1467" w:type="dxa"/>
          </w:tcPr>
          <w:p w14:paraId="2EDE033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15-70 (3)</w:t>
            </w:r>
          </w:p>
        </w:tc>
      </w:tr>
      <w:tr w:rsidR="004D7D23" w:rsidRPr="007B192E" w14:paraId="64CAB7EC" w14:textId="77777777" w:rsidTr="0064424E">
        <w:trPr>
          <w:jc w:val="center"/>
        </w:trPr>
        <w:tc>
          <w:tcPr>
            <w:tcW w:w="534" w:type="dxa"/>
          </w:tcPr>
          <w:p w14:paraId="5D97034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559" w:type="dxa"/>
          </w:tcPr>
          <w:p w14:paraId="0566C3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Przyczep-</w:t>
            </w:r>
            <w:proofErr w:type="spellStart"/>
            <w:r w:rsidRPr="007B192E">
              <w:rPr>
                <w:rFonts w:ascii="Arial" w:hAnsi="Arial" w:cs="Arial"/>
                <w:color w:val="000000" w:themeColor="text1"/>
                <w:sz w:val="18"/>
                <w:szCs w:val="18"/>
              </w:rPr>
              <w:t>ność</w:t>
            </w:r>
            <w:proofErr w:type="spellEnd"/>
            <w:r w:rsidRPr="007B192E">
              <w:rPr>
                <w:rFonts w:ascii="Arial" w:hAnsi="Arial" w:cs="Arial"/>
                <w:color w:val="000000" w:themeColor="text1"/>
                <w:sz w:val="18"/>
                <w:szCs w:val="18"/>
              </w:rPr>
              <w:t xml:space="preserve"> do kruszywa referencyjnego</w:t>
            </w:r>
          </w:p>
        </w:tc>
        <w:tc>
          <w:tcPr>
            <w:tcW w:w="2268" w:type="dxa"/>
          </w:tcPr>
          <w:p w14:paraId="5260D20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13614[19]</w:t>
            </w:r>
          </w:p>
          <w:p w14:paraId="6766F0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(badanie na kruszywie bazaltowym)</w:t>
            </w:r>
          </w:p>
        </w:tc>
        <w:tc>
          <w:tcPr>
            <w:tcW w:w="1276" w:type="dxa"/>
          </w:tcPr>
          <w:p w14:paraId="731F65F0" w14:textId="77777777" w:rsidR="00F45500" w:rsidRPr="007B192E" w:rsidRDefault="0064424E"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br/>
              <w:t>powierzch</w:t>
            </w:r>
            <w:r w:rsidR="00F45500" w:rsidRPr="007B192E">
              <w:rPr>
                <w:rFonts w:ascii="Arial" w:hAnsi="Arial" w:cs="Arial"/>
                <w:color w:val="000000" w:themeColor="text1"/>
                <w:sz w:val="18"/>
                <w:szCs w:val="18"/>
              </w:rPr>
              <w:t>ni</w:t>
            </w:r>
          </w:p>
        </w:tc>
        <w:tc>
          <w:tcPr>
            <w:tcW w:w="1134" w:type="dxa"/>
          </w:tcPr>
          <w:p w14:paraId="16969FB3"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c>
          <w:tcPr>
            <w:tcW w:w="1275" w:type="dxa"/>
          </w:tcPr>
          <w:p w14:paraId="2B796514"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c>
          <w:tcPr>
            <w:tcW w:w="1467" w:type="dxa"/>
          </w:tcPr>
          <w:p w14:paraId="6B277BF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≥75 (2)</w:t>
            </w:r>
          </w:p>
        </w:tc>
      </w:tr>
      <w:tr w:rsidR="004D7D23" w:rsidRPr="007B192E" w14:paraId="59405A4C" w14:textId="77777777" w:rsidTr="0064424E">
        <w:trPr>
          <w:jc w:val="center"/>
        </w:trPr>
        <w:tc>
          <w:tcPr>
            <w:tcW w:w="534" w:type="dxa"/>
          </w:tcPr>
          <w:p w14:paraId="4FFEBDD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559" w:type="dxa"/>
          </w:tcPr>
          <w:p w14:paraId="7AC4AFA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Pozostałość na sicie po 7 dniach magazynowania, sito 0,5 mm</w:t>
            </w:r>
          </w:p>
        </w:tc>
        <w:tc>
          <w:tcPr>
            <w:tcW w:w="2268" w:type="dxa"/>
          </w:tcPr>
          <w:p w14:paraId="669454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1429[7]</w:t>
            </w:r>
          </w:p>
        </w:tc>
        <w:tc>
          <w:tcPr>
            <w:tcW w:w="1276" w:type="dxa"/>
          </w:tcPr>
          <w:p w14:paraId="63898EF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(m/m)</w:t>
            </w:r>
          </w:p>
        </w:tc>
        <w:tc>
          <w:tcPr>
            <w:tcW w:w="1134" w:type="dxa"/>
          </w:tcPr>
          <w:p w14:paraId="2F3E4EE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≤0,2 (3)</w:t>
            </w:r>
          </w:p>
        </w:tc>
        <w:tc>
          <w:tcPr>
            <w:tcW w:w="1275" w:type="dxa"/>
          </w:tcPr>
          <w:p w14:paraId="0466D8F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≤0,2 (3)</w:t>
            </w:r>
          </w:p>
        </w:tc>
        <w:tc>
          <w:tcPr>
            <w:tcW w:w="1467" w:type="dxa"/>
          </w:tcPr>
          <w:p w14:paraId="789DCF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≤0,2 (3)</w:t>
            </w:r>
          </w:p>
        </w:tc>
      </w:tr>
      <w:tr w:rsidR="004D7D23" w:rsidRPr="007B192E" w14:paraId="4D14B730" w14:textId="77777777" w:rsidTr="0064424E">
        <w:trPr>
          <w:jc w:val="center"/>
        </w:trPr>
        <w:tc>
          <w:tcPr>
            <w:tcW w:w="2093" w:type="dxa"/>
            <w:gridSpan w:val="2"/>
            <w:vAlign w:val="center"/>
          </w:tcPr>
          <w:p w14:paraId="14D5038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 odzyskany i stabilizowany</w:t>
            </w:r>
          </w:p>
        </w:tc>
        <w:tc>
          <w:tcPr>
            <w:tcW w:w="2268" w:type="dxa"/>
          </w:tcPr>
          <w:p w14:paraId="4AF53DCA"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 xml:space="preserve">PN-EN 13074-1[14] </w:t>
            </w:r>
            <w:proofErr w:type="spellStart"/>
            <w:r w:rsidRPr="007B192E">
              <w:rPr>
                <w:rFonts w:ascii="Arial" w:hAnsi="Arial" w:cs="Arial"/>
                <w:color w:val="000000" w:themeColor="text1"/>
                <w:sz w:val="18"/>
                <w:szCs w:val="18"/>
                <w:lang w:val="en-US"/>
              </w:rPr>
              <w:t>i</w:t>
            </w:r>
            <w:proofErr w:type="spellEnd"/>
            <w:r w:rsidRPr="007B192E">
              <w:rPr>
                <w:rFonts w:ascii="Arial" w:hAnsi="Arial" w:cs="Arial"/>
                <w:color w:val="000000" w:themeColor="text1"/>
                <w:sz w:val="18"/>
                <w:szCs w:val="18"/>
                <w:lang w:val="en-US"/>
              </w:rPr>
              <w:t xml:space="preserve"> PN-EN 13074-2[15]</w:t>
            </w:r>
          </w:p>
        </w:tc>
        <w:tc>
          <w:tcPr>
            <w:tcW w:w="5152" w:type="dxa"/>
            <w:gridSpan w:val="4"/>
            <w:vAlign w:val="center"/>
          </w:tcPr>
          <w:p w14:paraId="3D504FDD" w14:textId="77777777" w:rsidR="00F45500" w:rsidRPr="007B192E" w:rsidRDefault="00F45500" w:rsidP="0064424E">
            <w:pPr>
              <w:jc w:val="center"/>
              <w:rPr>
                <w:rFonts w:ascii="Arial" w:hAnsi="Arial" w:cs="Arial"/>
                <w:color w:val="000000" w:themeColor="text1"/>
                <w:sz w:val="18"/>
                <w:szCs w:val="18"/>
                <w:lang w:val="en-US"/>
              </w:rPr>
            </w:pPr>
            <w:r w:rsidRPr="007B192E">
              <w:rPr>
                <w:rFonts w:ascii="Arial" w:hAnsi="Arial" w:cs="Arial"/>
                <w:color w:val="000000" w:themeColor="text1"/>
                <w:sz w:val="18"/>
                <w:szCs w:val="18"/>
                <w:lang w:val="en-US"/>
              </w:rPr>
              <w:t>-</w:t>
            </w:r>
          </w:p>
        </w:tc>
      </w:tr>
      <w:tr w:rsidR="004D7D23" w:rsidRPr="007B192E" w14:paraId="774052E3" w14:textId="77777777" w:rsidTr="0064424E">
        <w:trPr>
          <w:jc w:val="center"/>
        </w:trPr>
        <w:tc>
          <w:tcPr>
            <w:tcW w:w="534" w:type="dxa"/>
          </w:tcPr>
          <w:p w14:paraId="2EC487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1559" w:type="dxa"/>
          </w:tcPr>
          <w:p w14:paraId="448E2165"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Penetracja w 25°C asfaltu odzyskanego</w:t>
            </w:r>
          </w:p>
        </w:tc>
        <w:tc>
          <w:tcPr>
            <w:tcW w:w="2268" w:type="dxa"/>
          </w:tcPr>
          <w:p w14:paraId="1BA403E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1426[4]</w:t>
            </w:r>
          </w:p>
        </w:tc>
        <w:tc>
          <w:tcPr>
            <w:tcW w:w="1276" w:type="dxa"/>
          </w:tcPr>
          <w:p w14:paraId="7E3556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0,1 mm</w:t>
            </w:r>
          </w:p>
        </w:tc>
        <w:tc>
          <w:tcPr>
            <w:tcW w:w="1134" w:type="dxa"/>
          </w:tcPr>
          <w:p w14:paraId="5F39F59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≤100 (3)</w:t>
            </w:r>
          </w:p>
        </w:tc>
        <w:tc>
          <w:tcPr>
            <w:tcW w:w="1275" w:type="dxa"/>
          </w:tcPr>
          <w:p w14:paraId="4D8E975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≤100 (3)</w:t>
            </w:r>
          </w:p>
        </w:tc>
        <w:tc>
          <w:tcPr>
            <w:tcW w:w="1467" w:type="dxa"/>
          </w:tcPr>
          <w:p w14:paraId="724FB78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≤100 (3)</w:t>
            </w:r>
          </w:p>
        </w:tc>
      </w:tr>
      <w:tr w:rsidR="004D7D23" w:rsidRPr="007B192E" w14:paraId="500C5C00" w14:textId="77777777" w:rsidTr="0064424E">
        <w:trPr>
          <w:jc w:val="center"/>
        </w:trPr>
        <w:tc>
          <w:tcPr>
            <w:tcW w:w="534" w:type="dxa"/>
          </w:tcPr>
          <w:p w14:paraId="79B8CC1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559" w:type="dxa"/>
          </w:tcPr>
          <w:p w14:paraId="417B8C4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Temperatura mięknienia asfaltu odzyskanego</w:t>
            </w:r>
          </w:p>
        </w:tc>
        <w:tc>
          <w:tcPr>
            <w:tcW w:w="2268" w:type="dxa"/>
          </w:tcPr>
          <w:p w14:paraId="3BC0DF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1427[5]</w:t>
            </w:r>
          </w:p>
        </w:tc>
        <w:tc>
          <w:tcPr>
            <w:tcW w:w="1276" w:type="dxa"/>
          </w:tcPr>
          <w:p w14:paraId="71567FC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1134" w:type="dxa"/>
          </w:tcPr>
          <w:p w14:paraId="1E71F4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≥43 (6)</w:t>
            </w:r>
          </w:p>
        </w:tc>
        <w:tc>
          <w:tcPr>
            <w:tcW w:w="1275" w:type="dxa"/>
          </w:tcPr>
          <w:p w14:paraId="14CB22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≥46 (5)</w:t>
            </w:r>
          </w:p>
        </w:tc>
        <w:tc>
          <w:tcPr>
            <w:tcW w:w="1467" w:type="dxa"/>
          </w:tcPr>
          <w:p w14:paraId="4FE99BD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≥43 (6)</w:t>
            </w:r>
          </w:p>
        </w:tc>
      </w:tr>
      <w:tr w:rsidR="004D7D23" w:rsidRPr="007B192E" w14:paraId="025CACE8" w14:textId="77777777" w:rsidTr="0064424E">
        <w:trPr>
          <w:jc w:val="center"/>
        </w:trPr>
        <w:tc>
          <w:tcPr>
            <w:tcW w:w="534" w:type="dxa"/>
          </w:tcPr>
          <w:p w14:paraId="05323E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1559" w:type="dxa"/>
          </w:tcPr>
          <w:p w14:paraId="738608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Energia kohezji</w:t>
            </w:r>
          </w:p>
        </w:tc>
        <w:tc>
          <w:tcPr>
            <w:tcW w:w="2268" w:type="dxa"/>
          </w:tcPr>
          <w:p w14:paraId="77F182F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13589 [18]i PN-EN 13703[20]</w:t>
            </w:r>
          </w:p>
        </w:tc>
        <w:tc>
          <w:tcPr>
            <w:tcW w:w="1276" w:type="dxa"/>
          </w:tcPr>
          <w:p w14:paraId="07394C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J/cm</w:t>
            </w:r>
            <w:r w:rsidRPr="007B192E">
              <w:rPr>
                <w:rFonts w:ascii="Arial" w:hAnsi="Arial" w:cs="Arial"/>
                <w:color w:val="000000" w:themeColor="text1"/>
                <w:sz w:val="18"/>
                <w:szCs w:val="18"/>
                <w:vertAlign w:val="superscript"/>
              </w:rPr>
              <w:t>2</w:t>
            </w:r>
          </w:p>
        </w:tc>
        <w:tc>
          <w:tcPr>
            <w:tcW w:w="1134" w:type="dxa"/>
          </w:tcPr>
          <w:p w14:paraId="3C27ED09"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c>
          <w:tcPr>
            <w:tcW w:w="1275" w:type="dxa"/>
          </w:tcPr>
          <w:p w14:paraId="62BD495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Wartość deklarowana</w:t>
            </w:r>
          </w:p>
        </w:tc>
        <w:tc>
          <w:tcPr>
            <w:tcW w:w="1467" w:type="dxa"/>
          </w:tcPr>
          <w:p w14:paraId="12B344A2"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r>
      <w:tr w:rsidR="004D7D23" w:rsidRPr="007B192E" w14:paraId="685C755E" w14:textId="77777777" w:rsidTr="0064424E">
        <w:trPr>
          <w:jc w:val="center"/>
        </w:trPr>
        <w:tc>
          <w:tcPr>
            <w:tcW w:w="534" w:type="dxa"/>
          </w:tcPr>
          <w:p w14:paraId="386200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559" w:type="dxa"/>
          </w:tcPr>
          <w:p w14:paraId="22BF94E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Nawrót sprężysty w 25°C</w:t>
            </w:r>
          </w:p>
        </w:tc>
        <w:tc>
          <w:tcPr>
            <w:tcW w:w="2268" w:type="dxa"/>
          </w:tcPr>
          <w:p w14:paraId="2AC066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13398[17]</w:t>
            </w:r>
          </w:p>
        </w:tc>
        <w:tc>
          <w:tcPr>
            <w:tcW w:w="1276" w:type="dxa"/>
          </w:tcPr>
          <w:p w14:paraId="3224E99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1134" w:type="dxa"/>
          </w:tcPr>
          <w:p w14:paraId="4D210DFB"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c>
          <w:tcPr>
            <w:tcW w:w="1275" w:type="dxa"/>
          </w:tcPr>
          <w:p w14:paraId="082239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50 (5)</w:t>
            </w:r>
          </w:p>
        </w:tc>
        <w:tc>
          <w:tcPr>
            <w:tcW w:w="1467" w:type="dxa"/>
          </w:tcPr>
          <w:p w14:paraId="240ED70B"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rPr>
              <w:t xml:space="preserve"> (0)</w:t>
            </w:r>
          </w:p>
        </w:tc>
      </w:tr>
    </w:tbl>
    <w:p w14:paraId="3E0F9614" w14:textId="77777777" w:rsidR="00F45500" w:rsidRPr="007B192E" w:rsidRDefault="00F45500" w:rsidP="00F45500">
      <w:pPr>
        <w:jc w:val="both"/>
        <w:rPr>
          <w:rFonts w:ascii="Arial" w:hAnsi="Arial" w:cs="Arial"/>
          <w:color w:val="000000" w:themeColor="text1"/>
          <w:sz w:val="18"/>
          <w:szCs w:val="18"/>
          <w:lang w:val="en-US"/>
        </w:rPr>
      </w:pPr>
      <w:r w:rsidRPr="007B192E">
        <w:rPr>
          <w:rFonts w:ascii="Arial" w:hAnsi="Arial" w:cs="Arial"/>
          <w:color w:val="000000" w:themeColor="text1"/>
          <w:sz w:val="18"/>
          <w:szCs w:val="18"/>
          <w:vertAlign w:val="superscript"/>
          <w:lang w:val="en-US"/>
        </w:rPr>
        <w:t>a</w:t>
      </w:r>
      <w:r w:rsidRPr="007B192E">
        <w:rPr>
          <w:rFonts w:ascii="Arial" w:hAnsi="Arial" w:cs="Arial"/>
          <w:color w:val="000000" w:themeColor="text1"/>
          <w:sz w:val="18"/>
          <w:szCs w:val="18"/>
          <w:lang w:val="en-US"/>
        </w:rPr>
        <w:t xml:space="preserve"> NR – No Requirements (</w:t>
      </w:r>
      <w:proofErr w:type="spellStart"/>
      <w:r w:rsidRPr="007B192E">
        <w:rPr>
          <w:rFonts w:ascii="Arial" w:hAnsi="Arial" w:cs="Arial"/>
          <w:color w:val="000000" w:themeColor="text1"/>
          <w:sz w:val="18"/>
          <w:szCs w:val="18"/>
          <w:lang w:val="en-US"/>
        </w:rPr>
        <w:t>brak</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wymagań</w:t>
      </w:r>
      <w:proofErr w:type="spellEnd"/>
      <w:r w:rsidRPr="007B192E">
        <w:rPr>
          <w:rFonts w:ascii="Arial" w:hAnsi="Arial" w:cs="Arial"/>
          <w:color w:val="000000" w:themeColor="text1"/>
          <w:sz w:val="18"/>
          <w:szCs w:val="18"/>
          <w:lang w:val="en-US"/>
        </w:rPr>
        <w:t>)</w:t>
      </w:r>
    </w:p>
    <w:p w14:paraId="76FD4B90" w14:textId="77777777" w:rsidR="00F45500" w:rsidRPr="007B192E" w:rsidRDefault="00F45500" w:rsidP="00F45500">
      <w:pPr>
        <w:spacing w:after="120"/>
        <w:ind w:left="238" w:hanging="238"/>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b</w:t>
      </w:r>
      <w:r w:rsidRPr="007B192E">
        <w:rPr>
          <w:rFonts w:ascii="Arial" w:hAnsi="Arial" w:cs="Arial"/>
          <w:color w:val="000000" w:themeColor="text1"/>
          <w:sz w:val="18"/>
          <w:szCs w:val="18"/>
        </w:rPr>
        <w:t xml:space="preserve"> Klasa wymagania podana jest w nawiasie obok wymagania liczbowego</w:t>
      </w:r>
    </w:p>
    <w:p w14:paraId="6E48CC65" w14:textId="77777777" w:rsidR="00F45500" w:rsidRPr="007B192E" w:rsidRDefault="00F45500" w:rsidP="00F45500">
      <w:pPr>
        <w:keepNext/>
        <w:spacing w:after="120"/>
        <w:ind w:left="238" w:hanging="238"/>
        <w:jc w:val="both"/>
        <w:rPr>
          <w:rFonts w:ascii="Arial" w:hAnsi="Arial" w:cs="Arial"/>
          <w:color w:val="000000" w:themeColor="text1"/>
          <w:sz w:val="18"/>
          <w:szCs w:val="18"/>
        </w:rPr>
      </w:pPr>
      <w:r w:rsidRPr="007B192E">
        <w:rPr>
          <w:rFonts w:ascii="Arial" w:hAnsi="Arial" w:cs="Arial"/>
          <w:color w:val="000000" w:themeColor="text1"/>
          <w:sz w:val="18"/>
          <w:szCs w:val="18"/>
        </w:rPr>
        <w:t>2.2.3.2. Składowanie emulsji asfaltowej</w:t>
      </w:r>
    </w:p>
    <w:p w14:paraId="79D62CE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Emulsję można magazynować w opakowaniach transportowych lub stacjonarnych zbiornikach pionowych z nalewaniem od dna.</w:t>
      </w:r>
    </w:p>
    <w:p w14:paraId="2885C7F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przechowywaniu emulsji asfaltowej należy przestrzegać zasad ustalonych przez producenta w celu zachowania ich jakości.</w:t>
      </w:r>
    </w:p>
    <w:p w14:paraId="2F5599DD"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2.2.4.</w:t>
      </w:r>
      <w:r w:rsidRPr="007B192E">
        <w:rPr>
          <w:rFonts w:ascii="Arial" w:hAnsi="Arial" w:cs="Arial"/>
          <w:color w:val="000000" w:themeColor="text1"/>
          <w:sz w:val="18"/>
          <w:szCs w:val="18"/>
        </w:rPr>
        <w:t xml:space="preserve"> Grysy do posypania emulsji</w:t>
      </w:r>
    </w:p>
    <w:p w14:paraId="01FC772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posypania emulsji asfaltowej, którą spryskano podbudowę z gruntu lub kruszywa związanego spoiwem hydraulicznym (patrz tab. 5 i 6) należy stosować kruszywo (grysy) 2/5 mm w celu uzyskania membrany poprawiającej połączenie </w:t>
      </w:r>
      <w:proofErr w:type="spellStart"/>
      <w:r w:rsidRPr="007B192E">
        <w:rPr>
          <w:rFonts w:ascii="Arial" w:hAnsi="Arial" w:cs="Arial"/>
          <w:color w:val="000000" w:themeColor="text1"/>
          <w:sz w:val="18"/>
          <w:szCs w:val="18"/>
        </w:rPr>
        <w:t>międzywarstwowe</w:t>
      </w:r>
      <w:proofErr w:type="spellEnd"/>
      <w:r w:rsidRPr="007B192E">
        <w:rPr>
          <w:rFonts w:ascii="Arial" w:hAnsi="Arial" w:cs="Arial"/>
          <w:color w:val="000000" w:themeColor="text1"/>
          <w:sz w:val="18"/>
          <w:szCs w:val="18"/>
        </w:rPr>
        <w:t xml:space="preserve"> oraz zmniejszające ryzyko spękań odbitych. Kruszywo powinno spełniać wymagania dla kruszyw warstwy ścieralnej na drodze.</w:t>
      </w:r>
    </w:p>
    <w:p w14:paraId="4D749C30" w14:textId="77777777" w:rsidR="00F45500" w:rsidRPr="007B192E" w:rsidRDefault="002A39AA" w:rsidP="004D61EE">
      <w:pPr>
        <w:pStyle w:val="Nagwek2"/>
        <w:rPr>
          <w:i w:val="0"/>
          <w:color w:val="000000" w:themeColor="text1"/>
        </w:rPr>
      </w:pPr>
      <w:r w:rsidRPr="007B192E">
        <w:rPr>
          <w:i w:val="0"/>
          <w:color w:val="000000" w:themeColor="text1"/>
        </w:rPr>
        <w:t>3. SPRZĘT</w:t>
      </w:r>
      <w:bookmarkEnd w:id="148"/>
    </w:p>
    <w:p w14:paraId="0D98C90A" w14:textId="77777777" w:rsidR="00F45500" w:rsidRPr="007B192E" w:rsidRDefault="00F45500" w:rsidP="00F45500">
      <w:pPr>
        <w:pStyle w:val="Nagwek2"/>
        <w:numPr>
          <w:ilvl w:val="12"/>
          <w:numId w:val="0"/>
        </w:numPr>
        <w:rPr>
          <w:color w:val="000000" w:themeColor="text1"/>
          <w:sz w:val="18"/>
          <w:szCs w:val="18"/>
        </w:rPr>
      </w:pPr>
      <w:bookmarkStart w:id="149" w:name="_Toc344981396"/>
      <w:r w:rsidRPr="007B192E">
        <w:rPr>
          <w:color w:val="000000" w:themeColor="text1"/>
          <w:sz w:val="18"/>
          <w:szCs w:val="18"/>
        </w:rPr>
        <w:t>3.1. Ogólne wymagania dotyczące sprzętu</w:t>
      </w:r>
    </w:p>
    <w:p w14:paraId="396548D1"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7DA75F0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18F4847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Przy wykonywaniu robót Wykonawca w zależności od potrzeb, powinien wykazać się możliwością korzystania ze sprzętu dostosowanego do przyjętej metody robót, jak:</w:t>
      </w:r>
    </w:p>
    <w:p w14:paraId="778B115C" w14:textId="77777777" w:rsidR="00F45500" w:rsidRPr="007B192E" w:rsidRDefault="00F45500" w:rsidP="00F45500">
      <w:pPr>
        <w:widowControl/>
        <w:numPr>
          <w:ilvl w:val="0"/>
          <w:numId w:val="10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sprzęt do oczyszczenia warstw nawierzchni</w:t>
      </w:r>
    </w:p>
    <w:p w14:paraId="2D25FCD8" w14:textId="77777777" w:rsidR="00F45500" w:rsidRPr="007B192E"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szczotki mechaniczne,</w:t>
      </w:r>
    </w:p>
    <w:p w14:paraId="2561BF37" w14:textId="77777777" w:rsidR="00F45500" w:rsidRPr="007B192E"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sprężarki,</w:t>
      </w:r>
    </w:p>
    <w:p w14:paraId="31F1652B" w14:textId="77777777" w:rsidR="00F45500" w:rsidRPr="007B192E"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zbiorniki z wodą,</w:t>
      </w:r>
    </w:p>
    <w:p w14:paraId="14C2E157" w14:textId="77777777" w:rsidR="00F45500" w:rsidRPr="007B192E" w:rsidRDefault="00F45500" w:rsidP="00C12426">
      <w:pPr>
        <w:widowControl/>
        <w:numPr>
          <w:ilvl w:val="0"/>
          <w:numId w:val="211"/>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szczotki ręczne,</w:t>
      </w:r>
    </w:p>
    <w:p w14:paraId="134B7B5C" w14:textId="77777777" w:rsidR="00F45500" w:rsidRPr="007B192E" w:rsidRDefault="00F45500" w:rsidP="00F45500">
      <w:pPr>
        <w:widowControl/>
        <w:numPr>
          <w:ilvl w:val="0"/>
          <w:numId w:val="10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sprzęt do skrapiania emulsją asfaltową warstw nawierzchni</w:t>
      </w:r>
    </w:p>
    <w:p w14:paraId="51C8271A" w14:textId="77777777" w:rsidR="00F45500" w:rsidRPr="007B192E" w:rsidRDefault="00F45500" w:rsidP="00F45500">
      <w:pPr>
        <w:ind w:left="360" w:firstLine="349"/>
        <w:jc w:val="both"/>
        <w:rPr>
          <w:rFonts w:ascii="Arial" w:hAnsi="Arial" w:cs="Arial"/>
          <w:color w:val="000000" w:themeColor="text1"/>
          <w:sz w:val="18"/>
          <w:szCs w:val="18"/>
        </w:rPr>
      </w:pPr>
      <w:r w:rsidRPr="007B192E">
        <w:rPr>
          <w:rFonts w:ascii="Arial" w:hAnsi="Arial" w:cs="Arial"/>
          <w:color w:val="000000" w:themeColor="text1"/>
          <w:sz w:val="18"/>
          <w:szCs w:val="18"/>
        </w:rPr>
        <w:t>Należy używać skrapiarki wyposażonej w urządzenia pomiarowo-kontrolne pozwalające na sprawdzanie i regulowanie następujących parametrów:</w:t>
      </w:r>
    </w:p>
    <w:p w14:paraId="0690F082" w14:textId="77777777" w:rsidR="00F45500" w:rsidRPr="007B192E"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temperatury rozkładanego lepiszcza,</w:t>
      </w:r>
    </w:p>
    <w:p w14:paraId="01675976" w14:textId="77777777" w:rsidR="00F45500" w:rsidRPr="007B192E"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7B192E">
        <w:rPr>
          <w:rFonts w:ascii="Arial" w:hAnsi="Arial" w:cs="Arial"/>
          <w:color w:val="000000" w:themeColor="text1"/>
          <w:sz w:val="18"/>
          <w:szCs w:val="18"/>
        </w:rPr>
        <w:t>ciśnienia lepiszcza w kolektorze,</w:t>
      </w:r>
    </w:p>
    <w:p w14:paraId="74DFBA1D" w14:textId="77777777" w:rsidR="00F45500" w:rsidRPr="007B192E"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7B192E">
        <w:rPr>
          <w:rFonts w:ascii="Arial" w:hAnsi="Arial" w:cs="Arial"/>
          <w:color w:val="000000" w:themeColor="text1"/>
          <w:sz w:val="18"/>
          <w:szCs w:val="18"/>
        </w:rPr>
        <w:t>obrotów pompy dozującej emulsję,</w:t>
      </w:r>
    </w:p>
    <w:p w14:paraId="45F3D7DB" w14:textId="77777777" w:rsidR="00F45500" w:rsidRPr="007B192E"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7B192E">
        <w:rPr>
          <w:rFonts w:ascii="Arial" w:hAnsi="Arial" w:cs="Arial"/>
          <w:color w:val="000000" w:themeColor="text1"/>
          <w:sz w:val="18"/>
          <w:szCs w:val="18"/>
        </w:rPr>
        <w:t>prędkości poruszania się skrapiarki,</w:t>
      </w:r>
    </w:p>
    <w:p w14:paraId="36ACD289" w14:textId="77777777" w:rsidR="00F45500" w:rsidRPr="007B192E" w:rsidRDefault="00F45500" w:rsidP="00F45500">
      <w:pPr>
        <w:widowControl/>
        <w:numPr>
          <w:ilvl w:val="1"/>
          <w:numId w:val="106"/>
        </w:numPr>
        <w:tabs>
          <w:tab w:val="clear" w:pos="1477"/>
          <w:tab w:val="num" w:pos="360"/>
        </w:tabs>
        <w:suppressAutoHyphens w:val="0"/>
        <w:autoSpaceDN w:val="0"/>
        <w:adjustRightInd w:val="0"/>
        <w:ind w:left="360" w:firstLine="0"/>
        <w:jc w:val="both"/>
        <w:rPr>
          <w:rFonts w:ascii="Arial" w:hAnsi="Arial" w:cs="Arial"/>
          <w:color w:val="000000" w:themeColor="text1"/>
          <w:sz w:val="18"/>
          <w:szCs w:val="18"/>
        </w:rPr>
      </w:pPr>
      <w:r w:rsidRPr="007B192E">
        <w:rPr>
          <w:rFonts w:ascii="Arial" w:hAnsi="Arial" w:cs="Arial"/>
          <w:color w:val="000000" w:themeColor="text1"/>
          <w:sz w:val="18"/>
          <w:szCs w:val="18"/>
        </w:rPr>
        <w:t>wysokości i długości kolektora,</w:t>
      </w:r>
    </w:p>
    <w:p w14:paraId="1F15B3C7" w14:textId="77777777" w:rsidR="00F45500" w:rsidRPr="007B192E" w:rsidRDefault="00F45500" w:rsidP="00F45500">
      <w:pPr>
        <w:widowControl/>
        <w:numPr>
          <w:ilvl w:val="1"/>
          <w:numId w:val="106"/>
        </w:numPr>
        <w:tabs>
          <w:tab w:val="clear" w:pos="1477"/>
          <w:tab w:val="num" w:pos="720"/>
        </w:tabs>
        <w:suppressAutoHyphens w:val="0"/>
        <w:autoSpaceDN w:val="0"/>
        <w:adjustRightInd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ilości dozowanej emulsji (dozator), przy czym skrapiarka powinna zapewnić  rozkładanie emulsji z tolerancją ± 10% od ilości założonej.</w:t>
      </w:r>
    </w:p>
    <w:p w14:paraId="1E9EA34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Zbiornik na lepiszcze skrapiarki powinien być izolowany termicznie tak, aby było możliwe zachowanie stałej temperatury lepiszcza.</w:t>
      </w:r>
    </w:p>
    <w:p w14:paraId="46E98C7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powinien posiadać aktualne świadectwo cechowania skrapiarki (kopię protokołu kalibracji skrapiarki – równomierności skrapiania oraz wydatku emulsji przy ustalonej prędkości przejazdu.) Skrapiarka, dla której nie wykonano kalibracji nie może zostać dopuszczona do wykonania skropienia.</w:t>
      </w:r>
    </w:p>
    <w:p w14:paraId="08BD9BC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Sprzęt powinien odpowiadać wymaganiom określonym w dokumentacji projektowej, ST, instrukcjach producentów lub propozycji Wykonawcy i powinien być zaakceptowany przez Inżyniera.</w:t>
      </w:r>
    </w:p>
    <w:p w14:paraId="6D0CE046" w14:textId="77777777" w:rsidR="00F45500" w:rsidRPr="007B192E" w:rsidRDefault="002A39AA" w:rsidP="004D61EE">
      <w:pPr>
        <w:pStyle w:val="Nagwek2"/>
        <w:rPr>
          <w:i w:val="0"/>
          <w:color w:val="000000" w:themeColor="text1"/>
        </w:rPr>
      </w:pPr>
      <w:r w:rsidRPr="007B192E">
        <w:rPr>
          <w:i w:val="0"/>
          <w:color w:val="000000" w:themeColor="text1"/>
        </w:rPr>
        <w:t>4. TRANSPORT</w:t>
      </w:r>
      <w:bookmarkEnd w:id="149"/>
    </w:p>
    <w:p w14:paraId="2204E13B" w14:textId="77777777" w:rsidR="00F45500" w:rsidRPr="007B192E" w:rsidRDefault="00F45500" w:rsidP="00F45500">
      <w:pPr>
        <w:pStyle w:val="Nagwek2"/>
        <w:numPr>
          <w:ilvl w:val="12"/>
          <w:numId w:val="0"/>
        </w:numPr>
        <w:rPr>
          <w:color w:val="000000" w:themeColor="text1"/>
          <w:sz w:val="18"/>
          <w:szCs w:val="18"/>
        </w:rPr>
      </w:pPr>
      <w:bookmarkStart w:id="150" w:name="_Toc344981397"/>
      <w:r w:rsidRPr="007B192E">
        <w:rPr>
          <w:color w:val="000000" w:themeColor="text1"/>
          <w:sz w:val="18"/>
          <w:szCs w:val="18"/>
        </w:rPr>
        <w:t>4.1. Ogólne wymagania dotyczące transportu</w:t>
      </w:r>
    </w:p>
    <w:p w14:paraId="30415B64"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r w:rsidRPr="007B192E">
        <w:rPr>
          <w:rFonts w:ascii="Arial" w:hAnsi="Arial" w:cs="Arial"/>
          <w:color w:val="000000" w:themeColor="text1"/>
          <w:sz w:val="18"/>
          <w:szCs w:val="18"/>
        </w:rPr>
        <w:tab/>
      </w:r>
    </w:p>
    <w:p w14:paraId="565BE5B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4.2. Transport materiałów </w:t>
      </w:r>
    </w:p>
    <w:p w14:paraId="1E87936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14:paraId="522E1FD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Emulsja asfaltowa może być transportowana w cysternach, autocysternach, skrapiarkach, beczkach i innych opakowaniach pod warunkiem, że nie będą korodowały pod wpływem emulsji i nie będą powodowały jej rozpadu. Zbiorniki przeznaczone do transportu emulsji powinny być czyste i nie powinny zawierać resztek innych lepiszczy.</w:t>
      </w:r>
    </w:p>
    <w:p w14:paraId="4E897EDC" w14:textId="77777777" w:rsidR="00F45500" w:rsidRPr="007B192E" w:rsidRDefault="002A39AA" w:rsidP="004D61EE">
      <w:pPr>
        <w:pStyle w:val="Nagwek2"/>
        <w:rPr>
          <w:i w:val="0"/>
          <w:color w:val="000000" w:themeColor="text1"/>
        </w:rPr>
      </w:pPr>
      <w:r w:rsidRPr="007B192E">
        <w:rPr>
          <w:i w:val="0"/>
          <w:color w:val="000000" w:themeColor="text1"/>
        </w:rPr>
        <w:t>5. WYKONANIE ROBÓT</w:t>
      </w:r>
      <w:bookmarkEnd w:id="150"/>
    </w:p>
    <w:p w14:paraId="0BD49764" w14:textId="77777777" w:rsidR="00F45500" w:rsidRPr="007B192E" w:rsidRDefault="00F45500" w:rsidP="00F45500">
      <w:pPr>
        <w:pStyle w:val="Nagwek2"/>
        <w:numPr>
          <w:ilvl w:val="12"/>
          <w:numId w:val="0"/>
        </w:numPr>
        <w:rPr>
          <w:color w:val="000000" w:themeColor="text1"/>
          <w:sz w:val="18"/>
          <w:szCs w:val="18"/>
        </w:rPr>
      </w:pPr>
      <w:bookmarkStart w:id="151" w:name="_Toc344981398"/>
      <w:r w:rsidRPr="007B192E">
        <w:rPr>
          <w:color w:val="000000" w:themeColor="text1"/>
          <w:sz w:val="18"/>
          <w:szCs w:val="18"/>
        </w:rPr>
        <w:t>5.1. Ogólne zasady wykonania robót</w:t>
      </w:r>
    </w:p>
    <w:p w14:paraId="75C08628"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75E79A8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Zasady wykonywania robót</w:t>
      </w:r>
    </w:p>
    <w:p w14:paraId="511FF96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Sposób wykonania robót powinien być zgodny z dokumentacją projektową i ST. W przypadku braku wystarczających danych można korzystać z ustaleń podanych w niniejszej specyfikacji oraz z informacji podanych w załączniku.</w:t>
      </w:r>
    </w:p>
    <w:p w14:paraId="52AF752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wykonywaniu robót obejmują:</w:t>
      </w:r>
    </w:p>
    <w:p w14:paraId="302D39DF" w14:textId="77777777" w:rsidR="00F45500" w:rsidRPr="007B192E"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roboty przygotowawcze, </w:t>
      </w:r>
    </w:p>
    <w:p w14:paraId="5211F368" w14:textId="77777777" w:rsidR="00F45500" w:rsidRPr="007B192E"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oczyszczenie warstwy przed skropieniem,</w:t>
      </w:r>
    </w:p>
    <w:p w14:paraId="15B3BCFE" w14:textId="77777777" w:rsidR="00F45500" w:rsidRPr="007B192E"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odcinek próbny,</w:t>
      </w:r>
    </w:p>
    <w:p w14:paraId="2B661871" w14:textId="77777777" w:rsidR="00F45500" w:rsidRPr="007B192E"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skropienie warstw nawierzchni,</w:t>
      </w:r>
    </w:p>
    <w:p w14:paraId="06C47B6D" w14:textId="77777777" w:rsidR="00F45500" w:rsidRPr="007B192E" w:rsidRDefault="00F45500" w:rsidP="00F45500">
      <w:pPr>
        <w:widowControl/>
        <w:numPr>
          <w:ilvl w:val="0"/>
          <w:numId w:val="1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3ABFA5F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Roboty przygotowawcze</w:t>
      </w:r>
    </w:p>
    <w:p w14:paraId="654DE1D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należy, na podstawie dokumentacji projektowej,  ST lub wskazań Inżyniera:</w:t>
      </w:r>
    </w:p>
    <w:p w14:paraId="77DF014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ustalić lokalizację terenu robót,</w:t>
      </w:r>
    </w:p>
    <w:p w14:paraId="413FDAE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przeprowadzić szczegółowe  wytyczenie robót,</w:t>
      </w:r>
    </w:p>
    <w:p w14:paraId="49BDA41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usunąć przeszkody utrudniające wykonanie robót,</w:t>
      </w:r>
    </w:p>
    <w:p w14:paraId="0B4BD2F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wprowadzić oznakowanie drogi na okres robót,</w:t>
      </w:r>
    </w:p>
    <w:p w14:paraId="76E9A08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zgromadzić materiały i sprzęt potrzebne do rozpoczęcia robót.</w:t>
      </w:r>
    </w:p>
    <w:p w14:paraId="7BBF4CFA" w14:textId="77777777" w:rsidR="00F45500" w:rsidRPr="007B192E" w:rsidRDefault="00F45500" w:rsidP="00F45500">
      <w:pPr>
        <w:spacing w:before="120" w:after="120"/>
        <w:jc w:val="both"/>
        <w:rPr>
          <w:rFonts w:ascii="Arial" w:hAnsi="Arial" w:cs="Arial"/>
          <w:b/>
          <w:color w:val="000000" w:themeColor="text1"/>
          <w:sz w:val="18"/>
          <w:szCs w:val="18"/>
        </w:rPr>
      </w:pPr>
      <w:r w:rsidRPr="007B192E">
        <w:rPr>
          <w:rFonts w:ascii="Arial" w:hAnsi="Arial" w:cs="Arial"/>
          <w:b/>
          <w:color w:val="000000" w:themeColor="text1"/>
          <w:sz w:val="18"/>
          <w:szCs w:val="18"/>
        </w:rPr>
        <w:t>5.4. Oczyszczenie warstwy przed skropieniem</w:t>
      </w:r>
    </w:p>
    <w:p w14:paraId="74F9040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5.4.1. </w:t>
      </w:r>
      <w:r w:rsidRPr="007B192E">
        <w:rPr>
          <w:rFonts w:ascii="Arial" w:hAnsi="Arial" w:cs="Arial"/>
          <w:color w:val="000000" w:themeColor="text1"/>
          <w:sz w:val="18"/>
          <w:szCs w:val="18"/>
        </w:rPr>
        <w:t>Przygotowanie podłoża z mieszanki mineralno-asfaltowej</w:t>
      </w:r>
    </w:p>
    <w:p w14:paraId="101CB8C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Oczyszczenie warstwy nawierzchni przed skropieniem polega na usunięciu luźnego materiału, brudu, błota, kurzu, plam oleju itp. przy użyciu szczotek mechanicznych, a w razie potrzeby wody pod ciśnieniem i ew. absorbentów. W miejscach trudno dostępnych należy używać szczotek ręcznych. Na terenach niezabudowanych, bezpośrednio przed skropieniem warstwę nawierzchni można oczyścić przy użyciu sprężonego powietrza.</w:t>
      </w:r>
    </w:p>
    <w:p w14:paraId="38EA106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 używaniu szczotek mechanicznych należy zwrócić uwagę, aby nie została uszkodzona warstwa błonki asfaltowej na powierzchni ziaren kruszyw stanowiących górną powierzchnię warstwy. W przypadku zanieczyszczenia podłoża olejami, paliwem lub chemikaliami należy użyć specjalnych absorbentów do zebrania zanieczyszczeń, a następnie zmyć powierzchnie wodą pod ciśnieniem</w:t>
      </w:r>
    </w:p>
    <w:p w14:paraId="0683EBEE" w14:textId="77777777" w:rsidR="00F45500" w:rsidRPr="007B192E" w:rsidRDefault="00F45500" w:rsidP="00F45500">
      <w:pPr>
        <w:pStyle w:val="Nagwek2"/>
        <w:numPr>
          <w:ilvl w:val="1"/>
          <w:numId w:val="30"/>
        </w:numPr>
        <w:overflowPunct/>
        <w:autoSpaceDE/>
        <w:spacing w:before="60"/>
        <w:jc w:val="both"/>
        <w:textAlignment w:val="auto"/>
        <w:rPr>
          <w:b w:val="0"/>
          <w:color w:val="000000" w:themeColor="text1"/>
          <w:sz w:val="18"/>
          <w:szCs w:val="18"/>
        </w:rPr>
      </w:pPr>
      <w:r w:rsidRPr="007B192E">
        <w:rPr>
          <w:color w:val="000000" w:themeColor="text1"/>
          <w:sz w:val="18"/>
          <w:szCs w:val="18"/>
        </w:rPr>
        <w:t xml:space="preserve">5.4.2. </w:t>
      </w:r>
      <w:r w:rsidRPr="007B192E">
        <w:rPr>
          <w:b w:val="0"/>
          <w:color w:val="000000" w:themeColor="text1"/>
          <w:sz w:val="18"/>
          <w:szCs w:val="18"/>
        </w:rPr>
        <w:t>Przygotowanie podłoża z mieszanki mineralnej niezwiązanej i związanej hydraulicznie</w:t>
      </w:r>
    </w:p>
    <w:p w14:paraId="0DFEB8E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Powierzchnia podłoża musi być oczyszczona z wszelkiego obcego materiału innego niż mieszanka mineralna, z której została wykonana warstwa.</w:t>
      </w:r>
    </w:p>
    <w:p w14:paraId="0007DBD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podbudowy bardzo suchej, bezpośrednio przed wykonanie skropienia emulsją asfaltową podłoże należy zwilżyć wodą, tak aby powierzchnię podłoża doprowadzić do stanu matowo-wilgotnego, bez zastoisk wodnych i bez zjawiska nasączania warstwy wodą.</w:t>
      </w:r>
    </w:p>
    <w:p w14:paraId="4889BF3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skrapiania warstwy niezwiązanej nasiąkniętej wodą po opadach atmosferycznych należy opóźnić skropienie do momentu częściowego przesuszenia powierzchniowego warstwy (do stanu matowo-</w:t>
      </w:r>
      <w:r w:rsidRPr="007B192E">
        <w:rPr>
          <w:rFonts w:ascii="Arial" w:hAnsi="Arial" w:cs="Arial"/>
          <w:color w:val="000000" w:themeColor="text1"/>
          <w:sz w:val="18"/>
          <w:szCs w:val="18"/>
        </w:rPr>
        <w:lastRenderedPageBreak/>
        <w:t>wilgotnego).</w:t>
      </w:r>
    </w:p>
    <w:p w14:paraId="67798156"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5.4.3.</w:t>
      </w:r>
      <w:r w:rsidRPr="007B192E">
        <w:rPr>
          <w:rFonts w:ascii="Arial" w:hAnsi="Arial" w:cs="Arial"/>
          <w:color w:val="000000" w:themeColor="text1"/>
          <w:sz w:val="18"/>
          <w:szCs w:val="18"/>
        </w:rPr>
        <w:t xml:space="preserve"> Przygotowanie podłoża na obiektach inżynierskich</w:t>
      </w:r>
    </w:p>
    <w:p w14:paraId="3B63BE5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podłoża, które stanowi izolacja przeciwwodna na obiektach mostowych, należy postępować wg wskazań producenta izolacji lub zapisów normach lub aprobatach technicznych.</w:t>
      </w:r>
    </w:p>
    <w:p w14:paraId="7C8A2AB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5.5. Warunki wykonywania robót</w:t>
      </w:r>
    </w:p>
    <w:p w14:paraId="5B953B7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Temperatura podłoża w czasie skrapiania emulsją asfaltową powinna wynosić co najmniej +5°C. Nie dopuszcza się wykonywania skrapiania podczas opadów atmosferycznych,  bezpośrednio po nich lub tuż przed spodziewanymi opadami. Czasookres skropienia należy tak zaplanować, aby nie wystąpiły opady atmosferyczne wcześniej niż po całkowitym rozpadzie emulsji.</w:t>
      </w:r>
    </w:p>
    <w:p w14:paraId="0716483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Temperatury stosowania emulsji asfaltowych powinny mieścić się w przedziałach podanych w tablicy 3.</w:t>
      </w:r>
    </w:p>
    <w:p w14:paraId="7CDD9B4E"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3. Temperatury stosowania emulsji asfaltowych</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8"/>
        <w:gridCol w:w="4680"/>
        <w:gridCol w:w="3600"/>
      </w:tblGrid>
      <w:tr w:rsidR="004D7D23" w:rsidRPr="007B192E" w14:paraId="344C8694" w14:textId="77777777" w:rsidTr="008F7A94">
        <w:trPr>
          <w:jc w:val="center"/>
        </w:trPr>
        <w:tc>
          <w:tcPr>
            <w:tcW w:w="588" w:type="dxa"/>
          </w:tcPr>
          <w:p w14:paraId="5C9BEF0D"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4680" w:type="dxa"/>
          </w:tcPr>
          <w:p w14:paraId="652EBF54"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Rodzaj emulsji</w:t>
            </w:r>
          </w:p>
        </w:tc>
        <w:tc>
          <w:tcPr>
            <w:tcW w:w="3600" w:type="dxa"/>
          </w:tcPr>
          <w:p w14:paraId="4D6EF226"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Temperatury (°C)</w:t>
            </w:r>
          </w:p>
        </w:tc>
      </w:tr>
      <w:tr w:rsidR="004D7D23" w:rsidRPr="007B192E" w14:paraId="6F36BEAA" w14:textId="77777777" w:rsidTr="008F7A94">
        <w:trPr>
          <w:jc w:val="center"/>
        </w:trPr>
        <w:tc>
          <w:tcPr>
            <w:tcW w:w="588" w:type="dxa"/>
          </w:tcPr>
          <w:p w14:paraId="76D3AF62"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4680" w:type="dxa"/>
          </w:tcPr>
          <w:p w14:paraId="31FC37B7"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Emulsja asfaltowa</w:t>
            </w:r>
          </w:p>
        </w:tc>
        <w:tc>
          <w:tcPr>
            <w:tcW w:w="3600" w:type="dxa"/>
          </w:tcPr>
          <w:p w14:paraId="33F23DB9"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od 50 do 85</w:t>
            </w:r>
          </w:p>
        </w:tc>
      </w:tr>
      <w:tr w:rsidR="004D7D23" w:rsidRPr="007B192E" w14:paraId="6F70844C" w14:textId="77777777" w:rsidTr="008F7A94">
        <w:trPr>
          <w:jc w:val="center"/>
        </w:trPr>
        <w:tc>
          <w:tcPr>
            <w:tcW w:w="588" w:type="dxa"/>
          </w:tcPr>
          <w:p w14:paraId="223D8582"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4680" w:type="dxa"/>
          </w:tcPr>
          <w:p w14:paraId="2D37888C"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Emulsja asfaltowa modyfikowana polimerem</w:t>
            </w:r>
          </w:p>
        </w:tc>
        <w:tc>
          <w:tcPr>
            <w:tcW w:w="3600" w:type="dxa"/>
          </w:tcPr>
          <w:p w14:paraId="467E1ECD"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od 60 do 85</w:t>
            </w:r>
          </w:p>
        </w:tc>
      </w:tr>
    </w:tbl>
    <w:p w14:paraId="4A90520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5.6. Odcinek próbny</w:t>
      </w:r>
    </w:p>
    <w:p w14:paraId="1DA8425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Jeżeli w ST przewidziano potrzebę wykonania odcinka próbnego, to przed rozpoczęciem robót, w terminie uzgodnionym z Inżynierem, Wykonawca powinien wykonać odcinek próbny w celu:</w:t>
      </w:r>
    </w:p>
    <w:p w14:paraId="5B05F558" w14:textId="77777777" w:rsidR="00F45500" w:rsidRPr="007B192E" w:rsidRDefault="00F45500" w:rsidP="00F45500">
      <w:pPr>
        <w:widowControl/>
        <w:numPr>
          <w:ilvl w:val="0"/>
          <w:numId w:val="10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stwierdzenia czy właściwy jest sprzęt do skropienia emulsją asfaltową,</w:t>
      </w:r>
    </w:p>
    <w:p w14:paraId="0EA226D6" w14:textId="77777777" w:rsidR="00F45500" w:rsidRPr="007B192E" w:rsidRDefault="00F45500" w:rsidP="00F45500">
      <w:pPr>
        <w:widowControl/>
        <w:numPr>
          <w:ilvl w:val="0"/>
          <w:numId w:val="10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określenia poprawności dozowania emulsji.</w:t>
      </w:r>
    </w:p>
    <w:p w14:paraId="7DB8888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odcinku próbnym Wykonawca powinien użyć takich materiałów oraz sprzętu jakie będą stosowane do wykonania skropienia warstwy.</w:t>
      </w:r>
    </w:p>
    <w:p w14:paraId="2B598F8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Powierzchnia odcinka próbnego powinna być uzgodniona z Inżynierem.</w:t>
      </w:r>
    </w:p>
    <w:p w14:paraId="25E3558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Odcinek próbny powinien być zlokalizowany w miejscu wskazanym przez Inżyniera.</w:t>
      </w:r>
    </w:p>
    <w:p w14:paraId="1D55EE9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może przystąpić do wykonywania skropienia po zaakceptowaniu wyników prób na odcinku próbnym przez Inżyniera.</w:t>
      </w:r>
    </w:p>
    <w:p w14:paraId="04AE238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5.7. Wykonanie skropienia warstw nawierzchni emulsją asfaltową</w:t>
      </w:r>
    </w:p>
    <w:p w14:paraId="2796506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5.7.1.</w:t>
      </w:r>
      <w:r w:rsidRPr="007B192E">
        <w:rPr>
          <w:rFonts w:ascii="Arial" w:hAnsi="Arial" w:cs="Arial"/>
          <w:color w:val="000000" w:themeColor="text1"/>
          <w:sz w:val="18"/>
          <w:szCs w:val="18"/>
        </w:rPr>
        <w:t xml:space="preserve"> Zastosowanie emulsji asfaltowej </w:t>
      </w:r>
      <w:r w:rsidRPr="007B192E">
        <w:rPr>
          <w:rFonts w:ascii="Arial" w:hAnsi="Arial" w:cs="Arial"/>
          <w:color w:val="000000" w:themeColor="text1"/>
          <w:sz w:val="18"/>
          <w:szCs w:val="18"/>
        </w:rPr>
        <w:tab/>
      </w:r>
    </w:p>
    <w:p w14:paraId="4C9869FF"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Rodzaj zastosowanej emulsji powinien być dostosowany do rodzaju łączonych materiałów zgodnie z tablicą 1, z zastrzeżeniami:.</w:t>
      </w:r>
    </w:p>
    <w:p w14:paraId="0E2733E8" w14:textId="77777777" w:rsidR="00F45500" w:rsidRPr="007B192E"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 xml:space="preserve">Kationowe emulsje asfaltowe modyfikowane polimerami stosuje się zwłaszcza pod cienkie warstwy asfaltowe na gorąco oraz do łączenia </w:t>
      </w:r>
      <w:proofErr w:type="spellStart"/>
      <w:r w:rsidRPr="007B192E">
        <w:rPr>
          <w:rFonts w:ascii="Arial" w:hAnsi="Arial" w:cs="Arial"/>
          <w:color w:val="000000" w:themeColor="text1"/>
          <w:sz w:val="18"/>
          <w:szCs w:val="18"/>
        </w:rPr>
        <w:t>geosyntetyków</w:t>
      </w:r>
      <w:proofErr w:type="spellEnd"/>
      <w:r w:rsidRPr="007B192E">
        <w:rPr>
          <w:rFonts w:ascii="Arial" w:hAnsi="Arial" w:cs="Arial"/>
          <w:color w:val="000000" w:themeColor="text1"/>
          <w:sz w:val="18"/>
          <w:szCs w:val="18"/>
        </w:rPr>
        <w:t xml:space="preserve"> z warstwami asfaltowymi nawierzchni.</w:t>
      </w:r>
    </w:p>
    <w:p w14:paraId="10FEFDB6" w14:textId="77777777" w:rsidR="00F45500" w:rsidRPr="007B192E"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przypadku stosowania emulsji asfaltowej do skropienia podłoża z warstwy niezwiązanej lub warstwy związanej hydraulicznie należy użyć emulsję o indeksie rozpadu od 120 do 180, a do skropienia podłoża zawierającego spoiwo hydrauliczne – emulsję o </w:t>
      </w:r>
      <w:proofErr w:type="spellStart"/>
      <w:r w:rsidRPr="007B192E">
        <w:rPr>
          <w:rFonts w:ascii="Arial" w:hAnsi="Arial" w:cs="Arial"/>
          <w:color w:val="000000" w:themeColor="text1"/>
          <w:sz w:val="18"/>
          <w:szCs w:val="18"/>
        </w:rPr>
        <w:t>pH</w:t>
      </w:r>
      <w:proofErr w:type="spellEnd"/>
      <w:r w:rsidRPr="007B192E">
        <w:rPr>
          <w:rFonts w:ascii="Arial" w:hAnsi="Arial" w:cs="Arial"/>
          <w:color w:val="000000" w:themeColor="text1"/>
          <w:sz w:val="18"/>
          <w:szCs w:val="18"/>
        </w:rPr>
        <w:t xml:space="preserve"> większym niż 4.</w:t>
      </w:r>
    </w:p>
    <w:p w14:paraId="2157EBF6" w14:textId="77777777" w:rsidR="00F45500" w:rsidRPr="007B192E"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Na podbudowie z chudego betonu i podbudowie związanej spoiwem hydraulicznym w przypadku tworzenia membrany poprawiającej połączenie oraz przeciwdziałającej spękaniom odbitym (</w:t>
      </w:r>
      <w:proofErr w:type="spellStart"/>
      <w:r w:rsidRPr="007B192E">
        <w:rPr>
          <w:rFonts w:ascii="Arial" w:hAnsi="Arial" w:cs="Arial"/>
          <w:color w:val="000000" w:themeColor="text1"/>
          <w:sz w:val="18"/>
          <w:szCs w:val="18"/>
        </w:rPr>
        <w:t>przeciwspękaniowej</w:t>
      </w:r>
      <w:proofErr w:type="spellEnd"/>
      <w:r w:rsidRPr="007B192E">
        <w:rPr>
          <w:rFonts w:ascii="Arial" w:hAnsi="Arial" w:cs="Arial"/>
          <w:color w:val="000000" w:themeColor="text1"/>
          <w:sz w:val="18"/>
          <w:szCs w:val="18"/>
        </w:rPr>
        <w:t>) stosuje się powtórne skropienie emulsją z asfaltu modyfikowanego, którą posypuje się kruszywem (grysem) 2/5 mm.</w:t>
      </w:r>
    </w:p>
    <w:p w14:paraId="450402BA" w14:textId="77777777" w:rsidR="00F45500" w:rsidRPr="007B192E" w:rsidRDefault="00F45500" w:rsidP="00F45500">
      <w:pPr>
        <w:widowControl/>
        <w:numPr>
          <w:ilvl w:val="0"/>
          <w:numId w:val="107"/>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Skropienia lepiszczem nie należy stosować na izolacji przeciwwodnej obiektów inżynierskich oraz na podłożu pod asfalt lany. W wypadku podłoża z izolacji przeciwwodnej należy postępować według wskazań producenta lub zapisów w normach.</w:t>
      </w:r>
    </w:p>
    <w:p w14:paraId="45E9628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Jeśli w dokumentacji projektowej  lub ST nie określono rodzaju stosowanej emulsji asfaltowej, to jej rodzaj należy przyjąć według ogólnych ustaleń jak powyżej oraz zaleceń podanych w tablicy 4, po zaakceptowaniu rodzaju emulsji przez Inżyniera.</w:t>
      </w:r>
    </w:p>
    <w:p w14:paraId="257691EB"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4. Zalecane emulsje asfaltowe do połączeń </w:t>
      </w:r>
      <w:proofErr w:type="spellStart"/>
      <w:r w:rsidRPr="007B192E">
        <w:rPr>
          <w:rFonts w:ascii="Arial" w:hAnsi="Arial" w:cs="Arial"/>
          <w:color w:val="000000" w:themeColor="text1"/>
          <w:sz w:val="18"/>
          <w:szCs w:val="18"/>
        </w:rPr>
        <w:t>międzywarstwowych</w:t>
      </w:r>
      <w:proofErr w:type="spellEnd"/>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8"/>
        <w:gridCol w:w="6120"/>
        <w:gridCol w:w="1920"/>
      </w:tblGrid>
      <w:tr w:rsidR="004D7D23" w:rsidRPr="007B192E" w14:paraId="7FBA1B42" w14:textId="77777777" w:rsidTr="008F7A94">
        <w:trPr>
          <w:jc w:val="center"/>
        </w:trPr>
        <w:tc>
          <w:tcPr>
            <w:tcW w:w="828" w:type="dxa"/>
          </w:tcPr>
          <w:p w14:paraId="50C89DEA"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6120" w:type="dxa"/>
          </w:tcPr>
          <w:p w14:paraId="3B5F0707"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Rodzaj połączenia </w:t>
            </w:r>
            <w:proofErr w:type="spellStart"/>
            <w:r w:rsidRPr="007B192E">
              <w:rPr>
                <w:rFonts w:ascii="Arial" w:hAnsi="Arial" w:cs="Arial"/>
                <w:color w:val="000000" w:themeColor="text1"/>
                <w:sz w:val="18"/>
                <w:szCs w:val="18"/>
              </w:rPr>
              <w:t>międzywarstwowego</w:t>
            </w:r>
            <w:proofErr w:type="spellEnd"/>
          </w:p>
        </w:tc>
        <w:tc>
          <w:tcPr>
            <w:tcW w:w="1920" w:type="dxa"/>
          </w:tcPr>
          <w:p w14:paraId="479D7C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Emulsja asfaltowa</w:t>
            </w:r>
          </w:p>
        </w:tc>
      </w:tr>
      <w:tr w:rsidR="004D7D23" w:rsidRPr="007B192E" w14:paraId="43271185" w14:textId="77777777" w:rsidTr="008F7A94">
        <w:trPr>
          <w:jc w:val="center"/>
        </w:trPr>
        <w:tc>
          <w:tcPr>
            <w:tcW w:w="828" w:type="dxa"/>
          </w:tcPr>
          <w:p w14:paraId="21B4BAC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6120" w:type="dxa"/>
          </w:tcPr>
          <w:p w14:paraId="2D6D105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Podbudowa z AC i AC WMS na podbudowie tłuczniowej </w:t>
            </w:r>
          </w:p>
          <w:p w14:paraId="4C17F8F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i na podbudowie z kruszywa niezwiązanego</w:t>
            </w:r>
          </w:p>
        </w:tc>
        <w:tc>
          <w:tcPr>
            <w:tcW w:w="1920" w:type="dxa"/>
          </w:tcPr>
          <w:p w14:paraId="4EB64FFA"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C60B10 ZM/R</w:t>
            </w:r>
          </w:p>
        </w:tc>
      </w:tr>
      <w:tr w:rsidR="004D7D23" w:rsidRPr="007B192E" w14:paraId="1182EDF0" w14:textId="77777777" w:rsidTr="008F7A94">
        <w:trPr>
          <w:jc w:val="center"/>
        </w:trPr>
        <w:tc>
          <w:tcPr>
            <w:tcW w:w="828" w:type="dxa"/>
          </w:tcPr>
          <w:p w14:paraId="4CD804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6120" w:type="dxa"/>
          </w:tcPr>
          <w:p w14:paraId="1623B75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Podbudowa z AC i AC WMS na nawierzchni asfaltowej o chropawej powierzchni</w:t>
            </w:r>
          </w:p>
        </w:tc>
        <w:tc>
          <w:tcPr>
            <w:tcW w:w="1920" w:type="dxa"/>
          </w:tcPr>
          <w:p w14:paraId="733D4B69" w14:textId="77777777" w:rsidR="00F45500" w:rsidRPr="007B192E" w:rsidRDefault="00F45500" w:rsidP="008F7A94">
            <w:pPr>
              <w:spacing w:before="120"/>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vertAlign w:val="superscript"/>
              </w:rPr>
              <w:t>1)</w:t>
            </w:r>
          </w:p>
        </w:tc>
      </w:tr>
      <w:tr w:rsidR="004D7D23" w:rsidRPr="007B192E" w14:paraId="2DD6F22E" w14:textId="77777777" w:rsidTr="008F7A94">
        <w:trPr>
          <w:jc w:val="center"/>
        </w:trPr>
        <w:tc>
          <w:tcPr>
            <w:tcW w:w="828" w:type="dxa"/>
          </w:tcPr>
          <w:p w14:paraId="66EECE27" w14:textId="77777777" w:rsidR="00F45500" w:rsidRPr="007B192E" w:rsidRDefault="00F45500" w:rsidP="008F7A94">
            <w:pPr>
              <w:jc w:val="both"/>
              <w:rPr>
                <w:rFonts w:ascii="Arial" w:hAnsi="Arial" w:cs="Arial"/>
                <w:color w:val="000000" w:themeColor="text1"/>
                <w:sz w:val="18"/>
                <w:szCs w:val="18"/>
              </w:rPr>
            </w:pPr>
          </w:p>
          <w:p w14:paraId="7267905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6120" w:type="dxa"/>
          </w:tcPr>
          <w:p w14:paraId="0A18980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Podbudowa z AC i AC WMS na podbudowie z chudego betonu i podbudowie z gruntu lub kruszywa związanego spoiwem hydraulicznym (do sklejenia warstw)</w:t>
            </w:r>
          </w:p>
        </w:tc>
        <w:tc>
          <w:tcPr>
            <w:tcW w:w="1920" w:type="dxa"/>
          </w:tcPr>
          <w:p w14:paraId="6C8DBA61" w14:textId="77777777" w:rsidR="00F45500" w:rsidRPr="007B192E" w:rsidRDefault="00F45500" w:rsidP="008F7A94">
            <w:pPr>
              <w:jc w:val="both"/>
              <w:rPr>
                <w:rFonts w:ascii="Arial" w:hAnsi="Arial" w:cs="Arial"/>
                <w:color w:val="000000" w:themeColor="text1"/>
                <w:sz w:val="18"/>
                <w:szCs w:val="18"/>
              </w:rPr>
            </w:pPr>
          </w:p>
          <w:p w14:paraId="14341A0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C60B10 ZM/R</w:t>
            </w:r>
            <w:r w:rsidRPr="007B192E">
              <w:rPr>
                <w:rFonts w:ascii="Arial" w:hAnsi="Arial" w:cs="Arial"/>
                <w:color w:val="000000" w:themeColor="text1"/>
                <w:sz w:val="18"/>
                <w:szCs w:val="18"/>
                <w:vertAlign w:val="superscript"/>
              </w:rPr>
              <w:t>2)</w:t>
            </w:r>
          </w:p>
        </w:tc>
      </w:tr>
      <w:tr w:rsidR="004D7D23" w:rsidRPr="007B192E" w14:paraId="56047723" w14:textId="77777777" w:rsidTr="008F7A94">
        <w:trPr>
          <w:jc w:val="center"/>
        </w:trPr>
        <w:tc>
          <w:tcPr>
            <w:tcW w:w="828" w:type="dxa"/>
          </w:tcPr>
          <w:p w14:paraId="2A15A9AD" w14:textId="77777777" w:rsidR="00F45500" w:rsidRPr="007B192E" w:rsidRDefault="00F45500" w:rsidP="008F7A94">
            <w:pPr>
              <w:jc w:val="both"/>
              <w:rPr>
                <w:rFonts w:ascii="Arial" w:hAnsi="Arial" w:cs="Arial"/>
                <w:color w:val="000000" w:themeColor="text1"/>
                <w:sz w:val="18"/>
                <w:szCs w:val="18"/>
              </w:rPr>
            </w:pPr>
          </w:p>
          <w:p w14:paraId="1C1B18F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6120" w:type="dxa"/>
          </w:tcPr>
          <w:p w14:paraId="569930F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Podbudowa z AC i AC WMS na podbudowie z chudego betonu i podbudowie z gruntu lub kruszywa związanego spoiwem hydraulicznym (do stworzenia membrany poprawiającej połączenie i </w:t>
            </w:r>
            <w:proofErr w:type="spellStart"/>
            <w:r w:rsidRPr="007B192E">
              <w:rPr>
                <w:rFonts w:ascii="Arial" w:hAnsi="Arial" w:cs="Arial"/>
                <w:color w:val="000000" w:themeColor="text1"/>
                <w:sz w:val="18"/>
                <w:szCs w:val="18"/>
              </w:rPr>
              <w:t>przeciwspękaniowej</w:t>
            </w:r>
            <w:proofErr w:type="spellEnd"/>
            <w:r w:rsidRPr="007B192E">
              <w:rPr>
                <w:rFonts w:ascii="Arial" w:hAnsi="Arial" w:cs="Arial"/>
                <w:color w:val="000000" w:themeColor="text1"/>
                <w:sz w:val="18"/>
                <w:szCs w:val="18"/>
              </w:rPr>
              <w:t>)</w:t>
            </w:r>
          </w:p>
        </w:tc>
        <w:tc>
          <w:tcPr>
            <w:tcW w:w="1920" w:type="dxa"/>
          </w:tcPr>
          <w:p w14:paraId="4DF76165" w14:textId="77777777" w:rsidR="00F45500" w:rsidRPr="007B192E" w:rsidRDefault="00F45500" w:rsidP="008F7A94">
            <w:pPr>
              <w:jc w:val="both"/>
              <w:rPr>
                <w:rFonts w:ascii="Arial" w:hAnsi="Arial" w:cs="Arial"/>
                <w:color w:val="000000" w:themeColor="text1"/>
                <w:sz w:val="18"/>
                <w:szCs w:val="18"/>
              </w:rPr>
            </w:pPr>
          </w:p>
          <w:p w14:paraId="266043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C60BP3 ZM</w:t>
            </w:r>
            <w:r w:rsidRPr="007B192E">
              <w:rPr>
                <w:rFonts w:ascii="Arial" w:hAnsi="Arial" w:cs="Arial"/>
                <w:color w:val="000000" w:themeColor="text1"/>
                <w:sz w:val="18"/>
                <w:szCs w:val="18"/>
                <w:vertAlign w:val="superscript"/>
              </w:rPr>
              <w:t>3)</w:t>
            </w:r>
          </w:p>
        </w:tc>
      </w:tr>
      <w:tr w:rsidR="004D7D23" w:rsidRPr="007B192E" w14:paraId="3D7554A8" w14:textId="77777777" w:rsidTr="008F7A94">
        <w:trPr>
          <w:jc w:val="center"/>
        </w:trPr>
        <w:tc>
          <w:tcPr>
            <w:tcW w:w="828" w:type="dxa"/>
          </w:tcPr>
          <w:p w14:paraId="045B505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6120" w:type="dxa"/>
          </w:tcPr>
          <w:p w14:paraId="3E25A5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Warstwa wiążąca z AC i AC WMS na podbudowie asfaltowej</w:t>
            </w:r>
          </w:p>
        </w:tc>
        <w:tc>
          <w:tcPr>
            <w:tcW w:w="1920" w:type="dxa"/>
          </w:tcPr>
          <w:p w14:paraId="455734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C60B3 ZM</w:t>
            </w:r>
            <w:r w:rsidRPr="007B192E">
              <w:rPr>
                <w:rFonts w:ascii="Arial" w:hAnsi="Arial" w:cs="Arial"/>
                <w:color w:val="000000" w:themeColor="text1"/>
                <w:sz w:val="18"/>
                <w:szCs w:val="18"/>
                <w:vertAlign w:val="superscript"/>
              </w:rPr>
              <w:t>4)</w:t>
            </w:r>
          </w:p>
        </w:tc>
      </w:tr>
      <w:tr w:rsidR="004D7D23" w:rsidRPr="007B192E" w14:paraId="4D94CE5C" w14:textId="77777777" w:rsidTr="008F7A94">
        <w:trPr>
          <w:jc w:val="center"/>
        </w:trPr>
        <w:tc>
          <w:tcPr>
            <w:tcW w:w="828" w:type="dxa"/>
          </w:tcPr>
          <w:p w14:paraId="593D7AC2"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6120" w:type="dxa"/>
          </w:tcPr>
          <w:p w14:paraId="269B5A7E"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Warstwa wiążąca z PA na podbudowie asfaltowej</w:t>
            </w:r>
          </w:p>
        </w:tc>
        <w:tc>
          <w:tcPr>
            <w:tcW w:w="1920" w:type="dxa"/>
          </w:tcPr>
          <w:p w14:paraId="30EB4A79"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C60BP3 ZM</w:t>
            </w:r>
          </w:p>
        </w:tc>
      </w:tr>
      <w:tr w:rsidR="004D7D23" w:rsidRPr="007B192E" w14:paraId="462D283B" w14:textId="77777777" w:rsidTr="008F7A94">
        <w:trPr>
          <w:jc w:val="center"/>
        </w:trPr>
        <w:tc>
          <w:tcPr>
            <w:tcW w:w="828" w:type="dxa"/>
          </w:tcPr>
          <w:p w14:paraId="60BD876C"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6120" w:type="dxa"/>
          </w:tcPr>
          <w:p w14:paraId="62011891"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Warstwa ścieralna z AC na warstwie wiążącej asfaltowej</w:t>
            </w:r>
          </w:p>
        </w:tc>
        <w:tc>
          <w:tcPr>
            <w:tcW w:w="1920" w:type="dxa"/>
          </w:tcPr>
          <w:p w14:paraId="5F1866D0"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C60B3 ZM</w:t>
            </w:r>
            <w:r w:rsidRPr="007B192E">
              <w:rPr>
                <w:rFonts w:ascii="Arial" w:hAnsi="Arial" w:cs="Arial"/>
                <w:color w:val="000000" w:themeColor="text1"/>
                <w:sz w:val="18"/>
                <w:szCs w:val="18"/>
                <w:vertAlign w:val="superscript"/>
              </w:rPr>
              <w:t>4)</w:t>
            </w:r>
          </w:p>
        </w:tc>
      </w:tr>
      <w:tr w:rsidR="004D7D23" w:rsidRPr="007B192E" w14:paraId="08F97786" w14:textId="77777777" w:rsidTr="008F7A94">
        <w:trPr>
          <w:jc w:val="center"/>
        </w:trPr>
        <w:tc>
          <w:tcPr>
            <w:tcW w:w="828" w:type="dxa"/>
          </w:tcPr>
          <w:p w14:paraId="4D6D442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6120" w:type="dxa"/>
          </w:tcPr>
          <w:p w14:paraId="73DBD1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Warstwa ścieralna z SMA, BBTM i PA na warstwie wiążącej asfaltowej</w:t>
            </w:r>
          </w:p>
        </w:tc>
        <w:tc>
          <w:tcPr>
            <w:tcW w:w="1920" w:type="dxa"/>
          </w:tcPr>
          <w:p w14:paraId="52FB2CFB"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C60BP3 ZM</w:t>
            </w:r>
          </w:p>
        </w:tc>
      </w:tr>
      <w:tr w:rsidR="004D7D23" w:rsidRPr="007B192E" w14:paraId="08CF87F3" w14:textId="77777777" w:rsidTr="008F7A94">
        <w:trPr>
          <w:jc w:val="center"/>
        </w:trPr>
        <w:tc>
          <w:tcPr>
            <w:tcW w:w="8868" w:type="dxa"/>
            <w:gridSpan w:val="3"/>
          </w:tcPr>
          <w:p w14:paraId="656AF717" w14:textId="77777777" w:rsidR="00F45500" w:rsidRPr="007B192E" w:rsidRDefault="00F45500" w:rsidP="008F7A94">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xml:space="preserve"> Rodzaj emulsji należy przyjąć w zależności od stanu nawierzchni, np. przy dużym braku lepiszcza startego </w:t>
            </w:r>
            <w:r w:rsidRPr="007B192E">
              <w:rPr>
                <w:rFonts w:ascii="Arial" w:hAnsi="Arial" w:cs="Arial"/>
                <w:color w:val="000000" w:themeColor="text1"/>
                <w:sz w:val="18"/>
                <w:szCs w:val="18"/>
              </w:rPr>
              <w:lastRenderedPageBreak/>
              <w:t xml:space="preserve">przez koła pojazdów i znacznym stopniu porowatości nawierzchni – C60B10 ZM/R, przy dość dużej szczelności nawierzchni – C60B3 ZM, w celu zapewnienia większej wytrzymałości połączeniu </w:t>
            </w:r>
            <w:proofErr w:type="spellStart"/>
            <w:r w:rsidRPr="007B192E">
              <w:rPr>
                <w:rFonts w:ascii="Arial" w:hAnsi="Arial" w:cs="Arial"/>
                <w:color w:val="000000" w:themeColor="text1"/>
                <w:sz w:val="18"/>
                <w:szCs w:val="18"/>
              </w:rPr>
              <w:t>międzywarstwowemu</w:t>
            </w:r>
            <w:proofErr w:type="spellEnd"/>
            <w:r w:rsidRPr="007B192E">
              <w:rPr>
                <w:rFonts w:ascii="Arial" w:hAnsi="Arial" w:cs="Arial"/>
                <w:color w:val="000000" w:themeColor="text1"/>
                <w:sz w:val="18"/>
                <w:szCs w:val="18"/>
              </w:rPr>
              <w:t xml:space="preserve"> – C60BP3 ZM</w:t>
            </w:r>
          </w:p>
          <w:p w14:paraId="53961C06" w14:textId="77777777" w:rsidR="00F45500" w:rsidRPr="007B192E" w:rsidRDefault="00F45500" w:rsidP="008F7A94">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Zalecana emulsja o </w:t>
            </w:r>
            <w:proofErr w:type="spellStart"/>
            <w:r w:rsidRPr="007B192E">
              <w:rPr>
                <w:rFonts w:ascii="Arial" w:hAnsi="Arial" w:cs="Arial"/>
                <w:color w:val="000000" w:themeColor="text1"/>
                <w:sz w:val="18"/>
                <w:szCs w:val="18"/>
              </w:rPr>
              <w:t>pH</w:t>
            </w:r>
            <w:proofErr w:type="spellEnd"/>
            <w:r w:rsidRPr="007B192E">
              <w:rPr>
                <w:rFonts w:ascii="Arial" w:hAnsi="Arial" w:cs="Arial"/>
                <w:color w:val="000000" w:themeColor="text1"/>
                <w:sz w:val="18"/>
                <w:szCs w:val="18"/>
              </w:rPr>
              <w:t xml:space="preserve"> &gt; 4</w:t>
            </w:r>
          </w:p>
          <w:p w14:paraId="40BDF6E2" w14:textId="77777777" w:rsidR="00F45500" w:rsidRPr="007B192E" w:rsidRDefault="00F45500" w:rsidP="008F7A94">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xml:space="preserve">   Emulsja posypana grysem 2/5 mm</w:t>
            </w:r>
          </w:p>
          <w:p w14:paraId="52B51ABC" w14:textId="77777777" w:rsidR="00F45500" w:rsidRPr="007B192E" w:rsidRDefault="00F45500" w:rsidP="008F7A94">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4)</w:t>
            </w:r>
            <w:r w:rsidRPr="007B192E">
              <w:rPr>
                <w:rFonts w:ascii="Arial" w:hAnsi="Arial" w:cs="Arial"/>
                <w:color w:val="000000" w:themeColor="text1"/>
                <w:sz w:val="18"/>
                <w:szCs w:val="18"/>
              </w:rPr>
              <w:t xml:space="preserve"> Można rozważyć stosowanie emulsji C60BP3 ZM w celu uzyskania większej wytrzymałości na ścinanie w połączeniu </w:t>
            </w:r>
            <w:proofErr w:type="spellStart"/>
            <w:r w:rsidRPr="007B192E">
              <w:rPr>
                <w:rFonts w:ascii="Arial" w:hAnsi="Arial" w:cs="Arial"/>
                <w:color w:val="000000" w:themeColor="text1"/>
                <w:sz w:val="18"/>
                <w:szCs w:val="18"/>
              </w:rPr>
              <w:t>międzywarstwowym</w:t>
            </w:r>
            <w:proofErr w:type="spellEnd"/>
          </w:p>
        </w:tc>
      </w:tr>
    </w:tbl>
    <w:p w14:paraId="1C9F2D1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r>
    </w:p>
    <w:p w14:paraId="2191FE49"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5.7.2.</w:t>
      </w:r>
      <w:r w:rsidRPr="007B192E">
        <w:rPr>
          <w:rFonts w:ascii="Arial" w:hAnsi="Arial" w:cs="Arial"/>
          <w:color w:val="000000" w:themeColor="text1"/>
          <w:sz w:val="18"/>
          <w:szCs w:val="18"/>
        </w:rPr>
        <w:t xml:space="preserve"> Określenie ilości skropienia emulsją</w:t>
      </w:r>
    </w:p>
    <w:p w14:paraId="78D50710" w14:textId="77777777" w:rsidR="00F45500" w:rsidRPr="007B192E" w:rsidRDefault="00F45500" w:rsidP="00F45500">
      <w:pPr>
        <w:keepNext/>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5.7.2.1. Skropienie warstwy z mieszanki mineralno-asfaltowej</w:t>
      </w:r>
    </w:p>
    <w:p w14:paraId="1F7CFB2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Skropienie lepiszczem powinno być wykonane w ilości podanej w tablicy 5.</w:t>
      </w:r>
    </w:p>
    <w:p w14:paraId="18BB06D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Kontrolę  ilości skropienia emulsją należy wykonać według PN-EN 12272-1 [10].</w:t>
      </w:r>
    </w:p>
    <w:p w14:paraId="5A0153FE" w14:textId="77777777" w:rsidR="00F45500" w:rsidRPr="007B192E" w:rsidRDefault="00F45500" w:rsidP="00F45500">
      <w:pPr>
        <w:spacing w:before="120" w:after="120"/>
        <w:ind w:left="1077" w:hanging="1077"/>
        <w:jc w:val="both"/>
        <w:rPr>
          <w:rFonts w:ascii="Arial" w:hAnsi="Arial" w:cs="Arial"/>
          <w:color w:val="000000" w:themeColor="text1"/>
          <w:sz w:val="18"/>
          <w:szCs w:val="18"/>
        </w:rPr>
      </w:pPr>
      <w:r w:rsidRPr="007B192E">
        <w:rPr>
          <w:rFonts w:ascii="Arial" w:hAnsi="Arial" w:cs="Arial"/>
          <w:color w:val="000000" w:themeColor="text1"/>
          <w:sz w:val="18"/>
          <w:szCs w:val="18"/>
        </w:rPr>
        <w:t>Tablica 5. Zalecane ilości pozostałego lepiszcza (po odparowaniu wody) do skropienia emulsją asfaltową podłoża z mieszanki mineralno-asfaltowej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(uwaga- przyjęto dla emulsji kationowej o zawartości asfaltu 60%, wg Załącznika krajowego NA [22] do normy PN-EN 13808 [21], rodzaje C60B3 ZM, C60BP3ZM)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D7D23" w:rsidRPr="007B192E" w14:paraId="54ECFCD1" w14:textId="77777777" w:rsidTr="008F7A94">
        <w:trPr>
          <w:jc w:val="center"/>
        </w:trPr>
        <w:tc>
          <w:tcPr>
            <w:tcW w:w="3570" w:type="dxa"/>
            <w:gridSpan w:val="2"/>
            <w:vAlign w:val="center"/>
          </w:tcPr>
          <w:p w14:paraId="00002FD6"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Podłoże pod układaną warstwę asfaltową</w:t>
            </w:r>
          </w:p>
        </w:tc>
        <w:tc>
          <w:tcPr>
            <w:tcW w:w="5357" w:type="dxa"/>
            <w:gridSpan w:val="3"/>
            <w:vAlign w:val="center"/>
          </w:tcPr>
          <w:p w14:paraId="2237E22F"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Układana warstwa</w:t>
            </w:r>
          </w:p>
        </w:tc>
      </w:tr>
      <w:tr w:rsidR="004D7D23" w:rsidRPr="007B192E" w14:paraId="00E31F90" w14:textId="77777777" w:rsidTr="008F7A94">
        <w:trPr>
          <w:jc w:val="center"/>
        </w:trPr>
        <w:tc>
          <w:tcPr>
            <w:tcW w:w="1785" w:type="dxa"/>
            <w:vAlign w:val="center"/>
          </w:tcPr>
          <w:p w14:paraId="22ABBA17"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Rodzaj</w:t>
            </w:r>
          </w:p>
        </w:tc>
        <w:tc>
          <w:tcPr>
            <w:tcW w:w="1785" w:type="dxa"/>
            <w:vAlign w:val="center"/>
          </w:tcPr>
          <w:p w14:paraId="310EC7DE"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cecha</w:t>
            </w:r>
          </w:p>
        </w:tc>
        <w:tc>
          <w:tcPr>
            <w:tcW w:w="1785" w:type="dxa"/>
            <w:vAlign w:val="center"/>
          </w:tcPr>
          <w:p w14:paraId="1F165C61"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Podbudowa asfaltowa</w:t>
            </w:r>
          </w:p>
        </w:tc>
        <w:tc>
          <w:tcPr>
            <w:tcW w:w="1786" w:type="dxa"/>
            <w:vAlign w:val="center"/>
          </w:tcPr>
          <w:p w14:paraId="37E2A8B7"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wiążąca</w:t>
            </w:r>
          </w:p>
        </w:tc>
        <w:tc>
          <w:tcPr>
            <w:tcW w:w="1786" w:type="dxa"/>
            <w:vAlign w:val="center"/>
          </w:tcPr>
          <w:p w14:paraId="0D6F4628"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Ścieralna z SMA lub z AC</w:t>
            </w:r>
          </w:p>
        </w:tc>
      </w:tr>
      <w:tr w:rsidR="004D7D23" w:rsidRPr="007B192E" w14:paraId="0CA1AD1B" w14:textId="77777777" w:rsidTr="008F7A94">
        <w:trPr>
          <w:jc w:val="center"/>
        </w:trPr>
        <w:tc>
          <w:tcPr>
            <w:tcW w:w="8927" w:type="dxa"/>
            <w:gridSpan w:val="5"/>
          </w:tcPr>
          <w:p w14:paraId="243E7F2D"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Dla dróg kategorii ruchu od KR3 do KR7 – rodzaj emulsji C60BP3 ZM*</w:t>
            </w:r>
          </w:p>
        </w:tc>
      </w:tr>
      <w:tr w:rsidR="004D7D23" w:rsidRPr="007B192E" w14:paraId="1E961C17" w14:textId="77777777" w:rsidTr="008F7A94">
        <w:trPr>
          <w:jc w:val="center"/>
        </w:trPr>
        <w:tc>
          <w:tcPr>
            <w:tcW w:w="1785" w:type="dxa"/>
            <w:vMerge w:val="restart"/>
          </w:tcPr>
          <w:p w14:paraId="317A95E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podbudowy asfaltowej</w:t>
            </w:r>
          </w:p>
        </w:tc>
        <w:tc>
          <w:tcPr>
            <w:tcW w:w="1785" w:type="dxa"/>
          </w:tcPr>
          <w:p w14:paraId="46D66E4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Nowo wykonana</w:t>
            </w:r>
          </w:p>
        </w:tc>
        <w:tc>
          <w:tcPr>
            <w:tcW w:w="1785" w:type="dxa"/>
          </w:tcPr>
          <w:p w14:paraId="2B50FBA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0,2÷0,4</w:t>
            </w:r>
          </w:p>
        </w:tc>
        <w:tc>
          <w:tcPr>
            <w:tcW w:w="1786" w:type="dxa"/>
          </w:tcPr>
          <w:p w14:paraId="5CD25E9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0D84113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X</w:t>
            </w:r>
          </w:p>
        </w:tc>
      </w:tr>
      <w:tr w:rsidR="004D7D23" w:rsidRPr="007B192E" w14:paraId="5BE47CEA" w14:textId="77777777" w:rsidTr="008F7A94">
        <w:trPr>
          <w:jc w:val="center"/>
        </w:trPr>
        <w:tc>
          <w:tcPr>
            <w:tcW w:w="1785" w:type="dxa"/>
            <w:vMerge/>
          </w:tcPr>
          <w:p w14:paraId="7FC06A67" w14:textId="77777777" w:rsidR="00F45500" w:rsidRPr="007B192E" w:rsidRDefault="00F45500" w:rsidP="008F7A94">
            <w:pPr>
              <w:jc w:val="center"/>
              <w:rPr>
                <w:rFonts w:ascii="Arial" w:hAnsi="Arial" w:cs="Arial"/>
                <w:color w:val="000000" w:themeColor="text1"/>
                <w:sz w:val="18"/>
                <w:szCs w:val="18"/>
              </w:rPr>
            </w:pPr>
          </w:p>
        </w:tc>
        <w:tc>
          <w:tcPr>
            <w:tcW w:w="1785" w:type="dxa"/>
          </w:tcPr>
          <w:p w14:paraId="13BEFFA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Frezowana</w:t>
            </w:r>
          </w:p>
        </w:tc>
        <w:tc>
          <w:tcPr>
            <w:tcW w:w="1785" w:type="dxa"/>
          </w:tcPr>
          <w:p w14:paraId="2161BA6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3D38BF0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4504956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X</w:t>
            </w:r>
          </w:p>
        </w:tc>
      </w:tr>
      <w:tr w:rsidR="004D7D23" w:rsidRPr="007B192E" w14:paraId="2D3938EA" w14:textId="77777777" w:rsidTr="008F7A94">
        <w:trPr>
          <w:jc w:val="center"/>
        </w:trPr>
        <w:tc>
          <w:tcPr>
            <w:tcW w:w="1785" w:type="dxa"/>
            <w:vMerge/>
          </w:tcPr>
          <w:p w14:paraId="6798F772" w14:textId="77777777" w:rsidR="00F45500" w:rsidRPr="007B192E" w:rsidRDefault="00F45500" w:rsidP="008F7A94">
            <w:pPr>
              <w:jc w:val="center"/>
              <w:rPr>
                <w:rFonts w:ascii="Arial" w:hAnsi="Arial" w:cs="Arial"/>
                <w:color w:val="000000" w:themeColor="text1"/>
                <w:sz w:val="18"/>
                <w:szCs w:val="18"/>
              </w:rPr>
            </w:pPr>
          </w:p>
        </w:tc>
        <w:tc>
          <w:tcPr>
            <w:tcW w:w="1785" w:type="dxa"/>
          </w:tcPr>
          <w:p w14:paraId="7259B37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Porowata lub w złym stanie</w:t>
            </w:r>
          </w:p>
        </w:tc>
        <w:tc>
          <w:tcPr>
            <w:tcW w:w="1785" w:type="dxa"/>
          </w:tcPr>
          <w:p w14:paraId="7646E16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0,3÷0,6</w:t>
            </w:r>
          </w:p>
        </w:tc>
        <w:tc>
          <w:tcPr>
            <w:tcW w:w="1786" w:type="dxa"/>
          </w:tcPr>
          <w:p w14:paraId="1841178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0,3÷0,7</w:t>
            </w:r>
          </w:p>
        </w:tc>
        <w:tc>
          <w:tcPr>
            <w:tcW w:w="1786" w:type="dxa"/>
          </w:tcPr>
          <w:p w14:paraId="1430BFC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X</w:t>
            </w:r>
          </w:p>
        </w:tc>
      </w:tr>
      <w:tr w:rsidR="004D7D23" w:rsidRPr="007B192E" w14:paraId="26B628FA" w14:textId="77777777" w:rsidTr="008F7A94">
        <w:trPr>
          <w:jc w:val="center"/>
        </w:trPr>
        <w:tc>
          <w:tcPr>
            <w:tcW w:w="1785" w:type="dxa"/>
            <w:vMerge w:val="restart"/>
          </w:tcPr>
          <w:p w14:paraId="07492EC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wiążąca</w:t>
            </w:r>
          </w:p>
        </w:tc>
        <w:tc>
          <w:tcPr>
            <w:tcW w:w="1785" w:type="dxa"/>
          </w:tcPr>
          <w:p w14:paraId="1D93F32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Nowo wykonana</w:t>
            </w:r>
          </w:p>
        </w:tc>
        <w:tc>
          <w:tcPr>
            <w:tcW w:w="1785" w:type="dxa"/>
          </w:tcPr>
          <w:p w14:paraId="4FE4638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786" w:type="dxa"/>
          </w:tcPr>
          <w:p w14:paraId="07CC1B8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X</w:t>
            </w:r>
          </w:p>
        </w:tc>
        <w:tc>
          <w:tcPr>
            <w:tcW w:w="1786" w:type="dxa"/>
          </w:tcPr>
          <w:p w14:paraId="3C47B9F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0,2÷0,4</w:t>
            </w:r>
          </w:p>
        </w:tc>
      </w:tr>
      <w:tr w:rsidR="004D7D23" w:rsidRPr="007B192E" w14:paraId="21C7E6B0" w14:textId="77777777" w:rsidTr="008F7A94">
        <w:trPr>
          <w:jc w:val="center"/>
        </w:trPr>
        <w:tc>
          <w:tcPr>
            <w:tcW w:w="1785" w:type="dxa"/>
            <w:vMerge/>
          </w:tcPr>
          <w:p w14:paraId="354EB60B" w14:textId="77777777" w:rsidR="00F45500" w:rsidRPr="007B192E" w:rsidRDefault="00F45500" w:rsidP="008F7A94">
            <w:pPr>
              <w:jc w:val="center"/>
              <w:rPr>
                <w:rFonts w:ascii="Arial" w:hAnsi="Arial" w:cs="Arial"/>
                <w:color w:val="000000" w:themeColor="text1"/>
                <w:sz w:val="18"/>
                <w:szCs w:val="18"/>
              </w:rPr>
            </w:pPr>
          </w:p>
        </w:tc>
        <w:tc>
          <w:tcPr>
            <w:tcW w:w="1785" w:type="dxa"/>
          </w:tcPr>
          <w:p w14:paraId="27AA98D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frezowana</w:t>
            </w:r>
          </w:p>
        </w:tc>
        <w:tc>
          <w:tcPr>
            <w:tcW w:w="1785" w:type="dxa"/>
          </w:tcPr>
          <w:p w14:paraId="56B5551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786" w:type="dxa"/>
          </w:tcPr>
          <w:p w14:paraId="058DC13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2A3A833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r w:rsidR="004D7D23" w:rsidRPr="007B192E" w14:paraId="72564816" w14:textId="77777777" w:rsidTr="008F7A94">
        <w:trPr>
          <w:jc w:val="center"/>
        </w:trPr>
        <w:tc>
          <w:tcPr>
            <w:tcW w:w="1785" w:type="dxa"/>
            <w:vMerge/>
          </w:tcPr>
          <w:p w14:paraId="0CE9B965" w14:textId="77777777" w:rsidR="00F45500" w:rsidRPr="007B192E" w:rsidRDefault="00F45500" w:rsidP="008F7A94">
            <w:pPr>
              <w:jc w:val="center"/>
              <w:rPr>
                <w:rFonts w:ascii="Arial" w:hAnsi="Arial" w:cs="Arial"/>
                <w:color w:val="000000" w:themeColor="text1"/>
                <w:sz w:val="18"/>
                <w:szCs w:val="18"/>
              </w:rPr>
            </w:pPr>
          </w:p>
        </w:tc>
        <w:tc>
          <w:tcPr>
            <w:tcW w:w="1785" w:type="dxa"/>
          </w:tcPr>
          <w:p w14:paraId="7D7A07C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Porowata lub w złym stanie</w:t>
            </w:r>
          </w:p>
        </w:tc>
        <w:tc>
          <w:tcPr>
            <w:tcW w:w="1785" w:type="dxa"/>
          </w:tcPr>
          <w:p w14:paraId="4D89E81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786" w:type="dxa"/>
          </w:tcPr>
          <w:p w14:paraId="3E9A73A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0,3÷0,7</w:t>
            </w:r>
          </w:p>
        </w:tc>
        <w:tc>
          <w:tcPr>
            <w:tcW w:w="1786" w:type="dxa"/>
          </w:tcPr>
          <w:p w14:paraId="4652D23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r w:rsidR="004D7D23" w:rsidRPr="007B192E" w14:paraId="4FB7F002" w14:textId="77777777" w:rsidTr="008F7A94">
        <w:trPr>
          <w:jc w:val="center"/>
        </w:trPr>
        <w:tc>
          <w:tcPr>
            <w:tcW w:w="1785" w:type="dxa"/>
            <w:vMerge w:val="restart"/>
          </w:tcPr>
          <w:p w14:paraId="73186D3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Stara nawierzchnia asfaltowa</w:t>
            </w:r>
          </w:p>
        </w:tc>
        <w:tc>
          <w:tcPr>
            <w:tcW w:w="1785" w:type="dxa"/>
          </w:tcPr>
          <w:p w14:paraId="0B23200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frezowana</w:t>
            </w:r>
          </w:p>
        </w:tc>
        <w:tc>
          <w:tcPr>
            <w:tcW w:w="1785" w:type="dxa"/>
          </w:tcPr>
          <w:p w14:paraId="5D8FFA1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777B215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49BC167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r w:rsidR="00F45500" w:rsidRPr="007B192E" w14:paraId="52FDA8B6" w14:textId="77777777" w:rsidTr="008F7A94">
        <w:trPr>
          <w:jc w:val="center"/>
        </w:trPr>
        <w:tc>
          <w:tcPr>
            <w:tcW w:w="1785" w:type="dxa"/>
            <w:vMerge/>
          </w:tcPr>
          <w:p w14:paraId="5E7F6FD1" w14:textId="77777777" w:rsidR="00F45500" w:rsidRPr="007B192E" w:rsidRDefault="00F45500" w:rsidP="008F7A94">
            <w:pPr>
              <w:jc w:val="center"/>
              <w:rPr>
                <w:rFonts w:ascii="Arial" w:hAnsi="Arial" w:cs="Arial"/>
                <w:color w:val="000000" w:themeColor="text1"/>
                <w:sz w:val="18"/>
                <w:szCs w:val="18"/>
              </w:rPr>
            </w:pPr>
          </w:p>
        </w:tc>
        <w:tc>
          <w:tcPr>
            <w:tcW w:w="1785" w:type="dxa"/>
          </w:tcPr>
          <w:p w14:paraId="59F17EC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Porowata lub w złym stanie</w:t>
            </w:r>
          </w:p>
        </w:tc>
        <w:tc>
          <w:tcPr>
            <w:tcW w:w="1785" w:type="dxa"/>
          </w:tcPr>
          <w:p w14:paraId="2098F6E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0,3÷0,6</w:t>
            </w:r>
          </w:p>
        </w:tc>
        <w:tc>
          <w:tcPr>
            <w:tcW w:w="1786" w:type="dxa"/>
          </w:tcPr>
          <w:p w14:paraId="2743C8C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0,3÷0,7</w:t>
            </w:r>
          </w:p>
        </w:tc>
        <w:tc>
          <w:tcPr>
            <w:tcW w:w="1786" w:type="dxa"/>
          </w:tcPr>
          <w:p w14:paraId="6E79D56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bl>
    <w:p w14:paraId="683E4088" w14:textId="77777777" w:rsidR="00F45500" w:rsidRPr="007B192E" w:rsidRDefault="00F45500" w:rsidP="00F45500">
      <w:pPr>
        <w:jc w:val="both"/>
        <w:rPr>
          <w:rFonts w:ascii="Arial" w:hAnsi="Arial" w:cs="Arial"/>
          <w:color w:val="000000" w:themeColor="text1"/>
          <w:sz w:val="18"/>
          <w:szCs w:val="18"/>
        </w:rPr>
      </w:pPr>
    </w:p>
    <w:p w14:paraId="373E8942" w14:textId="77777777" w:rsidR="00F45500" w:rsidRPr="007B192E" w:rsidRDefault="00F45500" w:rsidP="00F45500">
      <w:pPr>
        <w:jc w:val="both"/>
        <w:rPr>
          <w:rFonts w:ascii="Arial" w:hAnsi="Arial" w:cs="Arial"/>
          <w:color w:val="000000" w:themeColor="text1"/>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D7D23" w:rsidRPr="007B192E" w14:paraId="13512DE5" w14:textId="77777777" w:rsidTr="008F7A94">
        <w:trPr>
          <w:jc w:val="center"/>
        </w:trPr>
        <w:tc>
          <w:tcPr>
            <w:tcW w:w="8927" w:type="dxa"/>
            <w:gridSpan w:val="5"/>
          </w:tcPr>
          <w:p w14:paraId="7524795F"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Dla dróg kategorii ruchu od KR1 do KR2 – rodzaj emulsji C60B3ZM</w:t>
            </w:r>
          </w:p>
        </w:tc>
      </w:tr>
      <w:tr w:rsidR="004D7D23" w:rsidRPr="007B192E" w14:paraId="2A164B51" w14:textId="77777777" w:rsidTr="008F7A94">
        <w:trPr>
          <w:jc w:val="center"/>
        </w:trPr>
        <w:tc>
          <w:tcPr>
            <w:tcW w:w="1785" w:type="dxa"/>
            <w:vMerge w:val="restart"/>
          </w:tcPr>
          <w:p w14:paraId="2C5A71C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podbudowy asfaltowej lub stara nawierzchnia asfaltowa</w:t>
            </w:r>
          </w:p>
        </w:tc>
        <w:tc>
          <w:tcPr>
            <w:tcW w:w="1785" w:type="dxa"/>
          </w:tcPr>
          <w:p w14:paraId="24CA982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Nowo wykonana podbudowa lub stara nawierzchnia szczelna</w:t>
            </w:r>
          </w:p>
        </w:tc>
        <w:tc>
          <w:tcPr>
            <w:tcW w:w="1785" w:type="dxa"/>
          </w:tcPr>
          <w:p w14:paraId="0B3B31D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0,2÷0,4</w:t>
            </w:r>
          </w:p>
        </w:tc>
        <w:tc>
          <w:tcPr>
            <w:tcW w:w="1786" w:type="dxa"/>
          </w:tcPr>
          <w:p w14:paraId="78F39E4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350C0B3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0,2÷0,4</w:t>
            </w:r>
          </w:p>
        </w:tc>
      </w:tr>
      <w:tr w:rsidR="004D7D23" w:rsidRPr="007B192E" w14:paraId="6D923F3F" w14:textId="77777777" w:rsidTr="008F7A94">
        <w:trPr>
          <w:jc w:val="center"/>
        </w:trPr>
        <w:tc>
          <w:tcPr>
            <w:tcW w:w="1785" w:type="dxa"/>
            <w:vMerge/>
          </w:tcPr>
          <w:p w14:paraId="34542736" w14:textId="77777777" w:rsidR="00F45500" w:rsidRPr="007B192E" w:rsidRDefault="00F45500" w:rsidP="008F7A94">
            <w:pPr>
              <w:jc w:val="center"/>
              <w:rPr>
                <w:rFonts w:ascii="Arial" w:hAnsi="Arial" w:cs="Arial"/>
                <w:color w:val="000000" w:themeColor="text1"/>
                <w:sz w:val="18"/>
                <w:szCs w:val="18"/>
              </w:rPr>
            </w:pPr>
          </w:p>
        </w:tc>
        <w:tc>
          <w:tcPr>
            <w:tcW w:w="1785" w:type="dxa"/>
          </w:tcPr>
          <w:p w14:paraId="1B7112B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Frezowana</w:t>
            </w:r>
          </w:p>
        </w:tc>
        <w:tc>
          <w:tcPr>
            <w:tcW w:w="1785" w:type="dxa"/>
          </w:tcPr>
          <w:p w14:paraId="5BE7D6F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682F7FF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014C778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r w:rsidR="004D7D23" w:rsidRPr="007B192E" w14:paraId="193161DB" w14:textId="77777777" w:rsidTr="008F7A94">
        <w:trPr>
          <w:jc w:val="center"/>
        </w:trPr>
        <w:tc>
          <w:tcPr>
            <w:tcW w:w="1785" w:type="dxa"/>
            <w:vMerge/>
          </w:tcPr>
          <w:p w14:paraId="1E913F7D" w14:textId="77777777" w:rsidR="00F45500" w:rsidRPr="007B192E" w:rsidRDefault="00F45500" w:rsidP="008F7A94">
            <w:pPr>
              <w:jc w:val="center"/>
              <w:rPr>
                <w:rFonts w:ascii="Arial" w:hAnsi="Arial" w:cs="Arial"/>
                <w:color w:val="000000" w:themeColor="text1"/>
                <w:sz w:val="18"/>
                <w:szCs w:val="18"/>
              </w:rPr>
            </w:pPr>
          </w:p>
        </w:tc>
        <w:tc>
          <w:tcPr>
            <w:tcW w:w="1785" w:type="dxa"/>
          </w:tcPr>
          <w:p w14:paraId="453D572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Porowata lub w złym stanie</w:t>
            </w:r>
          </w:p>
        </w:tc>
        <w:tc>
          <w:tcPr>
            <w:tcW w:w="1785" w:type="dxa"/>
          </w:tcPr>
          <w:p w14:paraId="5D447A1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0,3÷0,6</w:t>
            </w:r>
          </w:p>
        </w:tc>
        <w:tc>
          <w:tcPr>
            <w:tcW w:w="1786" w:type="dxa"/>
          </w:tcPr>
          <w:p w14:paraId="270C637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0,3÷0,7</w:t>
            </w:r>
          </w:p>
        </w:tc>
        <w:tc>
          <w:tcPr>
            <w:tcW w:w="1786" w:type="dxa"/>
          </w:tcPr>
          <w:p w14:paraId="21501B3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r w:rsidR="004D7D23" w:rsidRPr="007B192E" w14:paraId="1356B060" w14:textId="77777777" w:rsidTr="008F7A94">
        <w:trPr>
          <w:jc w:val="center"/>
        </w:trPr>
        <w:tc>
          <w:tcPr>
            <w:tcW w:w="1785" w:type="dxa"/>
            <w:vMerge w:val="restart"/>
          </w:tcPr>
          <w:p w14:paraId="1683C39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wiążąca</w:t>
            </w:r>
          </w:p>
        </w:tc>
        <w:tc>
          <w:tcPr>
            <w:tcW w:w="1785" w:type="dxa"/>
          </w:tcPr>
          <w:p w14:paraId="57F4023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Nowo wykonana</w:t>
            </w:r>
          </w:p>
        </w:tc>
        <w:tc>
          <w:tcPr>
            <w:tcW w:w="1785" w:type="dxa"/>
          </w:tcPr>
          <w:p w14:paraId="47063AA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786" w:type="dxa"/>
          </w:tcPr>
          <w:p w14:paraId="5504A20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X</w:t>
            </w:r>
          </w:p>
        </w:tc>
        <w:tc>
          <w:tcPr>
            <w:tcW w:w="1786" w:type="dxa"/>
          </w:tcPr>
          <w:p w14:paraId="2DC901C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0,2÷0,4</w:t>
            </w:r>
          </w:p>
        </w:tc>
      </w:tr>
      <w:tr w:rsidR="004D7D23" w:rsidRPr="007B192E" w14:paraId="5BCD9F68" w14:textId="77777777" w:rsidTr="008F7A94">
        <w:trPr>
          <w:jc w:val="center"/>
        </w:trPr>
        <w:tc>
          <w:tcPr>
            <w:tcW w:w="1785" w:type="dxa"/>
            <w:vMerge/>
          </w:tcPr>
          <w:p w14:paraId="7FB90E5D" w14:textId="77777777" w:rsidR="00F45500" w:rsidRPr="007B192E" w:rsidRDefault="00F45500" w:rsidP="008F7A94">
            <w:pPr>
              <w:jc w:val="center"/>
              <w:rPr>
                <w:rFonts w:ascii="Arial" w:hAnsi="Arial" w:cs="Arial"/>
                <w:color w:val="000000" w:themeColor="text1"/>
                <w:sz w:val="18"/>
                <w:szCs w:val="18"/>
              </w:rPr>
            </w:pPr>
          </w:p>
        </w:tc>
        <w:tc>
          <w:tcPr>
            <w:tcW w:w="1785" w:type="dxa"/>
          </w:tcPr>
          <w:p w14:paraId="79690E8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Frezowana</w:t>
            </w:r>
          </w:p>
        </w:tc>
        <w:tc>
          <w:tcPr>
            <w:tcW w:w="1785" w:type="dxa"/>
          </w:tcPr>
          <w:p w14:paraId="4E5F3DE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786" w:type="dxa"/>
          </w:tcPr>
          <w:p w14:paraId="36D7110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c>
          <w:tcPr>
            <w:tcW w:w="1786" w:type="dxa"/>
          </w:tcPr>
          <w:p w14:paraId="73B4026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r w:rsidR="004D7D23" w:rsidRPr="007B192E" w14:paraId="42B31EE4" w14:textId="77777777" w:rsidTr="008F7A94">
        <w:trPr>
          <w:jc w:val="center"/>
        </w:trPr>
        <w:tc>
          <w:tcPr>
            <w:tcW w:w="1785" w:type="dxa"/>
            <w:vMerge/>
          </w:tcPr>
          <w:p w14:paraId="7A693F34" w14:textId="77777777" w:rsidR="00F45500" w:rsidRPr="007B192E" w:rsidRDefault="00F45500" w:rsidP="008F7A94">
            <w:pPr>
              <w:jc w:val="center"/>
              <w:rPr>
                <w:rFonts w:ascii="Arial" w:hAnsi="Arial" w:cs="Arial"/>
                <w:color w:val="000000" w:themeColor="text1"/>
                <w:sz w:val="18"/>
                <w:szCs w:val="18"/>
              </w:rPr>
            </w:pPr>
          </w:p>
        </w:tc>
        <w:tc>
          <w:tcPr>
            <w:tcW w:w="1785" w:type="dxa"/>
          </w:tcPr>
          <w:p w14:paraId="32AAB9B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Porowata lub w złym stanie</w:t>
            </w:r>
          </w:p>
        </w:tc>
        <w:tc>
          <w:tcPr>
            <w:tcW w:w="1785" w:type="dxa"/>
          </w:tcPr>
          <w:p w14:paraId="5AA32C7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786" w:type="dxa"/>
          </w:tcPr>
          <w:p w14:paraId="40EED28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0,3÷0,6</w:t>
            </w:r>
          </w:p>
        </w:tc>
        <w:tc>
          <w:tcPr>
            <w:tcW w:w="1786" w:type="dxa"/>
          </w:tcPr>
          <w:p w14:paraId="250EC54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0,3÷0,5</w:t>
            </w:r>
          </w:p>
        </w:tc>
      </w:tr>
    </w:tbl>
    <w:p w14:paraId="6CB4F275"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*do złączenia dwóch warstw asfaltowych, gdy obydwie warstwy wykonane są z zastosowaniem asfaltów niemodyfikowanych dopuszcza się zastosowanie emulsji C60B3 ZM</w:t>
      </w:r>
    </w:p>
    <w:p w14:paraId="74C6665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Uwaga: w celu określenia ilości pozostałego lepiszcza asfaltowego, należy ilość emulsji asfaltowej podaną w tablicy pomnożyć przez 0,6</w:t>
      </w:r>
    </w:p>
    <w:p w14:paraId="7A5110E9" w14:textId="77777777" w:rsidR="00F45500" w:rsidRPr="007B192E" w:rsidRDefault="00F45500" w:rsidP="00F45500">
      <w:pPr>
        <w:spacing w:after="120"/>
        <w:jc w:val="both"/>
        <w:rPr>
          <w:rFonts w:ascii="Arial" w:hAnsi="Arial" w:cs="Arial"/>
          <w:color w:val="000000" w:themeColor="text1"/>
          <w:sz w:val="18"/>
          <w:szCs w:val="18"/>
          <w:u w:val="single"/>
        </w:rPr>
      </w:pPr>
      <w:r w:rsidRPr="007B192E">
        <w:rPr>
          <w:rFonts w:ascii="Arial" w:hAnsi="Arial" w:cs="Arial"/>
          <w:color w:val="000000" w:themeColor="text1"/>
          <w:sz w:val="18"/>
          <w:szCs w:val="18"/>
          <w:u w:val="single"/>
        </w:rPr>
        <w:t>Objaśnienia:</w:t>
      </w:r>
    </w:p>
    <w:p w14:paraId="1302BDD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„X” – nie dotyczy </w:t>
      </w:r>
    </w:p>
    <w:p w14:paraId="6B39E36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 rozwiązanie nie występuje</w:t>
      </w:r>
    </w:p>
    <w:p w14:paraId="26D5E1C0" w14:textId="77777777" w:rsidR="00F45500" w:rsidRPr="007B192E" w:rsidRDefault="00F45500" w:rsidP="00F45500">
      <w:pPr>
        <w:ind w:firstLine="709"/>
        <w:jc w:val="both"/>
        <w:rPr>
          <w:rFonts w:ascii="Arial" w:hAnsi="Arial" w:cs="Arial"/>
          <w:color w:val="000000" w:themeColor="text1"/>
          <w:sz w:val="18"/>
          <w:szCs w:val="18"/>
        </w:rPr>
      </w:pPr>
    </w:p>
    <w:p w14:paraId="76425BF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Optymalną ilość emulsji asfaltowej do skropienia należy ustalić na odcinku próbnym układania mieszanki mineralno-asfaltowej. Ocenę należy dokonać na podstawie wytrzymałości na ścinanie, wymagania wg tablicy 8. W uzasadnionych przypadkach (brak </w:t>
      </w:r>
      <w:proofErr w:type="spellStart"/>
      <w:r w:rsidRPr="007B192E">
        <w:rPr>
          <w:rFonts w:ascii="Arial" w:hAnsi="Arial" w:cs="Arial"/>
          <w:color w:val="000000" w:themeColor="text1"/>
          <w:sz w:val="18"/>
          <w:szCs w:val="18"/>
        </w:rPr>
        <w:t>szczepności</w:t>
      </w:r>
      <w:proofErr w:type="spellEnd"/>
      <w:r w:rsidRPr="007B192E">
        <w:rPr>
          <w:rFonts w:ascii="Arial" w:hAnsi="Arial" w:cs="Arial"/>
          <w:color w:val="000000" w:themeColor="text1"/>
          <w:sz w:val="18"/>
          <w:szCs w:val="18"/>
        </w:rPr>
        <w:t>), zakresy dozowania podane w tablicy 5 mogą zostać rozszerzone.</w:t>
      </w:r>
    </w:p>
    <w:p w14:paraId="6ACFDF8F"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5.7.2.2. Skropienie warstwy z mieszanki niezwiązanej lub związanej hydraulicznie</w:t>
      </w:r>
    </w:p>
    <w:p w14:paraId="43C06B7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skrapiania warstwy z mieszanki niezwiązanej lub związanej hydraulicznie po okresie długotrwałych opadów deszczu, Inżynier dopuszcza powierzchnię, która ma być skrapiana i charakteryzuje się odpowiednią wilgotnością (patrz pkt.5.4.2). Jeśli poziom zawilgocenia warstwy jest zbyt duży, należy wstrzymać się ze skrapianiem do momentu przesuszenia powierzchni warstwy.</w:t>
      </w:r>
    </w:p>
    <w:p w14:paraId="47E740B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Skropienie lepiszczem powinno być wykonane w ilości podanej w tablicy 6. Kontrolę ilości lepiszcza w trakcie skrapiania należy dokonać wg PN-EN 12272-1 [10]. Skrapiarka powinna zapewniać rozkładanie lepiszcza z </w:t>
      </w:r>
      <w:r w:rsidRPr="007B192E">
        <w:rPr>
          <w:rFonts w:ascii="Arial" w:hAnsi="Arial" w:cs="Arial"/>
          <w:color w:val="000000" w:themeColor="text1"/>
          <w:sz w:val="18"/>
          <w:szCs w:val="18"/>
        </w:rPr>
        <w:lastRenderedPageBreak/>
        <w:t xml:space="preserve">tolerancją ±10% w stosunku do ilości założonej. </w:t>
      </w:r>
    </w:p>
    <w:p w14:paraId="0DAB9FAE" w14:textId="77777777" w:rsidR="00F45500" w:rsidRPr="007B192E" w:rsidRDefault="00F45500" w:rsidP="00F45500">
      <w:pPr>
        <w:spacing w:before="24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6.</w:t>
      </w:r>
      <w:r w:rsidRPr="007B192E">
        <w:rPr>
          <w:rFonts w:ascii="Arial" w:hAnsi="Arial" w:cs="Arial"/>
          <w:color w:val="000000" w:themeColor="text1"/>
          <w:sz w:val="18"/>
          <w:szCs w:val="18"/>
        </w:rPr>
        <w:tab/>
        <w:t>Zalecane ilości emulsji asfaltowej do skropienia podłoża  z mieszanki niezwiązanej i związanej hydraulicznie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(uwaga – przyjęto dla emulsji kationowej o zawartości asfaltu równej 60% wg Załącznika krajowego NA [22] do PN-EN 13808 [21], rodzaj C60B10 ZM/R)</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D7D23" w:rsidRPr="007B192E" w14:paraId="41645497" w14:textId="77777777" w:rsidTr="008F7A94">
        <w:trPr>
          <w:jc w:val="center"/>
        </w:trPr>
        <w:tc>
          <w:tcPr>
            <w:tcW w:w="2975" w:type="dxa"/>
            <w:vMerge w:val="restart"/>
            <w:vAlign w:val="center"/>
          </w:tcPr>
          <w:p w14:paraId="0C1983D9"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Rodzaj podłoża</w:t>
            </w:r>
          </w:p>
        </w:tc>
        <w:tc>
          <w:tcPr>
            <w:tcW w:w="5952" w:type="dxa"/>
            <w:gridSpan w:val="2"/>
            <w:vAlign w:val="center"/>
          </w:tcPr>
          <w:p w14:paraId="49E3C0B2"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Emulsja asfaltowa</w:t>
            </w:r>
          </w:p>
        </w:tc>
      </w:tr>
      <w:tr w:rsidR="004D7D23" w:rsidRPr="007B192E" w14:paraId="624DEE62" w14:textId="77777777" w:rsidTr="008F7A94">
        <w:trPr>
          <w:jc w:val="center"/>
        </w:trPr>
        <w:tc>
          <w:tcPr>
            <w:tcW w:w="2975" w:type="dxa"/>
            <w:vMerge/>
            <w:vAlign w:val="center"/>
          </w:tcPr>
          <w:p w14:paraId="410DFC39" w14:textId="77777777" w:rsidR="00F45500" w:rsidRPr="007B192E" w:rsidRDefault="00F45500" w:rsidP="008F7A94">
            <w:pPr>
              <w:spacing w:before="60" w:after="60"/>
              <w:jc w:val="center"/>
              <w:rPr>
                <w:rFonts w:ascii="Arial" w:hAnsi="Arial" w:cs="Arial"/>
                <w:color w:val="000000" w:themeColor="text1"/>
                <w:sz w:val="18"/>
                <w:szCs w:val="18"/>
              </w:rPr>
            </w:pPr>
          </w:p>
        </w:tc>
        <w:tc>
          <w:tcPr>
            <w:tcW w:w="2976" w:type="dxa"/>
            <w:vAlign w:val="center"/>
          </w:tcPr>
          <w:p w14:paraId="5091E89A"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Ilość</w:t>
            </w:r>
          </w:p>
        </w:tc>
        <w:tc>
          <w:tcPr>
            <w:tcW w:w="2976" w:type="dxa"/>
            <w:vAlign w:val="center"/>
          </w:tcPr>
          <w:p w14:paraId="08954A3E"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Rodzaj</w:t>
            </w:r>
          </w:p>
        </w:tc>
      </w:tr>
      <w:tr w:rsidR="004D7D23" w:rsidRPr="007B192E" w14:paraId="2FA9B58C" w14:textId="77777777" w:rsidTr="008F7A94">
        <w:trPr>
          <w:jc w:val="center"/>
        </w:trPr>
        <w:tc>
          <w:tcPr>
            <w:tcW w:w="2975" w:type="dxa"/>
          </w:tcPr>
          <w:p w14:paraId="62BF18D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podbudowy z mieszanki niezwiązanej</w:t>
            </w:r>
          </w:p>
        </w:tc>
        <w:tc>
          <w:tcPr>
            <w:tcW w:w="2976" w:type="dxa"/>
          </w:tcPr>
          <w:p w14:paraId="5828D7E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0,5÷0,7</w:t>
            </w:r>
          </w:p>
        </w:tc>
        <w:tc>
          <w:tcPr>
            <w:tcW w:w="2976" w:type="dxa"/>
          </w:tcPr>
          <w:p w14:paraId="31EEC28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C60B10 ZM/R</w:t>
            </w:r>
          </w:p>
        </w:tc>
      </w:tr>
      <w:tr w:rsidR="00F45500" w:rsidRPr="007B192E" w14:paraId="6FFE0FF4" w14:textId="77777777" w:rsidTr="008F7A94">
        <w:trPr>
          <w:jc w:val="center"/>
        </w:trPr>
        <w:tc>
          <w:tcPr>
            <w:tcW w:w="2975" w:type="dxa"/>
          </w:tcPr>
          <w:p w14:paraId="1CA6830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podbudowy z mieszanki związanej spoiwem hydraulicznym</w:t>
            </w:r>
          </w:p>
        </w:tc>
        <w:tc>
          <w:tcPr>
            <w:tcW w:w="2976" w:type="dxa"/>
          </w:tcPr>
          <w:p w14:paraId="3AFE05E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0,3÷0,7</w:t>
            </w:r>
          </w:p>
        </w:tc>
        <w:tc>
          <w:tcPr>
            <w:tcW w:w="2976" w:type="dxa"/>
          </w:tcPr>
          <w:p w14:paraId="3E353EA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C60B10 ZM/R</w:t>
            </w:r>
          </w:p>
          <w:p w14:paraId="1BB0FD9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Zalecane pH≥3,5</w:t>
            </w:r>
          </w:p>
        </w:tc>
      </w:tr>
    </w:tbl>
    <w:p w14:paraId="00B6EC05" w14:textId="77777777" w:rsidR="00F45500" w:rsidRPr="007B192E" w:rsidRDefault="00F45500" w:rsidP="00F45500">
      <w:pPr>
        <w:jc w:val="both"/>
        <w:rPr>
          <w:rFonts w:ascii="Arial" w:hAnsi="Arial" w:cs="Arial"/>
          <w:color w:val="000000" w:themeColor="text1"/>
          <w:sz w:val="18"/>
          <w:szCs w:val="18"/>
        </w:rPr>
      </w:pPr>
    </w:p>
    <w:p w14:paraId="04893058"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5.7.3. Wykonanie skropienia emulsją</w:t>
      </w:r>
    </w:p>
    <w:p w14:paraId="1E10601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Skrapianie podłoża należy wykonywać równomiernie na całej powierzchni przeznaczonej do skropienia, przy użyciu skrapiarek samochodowych, ewentualnie ciągnionych – wyposażonych w rampy spryskujące oraz automatyczne systemy kontroli wydatku skropienia. Dopuszcza się skrapianie ręczne lancą w miejscach trudno dostępnych (np. przy ściekach ulicznych) oraz przy urządzeniach usytuowanych w nawierzchni lub ją ograniczających (np. studzienki, krawężniki). W razie potrzeby urządzenia te należy zabezpieczyć przed zabrudzeniem.</w:t>
      </w:r>
    </w:p>
    <w:p w14:paraId="7543E3B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wypadku dużej ilości pozostałej emulsji, np. powyżej 0,5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może być konieczne wykonanie skropienia w kilku warstwach, aby zapobiec spłynięciu i powstaniu kałuż lepiszcza.</w:t>
      </w:r>
    </w:p>
    <w:p w14:paraId="4884310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Przed rozpoczęciem skrapiania należy strefy przyległe do skrapianych powierzchni jak np.: krawężniki, ścieki, wpusty itp. odpowiednio osłonić, zabezpieczając przed zabrudzeniem lub zalaniem emulsją.</w:t>
      </w:r>
    </w:p>
    <w:p w14:paraId="125A6CC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Podłoże powinno być skropione z odpowiednim wyprzedzeniem przed układaniem następnej warstwy asfaltowej w celu rozpadu emulsji z wydzieleniem asfaltu i odparowani wody. O rozpadzie emulsji świadczy zmiana koloru skropionej powierzchni z brązowej na czarny. Przed wykonaniem następnego zabiegu  technologicznego należy odczekać minimum 30 minut od momentu zmiany koloru pokrytej lepiszczem warstwy na czarny.</w:t>
      </w:r>
    </w:p>
    <w:p w14:paraId="320B085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Skropioną warstwę Wykonawca powinien wyłączyć z ruchu publicznego i technologicznego przez zmianę organizacji ruchu lub  odpowiednią ochronę skropienia przez pokrycie specjalną warstwą osłonową.</w:t>
      </w:r>
    </w:p>
    <w:p w14:paraId="6C4B1451" w14:textId="77777777" w:rsidR="00F45500" w:rsidRPr="007B192E" w:rsidRDefault="00F45500" w:rsidP="00F45500">
      <w:pPr>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5.8. Roboty wykończeniowe</w:t>
      </w:r>
    </w:p>
    <w:p w14:paraId="17576229"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14:paraId="0E5D86C1" w14:textId="77777777" w:rsidR="00F45500" w:rsidRPr="007B192E"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odtworzenie przeszkód czasowo usuniętych,</w:t>
      </w:r>
    </w:p>
    <w:p w14:paraId="35075502" w14:textId="77777777" w:rsidR="00F45500" w:rsidRPr="007B192E"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uzupełnienie zniszczonych w czasie robót istniejących elementów drogowych lub terenowych,</w:t>
      </w:r>
    </w:p>
    <w:p w14:paraId="7554FEB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porządkujące otoczenie terenu robót,</w:t>
      </w:r>
    </w:p>
    <w:p w14:paraId="58BCE69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usunięcie oznakowania drogi wprowadzonego na okres robót.</w:t>
      </w:r>
    </w:p>
    <w:p w14:paraId="61E7BB9F" w14:textId="77777777" w:rsidR="00F45500" w:rsidRPr="007B192E" w:rsidRDefault="002A39AA" w:rsidP="004D61EE">
      <w:pPr>
        <w:pStyle w:val="Nagwek2"/>
        <w:rPr>
          <w:i w:val="0"/>
          <w:color w:val="000000" w:themeColor="text1"/>
        </w:rPr>
      </w:pPr>
      <w:r w:rsidRPr="007B192E">
        <w:rPr>
          <w:i w:val="0"/>
          <w:color w:val="000000" w:themeColor="text1"/>
        </w:rPr>
        <w:t>6. KONTROLA JAKOŚCI ROBÓT</w:t>
      </w:r>
      <w:bookmarkEnd w:id="151"/>
    </w:p>
    <w:p w14:paraId="1215B182" w14:textId="77777777" w:rsidR="00F45500" w:rsidRPr="007B192E" w:rsidRDefault="00F45500" w:rsidP="00F45500">
      <w:pPr>
        <w:pStyle w:val="Nagwek2"/>
        <w:numPr>
          <w:ilvl w:val="12"/>
          <w:numId w:val="0"/>
        </w:numPr>
        <w:rPr>
          <w:color w:val="000000" w:themeColor="text1"/>
          <w:sz w:val="18"/>
          <w:szCs w:val="18"/>
        </w:rPr>
      </w:pPr>
      <w:bookmarkStart w:id="152" w:name="_Toc344981399"/>
      <w:r w:rsidRPr="007B192E">
        <w:rPr>
          <w:color w:val="000000" w:themeColor="text1"/>
          <w:sz w:val="18"/>
          <w:szCs w:val="18"/>
        </w:rPr>
        <w:t>6.1. Ogólne zasady kontroli jakości robót</w:t>
      </w:r>
    </w:p>
    <w:p w14:paraId="65478D89"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050D9B4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6.2. Badania przed przystąpieniem do robót</w:t>
      </w:r>
    </w:p>
    <w:p w14:paraId="760B032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1F85D66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C7DF29F"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wykonać własne badania właściwości materiałów przeznaczonych do wykonania robót, określone przez Inżyniera.</w:t>
      </w:r>
    </w:p>
    <w:p w14:paraId="36D19E1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22ABD585"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6.3. Badania w czasie robót</w:t>
      </w:r>
    </w:p>
    <w:p w14:paraId="352B0305"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Częstotliwość oraz zakres badań i pomiarów, które należy wykonać w czasie robót podaje tablica 7.  </w:t>
      </w:r>
    </w:p>
    <w:p w14:paraId="4E1F9708"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Tablica 7. Częstotliwość oraz zakres badań i pomiarów w czasie robót</w:t>
      </w:r>
    </w:p>
    <w:tbl>
      <w:tblPr>
        <w:tblW w:w="883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894"/>
        <w:gridCol w:w="1560"/>
        <w:gridCol w:w="2880"/>
      </w:tblGrid>
      <w:tr w:rsidR="004D7D23" w:rsidRPr="007B192E" w14:paraId="78007E88" w14:textId="77777777" w:rsidTr="008F7A94">
        <w:trPr>
          <w:jc w:val="center"/>
        </w:trPr>
        <w:tc>
          <w:tcPr>
            <w:tcW w:w="496" w:type="dxa"/>
            <w:tcBorders>
              <w:bottom w:val="single" w:sz="4" w:space="0" w:color="auto"/>
            </w:tcBorders>
          </w:tcPr>
          <w:p w14:paraId="2CF1DAEF" w14:textId="77777777" w:rsidR="00F45500" w:rsidRPr="007B192E" w:rsidRDefault="00F45500" w:rsidP="008F7A94">
            <w:pPr>
              <w:numPr>
                <w:ilvl w:val="12"/>
                <w:numId w:val="0"/>
              </w:numPr>
              <w:spacing w:before="180" w:after="60"/>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894" w:type="dxa"/>
            <w:tcBorders>
              <w:bottom w:val="single" w:sz="4" w:space="0" w:color="auto"/>
            </w:tcBorders>
          </w:tcPr>
          <w:p w14:paraId="5568D22C" w14:textId="77777777" w:rsidR="00F45500" w:rsidRPr="007B192E" w:rsidRDefault="00F45500" w:rsidP="008F7A94">
            <w:pPr>
              <w:numPr>
                <w:ilvl w:val="12"/>
                <w:numId w:val="0"/>
              </w:numPr>
              <w:spacing w:before="180" w:after="60"/>
              <w:jc w:val="both"/>
              <w:rPr>
                <w:rFonts w:ascii="Arial" w:hAnsi="Arial" w:cs="Arial"/>
                <w:color w:val="000000" w:themeColor="text1"/>
                <w:sz w:val="18"/>
                <w:szCs w:val="18"/>
              </w:rPr>
            </w:pPr>
            <w:r w:rsidRPr="007B192E">
              <w:rPr>
                <w:rFonts w:ascii="Arial" w:hAnsi="Arial" w:cs="Arial"/>
                <w:color w:val="000000" w:themeColor="text1"/>
                <w:sz w:val="18"/>
                <w:szCs w:val="18"/>
              </w:rPr>
              <w:t>Wyszczególnienie robót</w:t>
            </w:r>
          </w:p>
        </w:tc>
        <w:tc>
          <w:tcPr>
            <w:tcW w:w="1560" w:type="dxa"/>
            <w:tcBorders>
              <w:bottom w:val="single" w:sz="4" w:space="0" w:color="auto"/>
            </w:tcBorders>
          </w:tcPr>
          <w:p w14:paraId="3153C989"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Częstotliwość badań</w:t>
            </w:r>
          </w:p>
        </w:tc>
        <w:tc>
          <w:tcPr>
            <w:tcW w:w="2880" w:type="dxa"/>
            <w:tcBorders>
              <w:bottom w:val="single" w:sz="4" w:space="0" w:color="auto"/>
            </w:tcBorders>
          </w:tcPr>
          <w:p w14:paraId="766767A8" w14:textId="77777777" w:rsidR="00F45500" w:rsidRPr="007B192E" w:rsidRDefault="00F45500" w:rsidP="008F7A94">
            <w:pPr>
              <w:numPr>
                <w:ilvl w:val="12"/>
                <w:numId w:val="0"/>
              </w:numPr>
              <w:spacing w:before="180" w:after="60"/>
              <w:jc w:val="both"/>
              <w:rPr>
                <w:rFonts w:ascii="Arial" w:hAnsi="Arial" w:cs="Arial"/>
                <w:color w:val="000000" w:themeColor="text1"/>
                <w:sz w:val="18"/>
                <w:szCs w:val="18"/>
              </w:rPr>
            </w:pPr>
            <w:r w:rsidRPr="007B192E">
              <w:rPr>
                <w:rFonts w:ascii="Arial" w:hAnsi="Arial" w:cs="Arial"/>
                <w:color w:val="000000" w:themeColor="text1"/>
                <w:sz w:val="18"/>
                <w:szCs w:val="18"/>
              </w:rPr>
              <w:t>Wartości dopuszczalne</w:t>
            </w:r>
          </w:p>
        </w:tc>
      </w:tr>
      <w:tr w:rsidR="004D7D23" w:rsidRPr="007B192E" w14:paraId="411EDC47" w14:textId="77777777" w:rsidTr="008F7A94">
        <w:trPr>
          <w:jc w:val="center"/>
        </w:trPr>
        <w:tc>
          <w:tcPr>
            <w:tcW w:w="496" w:type="dxa"/>
            <w:tcBorders>
              <w:top w:val="single" w:sz="4" w:space="0" w:color="auto"/>
            </w:tcBorders>
            <w:vAlign w:val="center"/>
          </w:tcPr>
          <w:p w14:paraId="460313D4"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894" w:type="dxa"/>
            <w:tcBorders>
              <w:top w:val="single" w:sz="4" w:space="0" w:color="auto"/>
            </w:tcBorders>
            <w:vAlign w:val="center"/>
          </w:tcPr>
          <w:p w14:paraId="7F1C7F8F"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Lokalizacja i zgodność granic terenu robót z dokumentacją projektową</w:t>
            </w:r>
          </w:p>
        </w:tc>
        <w:tc>
          <w:tcPr>
            <w:tcW w:w="1560" w:type="dxa"/>
            <w:tcBorders>
              <w:top w:val="single" w:sz="4" w:space="0" w:color="auto"/>
            </w:tcBorders>
            <w:vAlign w:val="center"/>
          </w:tcPr>
          <w:p w14:paraId="03567F19"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1 raz</w:t>
            </w:r>
          </w:p>
        </w:tc>
        <w:tc>
          <w:tcPr>
            <w:tcW w:w="2880" w:type="dxa"/>
            <w:tcBorders>
              <w:top w:val="single" w:sz="4" w:space="0" w:color="auto"/>
            </w:tcBorders>
            <w:vAlign w:val="center"/>
          </w:tcPr>
          <w:p w14:paraId="28569629"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 </w:t>
            </w:r>
          </w:p>
          <w:p w14:paraId="1CCB5F97"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i dokumentacji projektowej </w:t>
            </w:r>
          </w:p>
        </w:tc>
      </w:tr>
      <w:tr w:rsidR="004D7D23" w:rsidRPr="007B192E" w14:paraId="6834BA43" w14:textId="77777777" w:rsidTr="008F7A94">
        <w:trPr>
          <w:jc w:val="center"/>
        </w:trPr>
        <w:tc>
          <w:tcPr>
            <w:tcW w:w="496" w:type="dxa"/>
            <w:vAlign w:val="center"/>
          </w:tcPr>
          <w:p w14:paraId="57F56104"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894" w:type="dxa"/>
            <w:vAlign w:val="center"/>
          </w:tcPr>
          <w:p w14:paraId="7B97AC64"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c>
          <w:tcPr>
            <w:tcW w:w="1560" w:type="dxa"/>
            <w:vAlign w:val="center"/>
          </w:tcPr>
          <w:p w14:paraId="04BD85A6"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880" w:type="dxa"/>
            <w:vAlign w:val="center"/>
          </w:tcPr>
          <w:p w14:paraId="75BCD498"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5.3</w:t>
            </w:r>
          </w:p>
        </w:tc>
      </w:tr>
      <w:tr w:rsidR="004D7D23" w:rsidRPr="007B192E" w14:paraId="14CF6D28" w14:textId="77777777" w:rsidTr="008F7A94">
        <w:trPr>
          <w:jc w:val="center"/>
        </w:trPr>
        <w:tc>
          <w:tcPr>
            <w:tcW w:w="496" w:type="dxa"/>
            <w:vAlign w:val="center"/>
          </w:tcPr>
          <w:p w14:paraId="49DA7DAC"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894" w:type="dxa"/>
            <w:vAlign w:val="center"/>
          </w:tcPr>
          <w:p w14:paraId="5E140773"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Czystość podłoża (sprawdzona wizualnie)</w:t>
            </w:r>
          </w:p>
        </w:tc>
        <w:tc>
          <w:tcPr>
            <w:tcW w:w="1560" w:type="dxa"/>
            <w:vAlign w:val="center"/>
          </w:tcPr>
          <w:p w14:paraId="416EAA0F"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880" w:type="dxa"/>
            <w:vAlign w:val="center"/>
          </w:tcPr>
          <w:p w14:paraId="4D7ECEC6"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5.4</w:t>
            </w:r>
          </w:p>
        </w:tc>
      </w:tr>
      <w:tr w:rsidR="004D7D23" w:rsidRPr="007B192E" w14:paraId="5891A291" w14:textId="77777777" w:rsidTr="008F7A94">
        <w:trPr>
          <w:jc w:val="center"/>
        </w:trPr>
        <w:tc>
          <w:tcPr>
            <w:tcW w:w="496" w:type="dxa"/>
            <w:vAlign w:val="center"/>
          </w:tcPr>
          <w:p w14:paraId="749B483B"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894" w:type="dxa"/>
            <w:vAlign w:val="center"/>
          </w:tcPr>
          <w:p w14:paraId="042F0230"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Sprawdzenie jednorodności skropienia</w:t>
            </w:r>
          </w:p>
        </w:tc>
        <w:tc>
          <w:tcPr>
            <w:tcW w:w="1560" w:type="dxa"/>
            <w:vAlign w:val="center"/>
          </w:tcPr>
          <w:p w14:paraId="1A739D91"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2000 ÷ 3000 m</w:t>
            </w:r>
            <w:r w:rsidRPr="007B192E">
              <w:rPr>
                <w:rFonts w:ascii="Arial" w:hAnsi="Arial" w:cs="Arial"/>
                <w:color w:val="000000" w:themeColor="text1"/>
                <w:sz w:val="18"/>
                <w:szCs w:val="18"/>
                <w:vertAlign w:val="superscript"/>
              </w:rPr>
              <w:t>2   1)</w:t>
            </w:r>
          </w:p>
        </w:tc>
        <w:tc>
          <w:tcPr>
            <w:tcW w:w="2880" w:type="dxa"/>
            <w:vAlign w:val="center"/>
          </w:tcPr>
          <w:p w14:paraId="60708B02"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5.7.2 </w:t>
            </w:r>
            <w:r w:rsidRPr="007B192E">
              <w:rPr>
                <w:rFonts w:ascii="Arial" w:hAnsi="Arial" w:cs="Arial"/>
                <w:color w:val="000000" w:themeColor="text1"/>
                <w:sz w:val="18"/>
                <w:szCs w:val="18"/>
                <w:vertAlign w:val="superscript"/>
              </w:rPr>
              <w:t>2)</w:t>
            </w:r>
          </w:p>
        </w:tc>
      </w:tr>
      <w:tr w:rsidR="004D7D23" w:rsidRPr="007B192E" w14:paraId="5B5C43FC" w14:textId="77777777" w:rsidTr="008F7A94">
        <w:trPr>
          <w:jc w:val="center"/>
        </w:trPr>
        <w:tc>
          <w:tcPr>
            <w:tcW w:w="496" w:type="dxa"/>
            <w:vAlign w:val="center"/>
          </w:tcPr>
          <w:p w14:paraId="66168285"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5</w:t>
            </w:r>
          </w:p>
        </w:tc>
        <w:tc>
          <w:tcPr>
            <w:tcW w:w="3894" w:type="dxa"/>
            <w:vAlign w:val="center"/>
          </w:tcPr>
          <w:p w14:paraId="089A0D19"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Wytrzymałość na ścinanie połączenia między warstwami</w:t>
            </w:r>
          </w:p>
        </w:tc>
        <w:tc>
          <w:tcPr>
            <w:tcW w:w="1560" w:type="dxa"/>
            <w:vAlign w:val="center"/>
          </w:tcPr>
          <w:p w14:paraId="18F53753"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 próbka na 15000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wykonanej nawierzchni</w:t>
            </w:r>
          </w:p>
        </w:tc>
        <w:tc>
          <w:tcPr>
            <w:tcW w:w="2880" w:type="dxa"/>
            <w:vAlign w:val="center"/>
          </w:tcPr>
          <w:p w14:paraId="12582A52"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tab. 8 </w:t>
            </w:r>
            <w:r w:rsidRPr="007B192E">
              <w:rPr>
                <w:rFonts w:ascii="Arial" w:hAnsi="Arial" w:cs="Arial"/>
                <w:color w:val="000000" w:themeColor="text1"/>
                <w:sz w:val="18"/>
                <w:szCs w:val="18"/>
                <w:vertAlign w:val="superscript"/>
              </w:rPr>
              <w:t>3)</w:t>
            </w:r>
          </w:p>
        </w:tc>
      </w:tr>
      <w:tr w:rsidR="00F45500" w:rsidRPr="007B192E" w14:paraId="459AEE10" w14:textId="77777777" w:rsidTr="008F7A94">
        <w:trPr>
          <w:jc w:val="center"/>
        </w:trPr>
        <w:tc>
          <w:tcPr>
            <w:tcW w:w="496" w:type="dxa"/>
            <w:vAlign w:val="center"/>
          </w:tcPr>
          <w:p w14:paraId="7DA8FD39"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894" w:type="dxa"/>
            <w:vAlign w:val="center"/>
          </w:tcPr>
          <w:p w14:paraId="57077C60"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Wykonanie robót wykończeniowych</w:t>
            </w:r>
          </w:p>
        </w:tc>
        <w:tc>
          <w:tcPr>
            <w:tcW w:w="1560" w:type="dxa"/>
            <w:vAlign w:val="center"/>
          </w:tcPr>
          <w:p w14:paraId="553B54B4"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880" w:type="dxa"/>
            <w:vAlign w:val="center"/>
          </w:tcPr>
          <w:p w14:paraId="602D5175" w14:textId="77777777" w:rsidR="00F45500" w:rsidRPr="007B192E" w:rsidRDefault="00F45500" w:rsidP="008F7A94">
            <w:pPr>
              <w:numPr>
                <w:ilvl w:val="12"/>
                <w:numId w:val="0"/>
              </w:num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Według punktu 5.8</w:t>
            </w:r>
          </w:p>
        </w:tc>
      </w:tr>
    </w:tbl>
    <w:p w14:paraId="63ABBF9D" w14:textId="77777777" w:rsidR="00F45500" w:rsidRPr="007B192E" w:rsidRDefault="00F45500" w:rsidP="00F45500">
      <w:pPr>
        <w:jc w:val="both"/>
        <w:rPr>
          <w:rFonts w:ascii="Arial" w:hAnsi="Arial" w:cs="Arial"/>
          <w:color w:val="000000" w:themeColor="text1"/>
          <w:sz w:val="18"/>
          <w:szCs w:val="18"/>
        </w:rPr>
      </w:pPr>
    </w:p>
    <w:p w14:paraId="4EE2E824" w14:textId="77777777" w:rsidR="00F45500" w:rsidRPr="007B192E" w:rsidRDefault="00F45500" w:rsidP="00F45500">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xml:space="preserve"> Częstotliwość badań: raz na 2000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przy wielkości powierzchni do skropienia do 6000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i raz na 3000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przy wielkości powierzchni do skropienia powyżej 6000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w:t>
      </w:r>
    </w:p>
    <w:p w14:paraId="71F07B73" w14:textId="77777777" w:rsidR="00F45500" w:rsidRPr="007B192E" w:rsidRDefault="00F45500" w:rsidP="00F45500">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Dopuszczalne odchylenia ilości dozowanej emulsji na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 10%. Dopuszczalne odchylenia szerokości dozowanej warstwy emulsji: ± 10 cm.</w:t>
      </w:r>
    </w:p>
    <w:p w14:paraId="31BCEAD5" w14:textId="77777777" w:rsidR="00F45500" w:rsidRPr="007B192E" w:rsidRDefault="00F45500" w:rsidP="00F45500">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xml:space="preserve">  Badanie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 xml:space="preserve"> powinno być wykonywane w nawierzchniach dróg o kategorii ruchu KR3 ÷ KR7. Częstość pobierania próbek powinna wynosić: 1 próbka na 15000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wykonanej nawierzchni.</w:t>
      </w:r>
    </w:p>
    <w:p w14:paraId="3789B131"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Wytrzymałość na ścinanie wszystkich połączeń jest warunkiem uzyskania odpowiedniej sztywności konstrukcji, a tym samym trwałości konstrukcji. Jest warunkiem, który jest zakładany do obliczenia grubości warstw na etapie wymiarowania nawierzchni i musi być spełniony.</w:t>
      </w:r>
    </w:p>
    <w:p w14:paraId="385F670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Wymagane minimalne wartości wytrzymałości na ścinanie połączenia między warstwami asfaltowymi nawierzchni podano w tablicy 8.</w:t>
      </w:r>
      <w:r w:rsidRPr="007B192E">
        <w:rPr>
          <w:rFonts w:ascii="Arial" w:hAnsi="Arial" w:cs="Arial"/>
          <w:color w:val="000000" w:themeColor="text1"/>
          <w:sz w:val="18"/>
          <w:szCs w:val="18"/>
        </w:rPr>
        <w:tab/>
      </w:r>
    </w:p>
    <w:p w14:paraId="3F00B3FD" w14:textId="77777777" w:rsidR="00F45500" w:rsidRPr="007B192E" w:rsidRDefault="00F45500" w:rsidP="00F45500">
      <w:pPr>
        <w:spacing w:before="240" w:after="120"/>
        <w:ind w:left="993" w:hanging="993"/>
        <w:jc w:val="both"/>
        <w:rPr>
          <w:rFonts w:ascii="Arial" w:hAnsi="Arial" w:cs="Arial"/>
          <w:color w:val="000000" w:themeColor="text1"/>
          <w:sz w:val="18"/>
          <w:szCs w:val="18"/>
        </w:rPr>
      </w:pPr>
      <w:r w:rsidRPr="007B192E">
        <w:rPr>
          <w:rFonts w:ascii="Arial" w:hAnsi="Arial" w:cs="Arial"/>
          <w:color w:val="000000" w:themeColor="text1"/>
          <w:sz w:val="18"/>
          <w:szCs w:val="18"/>
        </w:rPr>
        <w:t>Tablica 8.</w:t>
      </w:r>
      <w:r w:rsidRPr="007B192E">
        <w:rPr>
          <w:rFonts w:ascii="Arial" w:hAnsi="Arial" w:cs="Arial"/>
          <w:color w:val="000000" w:themeColor="text1"/>
          <w:sz w:val="18"/>
          <w:szCs w:val="18"/>
        </w:rPr>
        <w:tab/>
        <w:t>Wymagania wytrzymałość na ścinanie połączenia między warstwami asfaltowymi nawierzchni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63"/>
        <w:gridCol w:w="4464"/>
      </w:tblGrid>
      <w:tr w:rsidR="004D7D23" w:rsidRPr="007B192E" w14:paraId="70D5AD5A" w14:textId="77777777" w:rsidTr="008F7A94">
        <w:trPr>
          <w:jc w:val="center"/>
        </w:trPr>
        <w:tc>
          <w:tcPr>
            <w:tcW w:w="4463" w:type="dxa"/>
            <w:vAlign w:val="center"/>
          </w:tcPr>
          <w:p w14:paraId="1905C415"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Połączenie między warstwami</w:t>
            </w:r>
          </w:p>
        </w:tc>
        <w:tc>
          <w:tcPr>
            <w:tcW w:w="4464" w:type="dxa"/>
            <w:vAlign w:val="center"/>
          </w:tcPr>
          <w:p w14:paraId="0D4024EF"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Wymagana minimalna wytrzymałość na ścinanie, na próbkach Ø150 mm (Ø100 mm) [</w:t>
            </w:r>
            <w:proofErr w:type="spellStart"/>
            <w:r w:rsidRPr="007B192E">
              <w:rPr>
                <w:rFonts w:ascii="Arial" w:hAnsi="Arial" w:cs="Arial"/>
                <w:color w:val="000000" w:themeColor="text1"/>
                <w:sz w:val="18"/>
                <w:szCs w:val="18"/>
              </w:rPr>
              <w:t>MPa</w:t>
            </w:r>
            <w:proofErr w:type="spellEnd"/>
            <w:r w:rsidRPr="007B192E">
              <w:rPr>
                <w:rFonts w:ascii="Arial" w:hAnsi="Arial" w:cs="Arial"/>
                <w:color w:val="000000" w:themeColor="text1"/>
                <w:sz w:val="18"/>
                <w:szCs w:val="18"/>
              </w:rPr>
              <w:t>]</w:t>
            </w:r>
          </w:p>
        </w:tc>
      </w:tr>
      <w:tr w:rsidR="004D7D23" w:rsidRPr="007B192E" w14:paraId="2B9345F4" w14:textId="77777777" w:rsidTr="008F7A94">
        <w:trPr>
          <w:jc w:val="center"/>
        </w:trPr>
        <w:tc>
          <w:tcPr>
            <w:tcW w:w="4463" w:type="dxa"/>
          </w:tcPr>
          <w:p w14:paraId="50684F4E" w14:textId="77777777" w:rsidR="00F45500" w:rsidRPr="007B192E" w:rsidRDefault="00F45500" w:rsidP="008F7A94">
            <w:pPr>
              <w:jc w:val="both"/>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Ścieralna-wiążąca</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vertAlign w:val="superscript"/>
              </w:rPr>
              <w:t>)</w:t>
            </w:r>
          </w:p>
        </w:tc>
        <w:tc>
          <w:tcPr>
            <w:tcW w:w="4464" w:type="dxa"/>
            <w:vAlign w:val="center"/>
          </w:tcPr>
          <w:p w14:paraId="4CB735A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r>
      <w:tr w:rsidR="004D7D23" w:rsidRPr="007B192E" w14:paraId="58D63A89" w14:textId="77777777" w:rsidTr="008F7A94">
        <w:trPr>
          <w:jc w:val="center"/>
        </w:trPr>
        <w:tc>
          <w:tcPr>
            <w:tcW w:w="4463" w:type="dxa"/>
          </w:tcPr>
          <w:p w14:paraId="4BEF71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Wiążąca-podbudowa</w:t>
            </w:r>
          </w:p>
        </w:tc>
        <w:tc>
          <w:tcPr>
            <w:tcW w:w="4464" w:type="dxa"/>
            <w:vAlign w:val="center"/>
          </w:tcPr>
          <w:p w14:paraId="3BD4413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0,7</w:t>
            </w:r>
          </w:p>
        </w:tc>
      </w:tr>
      <w:tr w:rsidR="004D7D23" w:rsidRPr="007B192E" w14:paraId="2A3988CA" w14:textId="77777777" w:rsidTr="008F7A94">
        <w:trPr>
          <w:jc w:val="center"/>
        </w:trPr>
        <w:tc>
          <w:tcPr>
            <w:tcW w:w="4463" w:type="dxa"/>
          </w:tcPr>
          <w:p w14:paraId="2D908106"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Podbudowa-podbudowa</w:t>
            </w:r>
            <w:r w:rsidRPr="007B192E">
              <w:rPr>
                <w:rFonts w:ascii="Arial" w:hAnsi="Arial" w:cs="Arial"/>
                <w:color w:val="000000" w:themeColor="text1"/>
                <w:sz w:val="18"/>
                <w:szCs w:val="18"/>
                <w:vertAlign w:val="superscript"/>
              </w:rPr>
              <w:t>b</w:t>
            </w:r>
            <w:proofErr w:type="spellEnd"/>
            <w:r w:rsidRPr="007B192E">
              <w:rPr>
                <w:rFonts w:ascii="Arial" w:hAnsi="Arial" w:cs="Arial"/>
                <w:color w:val="000000" w:themeColor="text1"/>
                <w:sz w:val="18"/>
                <w:szCs w:val="18"/>
                <w:vertAlign w:val="superscript"/>
              </w:rPr>
              <w:t>)</w:t>
            </w:r>
          </w:p>
        </w:tc>
        <w:tc>
          <w:tcPr>
            <w:tcW w:w="4464" w:type="dxa"/>
            <w:vAlign w:val="center"/>
          </w:tcPr>
          <w:p w14:paraId="1BB2823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0,6</w:t>
            </w:r>
          </w:p>
        </w:tc>
      </w:tr>
      <w:tr w:rsidR="004D7D23" w:rsidRPr="007B192E" w14:paraId="6C712DF1" w14:textId="77777777" w:rsidTr="008F7A94">
        <w:trPr>
          <w:jc w:val="center"/>
        </w:trPr>
        <w:tc>
          <w:tcPr>
            <w:tcW w:w="4463" w:type="dxa"/>
          </w:tcPr>
          <w:p w14:paraId="7C4171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Cienka warstwa ścieralna (grubość projektowa≤3,5 cm)-warstwa wiążąca</w:t>
            </w:r>
          </w:p>
          <w:p w14:paraId="75BD0C1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Cienka warstwa ścieralna (grubość projektowa ≤3,5 cm)-warstwa ścieralna</w:t>
            </w:r>
          </w:p>
        </w:tc>
        <w:tc>
          <w:tcPr>
            <w:tcW w:w="4464" w:type="dxa"/>
            <w:vAlign w:val="center"/>
          </w:tcPr>
          <w:p w14:paraId="708654D4" w14:textId="77777777" w:rsidR="00F45500" w:rsidRPr="007B192E" w:rsidRDefault="00F45500" w:rsidP="008F7A94">
            <w:pPr>
              <w:jc w:val="center"/>
              <w:rPr>
                <w:rFonts w:ascii="Arial" w:hAnsi="Arial" w:cs="Arial"/>
                <w:color w:val="000000" w:themeColor="text1"/>
                <w:sz w:val="18"/>
                <w:szCs w:val="18"/>
                <w:vertAlign w:val="superscript"/>
              </w:rPr>
            </w:pPr>
            <w:r w:rsidRPr="007B192E">
              <w:rPr>
                <w:rFonts w:ascii="Arial" w:hAnsi="Arial" w:cs="Arial"/>
                <w:color w:val="000000" w:themeColor="text1"/>
                <w:sz w:val="18"/>
                <w:szCs w:val="18"/>
              </w:rPr>
              <w:t>1,3</w:t>
            </w:r>
            <w:r w:rsidRPr="007B192E">
              <w:rPr>
                <w:rFonts w:ascii="Arial" w:hAnsi="Arial" w:cs="Arial"/>
                <w:color w:val="000000" w:themeColor="text1"/>
                <w:sz w:val="18"/>
                <w:szCs w:val="18"/>
                <w:vertAlign w:val="superscript"/>
              </w:rPr>
              <w:t>c)</w:t>
            </w:r>
          </w:p>
        </w:tc>
      </w:tr>
      <w:tr w:rsidR="004D7D23" w:rsidRPr="007B192E" w14:paraId="45271D32" w14:textId="77777777" w:rsidTr="008F7A94">
        <w:trPr>
          <w:jc w:val="center"/>
        </w:trPr>
        <w:tc>
          <w:tcPr>
            <w:tcW w:w="8927" w:type="dxa"/>
            <w:gridSpan w:val="2"/>
          </w:tcPr>
          <w:p w14:paraId="4CFC6A2A" w14:textId="77777777" w:rsidR="00F45500" w:rsidRPr="007B192E" w:rsidRDefault="00F45500" w:rsidP="00F45500">
            <w:pPr>
              <w:widowControl/>
              <w:numPr>
                <w:ilvl w:val="0"/>
                <w:numId w:val="111"/>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nie dotyczy asfaltowych warstw kompaktowych</w:t>
            </w:r>
          </w:p>
          <w:p w14:paraId="0A81B197" w14:textId="77777777" w:rsidR="00F45500" w:rsidRPr="007B192E" w:rsidRDefault="00F45500" w:rsidP="00F45500">
            <w:pPr>
              <w:widowControl/>
              <w:numPr>
                <w:ilvl w:val="0"/>
                <w:numId w:val="111"/>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jeśli podbudowa składa się z kilku warstw asfaltowych</w:t>
            </w:r>
          </w:p>
          <w:p w14:paraId="2C86A9A6" w14:textId="77777777" w:rsidR="00F45500" w:rsidRPr="007B192E" w:rsidRDefault="00F45500" w:rsidP="00F45500">
            <w:pPr>
              <w:widowControl/>
              <w:numPr>
                <w:ilvl w:val="0"/>
                <w:numId w:val="111"/>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nie dotyczy jeżeli zawartość wolnych przestrzeni w warstwie przekracza 14%</w:t>
            </w:r>
          </w:p>
        </w:tc>
      </w:tr>
    </w:tbl>
    <w:p w14:paraId="0897E37B" w14:textId="77777777" w:rsidR="00F45500" w:rsidRPr="007B192E" w:rsidRDefault="00F45500" w:rsidP="00F45500">
      <w:pPr>
        <w:spacing w:before="120"/>
        <w:ind w:firstLine="709"/>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 xml:space="preserve">Metodyka badania wytrzymałości na ścinanie zgodnie z „Instrukcją laboratoryjnego badania </w:t>
      </w:r>
      <w:proofErr w:type="spellStart"/>
      <w:r w:rsidRPr="007B192E">
        <w:rPr>
          <w:rFonts w:ascii="Arial" w:hAnsi="Arial" w:cs="Arial"/>
          <w:color w:val="000000" w:themeColor="text1"/>
          <w:sz w:val="18"/>
          <w:szCs w:val="18"/>
        </w:rPr>
        <w:t>sczepności</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międzywarstwowej</w:t>
      </w:r>
      <w:proofErr w:type="spellEnd"/>
      <w:r w:rsidRPr="007B192E">
        <w:rPr>
          <w:rFonts w:ascii="Arial" w:hAnsi="Arial" w:cs="Arial"/>
          <w:color w:val="000000" w:themeColor="text1"/>
          <w:sz w:val="18"/>
          <w:szCs w:val="18"/>
        </w:rPr>
        <w:t xml:space="preserve"> warstw asfaltowych wg metody </w:t>
      </w:r>
      <w:proofErr w:type="spellStart"/>
      <w:r w:rsidRPr="007B192E">
        <w:rPr>
          <w:rFonts w:ascii="Arial" w:hAnsi="Arial" w:cs="Arial"/>
          <w:color w:val="000000" w:themeColor="text1"/>
          <w:sz w:val="18"/>
          <w:szCs w:val="18"/>
        </w:rPr>
        <w:t>Leutnera</w:t>
      </w:r>
      <w:proofErr w:type="spellEnd"/>
      <w:r w:rsidRPr="007B192E">
        <w:rPr>
          <w:rFonts w:ascii="Arial" w:hAnsi="Arial" w:cs="Arial"/>
          <w:color w:val="000000" w:themeColor="text1"/>
          <w:sz w:val="18"/>
          <w:szCs w:val="18"/>
        </w:rPr>
        <w:t xml:space="preserve"> i wymagania techniczne </w:t>
      </w:r>
      <w:proofErr w:type="spellStart"/>
      <w:r w:rsidRPr="007B192E">
        <w:rPr>
          <w:rFonts w:ascii="Arial" w:hAnsi="Arial" w:cs="Arial"/>
          <w:color w:val="000000" w:themeColor="text1"/>
          <w:sz w:val="18"/>
          <w:szCs w:val="18"/>
        </w:rPr>
        <w:t>sczepności</w:t>
      </w:r>
      <w:proofErr w:type="spellEnd"/>
      <w:r w:rsidRPr="007B192E">
        <w:rPr>
          <w:rFonts w:ascii="Arial" w:hAnsi="Arial" w:cs="Arial"/>
          <w:color w:val="000000" w:themeColor="text1"/>
          <w:sz w:val="18"/>
          <w:szCs w:val="18"/>
        </w:rPr>
        <w:t>”, GDDKiA, Gdańsk, 2014 [27], z zastosowaniem próbek Ø100 mm lub Ø150 mm. Badaniem referencyjnym jest badanie na próbkach Ø150 mm.</w:t>
      </w:r>
    </w:p>
    <w:p w14:paraId="45FE90C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Badanie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 xml:space="preserve"> jako badanie kontrolne powinno być wykonywane w nawierzchniach dróg KR4-7. Częstość wykonywanych badań powinna wynosić nie rzadziej niż jeden punkt na 15 000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wykonanej nawierzchni.</w:t>
      </w:r>
    </w:p>
    <w:p w14:paraId="52049A0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odniesieniu do dróg kategorii KR1-3 badania kontrolne połączenia miedzy warstwowego nie są obligatoryjne, jednak należy je wykonać w przypadkach budzących wątpliwości co do jakości wykonanych robót.   </w:t>
      </w:r>
    </w:p>
    <w:p w14:paraId="1596BF50" w14:textId="77777777" w:rsidR="00F45500" w:rsidRPr="007B192E" w:rsidRDefault="002A39AA" w:rsidP="004D61EE">
      <w:pPr>
        <w:pStyle w:val="Nagwek2"/>
        <w:rPr>
          <w:i w:val="0"/>
          <w:color w:val="000000" w:themeColor="text1"/>
        </w:rPr>
      </w:pPr>
      <w:r w:rsidRPr="007B192E">
        <w:rPr>
          <w:i w:val="0"/>
          <w:color w:val="000000" w:themeColor="text1"/>
        </w:rPr>
        <w:t>7. OBMIAR ROBÓT</w:t>
      </w:r>
      <w:bookmarkEnd w:id="152"/>
    </w:p>
    <w:p w14:paraId="53362AB1" w14:textId="77777777" w:rsidR="00F45500" w:rsidRPr="007B192E" w:rsidRDefault="00F45500" w:rsidP="00F45500">
      <w:pPr>
        <w:pStyle w:val="Nagwek2"/>
        <w:numPr>
          <w:ilvl w:val="12"/>
          <w:numId w:val="0"/>
        </w:numPr>
        <w:rPr>
          <w:color w:val="000000" w:themeColor="text1"/>
          <w:sz w:val="18"/>
          <w:szCs w:val="18"/>
        </w:rPr>
      </w:pPr>
      <w:bookmarkStart w:id="153" w:name="_Toc344981400"/>
      <w:r w:rsidRPr="007B192E">
        <w:rPr>
          <w:color w:val="000000" w:themeColor="text1"/>
          <w:sz w:val="18"/>
          <w:szCs w:val="18"/>
        </w:rPr>
        <w:t>7.1. Ogólne zasady obmiaru robót</w:t>
      </w:r>
    </w:p>
    <w:p w14:paraId="60109ED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78AA9670"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7.2. Jednostka obmiarowa</w:t>
      </w:r>
    </w:p>
    <w:p w14:paraId="435A3BF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oczyszczonej i skropionej powierzchni warstwy.</w:t>
      </w:r>
    </w:p>
    <w:p w14:paraId="77BABD74" w14:textId="77777777" w:rsidR="00F45500" w:rsidRPr="007B192E" w:rsidRDefault="002A39AA" w:rsidP="004D61EE">
      <w:pPr>
        <w:pStyle w:val="Nagwek2"/>
        <w:rPr>
          <w:i w:val="0"/>
          <w:color w:val="000000" w:themeColor="text1"/>
        </w:rPr>
      </w:pPr>
      <w:r w:rsidRPr="007B192E">
        <w:rPr>
          <w:i w:val="0"/>
          <w:color w:val="000000" w:themeColor="text1"/>
        </w:rPr>
        <w:t>8. ODBIÓR ROBÓT</w:t>
      </w:r>
      <w:bookmarkEnd w:id="153"/>
    </w:p>
    <w:p w14:paraId="520305B9" w14:textId="77777777" w:rsidR="00F45500" w:rsidRPr="007B192E" w:rsidRDefault="00F45500" w:rsidP="00F45500">
      <w:pPr>
        <w:numPr>
          <w:ilvl w:val="12"/>
          <w:numId w:val="0"/>
        </w:numPr>
        <w:jc w:val="both"/>
        <w:rPr>
          <w:rFonts w:ascii="Arial" w:hAnsi="Arial" w:cs="Arial"/>
          <w:color w:val="000000" w:themeColor="text1"/>
          <w:sz w:val="18"/>
          <w:szCs w:val="18"/>
        </w:rPr>
      </w:pPr>
      <w:bookmarkStart w:id="154" w:name="_Toc344981401"/>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58FF6A5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Roboty uznaje się za wykonane zgodnie z dokumentacją projektową, ST i wymaganiami Inżyniera, jeżeli wszystkie pomiary i badania z zachowaniem tolerancji według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 dały wyniki pozytywne.</w:t>
      </w:r>
    </w:p>
    <w:p w14:paraId="599F672B" w14:textId="77777777" w:rsidR="00F45500" w:rsidRPr="007B192E" w:rsidRDefault="002A39AA" w:rsidP="004D61EE">
      <w:pPr>
        <w:pStyle w:val="Nagwek2"/>
        <w:rPr>
          <w:i w:val="0"/>
          <w:color w:val="000000" w:themeColor="text1"/>
        </w:rPr>
      </w:pPr>
      <w:r w:rsidRPr="007B192E">
        <w:rPr>
          <w:i w:val="0"/>
          <w:color w:val="000000" w:themeColor="text1"/>
        </w:rPr>
        <w:t>9. PODSTAWA PŁATNOŚCI</w:t>
      </w:r>
      <w:bookmarkEnd w:id="154"/>
    </w:p>
    <w:p w14:paraId="5345B51C" w14:textId="77777777" w:rsidR="00F45500" w:rsidRPr="007B192E" w:rsidRDefault="00F45500" w:rsidP="00134AD7">
      <w:pPr>
        <w:pStyle w:val="Nagwek2"/>
        <w:numPr>
          <w:ilvl w:val="12"/>
          <w:numId w:val="0"/>
        </w:numPr>
        <w:spacing w:before="0"/>
        <w:rPr>
          <w:color w:val="000000" w:themeColor="text1"/>
          <w:sz w:val="18"/>
          <w:szCs w:val="18"/>
        </w:rPr>
      </w:pPr>
      <w:bookmarkStart w:id="155" w:name="_Toc344981402"/>
      <w:r w:rsidRPr="007B192E">
        <w:rPr>
          <w:color w:val="000000" w:themeColor="text1"/>
          <w:sz w:val="18"/>
          <w:szCs w:val="18"/>
        </w:rPr>
        <w:t>9.1. Ogólne ustalenia dotyczące podstawy płatności</w:t>
      </w:r>
    </w:p>
    <w:p w14:paraId="3441E0DE" w14:textId="77777777" w:rsidR="00F45500" w:rsidRPr="007B192E" w:rsidRDefault="00F45500" w:rsidP="00134AD7">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5E5C7B7D" w14:textId="77777777" w:rsidR="00F45500" w:rsidRPr="007B192E" w:rsidRDefault="00F45500" w:rsidP="00134AD7">
      <w:pPr>
        <w:pStyle w:val="Nagwek2"/>
        <w:numPr>
          <w:ilvl w:val="12"/>
          <w:numId w:val="0"/>
        </w:numPr>
        <w:spacing w:before="0"/>
        <w:rPr>
          <w:color w:val="000000" w:themeColor="text1"/>
          <w:sz w:val="18"/>
          <w:szCs w:val="18"/>
        </w:rPr>
      </w:pPr>
      <w:r w:rsidRPr="007B192E">
        <w:rPr>
          <w:color w:val="000000" w:themeColor="text1"/>
          <w:sz w:val="18"/>
          <w:szCs w:val="18"/>
        </w:rPr>
        <w:t>9.2. Cena jednostki obmiarowej</w:t>
      </w:r>
    </w:p>
    <w:p w14:paraId="1CFA5842" w14:textId="77777777" w:rsidR="00F45500" w:rsidRPr="007B192E" w:rsidRDefault="00F45500" w:rsidP="00134AD7">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jednostki obmiarowej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obejmuje:</w:t>
      </w:r>
    </w:p>
    <w:p w14:paraId="4B189A64"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09E7D3EF"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1DBA36FE"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0BDC667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oczyszczenie warstw konstrukcyjnych nawierzchni,</w:t>
      </w:r>
    </w:p>
    <w:p w14:paraId="2153EC4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skropienie emulsją warstw konstrukcyjnych nawierzchni,</w:t>
      </w:r>
    </w:p>
    <w:p w14:paraId="2B9C1BBD"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przeprowadzenie wymaganych pomiarów i badań,</w:t>
      </w:r>
    </w:p>
    <w:p w14:paraId="1EE0E12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uporządkowanie terenu robót i jego otoczenia,</w:t>
      </w:r>
    </w:p>
    <w:p w14:paraId="34295CB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31D5EADD" w14:textId="77777777" w:rsidR="00F45500" w:rsidRPr="007B192E"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7B192E">
        <w:rPr>
          <w:rFonts w:ascii="Arial" w:hAnsi="Arial" w:cs="Arial"/>
          <w:color w:val="000000" w:themeColor="text1"/>
          <w:sz w:val="18"/>
          <w:szCs w:val="18"/>
        </w:rPr>
        <w:t>odwiezienie sprzętu.</w:t>
      </w:r>
    </w:p>
    <w:p w14:paraId="769FDDB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Wszystkie roboty powinny być wykonane według wymagań dokumentacji projektowej, ST, specyfikacji technicznej i postanowień Inżyniera.</w:t>
      </w:r>
    </w:p>
    <w:p w14:paraId="6E0A004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10BACB8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691E415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48BCD3BC"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0F13B12F" w14:textId="77777777" w:rsidR="00F45500" w:rsidRPr="007B192E" w:rsidRDefault="002A39AA" w:rsidP="004D61EE">
      <w:pPr>
        <w:pStyle w:val="Nagwek2"/>
        <w:rPr>
          <w:i w:val="0"/>
          <w:color w:val="000000" w:themeColor="text1"/>
        </w:rPr>
      </w:pPr>
      <w:r w:rsidRPr="007B192E">
        <w:rPr>
          <w:i w:val="0"/>
          <w:color w:val="000000" w:themeColor="text1"/>
        </w:rPr>
        <w:t>10. PRZEPISY ZWIĄZANE</w:t>
      </w:r>
      <w:bookmarkEnd w:id="155"/>
    </w:p>
    <w:p w14:paraId="0181226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354"/>
        <w:gridCol w:w="1559"/>
        <w:gridCol w:w="6917"/>
      </w:tblGrid>
      <w:tr w:rsidR="004D7D23" w:rsidRPr="007B192E" w14:paraId="1DCCDB92" w14:textId="77777777" w:rsidTr="004D61EE">
        <w:tc>
          <w:tcPr>
            <w:tcW w:w="354" w:type="dxa"/>
          </w:tcPr>
          <w:p w14:paraId="5211AA7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559" w:type="dxa"/>
          </w:tcPr>
          <w:p w14:paraId="0AC4E03D" w14:textId="77777777" w:rsidR="00F45500" w:rsidRPr="007B192E" w:rsidRDefault="002A39AA"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D-</w:t>
            </w:r>
            <w:r w:rsidR="00F45500" w:rsidRPr="007B192E">
              <w:rPr>
                <w:rFonts w:ascii="Arial" w:hAnsi="Arial" w:cs="Arial"/>
                <w:color w:val="000000" w:themeColor="text1"/>
                <w:sz w:val="18"/>
                <w:szCs w:val="18"/>
              </w:rPr>
              <w:t>00.00.00</w:t>
            </w:r>
          </w:p>
        </w:tc>
        <w:tc>
          <w:tcPr>
            <w:tcW w:w="6917" w:type="dxa"/>
          </w:tcPr>
          <w:p w14:paraId="3DDB36A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24C2C520" w14:textId="77777777" w:rsidTr="004D61EE">
        <w:tc>
          <w:tcPr>
            <w:tcW w:w="354" w:type="dxa"/>
          </w:tcPr>
          <w:p w14:paraId="5710324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559" w:type="dxa"/>
          </w:tcPr>
          <w:p w14:paraId="23659726" w14:textId="77777777" w:rsidR="00F45500" w:rsidRPr="007B192E" w:rsidRDefault="00F45500" w:rsidP="008F7A94">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D-05.03.24a</w:t>
            </w:r>
          </w:p>
        </w:tc>
        <w:tc>
          <w:tcPr>
            <w:tcW w:w="6917" w:type="dxa"/>
          </w:tcPr>
          <w:p w14:paraId="0B645FF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Nawierzchnia z betonu asfaltowego do bardzo cienkich warstw (z mieszanki BBTM)</w:t>
            </w:r>
          </w:p>
        </w:tc>
      </w:tr>
    </w:tbl>
    <w:p w14:paraId="5F112527" w14:textId="77777777" w:rsidR="00F45500" w:rsidRPr="007B192E" w:rsidRDefault="00F45500" w:rsidP="004D61EE">
      <w:pPr>
        <w:pStyle w:val="Nagwek2"/>
        <w:numPr>
          <w:ilvl w:val="1"/>
          <w:numId w:val="30"/>
        </w:numPr>
        <w:overflowPunct/>
        <w:autoSpaceDE/>
        <w:spacing w:before="0" w:after="0"/>
        <w:jc w:val="both"/>
        <w:textAlignment w:val="auto"/>
        <w:rPr>
          <w:color w:val="000000" w:themeColor="text1"/>
          <w:sz w:val="18"/>
          <w:szCs w:val="18"/>
        </w:rPr>
      </w:pPr>
      <w:r w:rsidRPr="007B192E">
        <w:rPr>
          <w:color w:val="000000" w:themeColor="text1"/>
          <w:sz w:val="18"/>
          <w:szCs w:val="18"/>
        </w:rPr>
        <w:t>10.2. Normy</w:t>
      </w:r>
    </w:p>
    <w:p w14:paraId="2FCB42C7"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1426 Asfalty i produkty asfaltowe – Oznaczanie penetracji igłą</w:t>
      </w:r>
    </w:p>
    <w:p w14:paraId="23CD9E91"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1427 Asfalty i produkty asfaltowe – Oznaczanie temperatury mięknienia – Metoda Pierścień i Kula</w:t>
      </w:r>
    </w:p>
    <w:p w14:paraId="2248E516"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1428 Asfalty i lepiszcza asfaltowe – Oznaczanie zawartości wody w emulsjach asfaltowych – Metoda destylacji azeotropowej</w:t>
      </w:r>
    </w:p>
    <w:p w14:paraId="6189509C"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1429 Asfalty i lepiszcza asfaltowe – Oznaczanie pozostałości na sicie emulsji asfaltowych oraz trwałości podczas magazynowania metodą pozostałości na sicie</w:t>
      </w:r>
    </w:p>
    <w:p w14:paraId="6BE665C8"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1430 Asfalty i produkty asfaltowe – Oznaczanie polarności cząstek w emulsjach asfaltowych</w:t>
      </w:r>
    </w:p>
    <w:p w14:paraId="00DBA631"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1431 Asfalty i lepiszcza asfaltowe – Oznaczanie zawartości asfaltu i olejów destylacyjnych w emulsjach asfaltowych metodą destylacji</w:t>
      </w:r>
    </w:p>
    <w:p w14:paraId="05835516"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12272-1 Powierzchniowe utrwalanie – Metody badań – Część 1: Dozowanie i poprzeczny rozkład lepiszcza i kruszywa</w:t>
      </w:r>
    </w:p>
    <w:p w14:paraId="1A63D1B6"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12591 Asfalty i lepiszcza asfaltowe – Wymagania dla asfaltów drogowych</w:t>
      </w:r>
    </w:p>
    <w:p w14:paraId="0270F23E"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12846-1 Asfalty i lepiszcza asfaltowe – Oznaczanie czasu wypływu lepkościomierzem wypływowym. Część 1: Emulsje asfaltowe</w:t>
      </w:r>
    </w:p>
    <w:p w14:paraId="4209F4CB"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 xml:space="preserve">PN-EN 12850 Asfalty i lepiszcza asfaltowe – Oznaczanie wartości </w:t>
      </w:r>
      <w:proofErr w:type="spellStart"/>
      <w:r w:rsidRPr="007B192E">
        <w:rPr>
          <w:rFonts w:ascii="Arial" w:hAnsi="Arial" w:cs="Arial"/>
          <w:color w:val="000000" w:themeColor="text1"/>
          <w:sz w:val="18"/>
        </w:rPr>
        <w:t>pH</w:t>
      </w:r>
      <w:proofErr w:type="spellEnd"/>
      <w:r w:rsidRPr="007B192E">
        <w:rPr>
          <w:rFonts w:ascii="Arial" w:hAnsi="Arial" w:cs="Arial"/>
          <w:color w:val="000000" w:themeColor="text1"/>
          <w:sz w:val="18"/>
        </w:rPr>
        <w:t xml:space="preserve"> emulsji asfaltowych</w:t>
      </w:r>
    </w:p>
    <w:p w14:paraId="1300EB98"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13074-1 Asfalty i lepiszcza asfaltowe -- Odzyskiwanie lepiszcza z emulsji asfaltowych lub asfaltów upłynnionych lub fluksowanych -- Część 1: Odzyskiwanie metodą odparowania</w:t>
      </w:r>
    </w:p>
    <w:p w14:paraId="255AECBA"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13074-2 Asfalty i lepiszcza asfaltowe -- Odzyskiwanie lepiszcza z emulsji asfaltowych lub asfaltów upłynnionych lub fluksowanych -- Część 2: Stabilizacja po odzyskaniu metodą odparowania</w:t>
      </w:r>
    </w:p>
    <w:p w14:paraId="2C38727D"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13075-1 Asfalty i lepiszcza asfaltowe – Badanie rozpadu – Część 1: Oznaczanie indeksu rozpadu kationowych emulsji asfaltowych, metoda z wypełniaczem mineralnym</w:t>
      </w:r>
    </w:p>
    <w:p w14:paraId="0C8CF3DD"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13398 Asfalty i lepiszcza asfaltowe – Oznaczanie nawrotu sprężystego asfaltów modyfikowanych</w:t>
      </w:r>
    </w:p>
    <w:p w14:paraId="16741F95"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 xml:space="preserve">PN-EN 13589 Asfalty i lepiszcza asfaltowe -- Oznaczanie siły rozciągania asfaltów modyfikowanych, metoda z </w:t>
      </w:r>
      <w:proofErr w:type="spellStart"/>
      <w:r w:rsidRPr="007B192E">
        <w:rPr>
          <w:rFonts w:ascii="Arial" w:hAnsi="Arial" w:cs="Arial"/>
          <w:color w:val="000000" w:themeColor="text1"/>
          <w:sz w:val="18"/>
        </w:rPr>
        <w:t>duktylometrem</w:t>
      </w:r>
      <w:proofErr w:type="spellEnd"/>
    </w:p>
    <w:p w14:paraId="7FEC56BD"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13614 Asfalty i lepiszcza asfaltowe – Oznaczanie przyczepności emulsji asfaltowych przez zanurzenie w wodzie</w:t>
      </w:r>
    </w:p>
    <w:p w14:paraId="28C89908"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13703 Asfalty i lepiszcza asfaltowe -- Oznaczanie energii odkształcenia</w:t>
      </w:r>
    </w:p>
    <w:p w14:paraId="32A391DD"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13808 Asfalty i lepiszcza asfaltowe – Zasady klasyfikacji kationowych emulsji asfaltowych</w:t>
      </w:r>
    </w:p>
    <w:p w14:paraId="481F897A" w14:textId="77777777" w:rsidR="0064424E"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13808:2013-10/Ap1:2014-07 Asfalty i lepiszcza asfaltowe – Zasady specyfikacji kationowych emulsji asfaltowych. Załącznik krajowy NA</w:t>
      </w:r>
    </w:p>
    <w:p w14:paraId="7CE9DE04" w14:textId="77777777" w:rsidR="00F45500" w:rsidRPr="007B192E" w:rsidRDefault="0064424E"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PN-EN 14023 Asfalty i lepiszcza asfaltowe – Zasady specyfikacji asfaltów modyfikowanych polimerami</w:t>
      </w:r>
    </w:p>
    <w:p w14:paraId="32F73158" w14:textId="77777777" w:rsidR="00F45500" w:rsidRPr="007B192E" w:rsidRDefault="00F45500" w:rsidP="00973813">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10.3. Inne dokumenty</w:t>
      </w:r>
    </w:p>
    <w:p w14:paraId="502CDA67" w14:textId="77777777" w:rsidR="00F45500" w:rsidRPr="007B192E"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 xml:space="preserve">Katalog typowych konstrukcji nawierzchni podatnych i półsztywnych. Załącznik do Zarządzenia nr 31 Generalnego Dyrektora Dróg Krajowych i Autostrad z dnia 16 czerwca 2014 r. </w:t>
      </w:r>
    </w:p>
    <w:p w14:paraId="63C38EA9" w14:textId="77777777" w:rsidR="00F45500" w:rsidRPr="007B192E"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bookmarkStart w:id="156" w:name="_Toc344981403"/>
      <w:r w:rsidRPr="007B192E">
        <w:rPr>
          <w:rFonts w:ascii="Arial" w:hAnsi="Arial" w:cs="Arial"/>
          <w:color w:val="000000" w:themeColor="text1"/>
          <w:sz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6044E327" w14:textId="77777777" w:rsidR="00F45500" w:rsidRPr="007B192E"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4DCB2F60" w14:textId="77777777" w:rsidR="00F45500" w:rsidRPr="007B192E" w:rsidRDefault="00F45500" w:rsidP="00BA5651">
      <w:pPr>
        <w:pStyle w:val="Akapitzlist"/>
        <w:widowControl/>
        <w:numPr>
          <w:ilvl w:val="0"/>
          <w:numId w:val="275"/>
        </w:numPr>
        <w:suppressAutoHyphens w:val="0"/>
        <w:overflowPunct/>
        <w:autoSpaceDE/>
        <w:ind w:left="142" w:hanging="153"/>
        <w:jc w:val="both"/>
        <w:textAlignment w:val="auto"/>
        <w:rPr>
          <w:rFonts w:ascii="Arial" w:hAnsi="Arial" w:cs="Arial"/>
          <w:color w:val="000000" w:themeColor="text1"/>
          <w:sz w:val="18"/>
        </w:rPr>
      </w:pPr>
      <w:r w:rsidRPr="007B192E">
        <w:rPr>
          <w:rFonts w:ascii="Arial" w:hAnsi="Arial" w:cs="Arial"/>
          <w:color w:val="000000" w:themeColor="text1"/>
          <w:sz w:val="18"/>
        </w:rPr>
        <w:t xml:space="preserve">Instrukcja laboratoryjnego badania </w:t>
      </w:r>
      <w:proofErr w:type="spellStart"/>
      <w:r w:rsidRPr="007B192E">
        <w:rPr>
          <w:rFonts w:ascii="Arial" w:hAnsi="Arial" w:cs="Arial"/>
          <w:color w:val="000000" w:themeColor="text1"/>
          <w:sz w:val="18"/>
        </w:rPr>
        <w:t>sczepności</w:t>
      </w:r>
      <w:proofErr w:type="spellEnd"/>
      <w:r w:rsidRPr="007B192E">
        <w:rPr>
          <w:rFonts w:ascii="Arial" w:hAnsi="Arial" w:cs="Arial"/>
          <w:color w:val="000000" w:themeColor="text1"/>
          <w:sz w:val="18"/>
        </w:rPr>
        <w:t xml:space="preserve"> </w:t>
      </w:r>
      <w:proofErr w:type="spellStart"/>
      <w:r w:rsidRPr="007B192E">
        <w:rPr>
          <w:rFonts w:ascii="Arial" w:hAnsi="Arial" w:cs="Arial"/>
          <w:color w:val="000000" w:themeColor="text1"/>
          <w:sz w:val="18"/>
        </w:rPr>
        <w:t>międzywarstwowej</w:t>
      </w:r>
      <w:proofErr w:type="spellEnd"/>
      <w:r w:rsidRPr="007B192E">
        <w:rPr>
          <w:rFonts w:ascii="Arial" w:hAnsi="Arial" w:cs="Arial"/>
          <w:color w:val="000000" w:themeColor="text1"/>
          <w:sz w:val="18"/>
        </w:rPr>
        <w:t xml:space="preserve"> warstw asfaltowych wg metody </w:t>
      </w:r>
      <w:proofErr w:type="spellStart"/>
      <w:r w:rsidRPr="007B192E">
        <w:rPr>
          <w:rFonts w:ascii="Arial" w:hAnsi="Arial" w:cs="Arial"/>
          <w:color w:val="000000" w:themeColor="text1"/>
          <w:sz w:val="18"/>
        </w:rPr>
        <w:t>Leutnera</w:t>
      </w:r>
      <w:proofErr w:type="spellEnd"/>
      <w:r w:rsidRPr="007B192E">
        <w:rPr>
          <w:rFonts w:ascii="Arial" w:hAnsi="Arial" w:cs="Arial"/>
          <w:color w:val="000000" w:themeColor="text1"/>
          <w:sz w:val="18"/>
        </w:rPr>
        <w:t xml:space="preserve"> i wymagania techniczne </w:t>
      </w:r>
      <w:proofErr w:type="spellStart"/>
      <w:r w:rsidRPr="007B192E">
        <w:rPr>
          <w:rFonts w:ascii="Arial" w:hAnsi="Arial" w:cs="Arial"/>
          <w:color w:val="000000" w:themeColor="text1"/>
          <w:sz w:val="18"/>
        </w:rPr>
        <w:t>sczepności</w:t>
      </w:r>
      <w:proofErr w:type="spellEnd"/>
      <w:r w:rsidRPr="007B192E">
        <w:rPr>
          <w:rFonts w:ascii="Arial" w:hAnsi="Arial" w:cs="Arial"/>
          <w:color w:val="000000" w:themeColor="text1"/>
          <w:sz w:val="18"/>
        </w:rPr>
        <w:t xml:space="preserve">”, GDDKiA, Gdańsk, 2014, [Internet, dostęp 4.08.2015] </w:t>
      </w:r>
      <w:r w:rsidRPr="007B192E">
        <w:rPr>
          <w:rFonts w:ascii="Arial" w:hAnsi="Arial" w:cs="Arial"/>
          <w:color w:val="000000" w:themeColor="text1"/>
          <w:sz w:val="18"/>
        </w:rPr>
        <w:br/>
        <w:t>https://www.gddkia.gov.pl/userfiles/articles</w:t>
      </w:r>
      <w:r w:rsidR="001D052E" w:rsidRPr="007B192E">
        <w:rPr>
          <w:rFonts w:ascii="Arial" w:hAnsi="Arial" w:cs="Arial"/>
          <w:color w:val="000000" w:themeColor="text1"/>
          <w:sz w:val="18"/>
        </w:rPr>
        <w:t>/d/dokumenty-</w:t>
      </w:r>
      <w:r w:rsidRPr="007B192E">
        <w:rPr>
          <w:rFonts w:ascii="Arial" w:hAnsi="Arial" w:cs="Arial"/>
          <w:color w:val="000000" w:themeColor="text1"/>
          <w:sz w:val="18"/>
        </w:rPr>
        <w:t>techniczne_8162/INSTRUKCJA%20LABORATORYJNEGO%20BADANIA%20SCZEPNOSCI%20MIEDZYWARSTWOWEJ%2031.08.2014.pdf</w:t>
      </w:r>
    </w:p>
    <w:p w14:paraId="06E55869" w14:textId="77777777" w:rsidR="00F45500" w:rsidRPr="007B192E" w:rsidRDefault="00072856" w:rsidP="00A312A9">
      <w:pPr>
        <w:pStyle w:val="Nagwek1"/>
        <w:jc w:val="center"/>
        <w:rPr>
          <w:color w:val="000000" w:themeColor="text1"/>
          <w:sz w:val="40"/>
        </w:rPr>
      </w:pPr>
      <w:bookmarkStart w:id="157" w:name="_Toc138757093"/>
      <w:bookmarkStart w:id="158" w:name="_Toc163481053"/>
      <w:bookmarkEnd w:id="156"/>
      <w:r w:rsidRPr="007B192E">
        <w:rPr>
          <w:color w:val="000000" w:themeColor="text1"/>
          <w:sz w:val="40"/>
        </w:rPr>
        <w:lastRenderedPageBreak/>
        <w:t>D-</w:t>
      </w:r>
      <w:r w:rsidR="00A312A9" w:rsidRPr="007B192E">
        <w:rPr>
          <w:color w:val="000000" w:themeColor="text1"/>
          <w:sz w:val="40"/>
        </w:rPr>
        <w:t xml:space="preserve">04.04.00a </w:t>
      </w:r>
      <w:r w:rsidR="00F45500" w:rsidRPr="007B192E">
        <w:rPr>
          <w:color w:val="000000" w:themeColor="text1"/>
          <w:sz w:val="40"/>
        </w:rPr>
        <w:t>PODŁOŻE  ULEPSZONE</w:t>
      </w:r>
      <w:r w:rsidR="00A312A9" w:rsidRPr="007B192E">
        <w:rPr>
          <w:color w:val="000000" w:themeColor="text1"/>
          <w:sz w:val="40"/>
        </w:rPr>
        <w:t xml:space="preserve"> </w:t>
      </w:r>
      <w:r w:rsidR="00F45500" w:rsidRPr="007B192E">
        <w:rPr>
          <w:color w:val="000000" w:themeColor="text1"/>
          <w:sz w:val="40"/>
        </w:rPr>
        <w:t>Z  MIESZANKI  KRUSZYWA  NIEZWIĄZANEGO</w:t>
      </w:r>
      <w:bookmarkEnd w:id="157"/>
      <w:bookmarkEnd w:id="158"/>
    </w:p>
    <w:p w14:paraId="277D6227" w14:textId="77777777" w:rsidR="00F45500" w:rsidRPr="007B192E" w:rsidRDefault="00F45500" w:rsidP="001D052E">
      <w:pPr>
        <w:pStyle w:val="Nagwek2"/>
        <w:rPr>
          <w:i w:val="0"/>
          <w:color w:val="000000" w:themeColor="text1"/>
        </w:rPr>
      </w:pPr>
      <w:r w:rsidRPr="007B192E">
        <w:rPr>
          <w:i w:val="0"/>
          <w:color w:val="000000" w:themeColor="text1"/>
        </w:rPr>
        <w:t>1. WSTĘP</w:t>
      </w:r>
    </w:p>
    <w:p w14:paraId="102B39E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655819B1" w14:textId="77777777" w:rsidR="00F45500" w:rsidRPr="007B192E" w:rsidRDefault="00F45500" w:rsidP="00F45500">
      <w:pPr>
        <w:pStyle w:val="Standardowytekst"/>
        <w:spacing w:line="216" w:lineRule="auto"/>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wykonaniem podłoża ulepszonego z mieszanki kruszywa niezwiązanego.</w:t>
      </w:r>
    </w:p>
    <w:p w14:paraId="7FDE9AE6"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19E9769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2C76932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bookmarkStart w:id="159" w:name="_Toc405615033"/>
      <w:bookmarkStart w:id="160" w:name="_Toc407161181"/>
      <w:r w:rsidRPr="007B192E">
        <w:rPr>
          <w:color w:val="000000" w:themeColor="text1"/>
          <w:sz w:val="18"/>
          <w:szCs w:val="18"/>
        </w:rPr>
        <w:t>1.3. Zakres robót objętych ST</w:t>
      </w:r>
      <w:bookmarkEnd w:id="159"/>
      <w:bookmarkEnd w:id="160"/>
    </w:p>
    <w:p w14:paraId="5BF94B3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wykonaniem i odbiorem podłoża ulepszonego z mieszanki kruszywa niezwiązanego, tj. ziarnistego materiału o określonym składzie ziarnowym, w procesie technologicznym polegającym na odpowiednim zagęszczeniu przy optymalnej wilgotności kruszywa.</w:t>
      </w:r>
    </w:p>
    <w:p w14:paraId="05C842D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Mieszanka niezwiązana może być wytworzona z kruszyw naturalnych, sztucznych, kruszyw z recyklingu oraz mieszanin tych kruszyw w określonych proporcjach.</w:t>
      </w:r>
    </w:p>
    <w:p w14:paraId="6EB9309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Podłoże ulepszone, leżące pod konstrukcją nawierzchni drogowej wykonuje się w przypadku, gdy grunt rodzimy lub nasypowy w podłożu gruntowym nie spełnia warunku nośności lub/i mrozoodporności. Podłoże ulepszone może składać się z warstw: </w:t>
      </w:r>
      <w:proofErr w:type="spellStart"/>
      <w:r w:rsidRPr="007B192E">
        <w:rPr>
          <w:rFonts w:ascii="Arial" w:hAnsi="Arial" w:cs="Arial"/>
          <w:color w:val="000000" w:themeColor="text1"/>
          <w:sz w:val="18"/>
          <w:szCs w:val="18"/>
        </w:rPr>
        <w:t>mrozoochronnej</w:t>
      </w:r>
      <w:proofErr w:type="spellEnd"/>
      <w:r w:rsidRPr="007B192E">
        <w:rPr>
          <w:rFonts w:ascii="Arial" w:hAnsi="Arial" w:cs="Arial"/>
          <w:color w:val="000000" w:themeColor="text1"/>
          <w:sz w:val="18"/>
          <w:szCs w:val="18"/>
        </w:rPr>
        <w:t>, odsączającej, odcinającej i wzmacniającej lub w przypadku podłoża ulepszonego jednowarstwowego może spełniać funkcje wszystkich tych warstw jednocześnie.</w:t>
      </w:r>
    </w:p>
    <w:p w14:paraId="5189B55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2AFEDC7E" w14:textId="77777777" w:rsidR="00F45500" w:rsidRPr="007B192E" w:rsidRDefault="00F45500" w:rsidP="00F45500">
      <w:pPr>
        <w:pStyle w:val="Bezodstpw"/>
        <w:jc w:val="both"/>
        <w:rPr>
          <w:rFonts w:cs="Arial"/>
          <w:color w:val="000000" w:themeColor="text1"/>
          <w:sz w:val="18"/>
          <w:szCs w:val="18"/>
        </w:rPr>
      </w:pPr>
      <w:r w:rsidRPr="007B192E">
        <w:rPr>
          <w:rFonts w:cs="Arial"/>
          <w:b/>
          <w:color w:val="000000" w:themeColor="text1"/>
          <w:sz w:val="18"/>
          <w:szCs w:val="18"/>
        </w:rPr>
        <w:t>1.4.1.</w:t>
      </w:r>
      <w:r w:rsidRPr="007B192E">
        <w:rPr>
          <w:rFonts w:cs="Arial"/>
          <w:color w:val="000000" w:themeColor="text1"/>
          <w:sz w:val="18"/>
          <w:szCs w:val="18"/>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0E5D9A5A"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1.4.2.</w:t>
      </w:r>
      <w:r w:rsidRPr="007B192E">
        <w:rPr>
          <w:rFonts w:cs="Arial"/>
          <w:color w:val="000000" w:themeColor="text1"/>
          <w:sz w:val="18"/>
          <w:szCs w:val="18"/>
        </w:rPr>
        <w:t xml:space="preserve"> Kategoria – charakterystyczny poziom właściwości kruszywa lub mieszanki niezwiązanej, wyrażony, jako przedział wartości lub wartość graniczna. Nie ma zależności pomiędzy kategoriami różnych właściwości.</w:t>
      </w:r>
    </w:p>
    <w:p w14:paraId="37F73A99"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1.4.3.</w:t>
      </w:r>
      <w:r w:rsidRPr="007B192E">
        <w:rPr>
          <w:rFonts w:cs="Arial"/>
          <w:color w:val="000000" w:themeColor="text1"/>
          <w:sz w:val="18"/>
          <w:szCs w:val="18"/>
        </w:rPr>
        <w:t xml:space="preserve"> Kruszywo – materiał ziarnisty stosowany w budownictwie, który może być naturalny, sztuczny lub z recyklingu.</w:t>
      </w:r>
    </w:p>
    <w:p w14:paraId="228FD980"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1.4.4.</w:t>
      </w:r>
      <w:r w:rsidRPr="007B192E">
        <w:rPr>
          <w:rFonts w:cs="Arial"/>
          <w:color w:val="000000" w:themeColor="text1"/>
          <w:sz w:val="18"/>
          <w:szCs w:val="18"/>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0397B5C8"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1.4.5.</w:t>
      </w:r>
      <w:r w:rsidRPr="007B192E">
        <w:rPr>
          <w:rFonts w:cs="Arial"/>
          <w:color w:val="000000" w:themeColor="text1"/>
          <w:sz w:val="18"/>
          <w:szCs w:val="18"/>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6E25688F"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1.4.6.</w:t>
      </w:r>
      <w:r w:rsidRPr="007B192E">
        <w:rPr>
          <w:rFonts w:cs="Arial"/>
          <w:color w:val="000000" w:themeColor="text1"/>
          <w:sz w:val="18"/>
          <w:szCs w:val="18"/>
        </w:rPr>
        <w:t xml:space="preserve"> Kruszywo z recyklingu – kruszywo powstałe w wyniku przeróbki materiału zastosowanego uprzednio w budownictwie.</w:t>
      </w:r>
    </w:p>
    <w:p w14:paraId="2C292AEA"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1.4.7.</w:t>
      </w:r>
      <w:r w:rsidRPr="007B192E">
        <w:rPr>
          <w:rFonts w:cs="Arial"/>
          <w:color w:val="000000" w:themeColor="text1"/>
          <w:sz w:val="18"/>
          <w:szCs w:val="18"/>
        </w:rPr>
        <w:t xml:space="preserve"> Kruszywo kamienne – kruszywo z mineralnych surowców jak żwir kruszony, mechanicznie rozdrobnione skały, nadziarno żwirowe.</w:t>
      </w:r>
    </w:p>
    <w:p w14:paraId="42601B50"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1.4.8.</w:t>
      </w:r>
      <w:r w:rsidRPr="007B192E">
        <w:rPr>
          <w:rFonts w:cs="Arial"/>
          <w:color w:val="000000" w:themeColor="text1"/>
          <w:sz w:val="18"/>
          <w:szCs w:val="18"/>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C04B0C3"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1.4.9.</w:t>
      </w:r>
      <w:r w:rsidRPr="007B192E">
        <w:rPr>
          <w:rFonts w:cs="Arial"/>
          <w:color w:val="000000" w:themeColor="text1"/>
          <w:sz w:val="18"/>
          <w:szCs w:val="18"/>
        </w:rPr>
        <w:t xml:space="preserve"> Kruszywo żużlowe z żużla stalowniczego – kruszywo składające się głównie ze skrystalizowanego krzemianu wapnia i ferrytu zawierającego </w:t>
      </w:r>
      <w:proofErr w:type="spellStart"/>
      <w:r w:rsidRPr="007B192E">
        <w:rPr>
          <w:rFonts w:cs="Arial"/>
          <w:color w:val="000000" w:themeColor="text1"/>
          <w:sz w:val="18"/>
          <w:szCs w:val="18"/>
        </w:rPr>
        <w:t>CaO</w:t>
      </w:r>
      <w:proofErr w:type="spellEnd"/>
      <w:r w:rsidRPr="007B192E">
        <w:rPr>
          <w:rFonts w:cs="Arial"/>
          <w:color w:val="000000" w:themeColor="text1"/>
          <w:sz w:val="18"/>
          <w:szCs w:val="18"/>
        </w:rPr>
        <w:t>, SiO</w:t>
      </w:r>
      <w:r w:rsidRPr="007B192E">
        <w:rPr>
          <w:rFonts w:cs="Arial"/>
          <w:color w:val="000000" w:themeColor="text1"/>
          <w:sz w:val="18"/>
          <w:szCs w:val="18"/>
          <w:vertAlign w:val="subscript"/>
        </w:rPr>
        <w:t>2</w:t>
      </w:r>
      <w:r w:rsidRPr="007B192E">
        <w:rPr>
          <w:rFonts w:cs="Arial"/>
          <w:color w:val="000000" w:themeColor="text1"/>
          <w:sz w:val="18"/>
          <w:szCs w:val="18"/>
        </w:rPr>
        <w:t xml:space="preserve">, </w:t>
      </w:r>
      <w:proofErr w:type="spellStart"/>
      <w:r w:rsidRPr="007B192E">
        <w:rPr>
          <w:rFonts w:cs="Arial"/>
          <w:color w:val="000000" w:themeColor="text1"/>
          <w:sz w:val="18"/>
          <w:szCs w:val="18"/>
        </w:rPr>
        <w:t>MgO</w:t>
      </w:r>
      <w:proofErr w:type="spellEnd"/>
      <w:r w:rsidRPr="007B192E">
        <w:rPr>
          <w:rFonts w:cs="Arial"/>
          <w:color w:val="000000" w:themeColor="text1"/>
          <w:sz w:val="18"/>
          <w:szCs w:val="18"/>
        </w:rPr>
        <w:t xml:space="preserve"> oraz tlenek żelaza. Kruszywo otrzymuje się przez powolne schładzanie powietrzem ciekłego żużla stalowniczego. Proces chłodzenia może odbywać się przy kontrolowanym dodawaniu wody. </w:t>
      </w:r>
    </w:p>
    <w:p w14:paraId="5AFE2DD6"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1.4.10.</w:t>
      </w:r>
      <w:r w:rsidRPr="007B192E">
        <w:rPr>
          <w:rFonts w:cs="Arial"/>
          <w:color w:val="000000" w:themeColor="text1"/>
          <w:sz w:val="18"/>
          <w:szCs w:val="18"/>
        </w:rPr>
        <w:t xml:space="preserve"> Kategoria ruchu (KR1 ÷ KR6) – obciążenie drogi ruchem samochodowym, wyrażone w osiach obliczeniowych (100 </w:t>
      </w:r>
      <w:proofErr w:type="spellStart"/>
      <w:r w:rsidRPr="007B192E">
        <w:rPr>
          <w:rFonts w:cs="Arial"/>
          <w:color w:val="000000" w:themeColor="text1"/>
          <w:sz w:val="18"/>
          <w:szCs w:val="18"/>
        </w:rPr>
        <w:t>kN</w:t>
      </w:r>
      <w:proofErr w:type="spellEnd"/>
      <w:r w:rsidRPr="007B192E">
        <w:rPr>
          <w:rFonts w:cs="Arial"/>
          <w:color w:val="000000" w:themeColor="text1"/>
          <w:sz w:val="18"/>
          <w:szCs w:val="18"/>
        </w:rPr>
        <w:t>) według „Katalogu typowych konstrukcji nawierzchni podatnych i półsztywnych”. Generalna Dyrekcja Dróg Publicznych – Instytut Badawczy Dróg i Mostów, Warszawa 1997 [24]</w:t>
      </w:r>
    </w:p>
    <w:p w14:paraId="64315477"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1.4.11</w:t>
      </w:r>
      <w:r w:rsidRPr="007B192E">
        <w:rPr>
          <w:rFonts w:cs="Arial"/>
          <w:color w:val="000000" w:themeColor="text1"/>
          <w:sz w:val="18"/>
          <w:szCs w:val="18"/>
        </w:rPr>
        <w:t xml:space="preserve">. Kruszywo grube (wg PN-EN 13242) – oznaczenie kruszywa o wymiarach ziaren </w:t>
      </w:r>
      <w:r w:rsidRPr="007B192E">
        <w:rPr>
          <w:rFonts w:cs="Arial"/>
          <w:i/>
          <w:color w:val="000000" w:themeColor="text1"/>
          <w:sz w:val="18"/>
          <w:szCs w:val="18"/>
        </w:rPr>
        <w:t xml:space="preserve">d </w:t>
      </w:r>
      <w:r w:rsidRPr="007B192E">
        <w:rPr>
          <w:rFonts w:cs="Arial"/>
          <w:color w:val="000000" w:themeColor="text1"/>
          <w:sz w:val="18"/>
          <w:szCs w:val="18"/>
        </w:rPr>
        <w:t xml:space="preserve">(dolnego) równym lub większym niż 1 mm oraz </w:t>
      </w:r>
      <w:r w:rsidRPr="007B192E">
        <w:rPr>
          <w:rFonts w:cs="Arial"/>
          <w:i/>
          <w:color w:val="000000" w:themeColor="text1"/>
          <w:sz w:val="18"/>
          <w:szCs w:val="18"/>
        </w:rPr>
        <w:t xml:space="preserve">D </w:t>
      </w:r>
      <w:r w:rsidRPr="007B192E">
        <w:rPr>
          <w:rFonts w:cs="Arial"/>
          <w:color w:val="000000" w:themeColor="text1"/>
          <w:sz w:val="18"/>
          <w:szCs w:val="18"/>
        </w:rPr>
        <w:t>(górnego) większym niż 2 mm.</w:t>
      </w:r>
    </w:p>
    <w:p w14:paraId="53823E62"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1.4.12.</w:t>
      </w:r>
      <w:r w:rsidRPr="007B192E">
        <w:rPr>
          <w:rFonts w:cs="Arial"/>
          <w:color w:val="000000" w:themeColor="text1"/>
          <w:sz w:val="18"/>
          <w:szCs w:val="18"/>
        </w:rPr>
        <w:t xml:space="preserve"> Kruszywo drobne (wg PN-EN 13242) – oznaczenie kruszywa o wymiarach ziaren </w:t>
      </w:r>
      <w:r w:rsidRPr="007B192E">
        <w:rPr>
          <w:rFonts w:cs="Arial"/>
          <w:i/>
          <w:color w:val="000000" w:themeColor="text1"/>
          <w:sz w:val="18"/>
          <w:szCs w:val="18"/>
        </w:rPr>
        <w:t>d</w:t>
      </w:r>
      <w:r w:rsidRPr="007B192E">
        <w:rPr>
          <w:rFonts w:cs="Arial"/>
          <w:color w:val="000000" w:themeColor="text1"/>
          <w:sz w:val="18"/>
          <w:szCs w:val="18"/>
        </w:rPr>
        <w:t xml:space="preserve"> równym 0 oraz </w:t>
      </w:r>
      <w:r w:rsidRPr="007B192E">
        <w:rPr>
          <w:rFonts w:cs="Arial"/>
          <w:i/>
          <w:color w:val="000000" w:themeColor="text1"/>
          <w:sz w:val="18"/>
          <w:szCs w:val="18"/>
        </w:rPr>
        <w:t>D</w:t>
      </w:r>
      <w:r w:rsidRPr="007B192E">
        <w:rPr>
          <w:rFonts w:cs="Arial"/>
          <w:color w:val="000000" w:themeColor="text1"/>
          <w:sz w:val="18"/>
          <w:szCs w:val="18"/>
        </w:rPr>
        <w:t xml:space="preserve"> równym 6,3 mm lub mniejszym. </w:t>
      </w:r>
    </w:p>
    <w:p w14:paraId="46A017AF"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1.4.13.</w:t>
      </w:r>
      <w:r w:rsidRPr="007B192E">
        <w:rPr>
          <w:rFonts w:cs="Arial"/>
          <w:color w:val="000000" w:themeColor="text1"/>
          <w:sz w:val="18"/>
          <w:szCs w:val="18"/>
        </w:rPr>
        <w:t xml:space="preserve"> Kruszywo o ciągłym uziarnieniu (wg PN-EN 13242) – kruszywo stanowiące mieszankę kruszyw grubych i drobnych, w której </w:t>
      </w:r>
      <w:r w:rsidRPr="007B192E">
        <w:rPr>
          <w:rFonts w:cs="Arial"/>
          <w:i/>
          <w:color w:val="000000" w:themeColor="text1"/>
          <w:sz w:val="18"/>
          <w:szCs w:val="18"/>
        </w:rPr>
        <w:t>D</w:t>
      </w:r>
      <w:r w:rsidRPr="007B192E">
        <w:rPr>
          <w:rFonts w:cs="Arial"/>
          <w:color w:val="000000" w:themeColor="text1"/>
          <w:sz w:val="18"/>
          <w:szCs w:val="18"/>
        </w:rPr>
        <w:t xml:space="preserve"> jest większe niż 6,3 mm.</w:t>
      </w:r>
    </w:p>
    <w:p w14:paraId="06B96580"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1.4.14.</w:t>
      </w:r>
      <w:r w:rsidRPr="007B192E">
        <w:rPr>
          <w:rFonts w:cs="Arial"/>
          <w:color w:val="000000" w:themeColor="text1"/>
          <w:sz w:val="18"/>
          <w:szCs w:val="18"/>
        </w:rPr>
        <w:t xml:space="preserve"> Destrukt asfaltowy – materiał drogowy pochodzący z frezowania istniejących warstw z mieszanek mineralno-asfaltowych (</w:t>
      </w:r>
      <w:proofErr w:type="spellStart"/>
      <w:r w:rsidRPr="007B192E">
        <w:rPr>
          <w:rFonts w:cs="Arial"/>
          <w:color w:val="000000" w:themeColor="text1"/>
          <w:sz w:val="18"/>
          <w:szCs w:val="18"/>
        </w:rPr>
        <w:t>mma</w:t>
      </w:r>
      <w:proofErr w:type="spellEnd"/>
      <w:r w:rsidRPr="007B192E">
        <w:rPr>
          <w:rFonts w:cs="Arial"/>
          <w:color w:val="000000" w:themeColor="text1"/>
          <w:sz w:val="18"/>
          <w:szCs w:val="18"/>
        </w:rPr>
        <w:t xml:space="preserve">) lub z </w:t>
      </w:r>
      <w:proofErr w:type="spellStart"/>
      <w:r w:rsidRPr="007B192E">
        <w:rPr>
          <w:rFonts w:cs="Arial"/>
          <w:color w:val="000000" w:themeColor="text1"/>
          <w:sz w:val="18"/>
          <w:szCs w:val="18"/>
        </w:rPr>
        <w:t>przekruszenia</w:t>
      </w:r>
      <w:proofErr w:type="spellEnd"/>
      <w:r w:rsidRPr="007B192E">
        <w:rPr>
          <w:rFonts w:cs="Arial"/>
          <w:color w:val="000000" w:themeColor="text1"/>
          <w:sz w:val="18"/>
          <w:szCs w:val="18"/>
        </w:rPr>
        <w:t xml:space="preserve"> kawałków warstw nawierzchni asfaltowych oraz niewbudowanych partii </w:t>
      </w:r>
      <w:proofErr w:type="spellStart"/>
      <w:r w:rsidRPr="007B192E">
        <w:rPr>
          <w:rFonts w:cs="Arial"/>
          <w:color w:val="000000" w:themeColor="text1"/>
          <w:sz w:val="18"/>
          <w:szCs w:val="18"/>
        </w:rPr>
        <w:lastRenderedPageBreak/>
        <w:t>mma</w:t>
      </w:r>
      <w:proofErr w:type="spellEnd"/>
      <w:r w:rsidRPr="007B192E">
        <w:rPr>
          <w:rFonts w:cs="Arial"/>
          <w:color w:val="000000" w:themeColor="text1"/>
          <w:sz w:val="18"/>
          <w:szCs w:val="18"/>
        </w:rPr>
        <w:t xml:space="preserve">, który został ujednorodniony pod względem składu oraz co najmniej przesiany, w celu odrzucenia dużych kawałków </w:t>
      </w:r>
      <w:proofErr w:type="spellStart"/>
      <w:r w:rsidRPr="007B192E">
        <w:rPr>
          <w:rFonts w:cs="Arial"/>
          <w:color w:val="000000" w:themeColor="text1"/>
          <w:sz w:val="18"/>
          <w:szCs w:val="18"/>
        </w:rPr>
        <w:t>mma</w:t>
      </w:r>
      <w:proofErr w:type="spellEnd"/>
      <w:r w:rsidRPr="007B192E">
        <w:rPr>
          <w:rFonts w:cs="Arial"/>
          <w:color w:val="000000" w:themeColor="text1"/>
          <w:sz w:val="18"/>
          <w:szCs w:val="18"/>
        </w:rPr>
        <w:t xml:space="preserve"> (nadziarno nie większe od 1,4 D mieszanki niezwiązanej).</w:t>
      </w:r>
    </w:p>
    <w:p w14:paraId="11779993"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1.4.15.</w:t>
      </w:r>
      <w:r w:rsidRPr="007B192E">
        <w:rPr>
          <w:rFonts w:cs="Arial"/>
          <w:color w:val="000000" w:themeColor="text1"/>
          <w:sz w:val="18"/>
          <w:szCs w:val="18"/>
        </w:rPr>
        <w:t xml:space="preserve"> 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przekraczającymi ± 8%. Uziarnienie kruszywa należy sprawdzać na sitach przewidzianych do kontroli uziarnienia wg PN-EN 13285 i niniejszej ST. O zakwalifikowaniu kruszywa do kruszyw słabych decyduje największa różnica wartości przesiewów na jednym z sit kontrolnych. </w:t>
      </w:r>
    </w:p>
    <w:p w14:paraId="344B471D"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1.4.16.</w:t>
      </w:r>
      <w:r w:rsidRPr="007B192E">
        <w:rPr>
          <w:rFonts w:cs="Arial"/>
          <w:color w:val="000000" w:themeColor="text1"/>
          <w:sz w:val="18"/>
          <w:szCs w:val="18"/>
        </w:rPr>
        <w:t xml:space="preserve"> Podłoże ulepszone – warstwa lub zespół warstw leżących pod konstrukcją nawierzchni drogowej w przypadku, gdy podłoże gruntowe (grunt rodzimy lub nasypowy) nie spełnia warunku nośności i/lub mrozoodporności.</w:t>
      </w:r>
    </w:p>
    <w:p w14:paraId="46F3EB8B"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color w:val="000000" w:themeColor="text1"/>
          <w:sz w:val="18"/>
          <w:szCs w:val="18"/>
        </w:rPr>
        <w:t xml:space="preserve">Podłoże ulepszone może zawierać następujące warstwy: </w:t>
      </w:r>
      <w:proofErr w:type="spellStart"/>
      <w:r w:rsidRPr="007B192E">
        <w:rPr>
          <w:rFonts w:cs="Arial"/>
          <w:color w:val="000000" w:themeColor="text1"/>
          <w:sz w:val="18"/>
          <w:szCs w:val="18"/>
        </w:rPr>
        <w:t>mrozoochronną</w:t>
      </w:r>
      <w:proofErr w:type="spellEnd"/>
      <w:r w:rsidRPr="007B192E">
        <w:rPr>
          <w:rFonts w:cs="Arial"/>
          <w:color w:val="000000" w:themeColor="text1"/>
          <w:sz w:val="18"/>
          <w:szCs w:val="18"/>
        </w:rPr>
        <w:t>, odsączającą, odcinającą i wzmacniającą, a w przypadku podłoża ulepszonego jednowarstwowego może ono spełniać funkcje wszystkich tych warstw jednocześnie.</w:t>
      </w:r>
    </w:p>
    <w:p w14:paraId="169FFC54"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1.4.17.</w:t>
      </w:r>
      <w:r w:rsidRPr="007B192E">
        <w:rPr>
          <w:rFonts w:cs="Arial"/>
          <w:color w:val="000000" w:themeColor="text1"/>
          <w:sz w:val="18"/>
          <w:szCs w:val="18"/>
        </w:rPr>
        <w:t xml:space="preserve"> Warstwa </w:t>
      </w:r>
      <w:proofErr w:type="spellStart"/>
      <w:r w:rsidRPr="007B192E">
        <w:rPr>
          <w:rFonts w:cs="Arial"/>
          <w:color w:val="000000" w:themeColor="text1"/>
          <w:sz w:val="18"/>
          <w:szCs w:val="18"/>
        </w:rPr>
        <w:t>mrozoochronna</w:t>
      </w:r>
      <w:proofErr w:type="spellEnd"/>
      <w:r w:rsidRPr="007B192E">
        <w:rPr>
          <w:rFonts w:cs="Arial"/>
          <w:color w:val="000000" w:themeColor="text1"/>
          <w:sz w:val="18"/>
          <w:szCs w:val="18"/>
        </w:rPr>
        <w:t xml:space="preserve"> – warstwa zapewniająca ochronę konstrukcji nawierzchni drogowej przed skutkami oddziaływania mrozu.</w:t>
      </w:r>
    </w:p>
    <w:p w14:paraId="129FEB46"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1.4.18.</w:t>
      </w:r>
      <w:r w:rsidRPr="007B192E">
        <w:rPr>
          <w:rFonts w:cs="Arial"/>
          <w:color w:val="000000" w:themeColor="text1"/>
          <w:sz w:val="18"/>
          <w:szCs w:val="18"/>
        </w:rPr>
        <w:t xml:space="preserve"> Warstwa odsączająca – warstwa służąca do odprowadzenia wody, która mogłaby przedostać się do konstrukcji nawierzchni drogowej. Jeżeli występuje w podłożu ulepszonym, jest warstwą najniżej położoną lub w przypadku występującej warstwy odcinającej, ułożona jest bezpośrednią nad nią. Warstwa ta charakteryzuje się wystarczającą przepuszczalnością po zagęszczeniu.</w:t>
      </w:r>
    </w:p>
    <w:p w14:paraId="1C119E38"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1.4.19.</w:t>
      </w:r>
      <w:r w:rsidRPr="007B192E">
        <w:rPr>
          <w:rFonts w:cs="Arial"/>
          <w:color w:val="000000" w:themeColor="text1"/>
          <w:sz w:val="18"/>
          <w:szCs w:val="18"/>
        </w:rPr>
        <w:t xml:space="preserve"> Warstwa odcinająca – warstwa stosowana w celu uniemożliwienia przedostania się cząstek gruntu podłoża   do   warstw   wyżej   położonych.   Warstwa  ta   powinna  zapewnić  spełnienie  warunku  szczelności  (D</w:t>
      </w:r>
      <w:r w:rsidRPr="007B192E">
        <w:rPr>
          <w:rFonts w:cs="Arial"/>
          <w:color w:val="000000" w:themeColor="text1"/>
          <w:sz w:val="18"/>
          <w:szCs w:val="18"/>
          <w:vertAlign w:val="subscript"/>
        </w:rPr>
        <w:t>15</w:t>
      </w:r>
      <w:r w:rsidRPr="007B192E">
        <w:rPr>
          <w:rFonts w:cs="Arial"/>
          <w:color w:val="000000" w:themeColor="text1"/>
          <w:sz w:val="18"/>
          <w:szCs w:val="18"/>
        </w:rPr>
        <w:t>/d</w:t>
      </w:r>
      <w:r w:rsidRPr="007B192E">
        <w:rPr>
          <w:rFonts w:cs="Arial"/>
          <w:color w:val="000000" w:themeColor="text1"/>
          <w:sz w:val="18"/>
          <w:szCs w:val="18"/>
          <w:vertAlign w:val="subscript"/>
        </w:rPr>
        <w:t xml:space="preserve">85 </w:t>
      </w:r>
      <w:r w:rsidRPr="007B192E">
        <w:rPr>
          <w:rFonts w:cs="Arial"/>
          <w:color w:val="000000" w:themeColor="text1"/>
          <w:sz w:val="18"/>
          <w:szCs w:val="18"/>
        </w:rPr>
        <w:t xml:space="preserve">≤ 5). </w:t>
      </w:r>
    </w:p>
    <w:p w14:paraId="6AEF9040"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1.4.20.</w:t>
      </w:r>
      <w:r w:rsidRPr="007B192E">
        <w:rPr>
          <w:rFonts w:cs="Arial"/>
          <w:color w:val="000000" w:themeColor="text1"/>
          <w:sz w:val="18"/>
          <w:szCs w:val="18"/>
        </w:rPr>
        <w:t xml:space="preserve"> Warstwa wzmacniająca – warstwa zapewniająca przeniesienie występującego w okresie budowy ciężkiego ruchu technologicznego, nazywana również warstwą technologiczną.</w:t>
      </w:r>
    </w:p>
    <w:p w14:paraId="037DD327" w14:textId="77777777" w:rsidR="00F45500" w:rsidRPr="007B192E" w:rsidRDefault="00F45500" w:rsidP="00F45500">
      <w:pPr>
        <w:pStyle w:val="Bezodstpw"/>
        <w:spacing w:before="120" w:after="120"/>
        <w:jc w:val="both"/>
        <w:rPr>
          <w:rFonts w:cs="Arial"/>
          <w:color w:val="000000" w:themeColor="text1"/>
          <w:sz w:val="18"/>
          <w:szCs w:val="18"/>
        </w:rPr>
      </w:pPr>
      <w:r w:rsidRPr="007B192E">
        <w:rPr>
          <w:rFonts w:cs="Arial"/>
          <w:b/>
          <w:color w:val="000000" w:themeColor="text1"/>
          <w:sz w:val="18"/>
          <w:szCs w:val="18"/>
        </w:rPr>
        <w:t>1.4.21.</w:t>
      </w:r>
      <w:r w:rsidRPr="007B192E">
        <w:rPr>
          <w:rFonts w:cs="Arial"/>
          <w:color w:val="000000" w:themeColor="text1"/>
          <w:sz w:val="18"/>
          <w:szCs w:val="18"/>
        </w:rPr>
        <w:t xml:space="preserve"> Symbole i skróty dodatkowe</w:t>
      </w:r>
    </w:p>
    <w:p w14:paraId="0D1A21DD"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 m/m   procent masy,</w:t>
      </w:r>
    </w:p>
    <w:p w14:paraId="3E91D295"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NR         brak konieczności badania danej cechy,</w:t>
      </w:r>
    </w:p>
    <w:p w14:paraId="7B4879EA"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CRB       kalifornijski wskaźnik nośności, %</w:t>
      </w:r>
    </w:p>
    <w:p w14:paraId="2679F368" w14:textId="77777777" w:rsidR="00F45500" w:rsidRPr="007B192E" w:rsidRDefault="00F45500" w:rsidP="00F45500">
      <w:pPr>
        <w:pStyle w:val="Bezodstpw"/>
        <w:ind w:left="840" w:hanging="840"/>
        <w:jc w:val="both"/>
        <w:rPr>
          <w:rFonts w:cs="Arial"/>
          <w:color w:val="000000" w:themeColor="text1"/>
          <w:sz w:val="18"/>
          <w:szCs w:val="18"/>
        </w:rPr>
      </w:pPr>
      <w:r w:rsidRPr="007B192E">
        <w:rPr>
          <w:rFonts w:cs="Arial"/>
          <w:color w:val="000000" w:themeColor="text1"/>
          <w:sz w:val="18"/>
          <w:szCs w:val="18"/>
        </w:rPr>
        <w:t>SDV   obszar  uziarnienia,  w  którym  powinna  się mieścić  krzywa  uziarnienia mieszanki (S)  deklarowana przez dostawcę/producenta,</w:t>
      </w:r>
    </w:p>
    <w:p w14:paraId="2F7B97C0"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k            współczynnik filtracji, oznaczony wg ISO/TS 17892-11:2004 [21],</w:t>
      </w:r>
    </w:p>
    <w:p w14:paraId="337978B8" w14:textId="77777777" w:rsidR="00F45500" w:rsidRPr="007B192E" w:rsidRDefault="00F45500" w:rsidP="00F45500">
      <w:pPr>
        <w:pStyle w:val="Bezodstpw"/>
        <w:tabs>
          <w:tab w:val="left" w:pos="840"/>
        </w:tabs>
        <w:ind w:left="840" w:hanging="840"/>
        <w:jc w:val="both"/>
        <w:rPr>
          <w:rFonts w:cs="Arial"/>
          <w:color w:val="000000" w:themeColor="text1"/>
          <w:sz w:val="18"/>
          <w:szCs w:val="18"/>
        </w:rPr>
      </w:pPr>
      <w:r w:rsidRPr="007B192E">
        <w:rPr>
          <w:rFonts w:cs="Arial"/>
          <w:color w:val="000000" w:themeColor="text1"/>
          <w:sz w:val="18"/>
          <w:szCs w:val="18"/>
        </w:rPr>
        <w:t>D</w:t>
      </w:r>
      <w:r w:rsidRPr="007B192E">
        <w:rPr>
          <w:rFonts w:cs="Arial"/>
          <w:color w:val="000000" w:themeColor="text1"/>
          <w:sz w:val="18"/>
          <w:szCs w:val="18"/>
          <w:vertAlign w:val="subscript"/>
        </w:rPr>
        <w:t>15</w:t>
      </w:r>
      <w:r w:rsidRPr="007B192E">
        <w:rPr>
          <w:rFonts w:cs="Arial"/>
          <w:color w:val="000000" w:themeColor="text1"/>
          <w:sz w:val="18"/>
          <w:szCs w:val="18"/>
        </w:rPr>
        <w:t xml:space="preserve">    </w:t>
      </w:r>
      <w:r w:rsidRPr="007B192E">
        <w:rPr>
          <w:rFonts w:cs="Arial"/>
          <w:color w:val="000000" w:themeColor="text1"/>
          <w:sz w:val="18"/>
          <w:szCs w:val="18"/>
        </w:rPr>
        <w:tab/>
        <w:t>wymiar boku oczka sita w mm, przez które przechodzi 15% (m/m) ziaren mieszanki, z której wykonano warstwę podłoża lub nawierzchni,</w:t>
      </w:r>
    </w:p>
    <w:p w14:paraId="5618E7C2" w14:textId="77777777" w:rsidR="00F45500" w:rsidRPr="007B192E" w:rsidRDefault="00F45500" w:rsidP="00F45500">
      <w:pPr>
        <w:pStyle w:val="Bezodstpw"/>
        <w:ind w:left="840" w:hanging="840"/>
        <w:jc w:val="both"/>
        <w:rPr>
          <w:rFonts w:cs="Arial"/>
          <w:color w:val="000000" w:themeColor="text1"/>
          <w:sz w:val="18"/>
          <w:szCs w:val="18"/>
        </w:rPr>
      </w:pPr>
      <w:r w:rsidRPr="007B192E">
        <w:rPr>
          <w:rFonts w:cs="Arial"/>
          <w:color w:val="000000" w:themeColor="text1"/>
          <w:sz w:val="18"/>
          <w:szCs w:val="18"/>
        </w:rPr>
        <w:t>d</w:t>
      </w:r>
      <w:r w:rsidRPr="007B192E">
        <w:rPr>
          <w:rFonts w:cs="Arial"/>
          <w:color w:val="000000" w:themeColor="text1"/>
          <w:sz w:val="18"/>
          <w:szCs w:val="18"/>
          <w:vertAlign w:val="subscript"/>
        </w:rPr>
        <w:t>85</w:t>
      </w:r>
      <w:r w:rsidRPr="007B192E">
        <w:rPr>
          <w:rFonts w:cs="Arial"/>
          <w:color w:val="000000" w:themeColor="text1"/>
          <w:sz w:val="18"/>
          <w:szCs w:val="18"/>
        </w:rPr>
        <w:t xml:space="preserve">       wymiar boku oczka sita w mm, przez które przechodzi 85% (m/m) ziaren gruntu podłoża,</w:t>
      </w:r>
    </w:p>
    <w:p w14:paraId="147FF12B" w14:textId="77777777" w:rsidR="00F45500" w:rsidRPr="007B192E" w:rsidRDefault="00F45500" w:rsidP="00F45500">
      <w:pPr>
        <w:pStyle w:val="Bezodstpw"/>
        <w:ind w:left="840" w:hanging="840"/>
        <w:jc w:val="both"/>
        <w:rPr>
          <w:rFonts w:cs="Arial"/>
          <w:color w:val="000000" w:themeColor="text1"/>
          <w:sz w:val="18"/>
          <w:szCs w:val="18"/>
        </w:rPr>
      </w:pPr>
      <w:r w:rsidRPr="007B192E">
        <w:rPr>
          <w:rFonts w:cs="Arial"/>
          <w:color w:val="000000" w:themeColor="text1"/>
          <w:sz w:val="18"/>
          <w:szCs w:val="18"/>
        </w:rPr>
        <w:t>d</w:t>
      </w:r>
      <w:r w:rsidRPr="007B192E">
        <w:rPr>
          <w:rFonts w:cs="Arial"/>
          <w:color w:val="000000" w:themeColor="text1"/>
          <w:sz w:val="18"/>
          <w:szCs w:val="18"/>
          <w:vertAlign w:val="subscript"/>
        </w:rPr>
        <w:t>50</w:t>
      </w:r>
      <w:r w:rsidRPr="007B192E">
        <w:rPr>
          <w:rFonts w:cs="Arial"/>
          <w:color w:val="000000" w:themeColor="text1"/>
          <w:sz w:val="18"/>
          <w:szCs w:val="18"/>
        </w:rPr>
        <w:t xml:space="preserve">       wymiar boku oczka sita w mm, przez które przechodzi 50% (m/m) ziaren gruntu podłoża,</w:t>
      </w:r>
    </w:p>
    <w:p w14:paraId="0B53C37C" w14:textId="77777777" w:rsidR="00F45500" w:rsidRPr="007B192E" w:rsidRDefault="00F45500" w:rsidP="00F45500">
      <w:pPr>
        <w:pStyle w:val="Bezodstpw"/>
        <w:ind w:left="840" w:hanging="840"/>
        <w:jc w:val="both"/>
        <w:rPr>
          <w:rFonts w:cs="Arial"/>
          <w:color w:val="000000" w:themeColor="text1"/>
          <w:sz w:val="18"/>
          <w:szCs w:val="18"/>
        </w:rPr>
      </w:pPr>
      <w:r w:rsidRPr="007B192E">
        <w:rPr>
          <w:rFonts w:cs="Arial"/>
          <w:color w:val="000000" w:themeColor="text1"/>
          <w:sz w:val="18"/>
          <w:szCs w:val="18"/>
        </w:rPr>
        <w:t>O</w:t>
      </w:r>
      <w:r w:rsidRPr="007B192E">
        <w:rPr>
          <w:rFonts w:cs="Arial"/>
          <w:color w:val="000000" w:themeColor="text1"/>
          <w:sz w:val="18"/>
          <w:szCs w:val="18"/>
          <w:vertAlign w:val="subscript"/>
        </w:rPr>
        <w:t>90</w:t>
      </w:r>
      <w:r w:rsidRPr="007B192E">
        <w:rPr>
          <w:rFonts w:cs="Arial"/>
          <w:color w:val="000000" w:themeColor="text1"/>
          <w:sz w:val="18"/>
          <w:szCs w:val="18"/>
        </w:rPr>
        <w:t xml:space="preserve">        umowna  średnica porów geowłókniny lub </w:t>
      </w:r>
      <w:proofErr w:type="spellStart"/>
      <w:r w:rsidRPr="007B192E">
        <w:rPr>
          <w:rFonts w:cs="Arial"/>
          <w:color w:val="000000" w:themeColor="text1"/>
          <w:sz w:val="18"/>
          <w:szCs w:val="18"/>
        </w:rPr>
        <w:t>geotkaniny</w:t>
      </w:r>
      <w:proofErr w:type="spellEnd"/>
      <w:r w:rsidRPr="007B192E">
        <w:rPr>
          <w:rFonts w:cs="Arial"/>
          <w:color w:val="000000" w:themeColor="text1"/>
          <w:sz w:val="18"/>
          <w:szCs w:val="18"/>
        </w:rPr>
        <w:t>,  odpowiadająca wymiarom frakcji gruntu (podłoża), zatrzymującego się na geowłókninie/</w:t>
      </w:r>
      <w:proofErr w:type="spellStart"/>
      <w:r w:rsidRPr="007B192E">
        <w:rPr>
          <w:rFonts w:cs="Arial"/>
          <w:color w:val="000000" w:themeColor="text1"/>
          <w:sz w:val="18"/>
          <w:szCs w:val="18"/>
        </w:rPr>
        <w:t>geotkaninie</w:t>
      </w:r>
      <w:proofErr w:type="spellEnd"/>
      <w:r w:rsidRPr="007B192E">
        <w:rPr>
          <w:rFonts w:cs="Arial"/>
          <w:color w:val="000000" w:themeColor="text1"/>
          <w:sz w:val="18"/>
          <w:szCs w:val="18"/>
        </w:rPr>
        <w:t xml:space="preserve"> w ilości 90% (m/m); wartość parametru O</w:t>
      </w:r>
      <w:r w:rsidRPr="007B192E">
        <w:rPr>
          <w:rFonts w:cs="Arial"/>
          <w:color w:val="000000" w:themeColor="text1"/>
          <w:sz w:val="18"/>
          <w:szCs w:val="18"/>
          <w:vertAlign w:val="subscript"/>
        </w:rPr>
        <w:t>90</w:t>
      </w:r>
      <w:r w:rsidRPr="007B192E">
        <w:rPr>
          <w:rFonts w:cs="Arial"/>
          <w:color w:val="000000" w:themeColor="text1"/>
          <w:sz w:val="18"/>
          <w:szCs w:val="18"/>
        </w:rPr>
        <w:t xml:space="preserve"> powinna być podawana przez producenta geowłókniny.</w:t>
      </w:r>
    </w:p>
    <w:p w14:paraId="277F1CC1"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1.4.22.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1.4.</w:t>
      </w:r>
    </w:p>
    <w:p w14:paraId="527ECE2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65B6ED21"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35B3F1B7" w14:textId="77777777" w:rsidR="00F45500" w:rsidRPr="007B192E" w:rsidRDefault="00F45500" w:rsidP="001D052E">
      <w:pPr>
        <w:pStyle w:val="Nagwek2"/>
        <w:rPr>
          <w:i w:val="0"/>
          <w:color w:val="000000" w:themeColor="text1"/>
        </w:rPr>
      </w:pPr>
      <w:bookmarkStart w:id="161" w:name="_Toc331508864"/>
      <w:bookmarkStart w:id="162" w:name="_Toc332276185"/>
      <w:bookmarkStart w:id="163" w:name="_Toc333835982"/>
      <w:bookmarkStart w:id="164" w:name="_Toc335293715"/>
      <w:bookmarkStart w:id="165" w:name="_Toc342380847"/>
      <w:bookmarkStart w:id="166" w:name="_Toc346094293"/>
      <w:r w:rsidRPr="007B192E">
        <w:rPr>
          <w:i w:val="0"/>
          <w:color w:val="000000" w:themeColor="text1"/>
        </w:rPr>
        <w:t>2. MATERIAŁY</w:t>
      </w:r>
      <w:bookmarkEnd w:id="161"/>
      <w:bookmarkEnd w:id="162"/>
      <w:bookmarkEnd w:id="163"/>
      <w:bookmarkEnd w:id="164"/>
      <w:bookmarkEnd w:id="165"/>
      <w:bookmarkEnd w:id="166"/>
    </w:p>
    <w:p w14:paraId="534CD47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457EE085"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2F78369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Materiały do wykonania robót</w:t>
      </w:r>
    </w:p>
    <w:p w14:paraId="31D41F3F"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 xml:space="preserve"> Zgodność materiałów z dokumentacją projektową </w:t>
      </w:r>
    </w:p>
    <w:p w14:paraId="31BF712E"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powinny być zgodne z ustaleniami dokumentacji projektowej lub ST.</w:t>
      </w:r>
    </w:p>
    <w:p w14:paraId="1865BB85"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2.2.2. </w:t>
      </w:r>
      <w:r w:rsidRPr="007B192E">
        <w:rPr>
          <w:rFonts w:ascii="Arial" w:hAnsi="Arial" w:cs="Arial"/>
          <w:color w:val="000000" w:themeColor="text1"/>
          <w:sz w:val="18"/>
          <w:szCs w:val="18"/>
        </w:rPr>
        <w:t>Materiały wchodzące w skład mieszanki</w:t>
      </w:r>
    </w:p>
    <w:p w14:paraId="11D78D93"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ab/>
        <w:t>Materiałami stosowanymi do wytwarzania mieszanek z kruszywa niezwiązanego są:</w:t>
      </w:r>
    </w:p>
    <w:p w14:paraId="155EF2FB" w14:textId="77777777" w:rsidR="00F45500" w:rsidRPr="007B192E" w:rsidRDefault="00F45500" w:rsidP="00BA5651">
      <w:pPr>
        <w:pStyle w:val="Bezodstpw"/>
        <w:numPr>
          <w:ilvl w:val="0"/>
          <w:numId w:val="261"/>
        </w:numPr>
        <w:suppressAutoHyphens w:val="0"/>
        <w:jc w:val="both"/>
        <w:rPr>
          <w:rFonts w:cs="Arial"/>
          <w:color w:val="000000" w:themeColor="text1"/>
          <w:sz w:val="18"/>
          <w:szCs w:val="18"/>
        </w:rPr>
      </w:pPr>
      <w:r w:rsidRPr="007B192E">
        <w:rPr>
          <w:rFonts w:cs="Arial"/>
          <w:color w:val="000000" w:themeColor="text1"/>
          <w:sz w:val="18"/>
          <w:szCs w:val="18"/>
        </w:rPr>
        <w:t>kruszywo,</w:t>
      </w:r>
    </w:p>
    <w:p w14:paraId="769C51F6" w14:textId="77777777" w:rsidR="00F45500" w:rsidRPr="007B192E" w:rsidRDefault="00F45500" w:rsidP="00BA5651">
      <w:pPr>
        <w:pStyle w:val="Bezodstpw"/>
        <w:numPr>
          <w:ilvl w:val="0"/>
          <w:numId w:val="261"/>
        </w:numPr>
        <w:suppressAutoHyphens w:val="0"/>
        <w:jc w:val="both"/>
        <w:rPr>
          <w:rFonts w:cs="Arial"/>
          <w:color w:val="000000" w:themeColor="text1"/>
          <w:sz w:val="18"/>
          <w:szCs w:val="18"/>
        </w:rPr>
      </w:pPr>
      <w:r w:rsidRPr="007B192E">
        <w:rPr>
          <w:rFonts w:cs="Arial"/>
          <w:color w:val="000000" w:themeColor="text1"/>
          <w:sz w:val="18"/>
          <w:szCs w:val="18"/>
        </w:rPr>
        <w:t>woda do zraszania kruszywa.</w:t>
      </w:r>
    </w:p>
    <w:p w14:paraId="66012ED8" w14:textId="77777777" w:rsidR="00F45500" w:rsidRPr="007B192E" w:rsidRDefault="00F45500" w:rsidP="00F45500">
      <w:pPr>
        <w:pStyle w:val="Bezodstpw"/>
        <w:spacing w:before="120" w:after="120"/>
        <w:jc w:val="both"/>
        <w:rPr>
          <w:rFonts w:cs="Arial"/>
          <w:color w:val="000000" w:themeColor="text1"/>
          <w:sz w:val="18"/>
          <w:szCs w:val="18"/>
        </w:rPr>
      </w:pPr>
      <w:r w:rsidRPr="007B192E">
        <w:rPr>
          <w:rFonts w:cs="Arial"/>
          <w:b/>
          <w:color w:val="000000" w:themeColor="text1"/>
          <w:sz w:val="18"/>
          <w:szCs w:val="18"/>
        </w:rPr>
        <w:t>2.2.3</w:t>
      </w:r>
      <w:r w:rsidRPr="007B192E">
        <w:rPr>
          <w:rFonts w:cs="Arial"/>
          <w:color w:val="000000" w:themeColor="text1"/>
          <w:sz w:val="18"/>
          <w:szCs w:val="18"/>
        </w:rPr>
        <w:t>. Kruszywa</w:t>
      </w:r>
    </w:p>
    <w:p w14:paraId="566F04A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 mieszanek można stosować następujące rodzaje kruszyw:</w:t>
      </w:r>
    </w:p>
    <w:p w14:paraId="7C11B7D4" w14:textId="77777777" w:rsidR="00F45500" w:rsidRPr="007B192E"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naturalne lub sztuczne,</w:t>
      </w:r>
    </w:p>
    <w:p w14:paraId="4EC63F51" w14:textId="77777777" w:rsidR="00F45500" w:rsidRPr="007B192E"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z recyklingu,</w:t>
      </w:r>
    </w:p>
    <w:p w14:paraId="2677F7A5" w14:textId="77777777" w:rsidR="00F45500" w:rsidRPr="007B192E"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połączenie kruszyw wymienionych w punktach a) i b) z określeniem proporcji kruszyw z a) i b) z dokładnością ± 5% m/m.</w:t>
      </w:r>
    </w:p>
    <w:p w14:paraId="63643A0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Wymagania wobec kruszywa do warstwy podłoża ulepszonego przedstawia tablica 1.</w:t>
      </w:r>
    </w:p>
    <w:p w14:paraId="1712E42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Mieszanki o górnym wymiarze ziaren (D) większym niż 80 mm nie są objęte normą PN-EN 13285 [19] i niniejszą ST.</w:t>
      </w:r>
    </w:p>
    <w:p w14:paraId="4AC77C31" w14:textId="77777777" w:rsidR="00F45500" w:rsidRPr="007B192E" w:rsidRDefault="00F45500" w:rsidP="00F45500">
      <w:pPr>
        <w:pStyle w:val="Bezodstpw"/>
        <w:spacing w:before="120" w:after="60"/>
        <w:ind w:left="1202" w:hanging="1202"/>
        <w:jc w:val="both"/>
        <w:rPr>
          <w:rFonts w:cs="Arial"/>
          <w:color w:val="000000" w:themeColor="text1"/>
          <w:sz w:val="18"/>
          <w:szCs w:val="18"/>
        </w:rPr>
      </w:pPr>
      <w:r w:rsidRPr="007B192E">
        <w:rPr>
          <w:rFonts w:cs="Arial"/>
          <w:color w:val="000000" w:themeColor="text1"/>
          <w:sz w:val="18"/>
          <w:szCs w:val="18"/>
        </w:rPr>
        <w:t xml:space="preserve">Tablica 1. Wymagania według WT-4 [ 22] i PN-EN 13242 [18] wobec kruszyw do mieszanek niezwiązanych w warstwie podłoża ulepszonego </w:t>
      </w:r>
    </w:p>
    <w:p w14:paraId="61F43D57" w14:textId="77777777" w:rsidR="00F45500" w:rsidRPr="007B192E" w:rsidRDefault="00F45500" w:rsidP="00F45500">
      <w:pPr>
        <w:pStyle w:val="Bezodstpw"/>
        <w:tabs>
          <w:tab w:val="left" w:pos="2410"/>
        </w:tabs>
        <w:ind w:left="2410" w:hanging="2410"/>
        <w:rPr>
          <w:rFonts w:cs="Arial"/>
          <w:color w:val="000000" w:themeColor="text1"/>
          <w:sz w:val="18"/>
          <w:szCs w:val="18"/>
        </w:rPr>
      </w:pPr>
      <w:r w:rsidRPr="007B192E">
        <w:rPr>
          <w:rFonts w:cs="Arial"/>
          <w:color w:val="000000" w:themeColor="text1"/>
          <w:sz w:val="18"/>
          <w:szCs w:val="18"/>
        </w:rPr>
        <w:t>Skróty użyte w tablicy:</w:t>
      </w:r>
      <w:r w:rsidRPr="007B192E">
        <w:rPr>
          <w:rFonts w:cs="Arial"/>
          <w:color w:val="000000" w:themeColor="text1"/>
          <w:sz w:val="18"/>
          <w:szCs w:val="18"/>
        </w:rPr>
        <w:tab/>
        <w:t xml:space="preserve">Kat. – kategoria właściwości,  </w:t>
      </w:r>
      <w:proofErr w:type="spellStart"/>
      <w:r w:rsidRPr="007B192E">
        <w:rPr>
          <w:rFonts w:cs="Arial"/>
          <w:color w:val="000000" w:themeColor="text1"/>
          <w:sz w:val="18"/>
          <w:szCs w:val="18"/>
        </w:rPr>
        <w:t>Dekl</w:t>
      </w:r>
      <w:proofErr w:type="spellEnd"/>
      <w:r w:rsidRPr="007B192E">
        <w:rPr>
          <w:rFonts w:cs="Arial"/>
          <w:color w:val="000000" w:themeColor="text1"/>
          <w:sz w:val="18"/>
          <w:szCs w:val="18"/>
        </w:rPr>
        <w:t xml:space="preserve"> – Deklarowana, </w:t>
      </w:r>
      <w:r w:rsidRPr="007B192E">
        <w:rPr>
          <w:rFonts w:cs="Arial"/>
          <w:color w:val="000000" w:themeColor="text1"/>
          <w:sz w:val="18"/>
          <w:szCs w:val="18"/>
        </w:rPr>
        <w:br/>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xml:space="preserve">. – wskaźnik,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xml:space="preserve">. – współczynnik,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-rozdział</w:t>
      </w:r>
    </w:p>
    <w:tbl>
      <w:tblPr>
        <w:tblW w:w="97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27"/>
        <w:gridCol w:w="992"/>
        <w:gridCol w:w="851"/>
        <w:gridCol w:w="4455"/>
      </w:tblGrid>
      <w:tr w:rsidR="004D7D23" w:rsidRPr="007B192E" w14:paraId="341A37A6" w14:textId="77777777" w:rsidTr="00FD6503">
        <w:trPr>
          <w:jc w:val="center"/>
        </w:trPr>
        <w:tc>
          <w:tcPr>
            <w:tcW w:w="3427" w:type="dxa"/>
            <w:vMerge w:val="restart"/>
            <w:vAlign w:val="center"/>
          </w:tcPr>
          <w:p w14:paraId="71E20EC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Właściwość</w:t>
            </w:r>
          </w:p>
          <w:p w14:paraId="085D5F15"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kruszywa</w:t>
            </w:r>
          </w:p>
        </w:tc>
        <w:tc>
          <w:tcPr>
            <w:tcW w:w="992" w:type="dxa"/>
            <w:vMerge w:val="restart"/>
            <w:vAlign w:val="center"/>
          </w:tcPr>
          <w:p w14:paraId="01154F1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Metoda</w:t>
            </w:r>
          </w:p>
          <w:p w14:paraId="29871FFC"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badania</w:t>
            </w:r>
          </w:p>
          <w:p w14:paraId="3FE2D419"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wg</w:t>
            </w:r>
          </w:p>
        </w:tc>
        <w:tc>
          <w:tcPr>
            <w:tcW w:w="5306" w:type="dxa"/>
            <w:gridSpan w:val="2"/>
          </w:tcPr>
          <w:p w14:paraId="7BEFA858"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 wobec kruszywa do mieszanek niezwiązanych, przeznaczonych do zastosowania w warstwie podłoża ulepszonego pod nawierzchnią drogi obciążonej ruchem  kategorii KR1 ÷ KR6</w:t>
            </w:r>
          </w:p>
        </w:tc>
      </w:tr>
      <w:tr w:rsidR="004D7D23" w:rsidRPr="007B192E" w14:paraId="137B7567" w14:textId="77777777" w:rsidTr="00FD6503">
        <w:trPr>
          <w:trHeight w:val="476"/>
          <w:jc w:val="center"/>
        </w:trPr>
        <w:tc>
          <w:tcPr>
            <w:tcW w:w="3427" w:type="dxa"/>
            <w:vMerge/>
          </w:tcPr>
          <w:p w14:paraId="6CD5A28F" w14:textId="77777777" w:rsidR="00F45500" w:rsidRPr="007B192E" w:rsidRDefault="00F45500" w:rsidP="008F7A94">
            <w:pPr>
              <w:pStyle w:val="Bezodstpw"/>
              <w:rPr>
                <w:rFonts w:cs="Arial"/>
                <w:color w:val="000000" w:themeColor="text1"/>
                <w:sz w:val="18"/>
                <w:szCs w:val="18"/>
              </w:rPr>
            </w:pPr>
          </w:p>
        </w:tc>
        <w:tc>
          <w:tcPr>
            <w:tcW w:w="992" w:type="dxa"/>
            <w:vMerge/>
          </w:tcPr>
          <w:p w14:paraId="5ACA3E2F" w14:textId="77777777" w:rsidR="00F45500" w:rsidRPr="007B192E" w:rsidRDefault="00F45500" w:rsidP="008F7A94">
            <w:pPr>
              <w:pStyle w:val="Bezodstpw"/>
              <w:rPr>
                <w:rFonts w:cs="Arial"/>
                <w:color w:val="000000" w:themeColor="text1"/>
                <w:sz w:val="18"/>
                <w:szCs w:val="18"/>
              </w:rPr>
            </w:pPr>
          </w:p>
        </w:tc>
        <w:tc>
          <w:tcPr>
            <w:tcW w:w="851" w:type="dxa"/>
            <w:vAlign w:val="center"/>
          </w:tcPr>
          <w:p w14:paraId="1BC08331"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Punkt</w:t>
            </w:r>
          </w:p>
          <w:p w14:paraId="4375BAC7"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PN-EN</w:t>
            </w:r>
          </w:p>
          <w:p w14:paraId="168B452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13242</w:t>
            </w:r>
          </w:p>
        </w:tc>
        <w:tc>
          <w:tcPr>
            <w:tcW w:w="4455" w:type="dxa"/>
            <w:vAlign w:val="center"/>
          </w:tcPr>
          <w:p w14:paraId="77E9A3DD"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w:t>
            </w:r>
          </w:p>
          <w:p w14:paraId="5940514A" w14:textId="77777777" w:rsidR="00F45500" w:rsidRPr="007B192E" w:rsidRDefault="00F45500" w:rsidP="008F7A94">
            <w:pPr>
              <w:pStyle w:val="Bezodstpw"/>
              <w:jc w:val="center"/>
              <w:rPr>
                <w:rFonts w:cs="Arial"/>
                <w:color w:val="000000" w:themeColor="text1"/>
                <w:sz w:val="18"/>
                <w:szCs w:val="18"/>
              </w:rPr>
            </w:pPr>
          </w:p>
        </w:tc>
      </w:tr>
      <w:tr w:rsidR="004D7D23" w:rsidRPr="007B192E" w14:paraId="1830AC8F" w14:textId="77777777" w:rsidTr="00FD6503">
        <w:trPr>
          <w:jc w:val="center"/>
        </w:trPr>
        <w:tc>
          <w:tcPr>
            <w:tcW w:w="3427" w:type="dxa"/>
          </w:tcPr>
          <w:p w14:paraId="0253AB0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Zestaw sit #</w:t>
            </w:r>
          </w:p>
        </w:tc>
        <w:tc>
          <w:tcPr>
            <w:tcW w:w="992" w:type="dxa"/>
          </w:tcPr>
          <w:p w14:paraId="5ED46D93"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t>
            </w:r>
          </w:p>
        </w:tc>
        <w:tc>
          <w:tcPr>
            <w:tcW w:w="851" w:type="dxa"/>
          </w:tcPr>
          <w:p w14:paraId="167C984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4.1-4.2</w:t>
            </w:r>
          </w:p>
        </w:tc>
        <w:tc>
          <w:tcPr>
            <w:tcW w:w="4455" w:type="dxa"/>
          </w:tcPr>
          <w:p w14:paraId="44EB315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0,063; 0,5; 1; 2; 4; 5,6; 8; 11,2; 16; 22,4; 31,5; 45; 63 i 90 mm (zestaw podstawowy plus zestaw 1) </w:t>
            </w:r>
          </w:p>
          <w:p w14:paraId="0DD0A40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 Wszystkie frakcje dozwolone</w:t>
            </w:r>
          </w:p>
        </w:tc>
      </w:tr>
      <w:tr w:rsidR="004D7D23" w:rsidRPr="007B192E" w14:paraId="61A7956C" w14:textId="77777777" w:rsidTr="00FD6503">
        <w:trPr>
          <w:jc w:val="center"/>
        </w:trPr>
        <w:tc>
          <w:tcPr>
            <w:tcW w:w="3427" w:type="dxa"/>
          </w:tcPr>
          <w:p w14:paraId="1E58968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Uziarnienie</w:t>
            </w:r>
          </w:p>
        </w:tc>
        <w:tc>
          <w:tcPr>
            <w:tcW w:w="992" w:type="dxa"/>
          </w:tcPr>
          <w:p w14:paraId="4793BC2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09A6928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933-1[7]</w:t>
            </w:r>
          </w:p>
          <w:p w14:paraId="564FA413" w14:textId="77777777" w:rsidR="00F45500" w:rsidRPr="007B192E" w:rsidRDefault="00F45500" w:rsidP="008F7A94">
            <w:pPr>
              <w:pStyle w:val="Bezodstpw"/>
              <w:rPr>
                <w:rFonts w:cs="Arial"/>
                <w:color w:val="000000" w:themeColor="text1"/>
                <w:sz w:val="18"/>
                <w:szCs w:val="18"/>
              </w:rPr>
            </w:pPr>
          </w:p>
        </w:tc>
        <w:tc>
          <w:tcPr>
            <w:tcW w:w="851" w:type="dxa"/>
          </w:tcPr>
          <w:p w14:paraId="485649B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4.3.1</w:t>
            </w:r>
          </w:p>
        </w:tc>
        <w:tc>
          <w:tcPr>
            <w:tcW w:w="4455" w:type="dxa"/>
          </w:tcPr>
          <w:p w14:paraId="3157B38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Kruszywo grube: kat. G</w:t>
            </w:r>
            <w:r w:rsidRPr="007B192E">
              <w:rPr>
                <w:rFonts w:cs="Arial"/>
                <w:color w:val="000000" w:themeColor="text1"/>
                <w:sz w:val="18"/>
                <w:szCs w:val="18"/>
                <w:vertAlign w:val="subscript"/>
              </w:rPr>
              <w:t>C</w:t>
            </w:r>
            <w:r w:rsidRPr="007B192E">
              <w:rPr>
                <w:rFonts w:cs="Arial"/>
                <w:color w:val="000000" w:themeColor="text1"/>
                <w:sz w:val="18"/>
                <w:szCs w:val="18"/>
              </w:rPr>
              <w:t>80/20,   kruszywo drobne: kat. G</w:t>
            </w:r>
            <w:r w:rsidRPr="007B192E">
              <w:rPr>
                <w:rFonts w:cs="Arial"/>
                <w:color w:val="000000" w:themeColor="text1"/>
                <w:sz w:val="18"/>
                <w:szCs w:val="18"/>
                <w:vertAlign w:val="subscript"/>
              </w:rPr>
              <w:t>F</w:t>
            </w:r>
            <w:r w:rsidRPr="007B192E">
              <w:rPr>
                <w:rFonts w:cs="Arial"/>
                <w:color w:val="000000" w:themeColor="text1"/>
                <w:sz w:val="18"/>
                <w:szCs w:val="18"/>
              </w:rPr>
              <w:t>80, kruszywo o ciągłym uziarnieniu: kat. G</w:t>
            </w:r>
            <w:r w:rsidRPr="007B192E">
              <w:rPr>
                <w:rFonts w:cs="Arial"/>
                <w:color w:val="000000" w:themeColor="text1"/>
                <w:sz w:val="18"/>
                <w:szCs w:val="18"/>
                <w:vertAlign w:val="subscript"/>
              </w:rPr>
              <w:t>A</w:t>
            </w:r>
            <w:r w:rsidRPr="007B192E">
              <w:rPr>
                <w:rFonts w:cs="Arial"/>
                <w:color w:val="000000" w:themeColor="text1"/>
                <w:sz w:val="18"/>
                <w:szCs w:val="18"/>
              </w:rPr>
              <w:t xml:space="preserve">75.   </w:t>
            </w:r>
          </w:p>
          <w:p w14:paraId="0C8EE9A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Uziarnienie mieszanek kruszywa wg rysunków 1÷7</w:t>
            </w:r>
          </w:p>
        </w:tc>
      </w:tr>
      <w:tr w:rsidR="004D7D23" w:rsidRPr="007B192E" w14:paraId="41DA42F2" w14:textId="77777777" w:rsidTr="00FD6503">
        <w:trPr>
          <w:trHeight w:val="433"/>
          <w:jc w:val="center"/>
        </w:trPr>
        <w:tc>
          <w:tcPr>
            <w:tcW w:w="3427" w:type="dxa"/>
          </w:tcPr>
          <w:p w14:paraId="751C289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Ogólne granice i tolerancje uziarnienia kruszywa grubego na sitach pośrednich</w:t>
            </w:r>
          </w:p>
        </w:tc>
        <w:tc>
          <w:tcPr>
            <w:tcW w:w="992" w:type="dxa"/>
          </w:tcPr>
          <w:p w14:paraId="544D6F2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39AE572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[7]</w:t>
            </w:r>
          </w:p>
        </w:tc>
        <w:tc>
          <w:tcPr>
            <w:tcW w:w="851" w:type="dxa"/>
          </w:tcPr>
          <w:p w14:paraId="705161A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4.3.2</w:t>
            </w:r>
          </w:p>
        </w:tc>
        <w:tc>
          <w:tcPr>
            <w:tcW w:w="4455" w:type="dxa"/>
          </w:tcPr>
          <w:p w14:paraId="7D1C4D9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GT</w:t>
            </w:r>
            <w:r w:rsidRPr="007B192E">
              <w:rPr>
                <w:rFonts w:cs="Arial"/>
                <w:color w:val="000000" w:themeColor="text1"/>
                <w:sz w:val="18"/>
                <w:szCs w:val="18"/>
                <w:vertAlign w:val="subscript"/>
              </w:rPr>
              <w:t>C</w:t>
            </w:r>
            <w:r w:rsidRPr="007B192E">
              <w:rPr>
                <w:rFonts w:cs="Arial"/>
                <w:color w:val="000000" w:themeColor="text1"/>
                <w:sz w:val="18"/>
                <w:szCs w:val="18"/>
              </w:rPr>
              <w:t>NR (tj. brak wymagania)</w:t>
            </w:r>
          </w:p>
        </w:tc>
      </w:tr>
      <w:tr w:rsidR="004D7D23" w:rsidRPr="007B192E" w14:paraId="34EDC5F8" w14:textId="77777777" w:rsidTr="00FD6503">
        <w:trPr>
          <w:jc w:val="center"/>
        </w:trPr>
        <w:tc>
          <w:tcPr>
            <w:tcW w:w="3427" w:type="dxa"/>
          </w:tcPr>
          <w:p w14:paraId="6D471FB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Tolerancje typowego uziarnienia kruszywa drobnego i kruszywa o ciągłym uziarnieniu</w:t>
            </w:r>
          </w:p>
        </w:tc>
        <w:tc>
          <w:tcPr>
            <w:tcW w:w="992" w:type="dxa"/>
          </w:tcPr>
          <w:p w14:paraId="5C97CB1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465688D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[7]</w:t>
            </w:r>
          </w:p>
          <w:p w14:paraId="00CBAFDE" w14:textId="77777777" w:rsidR="00F45500" w:rsidRPr="007B192E" w:rsidRDefault="00F45500" w:rsidP="008F7A94">
            <w:pPr>
              <w:pStyle w:val="Bezodstpw"/>
              <w:rPr>
                <w:rFonts w:cs="Arial"/>
                <w:color w:val="000000" w:themeColor="text1"/>
                <w:sz w:val="18"/>
                <w:szCs w:val="18"/>
              </w:rPr>
            </w:pPr>
          </w:p>
        </w:tc>
        <w:tc>
          <w:tcPr>
            <w:tcW w:w="851" w:type="dxa"/>
          </w:tcPr>
          <w:p w14:paraId="2126876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4.3.3</w:t>
            </w:r>
          </w:p>
        </w:tc>
        <w:tc>
          <w:tcPr>
            <w:tcW w:w="4455" w:type="dxa"/>
          </w:tcPr>
          <w:p w14:paraId="5E2462C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Kruszywo drobne: kat. GT</w:t>
            </w:r>
            <w:r w:rsidRPr="007B192E">
              <w:rPr>
                <w:rFonts w:cs="Arial"/>
                <w:color w:val="000000" w:themeColor="text1"/>
                <w:sz w:val="18"/>
                <w:szCs w:val="18"/>
                <w:vertAlign w:val="subscript"/>
              </w:rPr>
              <w:t>F</w:t>
            </w:r>
            <w:r w:rsidRPr="007B192E">
              <w:rPr>
                <w:rFonts w:cs="Arial"/>
                <w:color w:val="000000" w:themeColor="text1"/>
                <w:sz w:val="18"/>
                <w:szCs w:val="18"/>
              </w:rPr>
              <w:t>NR (tj. brak wymagania), kruszywo o ciągłym uziarnieniu: kat. GT</w:t>
            </w:r>
            <w:r w:rsidRPr="007B192E">
              <w:rPr>
                <w:rFonts w:cs="Arial"/>
                <w:color w:val="000000" w:themeColor="text1"/>
                <w:sz w:val="18"/>
                <w:szCs w:val="18"/>
                <w:vertAlign w:val="subscript"/>
              </w:rPr>
              <w:t>A</w:t>
            </w:r>
            <w:r w:rsidRPr="007B192E">
              <w:rPr>
                <w:rFonts w:cs="Arial"/>
                <w:color w:val="000000" w:themeColor="text1"/>
                <w:sz w:val="18"/>
                <w:szCs w:val="18"/>
              </w:rPr>
              <w:t>NR (tj. brak wymagania)</w:t>
            </w:r>
          </w:p>
        </w:tc>
      </w:tr>
      <w:tr w:rsidR="004D7D23" w:rsidRPr="007B192E" w14:paraId="39CABAD2" w14:textId="77777777" w:rsidTr="00FD6503">
        <w:trPr>
          <w:trHeight w:val="671"/>
          <w:jc w:val="center"/>
        </w:trPr>
        <w:tc>
          <w:tcPr>
            <w:tcW w:w="3427" w:type="dxa"/>
          </w:tcPr>
          <w:p w14:paraId="20D0854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Kształt kruszywa grubego – maksymalne wartości wskaź</w:t>
            </w:r>
            <w:r w:rsidRPr="007B192E">
              <w:rPr>
                <w:rFonts w:cs="Arial"/>
                <w:color w:val="000000" w:themeColor="text1"/>
                <w:sz w:val="18"/>
                <w:szCs w:val="18"/>
              </w:rPr>
              <w:softHyphen/>
              <w:t>nika płaskości</w:t>
            </w:r>
          </w:p>
        </w:tc>
        <w:tc>
          <w:tcPr>
            <w:tcW w:w="992" w:type="dxa"/>
          </w:tcPr>
          <w:p w14:paraId="7A95A18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59627C60" w14:textId="77777777" w:rsidR="00F45500" w:rsidRPr="007B192E" w:rsidRDefault="00F45500" w:rsidP="008F7A94">
            <w:pPr>
              <w:pStyle w:val="Bezodstpw"/>
              <w:rPr>
                <w:rFonts w:cs="Arial"/>
                <w:color w:val="000000" w:themeColor="text1"/>
                <w:sz w:val="18"/>
                <w:szCs w:val="18"/>
                <w:vertAlign w:val="superscript"/>
              </w:rPr>
            </w:pPr>
            <w:r w:rsidRPr="007B192E">
              <w:rPr>
                <w:rFonts w:cs="Arial"/>
                <w:color w:val="000000" w:themeColor="text1"/>
                <w:sz w:val="18"/>
                <w:szCs w:val="18"/>
              </w:rPr>
              <w:t>933-3  [8]</w:t>
            </w:r>
          </w:p>
        </w:tc>
        <w:tc>
          <w:tcPr>
            <w:tcW w:w="851" w:type="dxa"/>
          </w:tcPr>
          <w:p w14:paraId="324A61E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w:t>
            </w:r>
          </w:p>
        </w:tc>
        <w:tc>
          <w:tcPr>
            <w:tcW w:w="4455" w:type="dxa"/>
          </w:tcPr>
          <w:p w14:paraId="6A9A3AB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FI</w:t>
            </w:r>
            <w:r w:rsidRPr="007B192E">
              <w:rPr>
                <w:rFonts w:cs="Arial"/>
                <w:color w:val="000000" w:themeColor="text1"/>
                <w:sz w:val="18"/>
                <w:szCs w:val="18"/>
                <w:vertAlign w:val="subscript"/>
              </w:rPr>
              <w:t xml:space="preserve">NR </w:t>
            </w:r>
            <w:r w:rsidRPr="007B192E">
              <w:rPr>
                <w:rFonts w:cs="Arial"/>
                <w:color w:val="000000" w:themeColor="text1"/>
                <w:sz w:val="18"/>
                <w:szCs w:val="18"/>
              </w:rPr>
              <w:t>(tj. brak wymaga</w:t>
            </w:r>
            <w:r w:rsidRPr="007B192E">
              <w:rPr>
                <w:rFonts w:cs="Arial"/>
                <w:color w:val="000000" w:themeColor="text1"/>
                <w:sz w:val="18"/>
                <w:szCs w:val="18"/>
              </w:rPr>
              <w:softHyphen/>
              <w:t xml:space="preserve">nia) </w:t>
            </w:r>
          </w:p>
        </w:tc>
      </w:tr>
      <w:tr w:rsidR="004D7D23" w:rsidRPr="007B192E" w14:paraId="26A98396" w14:textId="77777777" w:rsidTr="00FD6503">
        <w:trPr>
          <w:jc w:val="center"/>
        </w:trPr>
        <w:tc>
          <w:tcPr>
            <w:tcW w:w="3427" w:type="dxa"/>
          </w:tcPr>
          <w:p w14:paraId="316DE34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Kształt kruszywa grubego – maksymalne wartości wskaźnika kształtu</w:t>
            </w:r>
          </w:p>
        </w:tc>
        <w:tc>
          <w:tcPr>
            <w:tcW w:w="992" w:type="dxa"/>
          </w:tcPr>
          <w:p w14:paraId="5FB5F91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63217AF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933-4  [9]</w:t>
            </w:r>
          </w:p>
        </w:tc>
        <w:tc>
          <w:tcPr>
            <w:tcW w:w="851" w:type="dxa"/>
          </w:tcPr>
          <w:p w14:paraId="1678060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w:t>
            </w:r>
          </w:p>
        </w:tc>
        <w:tc>
          <w:tcPr>
            <w:tcW w:w="4455" w:type="dxa"/>
          </w:tcPr>
          <w:p w14:paraId="158B939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SI</w:t>
            </w:r>
            <w:r w:rsidRPr="007B192E">
              <w:rPr>
                <w:rFonts w:cs="Arial"/>
                <w:color w:val="000000" w:themeColor="text1"/>
                <w:sz w:val="18"/>
                <w:szCs w:val="18"/>
                <w:vertAlign w:val="subscript"/>
              </w:rPr>
              <w:t xml:space="preserve">NR </w:t>
            </w:r>
            <w:r w:rsidRPr="007B192E">
              <w:rPr>
                <w:rFonts w:cs="Arial"/>
                <w:color w:val="000000" w:themeColor="text1"/>
                <w:sz w:val="18"/>
                <w:szCs w:val="18"/>
              </w:rPr>
              <w:t>(tj. brak wymaga</w:t>
            </w:r>
            <w:r w:rsidRPr="007B192E">
              <w:rPr>
                <w:rFonts w:cs="Arial"/>
                <w:color w:val="000000" w:themeColor="text1"/>
                <w:sz w:val="18"/>
                <w:szCs w:val="18"/>
              </w:rPr>
              <w:softHyphen/>
              <w:t>nia)</w:t>
            </w:r>
          </w:p>
        </w:tc>
      </w:tr>
      <w:tr w:rsidR="004D7D23" w:rsidRPr="007B192E" w14:paraId="3578D080" w14:textId="77777777" w:rsidTr="00FD6503">
        <w:trPr>
          <w:jc w:val="center"/>
        </w:trPr>
        <w:tc>
          <w:tcPr>
            <w:tcW w:w="3427" w:type="dxa"/>
          </w:tcPr>
          <w:p w14:paraId="5029DDC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Kategorie procentowych zawartości ziaren o powierzchni </w:t>
            </w:r>
            <w:proofErr w:type="spellStart"/>
            <w:r w:rsidRPr="007B192E">
              <w:rPr>
                <w:rFonts w:cs="Arial"/>
                <w:color w:val="000000" w:themeColor="text1"/>
                <w:sz w:val="18"/>
                <w:szCs w:val="18"/>
              </w:rPr>
              <w:t>przekruszonej</w:t>
            </w:r>
            <w:proofErr w:type="spellEnd"/>
            <w:r w:rsidRPr="007B192E">
              <w:rPr>
                <w:rFonts w:cs="Arial"/>
                <w:color w:val="000000" w:themeColor="text1"/>
                <w:sz w:val="18"/>
                <w:szCs w:val="18"/>
              </w:rPr>
              <w:t xml:space="preserve"> lub łamanych oraz ziaren całkowicie za</w:t>
            </w:r>
            <w:r w:rsidRPr="007B192E">
              <w:rPr>
                <w:rFonts w:cs="Arial"/>
                <w:color w:val="000000" w:themeColor="text1"/>
                <w:sz w:val="18"/>
                <w:szCs w:val="18"/>
              </w:rPr>
              <w:softHyphen/>
              <w:t>okrąglonych w kruszywie grubym</w:t>
            </w:r>
          </w:p>
        </w:tc>
        <w:tc>
          <w:tcPr>
            <w:tcW w:w="992" w:type="dxa"/>
          </w:tcPr>
          <w:p w14:paraId="712DA4F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7F1E356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933-5    [10]</w:t>
            </w:r>
          </w:p>
        </w:tc>
        <w:tc>
          <w:tcPr>
            <w:tcW w:w="851" w:type="dxa"/>
          </w:tcPr>
          <w:p w14:paraId="44F3878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4.5</w:t>
            </w:r>
          </w:p>
        </w:tc>
        <w:tc>
          <w:tcPr>
            <w:tcW w:w="4455" w:type="dxa"/>
          </w:tcPr>
          <w:p w14:paraId="4DA45C6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C</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wymagania)</w:t>
            </w:r>
          </w:p>
        </w:tc>
      </w:tr>
      <w:tr w:rsidR="004D7D23" w:rsidRPr="007B192E" w14:paraId="34CDC422" w14:textId="77777777" w:rsidTr="00FD6503">
        <w:trPr>
          <w:jc w:val="center"/>
        </w:trPr>
        <w:tc>
          <w:tcPr>
            <w:tcW w:w="3427" w:type="dxa"/>
          </w:tcPr>
          <w:p w14:paraId="76E3A17A" w14:textId="77777777" w:rsidR="00F45500" w:rsidRPr="007B192E" w:rsidRDefault="00F45500" w:rsidP="008F7A94">
            <w:pPr>
              <w:pStyle w:val="Bezodstpw"/>
              <w:rPr>
                <w:rFonts w:cs="Arial"/>
                <w:color w:val="000000" w:themeColor="text1"/>
                <w:sz w:val="18"/>
                <w:szCs w:val="18"/>
                <w:vertAlign w:val="superscript"/>
              </w:rPr>
            </w:pPr>
            <w:r w:rsidRPr="007B192E">
              <w:rPr>
                <w:rFonts w:cs="Arial"/>
                <w:color w:val="000000" w:themeColor="text1"/>
                <w:sz w:val="18"/>
                <w:szCs w:val="18"/>
              </w:rPr>
              <w:t>Zawartość pyłów w kruszywie grubym</w:t>
            </w:r>
            <w:r w:rsidRPr="007B192E">
              <w:rPr>
                <w:rFonts w:cs="Arial"/>
                <w:color w:val="000000" w:themeColor="text1"/>
                <w:sz w:val="18"/>
                <w:szCs w:val="18"/>
                <w:vertAlign w:val="superscript"/>
              </w:rPr>
              <w:t>*)</w:t>
            </w:r>
          </w:p>
        </w:tc>
        <w:tc>
          <w:tcPr>
            <w:tcW w:w="992" w:type="dxa"/>
          </w:tcPr>
          <w:p w14:paraId="15B6C38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1F76DAD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[7]</w:t>
            </w:r>
          </w:p>
        </w:tc>
        <w:tc>
          <w:tcPr>
            <w:tcW w:w="851" w:type="dxa"/>
          </w:tcPr>
          <w:p w14:paraId="2DB6660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4.6</w:t>
            </w:r>
          </w:p>
        </w:tc>
        <w:tc>
          <w:tcPr>
            <w:tcW w:w="4455" w:type="dxa"/>
          </w:tcPr>
          <w:p w14:paraId="497551B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w:t>
            </w:r>
            <w:r w:rsidRPr="007B192E">
              <w:rPr>
                <w:rFonts w:cs="Arial"/>
                <w:color w:val="000000" w:themeColor="text1"/>
                <w:sz w:val="18"/>
                <w:szCs w:val="18"/>
                <w:vertAlign w:val="subscript"/>
              </w:rPr>
              <w:t>Dekl</w:t>
            </w:r>
            <w:proofErr w:type="spellEnd"/>
            <w:r w:rsidRPr="007B192E">
              <w:rPr>
                <w:rFonts w:cs="Arial"/>
                <w:color w:val="000000" w:themeColor="text1"/>
                <w:sz w:val="18"/>
                <w:szCs w:val="18"/>
              </w:rPr>
              <w:t xml:space="preserve">  (tj. masa frakcji przechodzącej przez sito 0,063 mm jest &gt; 4)</w:t>
            </w:r>
          </w:p>
        </w:tc>
      </w:tr>
      <w:tr w:rsidR="004D7D23" w:rsidRPr="007B192E" w14:paraId="313E1DA2" w14:textId="77777777" w:rsidTr="00FD6503">
        <w:trPr>
          <w:jc w:val="center"/>
        </w:trPr>
        <w:tc>
          <w:tcPr>
            <w:tcW w:w="3427" w:type="dxa"/>
          </w:tcPr>
          <w:p w14:paraId="54EA2B96" w14:textId="77777777" w:rsidR="00F45500" w:rsidRPr="007B192E" w:rsidRDefault="00F45500" w:rsidP="008F7A94">
            <w:pPr>
              <w:pStyle w:val="Bezodstpw"/>
              <w:rPr>
                <w:rFonts w:cs="Arial"/>
                <w:color w:val="000000" w:themeColor="text1"/>
                <w:sz w:val="18"/>
                <w:szCs w:val="18"/>
                <w:vertAlign w:val="superscript"/>
              </w:rPr>
            </w:pPr>
            <w:r w:rsidRPr="007B192E">
              <w:rPr>
                <w:rFonts w:cs="Arial"/>
                <w:color w:val="000000" w:themeColor="text1"/>
                <w:sz w:val="18"/>
                <w:szCs w:val="18"/>
              </w:rPr>
              <w:t>Zawartość pyłów</w:t>
            </w:r>
            <w:r w:rsidRPr="007B192E">
              <w:rPr>
                <w:rFonts w:cs="Arial"/>
                <w:color w:val="000000" w:themeColor="text1"/>
                <w:sz w:val="18"/>
                <w:szCs w:val="18"/>
                <w:vertAlign w:val="superscript"/>
              </w:rPr>
              <w:t xml:space="preserve">  </w:t>
            </w:r>
            <w:r w:rsidRPr="007B192E">
              <w:rPr>
                <w:rFonts w:cs="Arial"/>
                <w:color w:val="000000" w:themeColor="text1"/>
                <w:sz w:val="18"/>
                <w:szCs w:val="18"/>
              </w:rPr>
              <w:t xml:space="preserve"> w  kruszywie drob</w:t>
            </w:r>
            <w:r w:rsidRPr="007B192E">
              <w:rPr>
                <w:rFonts w:cs="Arial"/>
                <w:color w:val="000000" w:themeColor="text1"/>
                <w:sz w:val="18"/>
                <w:szCs w:val="18"/>
              </w:rPr>
              <w:softHyphen/>
              <w:t>nym</w:t>
            </w:r>
            <w:r w:rsidRPr="007B192E">
              <w:rPr>
                <w:rFonts w:cs="Arial"/>
                <w:color w:val="000000" w:themeColor="text1"/>
                <w:sz w:val="18"/>
                <w:szCs w:val="18"/>
                <w:vertAlign w:val="superscript"/>
              </w:rPr>
              <w:t>*)</w:t>
            </w:r>
          </w:p>
        </w:tc>
        <w:tc>
          <w:tcPr>
            <w:tcW w:w="992" w:type="dxa"/>
          </w:tcPr>
          <w:p w14:paraId="3696EE2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w:t>
            </w:r>
          </w:p>
          <w:p w14:paraId="573B7E7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933-1 [7] </w:t>
            </w:r>
          </w:p>
        </w:tc>
        <w:tc>
          <w:tcPr>
            <w:tcW w:w="851" w:type="dxa"/>
          </w:tcPr>
          <w:p w14:paraId="206FD12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4.6</w:t>
            </w:r>
          </w:p>
        </w:tc>
        <w:tc>
          <w:tcPr>
            <w:tcW w:w="4455" w:type="dxa"/>
          </w:tcPr>
          <w:p w14:paraId="7CB7C64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w:t>
            </w:r>
            <w:r w:rsidRPr="007B192E">
              <w:rPr>
                <w:rFonts w:cs="Arial"/>
                <w:color w:val="000000" w:themeColor="text1"/>
                <w:sz w:val="18"/>
                <w:szCs w:val="18"/>
                <w:vertAlign w:val="subscript"/>
              </w:rPr>
              <w:t>Dekl</w:t>
            </w:r>
            <w:proofErr w:type="spellEnd"/>
            <w:r w:rsidRPr="007B192E">
              <w:rPr>
                <w:rFonts w:cs="Arial"/>
                <w:color w:val="000000" w:themeColor="text1"/>
                <w:sz w:val="18"/>
                <w:szCs w:val="18"/>
              </w:rPr>
              <w:t xml:space="preserve">  (tj. masa frakcji przechodzącej przez sito 0,063 mm jest &gt; 22)</w:t>
            </w:r>
          </w:p>
        </w:tc>
      </w:tr>
      <w:tr w:rsidR="004D7D23" w:rsidRPr="007B192E" w14:paraId="3AB82F1D" w14:textId="77777777" w:rsidTr="00FD6503">
        <w:trPr>
          <w:jc w:val="center"/>
        </w:trPr>
        <w:tc>
          <w:tcPr>
            <w:tcW w:w="3427" w:type="dxa"/>
          </w:tcPr>
          <w:p w14:paraId="37039E4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Jakość pyłów</w:t>
            </w:r>
          </w:p>
        </w:tc>
        <w:tc>
          <w:tcPr>
            <w:tcW w:w="992" w:type="dxa"/>
          </w:tcPr>
          <w:p w14:paraId="20DCD0A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t>
            </w:r>
          </w:p>
        </w:tc>
        <w:tc>
          <w:tcPr>
            <w:tcW w:w="851" w:type="dxa"/>
          </w:tcPr>
          <w:p w14:paraId="523C967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4.7</w:t>
            </w:r>
          </w:p>
        </w:tc>
        <w:tc>
          <w:tcPr>
            <w:tcW w:w="4455" w:type="dxa"/>
          </w:tcPr>
          <w:p w14:paraId="7965353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Właściwość niebadana na pojedynczych frakcjach, a tylko w mieszankach wg wymagań dla mieszanek</w:t>
            </w:r>
          </w:p>
        </w:tc>
      </w:tr>
      <w:tr w:rsidR="004D7D23" w:rsidRPr="007B192E" w14:paraId="31385169" w14:textId="77777777" w:rsidTr="00FD6503">
        <w:trPr>
          <w:jc w:val="center"/>
        </w:trPr>
        <w:tc>
          <w:tcPr>
            <w:tcW w:w="3427" w:type="dxa"/>
          </w:tcPr>
          <w:p w14:paraId="46F4502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Odporność na rozdrabnianie kruszywa grubego</w:t>
            </w:r>
          </w:p>
        </w:tc>
        <w:tc>
          <w:tcPr>
            <w:tcW w:w="992" w:type="dxa"/>
          </w:tcPr>
          <w:p w14:paraId="25B432E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w:t>
            </w:r>
          </w:p>
          <w:p w14:paraId="0D12758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1097-2 [12] </w:t>
            </w:r>
          </w:p>
        </w:tc>
        <w:tc>
          <w:tcPr>
            <w:tcW w:w="851" w:type="dxa"/>
          </w:tcPr>
          <w:p w14:paraId="1832B3A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5.2</w:t>
            </w:r>
          </w:p>
        </w:tc>
        <w:tc>
          <w:tcPr>
            <w:tcW w:w="4455" w:type="dxa"/>
          </w:tcPr>
          <w:p w14:paraId="6C23B73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LA</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wymagania)</w:t>
            </w:r>
          </w:p>
        </w:tc>
      </w:tr>
      <w:tr w:rsidR="004D7D23" w:rsidRPr="007B192E" w14:paraId="67C73DCC" w14:textId="77777777" w:rsidTr="00FD6503">
        <w:trPr>
          <w:jc w:val="center"/>
        </w:trPr>
        <w:tc>
          <w:tcPr>
            <w:tcW w:w="3427" w:type="dxa"/>
          </w:tcPr>
          <w:p w14:paraId="5897E50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Odporność na ścieranie kruszywa grubego</w:t>
            </w:r>
          </w:p>
        </w:tc>
        <w:tc>
          <w:tcPr>
            <w:tcW w:w="992" w:type="dxa"/>
          </w:tcPr>
          <w:p w14:paraId="563982F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w:t>
            </w:r>
          </w:p>
          <w:p w14:paraId="77617C7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1097-1 [11] </w:t>
            </w:r>
          </w:p>
        </w:tc>
        <w:tc>
          <w:tcPr>
            <w:tcW w:w="851" w:type="dxa"/>
          </w:tcPr>
          <w:p w14:paraId="71F0D96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5.3</w:t>
            </w:r>
          </w:p>
        </w:tc>
        <w:tc>
          <w:tcPr>
            <w:tcW w:w="4455" w:type="dxa"/>
          </w:tcPr>
          <w:p w14:paraId="3FD19ED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M</w:t>
            </w:r>
            <w:r w:rsidRPr="007B192E">
              <w:rPr>
                <w:rFonts w:cs="Arial"/>
                <w:color w:val="000000" w:themeColor="text1"/>
                <w:sz w:val="18"/>
                <w:szCs w:val="18"/>
                <w:vertAlign w:val="subscript"/>
              </w:rPr>
              <w:t>DE</w:t>
            </w:r>
            <w:r w:rsidRPr="007B192E">
              <w:rPr>
                <w:rFonts w:cs="Arial"/>
                <w:color w:val="000000" w:themeColor="text1"/>
                <w:sz w:val="18"/>
                <w:szCs w:val="18"/>
              </w:rPr>
              <w:t>Deklarowana</w:t>
            </w:r>
            <w:proofErr w:type="spellEnd"/>
            <w:r w:rsidRPr="007B192E">
              <w:rPr>
                <w:rFonts w:cs="Arial"/>
                <w:color w:val="000000" w:themeColor="text1"/>
                <w:sz w:val="18"/>
                <w:szCs w:val="18"/>
              </w:rPr>
              <w:t xml:space="preserve"> (tj. współczynnik mikro-</w:t>
            </w:r>
            <w:proofErr w:type="spellStart"/>
            <w:r w:rsidRPr="007B192E">
              <w:rPr>
                <w:rFonts w:cs="Arial"/>
                <w:color w:val="000000" w:themeColor="text1"/>
                <w:sz w:val="18"/>
                <w:szCs w:val="18"/>
              </w:rPr>
              <w:t>Devala</w:t>
            </w:r>
            <w:proofErr w:type="spellEnd"/>
            <w:r w:rsidRPr="007B192E">
              <w:rPr>
                <w:rFonts w:cs="Arial"/>
                <w:color w:val="000000" w:themeColor="text1"/>
                <w:sz w:val="18"/>
                <w:szCs w:val="18"/>
              </w:rPr>
              <w:t xml:space="preserve"> &gt;50))</w:t>
            </w:r>
          </w:p>
        </w:tc>
      </w:tr>
      <w:tr w:rsidR="004D7D23" w:rsidRPr="007B192E" w14:paraId="6F9CE8A5" w14:textId="77777777" w:rsidTr="00FD6503">
        <w:trPr>
          <w:jc w:val="center"/>
        </w:trPr>
        <w:tc>
          <w:tcPr>
            <w:tcW w:w="3427" w:type="dxa"/>
          </w:tcPr>
          <w:p w14:paraId="619AB4F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Gęstość ziaren</w:t>
            </w:r>
          </w:p>
        </w:tc>
        <w:tc>
          <w:tcPr>
            <w:tcW w:w="992" w:type="dxa"/>
          </w:tcPr>
          <w:p w14:paraId="071C68B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1097-6,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7, 8 i 9  [13]</w:t>
            </w:r>
          </w:p>
        </w:tc>
        <w:tc>
          <w:tcPr>
            <w:tcW w:w="851" w:type="dxa"/>
          </w:tcPr>
          <w:p w14:paraId="67EA85F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5.4</w:t>
            </w:r>
          </w:p>
        </w:tc>
        <w:tc>
          <w:tcPr>
            <w:tcW w:w="4455" w:type="dxa"/>
          </w:tcPr>
          <w:p w14:paraId="2B22C2E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Deklarowana</w:t>
            </w:r>
          </w:p>
        </w:tc>
      </w:tr>
      <w:tr w:rsidR="004D7D23" w:rsidRPr="007B192E" w14:paraId="021FB03A" w14:textId="77777777" w:rsidTr="00FD6503">
        <w:trPr>
          <w:jc w:val="center"/>
        </w:trPr>
        <w:tc>
          <w:tcPr>
            <w:tcW w:w="3427" w:type="dxa"/>
          </w:tcPr>
          <w:p w14:paraId="7195E70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Nasiąkliwość</w:t>
            </w:r>
          </w:p>
        </w:tc>
        <w:tc>
          <w:tcPr>
            <w:tcW w:w="992" w:type="dxa"/>
          </w:tcPr>
          <w:p w14:paraId="1ECC860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1097-6,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xml:space="preserve">. 7, 8 i 9 [13] </w:t>
            </w:r>
          </w:p>
        </w:tc>
        <w:tc>
          <w:tcPr>
            <w:tcW w:w="851" w:type="dxa"/>
          </w:tcPr>
          <w:p w14:paraId="273DB07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5.5 i</w:t>
            </w:r>
          </w:p>
          <w:p w14:paraId="04A70EB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7.3.2</w:t>
            </w:r>
          </w:p>
        </w:tc>
        <w:tc>
          <w:tcPr>
            <w:tcW w:w="4455" w:type="dxa"/>
          </w:tcPr>
          <w:p w14:paraId="17EB206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W</w:t>
            </w:r>
            <w:r w:rsidRPr="007B192E">
              <w:rPr>
                <w:rFonts w:cs="Arial"/>
                <w:color w:val="000000" w:themeColor="text1"/>
                <w:sz w:val="18"/>
                <w:szCs w:val="18"/>
                <w:vertAlign w:val="subscript"/>
              </w:rPr>
              <w:t>cm</w:t>
            </w:r>
            <w:r w:rsidRPr="007B192E">
              <w:rPr>
                <w:rFonts w:cs="Arial"/>
                <w:color w:val="000000" w:themeColor="text1"/>
                <w:sz w:val="18"/>
                <w:szCs w:val="18"/>
              </w:rPr>
              <w:t>NR</w:t>
            </w:r>
            <w:proofErr w:type="spellEnd"/>
            <w:r w:rsidRPr="007B192E">
              <w:rPr>
                <w:rFonts w:cs="Arial"/>
                <w:color w:val="000000" w:themeColor="text1"/>
                <w:sz w:val="18"/>
                <w:szCs w:val="18"/>
              </w:rPr>
              <w:t xml:space="preserve"> (tj. brak wymagania)</w:t>
            </w:r>
          </w:p>
          <w:p w14:paraId="3247A8B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WA</w:t>
            </w:r>
            <w:r w:rsidRPr="007B192E">
              <w:rPr>
                <w:rFonts w:cs="Arial"/>
                <w:color w:val="000000" w:themeColor="text1"/>
                <w:sz w:val="18"/>
                <w:szCs w:val="18"/>
                <w:vertAlign w:val="subscript"/>
              </w:rPr>
              <w:t>24</w:t>
            </w:r>
            <w:r w:rsidRPr="007B192E">
              <w:rPr>
                <w:rFonts w:cs="Arial"/>
                <w:color w:val="000000" w:themeColor="text1"/>
                <w:sz w:val="18"/>
                <w:szCs w:val="18"/>
              </w:rPr>
              <w:t>2</w:t>
            </w:r>
            <w:r w:rsidRPr="007B192E">
              <w:rPr>
                <w:rFonts w:cs="Arial"/>
                <w:color w:val="000000" w:themeColor="text1"/>
                <w:sz w:val="18"/>
                <w:szCs w:val="18"/>
                <w:vertAlign w:val="superscript"/>
              </w:rPr>
              <w:t xml:space="preserve">**) </w:t>
            </w:r>
            <w:r w:rsidRPr="007B192E">
              <w:rPr>
                <w:rFonts w:cs="Arial"/>
                <w:color w:val="000000" w:themeColor="text1"/>
                <w:sz w:val="18"/>
                <w:szCs w:val="18"/>
              </w:rPr>
              <w:t xml:space="preserve"> (tj. maksymalna wartość nasiąkliwości  ≤2% masy)</w:t>
            </w:r>
          </w:p>
        </w:tc>
      </w:tr>
      <w:tr w:rsidR="004D7D23" w:rsidRPr="007B192E" w14:paraId="14BD3ADF" w14:textId="77777777" w:rsidTr="00FD6503">
        <w:trPr>
          <w:jc w:val="center"/>
        </w:trPr>
        <w:tc>
          <w:tcPr>
            <w:tcW w:w="3427" w:type="dxa"/>
          </w:tcPr>
          <w:p w14:paraId="14B8425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Siarczany rozpuszczalne w kwasie</w:t>
            </w:r>
          </w:p>
        </w:tc>
        <w:tc>
          <w:tcPr>
            <w:tcW w:w="992" w:type="dxa"/>
          </w:tcPr>
          <w:p w14:paraId="7BD5CFF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5497DE5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1744-1 [16] </w:t>
            </w:r>
          </w:p>
        </w:tc>
        <w:tc>
          <w:tcPr>
            <w:tcW w:w="851" w:type="dxa"/>
          </w:tcPr>
          <w:p w14:paraId="613A996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6.2</w:t>
            </w:r>
          </w:p>
        </w:tc>
        <w:tc>
          <w:tcPr>
            <w:tcW w:w="4455" w:type="dxa"/>
          </w:tcPr>
          <w:p w14:paraId="201D16A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AS</w:t>
            </w:r>
            <w:r w:rsidRPr="007B192E">
              <w:rPr>
                <w:rFonts w:cs="Arial"/>
                <w:color w:val="000000" w:themeColor="text1"/>
                <w:sz w:val="18"/>
                <w:szCs w:val="18"/>
                <w:vertAlign w:val="subscript"/>
              </w:rPr>
              <w:t xml:space="preserve">NR   </w:t>
            </w:r>
            <w:r w:rsidRPr="007B192E">
              <w:rPr>
                <w:rFonts w:cs="Arial"/>
                <w:color w:val="000000" w:themeColor="text1"/>
                <w:sz w:val="18"/>
                <w:szCs w:val="18"/>
              </w:rPr>
              <w:t>(tj. brak wymagania)</w:t>
            </w:r>
          </w:p>
          <w:p w14:paraId="16FA207E" w14:textId="77777777" w:rsidR="00F45500" w:rsidRPr="007B192E" w:rsidRDefault="00F45500" w:rsidP="008F7A94">
            <w:pPr>
              <w:pStyle w:val="Bezodstpw"/>
              <w:rPr>
                <w:rFonts w:cs="Arial"/>
                <w:color w:val="000000" w:themeColor="text1"/>
                <w:sz w:val="18"/>
                <w:szCs w:val="18"/>
              </w:rPr>
            </w:pPr>
          </w:p>
        </w:tc>
      </w:tr>
      <w:tr w:rsidR="004D7D23" w:rsidRPr="007B192E" w14:paraId="26E58715" w14:textId="77777777" w:rsidTr="00FD6503">
        <w:trPr>
          <w:jc w:val="center"/>
        </w:trPr>
        <w:tc>
          <w:tcPr>
            <w:tcW w:w="3427" w:type="dxa"/>
          </w:tcPr>
          <w:p w14:paraId="3A88403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Całkowita zawartość siarki</w:t>
            </w:r>
          </w:p>
        </w:tc>
        <w:tc>
          <w:tcPr>
            <w:tcW w:w="992" w:type="dxa"/>
          </w:tcPr>
          <w:p w14:paraId="1814A1E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w:t>
            </w:r>
          </w:p>
          <w:p w14:paraId="6A94C50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1744-1[16] </w:t>
            </w:r>
          </w:p>
        </w:tc>
        <w:tc>
          <w:tcPr>
            <w:tcW w:w="851" w:type="dxa"/>
          </w:tcPr>
          <w:p w14:paraId="6858A09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6.3</w:t>
            </w:r>
          </w:p>
        </w:tc>
        <w:tc>
          <w:tcPr>
            <w:tcW w:w="4455" w:type="dxa"/>
          </w:tcPr>
          <w:p w14:paraId="2B16DB3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S</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wymagania)</w:t>
            </w:r>
          </w:p>
        </w:tc>
      </w:tr>
      <w:tr w:rsidR="004D7D23" w:rsidRPr="007B192E" w14:paraId="71DCD865" w14:textId="77777777" w:rsidTr="00FD6503">
        <w:trPr>
          <w:jc w:val="center"/>
        </w:trPr>
        <w:tc>
          <w:tcPr>
            <w:tcW w:w="3427" w:type="dxa"/>
          </w:tcPr>
          <w:p w14:paraId="4E7BF4E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Stałość objętości żużla stalowniczego</w:t>
            </w:r>
            <w:r w:rsidRPr="007B192E">
              <w:rPr>
                <w:rFonts w:cs="Arial"/>
                <w:color w:val="000000" w:themeColor="text1"/>
                <w:sz w:val="18"/>
                <w:szCs w:val="18"/>
              </w:rPr>
              <w:br/>
            </w:r>
          </w:p>
        </w:tc>
        <w:tc>
          <w:tcPr>
            <w:tcW w:w="992" w:type="dxa"/>
          </w:tcPr>
          <w:p w14:paraId="046E948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1744-1,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xml:space="preserve">. 19.3 [16]  </w:t>
            </w:r>
          </w:p>
        </w:tc>
        <w:tc>
          <w:tcPr>
            <w:tcW w:w="851" w:type="dxa"/>
          </w:tcPr>
          <w:p w14:paraId="21443C9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6.4.2.1</w:t>
            </w:r>
          </w:p>
        </w:tc>
        <w:tc>
          <w:tcPr>
            <w:tcW w:w="4455" w:type="dxa"/>
          </w:tcPr>
          <w:p w14:paraId="51D4F58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V</w:t>
            </w:r>
            <w:r w:rsidRPr="007B192E">
              <w:rPr>
                <w:rFonts w:cs="Arial"/>
                <w:color w:val="000000" w:themeColor="text1"/>
                <w:sz w:val="18"/>
                <w:szCs w:val="18"/>
                <w:vertAlign w:val="subscript"/>
              </w:rPr>
              <w:t>5</w:t>
            </w:r>
            <w:r w:rsidRPr="007B192E">
              <w:rPr>
                <w:rFonts w:cs="Arial"/>
                <w:color w:val="000000" w:themeColor="text1"/>
                <w:sz w:val="18"/>
                <w:szCs w:val="18"/>
              </w:rPr>
              <w:t xml:space="preserve"> (tj. pęcznienie ≤ 5 % objętości). Dotyczy żużla z klasycznego pieca tlenowego i elektrycznego pieca łukowego</w:t>
            </w:r>
          </w:p>
        </w:tc>
      </w:tr>
      <w:tr w:rsidR="004D7D23" w:rsidRPr="007B192E" w14:paraId="5B6148C1" w14:textId="77777777" w:rsidTr="00FD6503">
        <w:trPr>
          <w:jc w:val="center"/>
        </w:trPr>
        <w:tc>
          <w:tcPr>
            <w:tcW w:w="3427" w:type="dxa"/>
          </w:tcPr>
          <w:p w14:paraId="4066810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Rozpad krzemianowy w żużlu wielko- piecowym kawałkowym</w:t>
            </w:r>
          </w:p>
        </w:tc>
        <w:tc>
          <w:tcPr>
            <w:tcW w:w="992" w:type="dxa"/>
          </w:tcPr>
          <w:p w14:paraId="377161A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1744-1, p. 19.1 [16]  </w:t>
            </w:r>
          </w:p>
        </w:tc>
        <w:tc>
          <w:tcPr>
            <w:tcW w:w="851" w:type="dxa"/>
          </w:tcPr>
          <w:p w14:paraId="13BB472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6.4.2.2</w:t>
            </w:r>
          </w:p>
        </w:tc>
        <w:tc>
          <w:tcPr>
            <w:tcW w:w="4455" w:type="dxa"/>
          </w:tcPr>
          <w:p w14:paraId="12A4E7E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rozpadu</w:t>
            </w:r>
          </w:p>
        </w:tc>
      </w:tr>
      <w:tr w:rsidR="004D7D23" w:rsidRPr="007B192E" w14:paraId="3A4D09F1" w14:textId="77777777" w:rsidTr="00FD6503">
        <w:trPr>
          <w:jc w:val="center"/>
        </w:trPr>
        <w:tc>
          <w:tcPr>
            <w:tcW w:w="3427" w:type="dxa"/>
          </w:tcPr>
          <w:p w14:paraId="3E310B0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Rozpad żelazawy w żużlu wielkopiecowym kawałkowym</w:t>
            </w:r>
          </w:p>
        </w:tc>
        <w:tc>
          <w:tcPr>
            <w:tcW w:w="992" w:type="dxa"/>
          </w:tcPr>
          <w:p w14:paraId="7A80C92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1744-1, p.19.2 [16] </w:t>
            </w:r>
          </w:p>
        </w:tc>
        <w:tc>
          <w:tcPr>
            <w:tcW w:w="851" w:type="dxa"/>
          </w:tcPr>
          <w:p w14:paraId="39B1030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6.4.2.3</w:t>
            </w:r>
          </w:p>
        </w:tc>
        <w:tc>
          <w:tcPr>
            <w:tcW w:w="4455" w:type="dxa"/>
          </w:tcPr>
          <w:p w14:paraId="56CE101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rozpadu</w:t>
            </w:r>
          </w:p>
        </w:tc>
      </w:tr>
      <w:tr w:rsidR="004D7D23" w:rsidRPr="007B192E" w14:paraId="71FE0D6D" w14:textId="77777777" w:rsidTr="00FD6503">
        <w:trPr>
          <w:jc w:val="center"/>
        </w:trPr>
        <w:tc>
          <w:tcPr>
            <w:tcW w:w="3427" w:type="dxa"/>
          </w:tcPr>
          <w:p w14:paraId="3883417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Składniki rozpuszczalne w wodzie</w:t>
            </w:r>
          </w:p>
        </w:tc>
        <w:tc>
          <w:tcPr>
            <w:tcW w:w="992" w:type="dxa"/>
          </w:tcPr>
          <w:p w14:paraId="1E74113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1744-3 [17]</w:t>
            </w:r>
          </w:p>
        </w:tc>
        <w:tc>
          <w:tcPr>
            <w:tcW w:w="851" w:type="dxa"/>
          </w:tcPr>
          <w:p w14:paraId="65C4EBF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6.4.3</w:t>
            </w:r>
          </w:p>
        </w:tc>
        <w:tc>
          <w:tcPr>
            <w:tcW w:w="4455" w:type="dxa"/>
          </w:tcPr>
          <w:p w14:paraId="4E9CD75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substancji szkodliwych w stosunku do środowiska wg odrębnych przepisów</w:t>
            </w:r>
          </w:p>
        </w:tc>
      </w:tr>
      <w:tr w:rsidR="004D7D23" w:rsidRPr="007B192E" w14:paraId="6655223C" w14:textId="77777777" w:rsidTr="00FD6503">
        <w:trPr>
          <w:jc w:val="center"/>
        </w:trPr>
        <w:tc>
          <w:tcPr>
            <w:tcW w:w="3427" w:type="dxa"/>
          </w:tcPr>
          <w:p w14:paraId="3A56133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Zanieczyszczenia</w:t>
            </w:r>
          </w:p>
        </w:tc>
        <w:tc>
          <w:tcPr>
            <w:tcW w:w="992" w:type="dxa"/>
          </w:tcPr>
          <w:p w14:paraId="132C38AB"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t>
            </w:r>
          </w:p>
        </w:tc>
        <w:tc>
          <w:tcPr>
            <w:tcW w:w="851" w:type="dxa"/>
          </w:tcPr>
          <w:p w14:paraId="2286AC2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6.4.4</w:t>
            </w:r>
          </w:p>
        </w:tc>
        <w:tc>
          <w:tcPr>
            <w:tcW w:w="4455" w:type="dxa"/>
          </w:tcPr>
          <w:p w14:paraId="2385FD5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ciał obcych takich jak drewno, szkło i plastik, mogących pogorszyć wyrób końcowy</w:t>
            </w:r>
          </w:p>
        </w:tc>
      </w:tr>
      <w:tr w:rsidR="004D7D23" w:rsidRPr="007B192E" w14:paraId="756B0632" w14:textId="77777777" w:rsidTr="00FD6503">
        <w:trPr>
          <w:jc w:val="center"/>
        </w:trPr>
        <w:tc>
          <w:tcPr>
            <w:tcW w:w="3427" w:type="dxa"/>
          </w:tcPr>
          <w:p w14:paraId="6B0F4F0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Zgorzel słoneczna bazaltu</w:t>
            </w:r>
          </w:p>
        </w:tc>
        <w:tc>
          <w:tcPr>
            <w:tcW w:w="992" w:type="dxa"/>
          </w:tcPr>
          <w:p w14:paraId="4556D93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1367-3 [15] i PN-EN 1097-2 [12]</w:t>
            </w:r>
          </w:p>
        </w:tc>
        <w:tc>
          <w:tcPr>
            <w:tcW w:w="851" w:type="dxa"/>
          </w:tcPr>
          <w:p w14:paraId="2FD7022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7.2</w:t>
            </w:r>
          </w:p>
        </w:tc>
        <w:tc>
          <w:tcPr>
            <w:tcW w:w="4455" w:type="dxa"/>
          </w:tcPr>
          <w:p w14:paraId="667A1B0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SB</w:t>
            </w:r>
            <w:r w:rsidRPr="007B192E">
              <w:rPr>
                <w:rFonts w:cs="Arial"/>
                <w:color w:val="000000" w:themeColor="text1"/>
                <w:sz w:val="18"/>
                <w:szCs w:val="18"/>
                <w:vertAlign w:val="subscript"/>
              </w:rPr>
              <w:t>LA Deklarowana</w:t>
            </w:r>
            <w:r w:rsidRPr="007B192E">
              <w:rPr>
                <w:rFonts w:cs="Arial"/>
                <w:color w:val="000000" w:themeColor="text1"/>
                <w:sz w:val="18"/>
                <w:szCs w:val="18"/>
              </w:rPr>
              <w:t xml:space="preserve"> (tj. wzrost współczynnika Los Angeles po gotowaniu &gt; 8%)</w:t>
            </w:r>
          </w:p>
        </w:tc>
      </w:tr>
      <w:tr w:rsidR="004D7D23" w:rsidRPr="007B192E" w14:paraId="1FF3CD7A" w14:textId="77777777" w:rsidTr="00FD6503">
        <w:trPr>
          <w:jc w:val="center"/>
        </w:trPr>
        <w:tc>
          <w:tcPr>
            <w:tcW w:w="3427" w:type="dxa"/>
          </w:tcPr>
          <w:p w14:paraId="25D9B0A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Mrozoodporność na frakcji kruszy-</w:t>
            </w:r>
            <w:r w:rsidRPr="007B192E">
              <w:rPr>
                <w:rFonts w:cs="Arial"/>
                <w:color w:val="000000" w:themeColor="text1"/>
                <w:sz w:val="18"/>
                <w:szCs w:val="18"/>
              </w:rPr>
              <w:br/>
            </w:r>
            <w:proofErr w:type="spellStart"/>
            <w:r w:rsidRPr="007B192E">
              <w:rPr>
                <w:rFonts w:cs="Arial"/>
                <w:color w:val="000000" w:themeColor="text1"/>
                <w:sz w:val="18"/>
                <w:szCs w:val="18"/>
              </w:rPr>
              <w:t>wa</w:t>
            </w:r>
            <w:proofErr w:type="spellEnd"/>
            <w:r w:rsidRPr="007B192E">
              <w:rPr>
                <w:rFonts w:cs="Arial"/>
                <w:color w:val="000000" w:themeColor="text1"/>
                <w:sz w:val="18"/>
                <w:szCs w:val="18"/>
              </w:rPr>
              <w:t xml:space="preserve">  8/16 mm  </w:t>
            </w:r>
          </w:p>
        </w:tc>
        <w:tc>
          <w:tcPr>
            <w:tcW w:w="992" w:type="dxa"/>
          </w:tcPr>
          <w:p w14:paraId="2B5A3C7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1367-1 [14]</w:t>
            </w:r>
          </w:p>
        </w:tc>
        <w:tc>
          <w:tcPr>
            <w:tcW w:w="851" w:type="dxa"/>
          </w:tcPr>
          <w:p w14:paraId="3FCDDC7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7.3.3</w:t>
            </w:r>
          </w:p>
        </w:tc>
        <w:tc>
          <w:tcPr>
            <w:tcW w:w="4455" w:type="dxa"/>
          </w:tcPr>
          <w:p w14:paraId="578EE4F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Skały magmowe i przeobrażone: kat. F</w:t>
            </w:r>
            <w:r w:rsidRPr="007B192E">
              <w:rPr>
                <w:rFonts w:cs="Arial"/>
                <w:color w:val="000000" w:themeColor="text1"/>
                <w:sz w:val="18"/>
                <w:szCs w:val="18"/>
                <w:vertAlign w:val="subscript"/>
              </w:rPr>
              <w:t>4</w:t>
            </w:r>
            <w:r w:rsidRPr="007B192E">
              <w:rPr>
                <w:rFonts w:cs="Arial"/>
                <w:color w:val="000000" w:themeColor="text1"/>
                <w:sz w:val="18"/>
                <w:szCs w:val="18"/>
              </w:rPr>
              <w:t xml:space="preserve"> (tj. zamrażanie-rozmrażanie ≤ 4% masy), skały osadowe: kat. F</w:t>
            </w:r>
            <w:r w:rsidRPr="007B192E">
              <w:rPr>
                <w:rFonts w:cs="Arial"/>
                <w:color w:val="000000" w:themeColor="text1"/>
                <w:sz w:val="18"/>
                <w:szCs w:val="18"/>
                <w:vertAlign w:val="subscript"/>
              </w:rPr>
              <w:t>10</w:t>
            </w:r>
            <w:r w:rsidRPr="007B192E">
              <w:rPr>
                <w:rFonts w:cs="Arial"/>
                <w:color w:val="000000" w:themeColor="text1"/>
                <w:sz w:val="18"/>
                <w:szCs w:val="18"/>
              </w:rPr>
              <w:t>, kruszywa z recyklingu: kat. F</w:t>
            </w:r>
            <w:r w:rsidRPr="007B192E">
              <w:rPr>
                <w:rFonts w:cs="Arial"/>
                <w:color w:val="000000" w:themeColor="text1"/>
                <w:sz w:val="18"/>
                <w:szCs w:val="18"/>
                <w:vertAlign w:val="subscript"/>
              </w:rPr>
              <w:t>10</w:t>
            </w:r>
            <w:r w:rsidRPr="007B192E">
              <w:rPr>
                <w:rFonts w:cs="Arial"/>
                <w:color w:val="000000" w:themeColor="text1"/>
                <w:sz w:val="18"/>
                <w:szCs w:val="18"/>
              </w:rPr>
              <w:t xml:space="preserve"> (F</w:t>
            </w:r>
            <w:r w:rsidRPr="007B192E">
              <w:rPr>
                <w:rFonts w:cs="Arial"/>
                <w:color w:val="000000" w:themeColor="text1"/>
                <w:sz w:val="18"/>
                <w:szCs w:val="18"/>
                <w:vertAlign w:val="subscript"/>
              </w:rPr>
              <w:t>25</w:t>
            </w:r>
            <w:r w:rsidRPr="007B192E">
              <w:rPr>
                <w:rFonts w:cs="Arial"/>
                <w:color w:val="000000" w:themeColor="text1"/>
                <w:sz w:val="18"/>
                <w:szCs w:val="18"/>
              </w:rPr>
              <w:t>***)</w:t>
            </w:r>
          </w:p>
        </w:tc>
      </w:tr>
      <w:tr w:rsidR="004D7D23" w:rsidRPr="007B192E" w14:paraId="45C708BE" w14:textId="77777777" w:rsidTr="00FD6503">
        <w:trPr>
          <w:jc w:val="center"/>
        </w:trPr>
        <w:tc>
          <w:tcPr>
            <w:tcW w:w="3427" w:type="dxa"/>
          </w:tcPr>
          <w:p w14:paraId="671E75B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Skład materiałowy</w:t>
            </w:r>
          </w:p>
        </w:tc>
        <w:tc>
          <w:tcPr>
            <w:tcW w:w="992" w:type="dxa"/>
          </w:tcPr>
          <w:p w14:paraId="1696063B"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t>
            </w:r>
          </w:p>
        </w:tc>
        <w:tc>
          <w:tcPr>
            <w:tcW w:w="851" w:type="dxa"/>
          </w:tcPr>
          <w:p w14:paraId="1479D3B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Zał. C</w:t>
            </w:r>
          </w:p>
          <w:p w14:paraId="20BCA605" w14:textId="77777777" w:rsidR="00F45500" w:rsidRPr="007B192E" w:rsidRDefault="00F45500" w:rsidP="008F7A94">
            <w:pPr>
              <w:pStyle w:val="Bezodstpw"/>
              <w:rPr>
                <w:rFonts w:cs="Arial"/>
                <w:color w:val="000000" w:themeColor="text1"/>
                <w:sz w:val="18"/>
                <w:szCs w:val="18"/>
              </w:rPr>
            </w:pPr>
          </w:p>
        </w:tc>
        <w:tc>
          <w:tcPr>
            <w:tcW w:w="4455" w:type="dxa"/>
          </w:tcPr>
          <w:p w14:paraId="0039D5A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Deklarowany</w:t>
            </w:r>
          </w:p>
        </w:tc>
      </w:tr>
      <w:tr w:rsidR="004D7D23" w:rsidRPr="007B192E" w14:paraId="217AC76C" w14:textId="77777777" w:rsidTr="00FD6503">
        <w:trPr>
          <w:jc w:val="center"/>
        </w:trPr>
        <w:tc>
          <w:tcPr>
            <w:tcW w:w="3427" w:type="dxa"/>
          </w:tcPr>
          <w:p w14:paraId="7FA7320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Istotne cechy środowiskowe</w:t>
            </w:r>
          </w:p>
        </w:tc>
        <w:tc>
          <w:tcPr>
            <w:tcW w:w="992" w:type="dxa"/>
          </w:tcPr>
          <w:p w14:paraId="4C36DF9A"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t>
            </w:r>
          </w:p>
        </w:tc>
        <w:tc>
          <w:tcPr>
            <w:tcW w:w="851" w:type="dxa"/>
          </w:tcPr>
          <w:p w14:paraId="702D057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Zał. C</w:t>
            </w:r>
          </w:p>
          <w:p w14:paraId="0A377D0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pkt</w:t>
            </w:r>
          </w:p>
          <w:p w14:paraId="0DC329A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C.3.4</w:t>
            </w:r>
          </w:p>
        </w:tc>
        <w:tc>
          <w:tcPr>
            <w:tcW w:w="4455" w:type="dxa"/>
          </w:tcPr>
          <w:p w14:paraId="13222F3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4D7D23" w:rsidRPr="007B192E" w14:paraId="2CACEB37" w14:textId="77777777" w:rsidTr="00FD6503">
        <w:trPr>
          <w:jc w:val="center"/>
        </w:trPr>
        <w:tc>
          <w:tcPr>
            <w:tcW w:w="9725" w:type="dxa"/>
            <w:gridSpan w:val="4"/>
          </w:tcPr>
          <w:p w14:paraId="7E413DA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Łączna zawartość pyłów w mieszance powinna się mieścić w wybranych krzywych granicznych</w:t>
            </w:r>
          </w:p>
          <w:p w14:paraId="27E7B53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W przypadku, gdy wymaganie nie jest spełnione , należy sprawdzić mrozoodporność</w:t>
            </w:r>
          </w:p>
          <w:p w14:paraId="7F20E98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Pod warunkiem, gdy zawartość w mieszance nie przekracza 50% m/m</w:t>
            </w:r>
          </w:p>
        </w:tc>
      </w:tr>
    </w:tbl>
    <w:p w14:paraId="00C875ED" w14:textId="77777777" w:rsidR="00F45500" w:rsidRPr="007B192E" w:rsidRDefault="00F45500" w:rsidP="00F45500">
      <w:pPr>
        <w:pStyle w:val="Bezodstpw"/>
        <w:rPr>
          <w:rFonts w:cs="Arial"/>
          <w:b/>
          <w:color w:val="000000" w:themeColor="text1"/>
          <w:sz w:val="18"/>
          <w:szCs w:val="18"/>
        </w:rPr>
      </w:pPr>
    </w:p>
    <w:p w14:paraId="2560A984" w14:textId="77777777" w:rsidR="00F45500" w:rsidRPr="007B192E" w:rsidRDefault="00F45500" w:rsidP="00F45500">
      <w:pPr>
        <w:pStyle w:val="Bezodstpw"/>
        <w:spacing w:after="120"/>
        <w:jc w:val="both"/>
        <w:rPr>
          <w:rFonts w:cs="Arial"/>
          <w:color w:val="000000" w:themeColor="text1"/>
          <w:sz w:val="18"/>
          <w:szCs w:val="18"/>
        </w:rPr>
      </w:pPr>
      <w:r w:rsidRPr="007B192E">
        <w:rPr>
          <w:rFonts w:cs="Arial"/>
          <w:b/>
          <w:color w:val="000000" w:themeColor="text1"/>
          <w:sz w:val="18"/>
          <w:szCs w:val="18"/>
        </w:rPr>
        <w:t xml:space="preserve">2.2.4. </w:t>
      </w:r>
      <w:r w:rsidRPr="007B192E">
        <w:rPr>
          <w:rFonts w:cs="Arial"/>
          <w:color w:val="000000" w:themeColor="text1"/>
          <w:sz w:val="18"/>
          <w:szCs w:val="18"/>
        </w:rPr>
        <w:t>Woda do zraszania kruszywa</w:t>
      </w:r>
    </w:p>
    <w:p w14:paraId="0853EB13"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ab/>
        <w:t>Do zraszania kruszywa należy stosować wodę nie zawierającą składników wpływających szkodliwie na mieszankę kruszywa, ale umożliwiającą właściwe zagęszczenie mieszanki niezwiązanej.</w:t>
      </w:r>
    </w:p>
    <w:p w14:paraId="166DE6C6" w14:textId="77777777" w:rsidR="00F45500" w:rsidRPr="007B192E" w:rsidRDefault="00F45500" w:rsidP="001D052E">
      <w:pPr>
        <w:pStyle w:val="Nagwek2"/>
        <w:rPr>
          <w:i w:val="0"/>
          <w:color w:val="000000" w:themeColor="text1"/>
        </w:rPr>
      </w:pPr>
      <w:bookmarkStart w:id="167" w:name="_Toc331508865"/>
      <w:bookmarkStart w:id="168" w:name="_Toc346094294"/>
      <w:r w:rsidRPr="007B192E">
        <w:rPr>
          <w:i w:val="0"/>
          <w:color w:val="000000" w:themeColor="text1"/>
        </w:rPr>
        <w:t xml:space="preserve">3. </w:t>
      </w:r>
      <w:bookmarkEnd w:id="167"/>
      <w:bookmarkEnd w:id="168"/>
      <w:r w:rsidRPr="007B192E">
        <w:rPr>
          <w:i w:val="0"/>
          <w:color w:val="000000" w:themeColor="text1"/>
        </w:rPr>
        <w:t>SPRZĘT</w:t>
      </w:r>
    </w:p>
    <w:p w14:paraId="113AF1DE"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3.1. Ogólne wymagania dotyczące sprzętu</w:t>
      </w:r>
    </w:p>
    <w:p w14:paraId="1D5D88C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2854580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46C1C2B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12570710" w14:textId="77777777" w:rsidR="00F45500" w:rsidRPr="007B192E"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mieszarki do wytwarzania mieszanki kruszywa, wyposażone w urządzenia dozujące wodę, które powinny zapewnić wytworzenie jednorodnej mieszanki o wilgotności optymalnej,</w:t>
      </w:r>
    </w:p>
    <w:p w14:paraId="2FB6AB42" w14:textId="77777777" w:rsidR="00F45500" w:rsidRPr="007B192E"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układarki lub równiarki do rozkładania mieszanki kruszywa niezwiązanego,</w:t>
      </w:r>
    </w:p>
    <w:p w14:paraId="0DD4D088" w14:textId="77777777" w:rsidR="00F45500" w:rsidRPr="007B192E"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walce ogumione i stalowe wibracyjne lub statyczne do zagęszczania mieszanki,</w:t>
      </w:r>
    </w:p>
    <w:p w14:paraId="3850A4CF" w14:textId="77777777" w:rsidR="00F45500" w:rsidRPr="007B192E" w:rsidRDefault="00F45500" w:rsidP="00BA5651">
      <w:pPr>
        <w:widowControl/>
        <w:numPr>
          <w:ilvl w:val="0"/>
          <w:numId w:val="26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zagęszczarki płytowe, ubijaki mechaniczne lub małe walce wibracyjne, do stosowania w miejscach trudno dostępnych.</w:t>
      </w:r>
    </w:p>
    <w:p w14:paraId="08CF63E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14:paraId="1738726E" w14:textId="77777777" w:rsidR="00F45500" w:rsidRPr="007B192E" w:rsidRDefault="00F45500" w:rsidP="001D052E">
      <w:pPr>
        <w:pStyle w:val="Nagwek2"/>
        <w:rPr>
          <w:i w:val="0"/>
          <w:color w:val="000000" w:themeColor="text1"/>
        </w:rPr>
      </w:pPr>
      <w:bookmarkStart w:id="169" w:name="_Toc424534468"/>
      <w:bookmarkStart w:id="170" w:name="_Toc46643999"/>
      <w:bookmarkStart w:id="171" w:name="_Toc51995832"/>
      <w:bookmarkStart w:id="172" w:name="_Toc331508866"/>
      <w:bookmarkStart w:id="173" w:name="_Toc346094295"/>
      <w:r w:rsidRPr="007B192E">
        <w:rPr>
          <w:i w:val="0"/>
          <w:color w:val="000000" w:themeColor="text1"/>
        </w:rPr>
        <w:t>4. TRANSPORT</w:t>
      </w:r>
      <w:bookmarkEnd w:id="169"/>
      <w:bookmarkEnd w:id="170"/>
      <w:bookmarkEnd w:id="171"/>
      <w:bookmarkEnd w:id="172"/>
      <w:bookmarkEnd w:id="173"/>
    </w:p>
    <w:p w14:paraId="6B8AB3C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4.1. Ogólne wymagania dotyczące transportu </w:t>
      </w:r>
    </w:p>
    <w:p w14:paraId="432101D6" w14:textId="77777777" w:rsidR="00F45500" w:rsidRPr="007B192E" w:rsidRDefault="00F45500" w:rsidP="00F45500">
      <w:pPr>
        <w:tabs>
          <w:tab w:val="left" w:pos="284"/>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p>
    <w:p w14:paraId="64504F7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4.2. Transport materiałów</w:t>
      </w:r>
    </w:p>
    <w:p w14:paraId="7805C1E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14:paraId="0FEC98C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Woda może być dostarczana wodociągiem lub przewoźnymi zbiornikami wody.</w:t>
      </w:r>
    </w:p>
    <w:p w14:paraId="02AEE13E" w14:textId="77777777" w:rsidR="00F45500" w:rsidRPr="007B192E" w:rsidRDefault="00F45500" w:rsidP="001D052E">
      <w:pPr>
        <w:pStyle w:val="Nagwek2"/>
        <w:rPr>
          <w:i w:val="0"/>
          <w:color w:val="000000" w:themeColor="text1"/>
        </w:rPr>
      </w:pPr>
      <w:bookmarkStart w:id="174" w:name="_Toc51995833"/>
      <w:bookmarkStart w:id="175" w:name="_Toc331508867"/>
      <w:bookmarkStart w:id="176" w:name="_Toc346094296"/>
      <w:r w:rsidRPr="007B192E">
        <w:rPr>
          <w:i w:val="0"/>
          <w:color w:val="000000" w:themeColor="text1"/>
        </w:rPr>
        <w:t>5. WYKONANIE ROBÓT</w:t>
      </w:r>
      <w:bookmarkEnd w:id="174"/>
      <w:bookmarkEnd w:id="175"/>
      <w:bookmarkEnd w:id="176"/>
    </w:p>
    <w:p w14:paraId="0A03C92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4E49083B" w14:textId="77777777" w:rsidR="00F45500" w:rsidRPr="007B192E" w:rsidRDefault="00F45500" w:rsidP="00F45500">
      <w:pPr>
        <w:tabs>
          <w:tab w:val="left" w:pos="0"/>
          <w:tab w:val="left" w:pos="567"/>
          <w:tab w:val="left" w:pos="851"/>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62CDA43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Zasady wykonywania robót</w:t>
      </w:r>
    </w:p>
    <w:p w14:paraId="0621353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Sposób wykonania robót powinien być zgodny z dokumentacją projektową i ST. W przypadku braku </w:t>
      </w:r>
      <w:r w:rsidRPr="007B192E">
        <w:rPr>
          <w:rFonts w:ascii="Arial" w:hAnsi="Arial" w:cs="Arial"/>
          <w:color w:val="000000" w:themeColor="text1"/>
          <w:sz w:val="18"/>
          <w:szCs w:val="18"/>
        </w:rPr>
        <w:lastRenderedPageBreak/>
        <w:t>wystarczających danych można korzystać z ustaleń podanych w niniejszej specyfikacji oraz z informacji podanych w załącznikach.</w:t>
      </w:r>
    </w:p>
    <w:p w14:paraId="430315A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wykonaniu robót obejmują:</w:t>
      </w:r>
    </w:p>
    <w:p w14:paraId="6863B5D6"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roboty przygotowawcze, </w:t>
      </w:r>
    </w:p>
    <w:p w14:paraId="5443B5B9"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projektowanie mieszanki,</w:t>
      </w:r>
    </w:p>
    <w:p w14:paraId="449F5206"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odcinek próbny,</w:t>
      </w:r>
    </w:p>
    <w:p w14:paraId="2F1A8586"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wbudowanie mieszanki,</w:t>
      </w:r>
    </w:p>
    <w:p w14:paraId="27813B40"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23CACA5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Roboty przygotowawcze</w:t>
      </w:r>
    </w:p>
    <w:p w14:paraId="35C2098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należy, na podstawie dokumentacji projektowej,  ST lub wskazań Inżyniera:</w:t>
      </w:r>
    </w:p>
    <w:p w14:paraId="6FF485A3"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ustalić lokalizację robót,</w:t>
      </w:r>
    </w:p>
    <w:p w14:paraId="12B7B940"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przeprowadzić obliczenia i pomiary niezbędne do szczegółowego wytyczenia robót oraz ustalenia danych wysokościowych,</w:t>
      </w:r>
    </w:p>
    <w:p w14:paraId="2D4A899E"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usunąć przeszkody utrudniające wykonanie robót,</w:t>
      </w:r>
    </w:p>
    <w:p w14:paraId="1F8E432C"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wprowadzić oznakowanie drogi na okres robót,</w:t>
      </w:r>
    </w:p>
    <w:p w14:paraId="2FB3C17B"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zgromadzić materiały i sprzęt potrzebne do rozpoczęcia robót.</w:t>
      </w:r>
    </w:p>
    <w:p w14:paraId="1E12650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Można dodatkowo korzystać z ST D-01.00.00 [2] przy robotach przygotowawczych oraz z ST D-02.00.00 [3] przy występowaniu robót ziemnych. </w:t>
      </w:r>
    </w:p>
    <w:p w14:paraId="42B9784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Projektowanie mieszanki związanej cementem</w:t>
      </w:r>
    </w:p>
    <w:p w14:paraId="60474BD9" w14:textId="77777777" w:rsidR="00F45500" w:rsidRPr="007B192E" w:rsidRDefault="00F45500" w:rsidP="00F45500">
      <w:pPr>
        <w:keepNext/>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5.4.1. </w:t>
      </w:r>
      <w:r w:rsidRPr="007B192E">
        <w:rPr>
          <w:rFonts w:ascii="Arial" w:hAnsi="Arial" w:cs="Arial"/>
          <w:color w:val="000000" w:themeColor="text1"/>
          <w:sz w:val="18"/>
          <w:szCs w:val="18"/>
        </w:rPr>
        <w:t xml:space="preserve">Postanowienia ogólne </w:t>
      </w:r>
    </w:p>
    <w:p w14:paraId="2A35B5C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698C378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podłoża ulepszonego.</w:t>
      </w:r>
    </w:p>
    <w:p w14:paraId="433A85B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Skład mieszanki projektuje się zgodnie z wymaganiami wobec mieszanek niezwiązanych do podłoża ulepszonego, określonych w tablicy 2. Wartości graniczne i tolerancje zawierają rozrzut wynikający z pobierania i dzielenia próbki, przedział ufności (precyzja w porównywalnych warunkach) oraz nierównomierności warunków wykonawczych.</w:t>
      </w:r>
    </w:p>
    <w:p w14:paraId="3728914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2A5920F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projektowaniu mieszanek kruszyw z recyklingu można ustalać skład  mieszanek, wzorując się na przykładach podanych w załączniku 1.</w:t>
      </w:r>
    </w:p>
    <w:p w14:paraId="3851651D"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5.4.2. </w:t>
      </w:r>
      <w:r w:rsidRPr="007B192E">
        <w:rPr>
          <w:rFonts w:ascii="Arial" w:hAnsi="Arial" w:cs="Arial"/>
          <w:color w:val="000000" w:themeColor="text1"/>
          <w:sz w:val="18"/>
          <w:szCs w:val="18"/>
        </w:rPr>
        <w:t>Wymagania wobec mieszanek</w:t>
      </w:r>
    </w:p>
    <w:p w14:paraId="25A0DFC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warstwach podłoża ulepszonego można stosować następujące mieszanki kruszyw:</w:t>
      </w:r>
    </w:p>
    <w:p w14:paraId="27B5B1C2"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0/8 mm,</w:t>
      </w:r>
    </w:p>
    <w:p w14:paraId="00711880"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0/11,2 mm,</w:t>
      </w:r>
    </w:p>
    <w:p w14:paraId="0DC5A2BF"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0/16 mm,</w:t>
      </w:r>
    </w:p>
    <w:p w14:paraId="72012E5C"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0/22,4 mm,</w:t>
      </w:r>
    </w:p>
    <w:p w14:paraId="325C74E0"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0/31,5 mm,</w:t>
      </w:r>
    </w:p>
    <w:p w14:paraId="1FFC7165"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0/45 mm,</w:t>
      </w:r>
    </w:p>
    <w:p w14:paraId="3296F620" w14:textId="77777777" w:rsidR="00F45500" w:rsidRPr="007B192E" w:rsidRDefault="00F45500" w:rsidP="00BA5651">
      <w:pPr>
        <w:pStyle w:val="Bezodstpw"/>
        <w:numPr>
          <w:ilvl w:val="0"/>
          <w:numId w:val="263"/>
        </w:numPr>
        <w:tabs>
          <w:tab w:val="clear" w:pos="720"/>
          <w:tab w:val="num" w:pos="480"/>
        </w:tabs>
        <w:suppressAutoHyphens w:val="0"/>
        <w:ind w:left="480" w:hanging="480"/>
        <w:jc w:val="both"/>
        <w:rPr>
          <w:rFonts w:cs="Arial"/>
          <w:color w:val="000000" w:themeColor="text1"/>
          <w:sz w:val="18"/>
          <w:szCs w:val="18"/>
        </w:rPr>
      </w:pPr>
      <w:r w:rsidRPr="007B192E">
        <w:rPr>
          <w:rFonts w:cs="Arial"/>
          <w:color w:val="000000" w:themeColor="text1"/>
          <w:sz w:val="18"/>
          <w:szCs w:val="18"/>
        </w:rPr>
        <w:t>0/63 mm.</w:t>
      </w:r>
    </w:p>
    <w:p w14:paraId="646CF992"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t xml:space="preserve">Zawartość pyłów w mieszankach kruszyw do warstwy podłoża ulepszonego, określana wg PN-EN 933-1 [7], powinna być zgodna z wymaganiami tablicy 2. W przypadku słabych kruszyw, zawartość pyłów w mieszance kruszyw należy również badać i deklarować,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Zawartość pyłów w takiej mieszance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powinna również spełniać wymagania podane w tablicy 2. Nie określa się wymagania wobec minimalnej zawartości pyłów &lt; 0,063 mm w mieszankach kruszyw do warstwy podłoża ulepszonego.</w:t>
      </w:r>
    </w:p>
    <w:p w14:paraId="43AF4EF9"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t xml:space="preserve">Zawartość nadziarna w mieszankach kruszyw, określana według PN-EN 933-1 [7] powinna spełniać wymagania podane w tablicy 2. W przypadku słabych kruszyw decyduje zawartość nadziarna w mieszance kruszyw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w:t>
      </w:r>
    </w:p>
    <w:p w14:paraId="377586BE"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t>Uziarnienie mieszanek kruszyw (kategoria G</w:t>
      </w:r>
      <w:r w:rsidRPr="007B192E">
        <w:rPr>
          <w:rFonts w:cs="Arial"/>
          <w:color w:val="000000" w:themeColor="text1"/>
          <w:sz w:val="18"/>
          <w:szCs w:val="18"/>
          <w:vertAlign w:val="subscript"/>
        </w:rPr>
        <w:t>V</w:t>
      </w:r>
      <w:r w:rsidRPr="007B192E">
        <w:rPr>
          <w:rFonts w:cs="Arial"/>
          <w:color w:val="000000" w:themeColor="text1"/>
          <w:sz w:val="18"/>
          <w:szCs w:val="18"/>
        </w:rPr>
        <w:t xml:space="preserve">) o wymiarach ziaren D od 0 do  63 mm należy określić według PN-EN 933-1 [7]. Krzywe uziarnienia mieszanki kruszyw do górnej warstwy podłoża ulepszonego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Kryterium przydatności takiej mieszanki, pod względem uziarnienia, jest spełnione, jeżeli uziarnienie mieszanki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mieści się w krzywych granicznych podanych na odpowiednich rysunkach 1÷7. Wobec mieszanek kruszyw przeznaczonych do warstw podłoża ulepszonego, które będą położone poniżej 20 cm od góry tej warstwy, nie obowiązują żadne inne wymagania dotyczące uziarnienia (kategoria G</w:t>
      </w:r>
      <w:r w:rsidRPr="007B192E">
        <w:rPr>
          <w:rFonts w:cs="Arial"/>
          <w:color w:val="000000" w:themeColor="text1"/>
          <w:sz w:val="18"/>
          <w:szCs w:val="18"/>
          <w:vertAlign w:val="subscript"/>
        </w:rPr>
        <w:t>N</w:t>
      </w:r>
      <w:r w:rsidRPr="007B192E">
        <w:rPr>
          <w:rFonts w:cs="Arial"/>
          <w:color w:val="000000" w:themeColor="text1"/>
          <w:sz w:val="18"/>
          <w:szCs w:val="18"/>
        </w:rPr>
        <w:t>) poza ograniczeniem zawartości pyłów i jeśli jest to wymagane w ST, wodoprzepuszczalności.</w:t>
      </w:r>
    </w:p>
    <w:p w14:paraId="32BEEA29" w14:textId="77777777" w:rsidR="00F45500" w:rsidRPr="007B192E" w:rsidRDefault="00F45500" w:rsidP="00F45500">
      <w:pPr>
        <w:pStyle w:val="Bezodstpw"/>
        <w:spacing w:before="120"/>
        <w:jc w:val="center"/>
        <w:rPr>
          <w:rFonts w:cs="Arial"/>
          <w:color w:val="000000" w:themeColor="text1"/>
          <w:sz w:val="18"/>
          <w:szCs w:val="18"/>
        </w:rPr>
      </w:pPr>
      <w:r w:rsidRPr="007B192E">
        <w:rPr>
          <w:rFonts w:cs="Arial"/>
          <w:noProof/>
          <w:color w:val="000000" w:themeColor="text1"/>
          <w:sz w:val="18"/>
          <w:szCs w:val="18"/>
          <w:lang w:eastAsia="pl-PL"/>
        </w:rPr>
        <w:lastRenderedPageBreak/>
        <w:drawing>
          <wp:inline distT="0" distB="0" distL="0" distR="0" wp14:anchorId="2E9AE4D8" wp14:editId="0749EFD7">
            <wp:extent cx="4962525" cy="2609850"/>
            <wp:effectExtent l="0" t="0" r="9525" b="0"/>
            <wp:docPr id="31" name="Obraz 31" descr="WT4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T4r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62525" cy="2609850"/>
                    </a:xfrm>
                    <a:prstGeom prst="rect">
                      <a:avLst/>
                    </a:prstGeom>
                    <a:noFill/>
                    <a:ln>
                      <a:noFill/>
                    </a:ln>
                  </pic:spPr>
                </pic:pic>
              </a:graphicData>
            </a:graphic>
          </wp:inline>
        </w:drawing>
      </w:r>
    </w:p>
    <w:p w14:paraId="6129F724" w14:textId="77777777" w:rsidR="00F45500" w:rsidRPr="007B192E" w:rsidRDefault="00F45500" w:rsidP="00F45500">
      <w:pPr>
        <w:pStyle w:val="Bezodstpw"/>
        <w:tabs>
          <w:tab w:val="left" w:pos="851"/>
        </w:tabs>
        <w:spacing w:after="120"/>
        <w:ind w:left="839" w:hanging="839"/>
        <w:jc w:val="center"/>
        <w:rPr>
          <w:rFonts w:cs="Arial"/>
          <w:color w:val="000000" w:themeColor="text1"/>
          <w:sz w:val="18"/>
          <w:szCs w:val="18"/>
        </w:rPr>
      </w:pPr>
      <w:r w:rsidRPr="007B192E">
        <w:rPr>
          <w:rFonts w:cs="Arial"/>
          <w:color w:val="000000" w:themeColor="text1"/>
          <w:sz w:val="18"/>
          <w:szCs w:val="18"/>
        </w:rPr>
        <w:t>Rys. 1.</w:t>
      </w:r>
      <w:r w:rsidRPr="007B192E">
        <w:rPr>
          <w:rFonts w:cs="Arial"/>
          <w:color w:val="000000" w:themeColor="text1"/>
          <w:sz w:val="18"/>
          <w:szCs w:val="18"/>
        </w:rPr>
        <w:tab/>
        <w:t>Krzywe graniczne uziarnienia mieszanki kruszyw 0/8 mm do górnej warstwy podłoża ulepszonego</w:t>
      </w:r>
    </w:p>
    <w:p w14:paraId="21FB0E86"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noProof/>
          <w:color w:val="000000" w:themeColor="text1"/>
          <w:sz w:val="18"/>
          <w:szCs w:val="18"/>
          <w:lang w:eastAsia="pl-PL"/>
        </w:rPr>
        <w:drawing>
          <wp:inline distT="0" distB="0" distL="0" distR="0" wp14:anchorId="3A82B584" wp14:editId="437A5B73">
            <wp:extent cx="4867275" cy="2581275"/>
            <wp:effectExtent l="0" t="0" r="9525" b="9525"/>
            <wp:docPr id="30" name="Obraz 30" descr="WT4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T4r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867275" cy="2581275"/>
                    </a:xfrm>
                    <a:prstGeom prst="rect">
                      <a:avLst/>
                    </a:prstGeom>
                    <a:noFill/>
                    <a:ln>
                      <a:noFill/>
                    </a:ln>
                  </pic:spPr>
                </pic:pic>
              </a:graphicData>
            </a:graphic>
          </wp:inline>
        </w:drawing>
      </w:r>
    </w:p>
    <w:p w14:paraId="3768FA7B" w14:textId="77777777" w:rsidR="00F45500" w:rsidRPr="007B192E" w:rsidRDefault="00F45500" w:rsidP="00F45500">
      <w:pPr>
        <w:pStyle w:val="Bezodstpw"/>
        <w:tabs>
          <w:tab w:val="left" w:pos="851"/>
        </w:tabs>
        <w:ind w:left="840" w:hanging="840"/>
        <w:jc w:val="center"/>
        <w:rPr>
          <w:rFonts w:cs="Arial"/>
          <w:color w:val="000000" w:themeColor="text1"/>
          <w:sz w:val="18"/>
          <w:szCs w:val="18"/>
        </w:rPr>
      </w:pPr>
      <w:r w:rsidRPr="007B192E">
        <w:rPr>
          <w:rFonts w:cs="Arial"/>
          <w:color w:val="000000" w:themeColor="text1"/>
          <w:sz w:val="18"/>
          <w:szCs w:val="18"/>
        </w:rPr>
        <w:t>Rys. 2.</w:t>
      </w:r>
      <w:r w:rsidRPr="007B192E">
        <w:rPr>
          <w:rFonts w:cs="Arial"/>
          <w:color w:val="000000" w:themeColor="text1"/>
          <w:sz w:val="18"/>
          <w:szCs w:val="18"/>
        </w:rPr>
        <w:tab/>
        <w:t>Krzywe graniczne uziarnienia mieszanki kruszyw 0/11,2 mm do górnej warstwy podłoża ulepszonego</w:t>
      </w:r>
    </w:p>
    <w:p w14:paraId="515E0551"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noProof/>
          <w:color w:val="000000" w:themeColor="text1"/>
          <w:sz w:val="18"/>
          <w:szCs w:val="18"/>
          <w:lang w:eastAsia="pl-PL"/>
        </w:rPr>
        <w:drawing>
          <wp:inline distT="0" distB="0" distL="0" distR="0" wp14:anchorId="48132417" wp14:editId="215C73FA">
            <wp:extent cx="4876800" cy="2476500"/>
            <wp:effectExtent l="0" t="0" r="0" b="0"/>
            <wp:docPr id="28" name="Obraz 28" descr="WT4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T4r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76800" cy="2476500"/>
                    </a:xfrm>
                    <a:prstGeom prst="rect">
                      <a:avLst/>
                    </a:prstGeom>
                    <a:noFill/>
                    <a:ln>
                      <a:noFill/>
                    </a:ln>
                  </pic:spPr>
                </pic:pic>
              </a:graphicData>
            </a:graphic>
          </wp:inline>
        </w:drawing>
      </w:r>
    </w:p>
    <w:p w14:paraId="1EFEDCF4" w14:textId="77777777" w:rsidR="00F45500" w:rsidRPr="007B192E" w:rsidRDefault="00F45500" w:rsidP="00F45500">
      <w:pPr>
        <w:pStyle w:val="Bezodstpw"/>
        <w:tabs>
          <w:tab w:val="left" w:pos="851"/>
        </w:tabs>
        <w:spacing w:after="240"/>
        <w:ind w:left="839" w:hanging="839"/>
        <w:jc w:val="center"/>
        <w:rPr>
          <w:rFonts w:cs="Arial"/>
          <w:color w:val="000000" w:themeColor="text1"/>
          <w:sz w:val="18"/>
          <w:szCs w:val="18"/>
        </w:rPr>
      </w:pPr>
      <w:r w:rsidRPr="007B192E">
        <w:rPr>
          <w:rFonts w:cs="Arial"/>
          <w:color w:val="000000" w:themeColor="text1"/>
          <w:sz w:val="18"/>
          <w:szCs w:val="18"/>
        </w:rPr>
        <w:t>Rys. 3.</w:t>
      </w:r>
      <w:r w:rsidRPr="007B192E">
        <w:rPr>
          <w:rFonts w:cs="Arial"/>
          <w:color w:val="000000" w:themeColor="text1"/>
          <w:sz w:val="18"/>
          <w:szCs w:val="18"/>
        </w:rPr>
        <w:tab/>
        <w:t>Krzywe graniczne uziarnienia mieszanki kruszyw 0/16 mm do górnej warstwy podłoża ulepszonego</w:t>
      </w:r>
    </w:p>
    <w:p w14:paraId="326F3F07"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noProof/>
          <w:color w:val="000000" w:themeColor="text1"/>
          <w:sz w:val="18"/>
          <w:szCs w:val="18"/>
          <w:lang w:eastAsia="pl-PL"/>
        </w:rPr>
        <w:lastRenderedPageBreak/>
        <w:drawing>
          <wp:inline distT="0" distB="0" distL="0" distR="0" wp14:anchorId="72DA0DB1" wp14:editId="324C3145">
            <wp:extent cx="4886325" cy="2276475"/>
            <wp:effectExtent l="0" t="0" r="9525" b="9525"/>
            <wp:docPr id="27" name="Obraz 27" descr="WT4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T4r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6325" cy="2276475"/>
                    </a:xfrm>
                    <a:prstGeom prst="rect">
                      <a:avLst/>
                    </a:prstGeom>
                    <a:noFill/>
                    <a:ln>
                      <a:noFill/>
                    </a:ln>
                  </pic:spPr>
                </pic:pic>
              </a:graphicData>
            </a:graphic>
          </wp:inline>
        </w:drawing>
      </w:r>
    </w:p>
    <w:p w14:paraId="70D1C6D5" w14:textId="77777777" w:rsidR="00F45500" w:rsidRPr="007B192E" w:rsidRDefault="00F45500" w:rsidP="00F45500">
      <w:pPr>
        <w:pStyle w:val="Bezodstpw"/>
        <w:tabs>
          <w:tab w:val="left" w:pos="851"/>
        </w:tabs>
        <w:spacing w:after="240"/>
        <w:ind w:left="839" w:hanging="839"/>
        <w:jc w:val="center"/>
        <w:rPr>
          <w:rFonts w:cs="Arial"/>
          <w:color w:val="000000" w:themeColor="text1"/>
          <w:sz w:val="18"/>
          <w:szCs w:val="18"/>
        </w:rPr>
      </w:pPr>
      <w:r w:rsidRPr="007B192E">
        <w:rPr>
          <w:rFonts w:cs="Arial"/>
          <w:color w:val="000000" w:themeColor="text1"/>
          <w:sz w:val="18"/>
          <w:szCs w:val="18"/>
        </w:rPr>
        <w:t>Rys. 4.</w:t>
      </w:r>
      <w:r w:rsidRPr="007B192E">
        <w:rPr>
          <w:rFonts w:cs="Arial"/>
          <w:color w:val="000000" w:themeColor="text1"/>
          <w:sz w:val="18"/>
          <w:szCs w:val="18"/>
        </w:rPr>
        <w:tab/>
        <w:t>Krzywe graniczne uziarnienia mieszanki kruszyw 0/22,4 mm do górnej warstwy podłoża ulepszonego</w:t>
      </w:r>
    </w:p>
    <w:p w14:paraId="3AC5CAAC"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noProof/>
          <w:color w:val="000000" w:themeColor="text1"/>
          <w:sz w:val="18"/>
          <w:szCs w:val="18"/>
          <w:lang w:eastAsia="pl-PL"/>
        </w:rPr>
        <w:drawing>
          <wp:inline distT="0" distB="0" distL="0" distR="0" wp14:anchorId="300AE22F" wp14:editId="2C93EECE">
            <wp:extent cx="4895850" cy="2238375"/>
            <wp:effectExtent l="0" t="0" r="0" b="9525"/>
            <wp:docPr id="26" name="Obraz 26" descr="WT4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T4r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95850" cy="2238375"/>
                    </a:xfrm>
                    <a:prstGeom prst="rect">
                      <a:avLst/>
                    </a:prstGeom>
                    <a:noFill/>
                    <a:ln>
                      <a:noFill/>
                    </a:ln>
                  </pic:spPr>
                </pic:pic>
              </a:graphicData>
            </a:graphic>
          </wp:inline>
        </w:drawing>
      </w:r>
    </w:p>
    <w:p w14:paraId="50FCF489" w14:textId="77777777" w:rsidR="00F45500" w:rsidRPr="007B192E" w:rsidRDefault="00F45500" w:rsidP="00F45500">
      <w:pPr>
        <w:pStyle w:val="Bezodstpw"/>
        <w:tabs>
          <w:tab w:val="left" w:pos="851"/>
        </w:tabs>
        <w:ind w:left="840" w:hanging="840"/>
        <w:jc w:val="center"/>
        <w:rPr>
          <w:rFonts w:cs="Arial"/>
          <w:color w:val="000000" w:themeColor="text1"/>
          <w:sz w:val="18"/>
          <w:szCs w:val="18"/>
        </w:rPr>
      </w:pPr>
      <w:r w:rsidRPr="007B192E">
        <w:rPr>
          <w:rFonts w:cs="Arial"/>
          <w:color w:val="000000" w:themeColor="text1"/>
          <w:sz w:val="18"/>
          <w:szCs w:val="18"/>
        </w:rPr>
        <w:t>Rys. 5.</w:t>
      </w:r>
      <w:r w:rsidRPr="007B192E">
        <w:rPr>
          <w:rFonts w:cs="Arial"/>
          <w:color w:val="000000" w:themeColor="text1"/>
          <w:sz w:val="18"/>
          <w:szCs w:val="18"/>
        </w:rPr>
        <w:tab/>
        <w:t>Krzywe graniczne uziarnienia mieszanki kruszyw 0/31,5 mm do górnej warstwy podłoża ulepszonego</w:t>
      </w:r>
    </w:p>
    <w:p w14:paraId="133E13A0"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noProof/>
          <w:color w:val="000000" w:themeColor="text1"/>
          <w:sz w:val="18"/>
          <w:szCs w:val="18"/>
          <w:lang w:eastAsia="pl-PL"/>
        </w:rPr>
        <w:drawing>
          <wp:inline distT="0" distB="0" distL="0" distR="0" wp14:anchorId="423D247C" wp14:editId="3EAD861C">
            <wp:extent cx="4953000" cy="2247900"/>
            <wp:effectExtent l="0" t="0" r="0" b="0"/>
            <wp:docPr id="25" name="Obraz 25" descr="WT4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T4r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0" cy="2247900"/>
                    </a:xfrm>
                    <a:prstGeom prst="rect">
                      <a:avLst/>
                    </a:prstGeom>
                    <a:noFill/>
                    <a:ln>
                      <a:noFill/>
                    </a:ln>
                  </pic:spPr>
                </pic:pic>
              </a:graphicData>
            </a:graphic>
          </wp:inline>
        </w:drawing>
      </w:r>
    </w:p>
    <w:p w14:paraId="4F838B29" w14:textId="77777777" w:rsidR="00F45500" w:rsidRPr="007B192E" w:rsidRDefault="00F45500" w:rsidP="00F45500">
      <w:pPr>
        <w:pStyle w:val="Bezodstpw"/>
        <w:tabs>
          <w:tab w:val="left" w:pos="851"/>
        </w:tabs>
        <w:spacing w:after="240"/>
        <w:ind w:left="839" w:hanging="839"/>
        <w:jc w:val="center"/>
        <w:rPr>
          <w:rFonts w:cs="Arial"/>
          <w:color w:val="000000" w:themeColor="text1"/>
          <w:sz w:val="18"/>
          <w:szCs w:val="18"/>
        </w:rPr>
      </w:pPr>
      <w:r w:rsidRPr="007B192E">
        <w:rPr>
          <w:rFonts w:cs="Arial"/>
          <w:color w:val="000000" w:themeColor="text1"/>
          <w:sz w:val="18"/>
          <w:szCs w:val="18"/>
        </w:rPr>
        <w:t>Rys. 6.</w:t>
      </w:r>
      <w:r w:rsidRPr="007B192E">
        <w:rPr>
          <w:rFonts w:cs="Arial"/>
          <w:color w:val="000000" w:themeColor="text1"/>
          <w:sz w:val="18"/>
          <w:szCs w:val="18"/>
        </w:rPr>
        <w:tab/>
        <w:t>Krzywe graniczne uziarnienia mieszanki kruszyw 0/45 mm do górnej warstwy podłoża ulepszonego</w:t>
      </w:r>
    </w:p>
    <w:p w14:paraId="047E79EB"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noProof/>
          <w:color w:val="000000" w:themeColor="text1"/>
          <w:sz w:val="18"/>
          <w:szCs w:val="18"/>
          <w:lang w:eastAsia="pl-PL"/>
        </w:rPr>
        <w:lastRenderedPageBreak/>
        <w:drawing>
          <wp:inline distT="0" distB="0" distL="0" distR="0" wp14:anchorId="21FEAA94" wp14:editId="41E2B167">
            <wp:extent cx="4914900" cy="2114550"/>
            <wp:effectExtent l="0" t="0" r="0" b="0"/>
            <wp:docPr id="24" name="Obraz 24" descr="WT4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T4r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14900" cy="2114550"/>
                    </a:xfrm>
                    <a:prstGeom prst="rect">
                      <a:avLst/>
                    </a:prstGeom>
                    <a:noFill/>
                    <a:ln>
                      <a:noFill/>
                    </a:ln>
                  </pic:spPr>
                </pic:pic>
              </a:graphicData>
            </a:graphic>
          </wp:inline>
        </w:drawing>
      </w:r>
    </w:p>
    <w:p w14:paraId="0317CD92" w14:textId="77777777" w:rsidR="00F45500" w:rsidRPr="007B192E" w:rsidRDefault="00F45500" w:rsidP="00F45500">
      <w:pPr>
        <w:pStyle w:val="Bezodstpw"/>
        <w:ind w:left="840" w:hanging="840"/>
        <w:jc w:val="center"/>
        <w:rPr>
          <w:rFonts w:cs="Arial"/>
          <w:color w:val="000000" w:themeColor="text1"/>
          <w:sz w:val="18"/>
          <w:szCs w:val="18"/>
        </w:rPr>
      </w:pPr>
      <w:r w:rsidRPr="007B192E">
        <w:rPr>
          <w:rFonts w:cs="Arial"/>
          <w:color w:val="000000" w:themeColor="text1"/>
          <w:sz w:val="18"/>
          <w:szCs w:val="18"/>
        </w:rPr>
        <w:t>Rys. 7.</w:t>
      </w:r>
      <w:r w:rsidRPr="007B192E">
        <w:rPr>
          <w:rFonts w:cs="Arial"/>
          <w:color w:val="000000" w:themeColor="text1"/>
          <w:sz w:val="18"/>
          <w:szCs w:val="18"/>
        </w:rPr>
        <w:tab/>
        <w:t>Krzywe graniczne uziarnienia mieszanki kruszyw 0/63 mm do górnej warstwy podłoża ulepszonego</w:t>
      </w:r>
    </w:p>
    <w:p w14:paraId="4335F90F" w14:textId="77777777" w:rsidR="00F45500" w:rsidRPr="007B192E" w:rsidRDefault="00F45500" w:rsidP="00F45500">
      <w:pPr>
        <w:pStyle w:val="Bezodstpw"/>
        <w:ind w:left="840" w:hanging="840"/>
        <w:rPr>
          <w:rFonts w:cs="Arial"/>
          <w:color w:val="000000" w:themeColor="text1"/>
          <w:sz w:val="18"/>
          <w:szCs w:val="18"/>
        </w:rPr>
      </w:pPr>
    </w:p>
    <w:p w14:paraId="08A095F0" w14:textId="77777777" w:rsidR="00F45500" w:rsidRPr="007B192E" w:rsidRDefault="00F45500" w:rsidP="00F45500">
      <w:pPr>
        <w:pStyle w:val="Bezodstpw"/>
        <w:rPr>
          <w:rFonts w:cs="Arial"/>
          <w:color w:val="000000" w:themeColor="text1"/>
          <w:sz w:val="18"/>
          <w:szCs w:val="18"/>
        </w:rPr>
      </w:pPr>
      <w:r w:rsidRPr="007B192E">
        <w:rPr>
          <w:rFonts w:cs="Arial"/>
          <w:color w:val="000000" w:themeColor="text1"/>
          <w:sz w:val="18"/>
          <w:szCs w:val="18"/>
        </w:rPr>
        <w:tab/>
        <w:t xml:space="preserve">Wrażliwość na mróz (wskaźnik SE) i wodoprzepuszczalność mieszanek kruszyw przeznaczonych do warstw podłoża ulepszonego dotyczą badania materiału po pięciokrotnym zagęszczeniu w aparacie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według PN-EN 13286-2 [20]. Nie stawia się wymagań wobec wodoprzepuszczalności zagęszczonej mieszanki niezwiązanej do podłoża ulepszonego, o ile nie przewidują tego szczegółowe rozwiązania. W przypadkach, kiedy podbudowa nawierzchni może być narażona na działanie wody gruntowej, należy zapewnić odwodnienie konstrukcji nawierzchni przez zastosowanie warstwy odsączającej. Wtedy warstwa ta powinna być wykonana z mieszanki odpornej na działanie mrozu, która po zagęszczeniu do wymaganego wskaźnika zagęszczenia I</w:t>
      </w:r>
      <w:r w:rsidRPr="007B192E">
        <w:rPr>
          <w:rFonts w:cs="Arial"/>
          <w:color w:val="000000" w:themeColor="text1"/>
          <w:sz w:val="18"/>
          <w:szCs w:val="18"/>
          <w:vertAlign w:val="subscript"/>
        </w:rPr>
        <w:t xml:space="preserve">S </w:t>
      </w:r>
      <w:r w:rsidRPr="007B192E">
        <w:rPr>
          <w:rFonts w:cs="Arial"/>
          <w:color w:val="000000" w:themeColor="text1"/>
          <w:sz w:val="18"/>
          <w:szCs w:val="18"/>
        </w:rPr>
        <w:t>= 1,0, albo 1,03 (np. na drogach klasy A i S), powinna charakteryzować się wodoprzepuszczalnością mierzoną współczynnikiem filtracji k ≥ 8 m/dobę (≥ 0,0093 cm/s). Mieszanki niezwiązane przeznaczone do wykonania ulepszonego podłoża powinny spełniać wymagania dotyczące nieprzenikania cząstek pomiędzy warstwą ulepszonego podłoża oraz podłożem, zgodnie z zależnością:</w:t>
      </w:r>
    </w:p>
    <w:p w14:paraId="13A4C85F" w14:textId="77777777" w:rsidR="00F45500" w:rsidRPr="007B192E" w:rsidRDefault="00F45500" w:rsidP="00F45500">
      <w:pPr>
        <w:pStyle w:val="Bezodstpw"/>
        <w:jc w:val="both"/>
        <w:rPr>
          <w:rFonts w:cs="Arial"/>
          <w:color w:val="000000" w:themeColor="text1"/>
          <w:sz w:val="18"/>
          <w:szCs w:val="18"/>
        </w:rPr>
      </w:pPr>
      <w:r w:rsidRPr="007B192E">
        <w:rPr>
          <w:rFonts w:cs="Arial"/>
          <w:i/>
          <w:color w:val="000000" w:themeColor="text1"/>
          <w:sz w:val="18"/>
          <w:szCs w:val="18"/>
        </w:rPr>
        <w:t>D</w:t>
      </w:r>
      <w:r w:rsidRPr="007B192E">
        <w:rPr>
          <w:rFonts w:cs="Arial"/>
          <w:color w:val="000000" w:themeColor="text1"/>
          <w:sz w:val="18"/>
          <w:szCs w:val="18"/>
          <w:vertAlign w:val="subscript"/>
        </w:rPr>
        <w:t>15</w:t>
      </w:r>
      <w:r w:rsidRPr="007B192E">
        <w:rPr>
          <w:rFonts w:cs="Arial"/>
          <w:color w:val="000000" w:themeColor="text1"/>
          <w:sz w:val="18"/>
          <w:szCs w:val="18"/>
        </w:rPr>
        <w:t xml:space="preserve"> / </w:t>
      </w:r>
      <w:r w:rsidRPr="007B192E">
        <w:rPr>
          <w:rFonts w:cs="Arial"/>
          <w:i/>
          <w:color w:val="000000" w:themeColor="text1"/>
          <w:sz w:val="18"/>
          <w:szCs w:val="18"/>
        </w:rPr>
        <w:t>d</w:t>
      </w:r>
      <w:r w:rsidRPr="007B192E">
        <w:rPr>
          <w:rFonts w:cs="Arial"/>
          <w:color w:val="000000" w:themeColor="text1"/>
          <w:sz w:val="18"/>
          <w:szCs w:val="18"/>
          <w:vertAlign w:val="subscript"/>
        </w:rPr>
        <w:t xml:space="preserve">85 </w:t>
      </w:r>
      <w:r w:rsidRPr="007B192E">
        <w:rPr>
          <w:rFonts w:cs="Arial"/>
          <w:color w:val="000000" w:themeColor="text1"/>
          <w:sz w:val="18"/>
          <w:szCs w:val="18"/>
        </w:rPr>
        <w:t>≤ 5</w:t>
      </w:r>
      <w:r w:rsidRPr="007B192E">
        <w:rPr>
          <w:rFonts w:cs="Arial"/>
          <w:color w:val="000000" w:themeColor="text1"/>
          <w:sz w:val="18"/>
          <w:szCs w:val="18"/>
        </w:rPr>
        <w:tab/>
      </w:r>
      <w:r w:rsidRPr="007B192E">
        <w:rPr>
          <w:rFonts w:cs="Arial"/>
          <w:color w:val="000000" w:themeColor="text1"/>
          <w:sz w:val="18"/>
          <w:szCs w:val="18"/>
        </w:rPr>
        <w:tab/>
      </w:r>
      <w:r w:rsidRPr="007B192E">
        <w:rPr>
          <w:rFonts w:cs="Arial"/>
          <w:color w:val="000000" w:themeColor="text1"/>
          <w:sz w:val="18"/>
          <w:szCs w:val="18"/>
        </w:rPr>
        <w:tab/>
        <w:t>(1)</w:t>
      </w:r>
    </w:p>
    <w:p w14:paraId="33A7901F"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w której:</w:t>
      </w:r>
    </w:p>
    <w:p w14:paraId="3E50C429" w14:textId="77777777" w:rsidR="00F45500" w:rsidRPr="007B192E" w:rsidRDefault="00F45500" w:rsidP="00F45500">
      <w:pPr>
        <w:pStyle w:val="Bezodstpw"/>
        <w:ind w:left="600" w:hanging="600"/>
        <w:jc w:val="both"/>
        <w:rPr>
          <w:rFonts w:cs="Arial"/>
          <w:color w:val="000000" w:themeColor="text1"/>
          <w:sz w:val="18"/>
          <w:szCs w:val="18"/>
        </w:rPr>
      </w:pPr>
      <w:r w:rsidRPr="007B192E">
        <w:rPr>
          <w:rFonts w:cs="Arial"/>
          <w:color w:val="000000" w:themeColor="text1"/>
          <w:sz w:val="18"/>
          <w:szCs w:val="18"/>
        </w:rPr>
        <w:t>D</w:t>
      </w:r>
      <w:r w:rsidRPr="007B192E">
        <w:rPr>
          <w:rFonts w:cs="Arial"/>
          <w:color w:val="000000" w:themeColor="text1"/>
          <w:sz w:val="18"/>
          <w:szCs w:val="18"/>
          <w:vertAlign w:val="subscript"/>
        </w:rPr>
        <w:t xml:space="preserve">15 </w:t>
      </w:r>
      <w:r w:rsidRPr="007B192E">
        <w:rPr>
          <w:rFonts w:cs="Arial"/>
          <w:color w:val="000000" w:themeColor="text1"/>
          <w:sz w:val="18"/>
          <w:szCs w:val="18"/>
        </w:rPr>
        <w:t>– wymiar boku oczka sita w milimetrach, przez które przechodzi 15% (m/m) ziaren mieszanki, z której jest wykonana warstwa podbudowy lub warstwa ulepszonego podłoża,</w:t>
      </w:r>
    </w:p>
    <w:p w14:paraId="3B823D00" w14:textId="77777777" w:rsidR="00F45500" w:rsidRPr="007B192E" w:rsidRDefault="00F45500" w:rsidP="00F45500">
      <w:pPr>
        <w:pStyle w:val="Bezodstpw"/>
        <w:spacing w:after="120"/>
        <w:ind w:left="601" w:hanging="601"/>
        <w:jc w:val="both"/>
        <w:rPr>
          <w:rFonts w:cs="Arial"/>
          <w:color w:val="000000" w:themeColor="text1"/>
          <w:sz w:val="18"/>
          <w:szCs w:val="18"/>
        </w:rPr>
      </w:pPr>
      <w:r w:rsidRPr="007B192E">
        <w:rPr>
          <w:rFonts w:cs="Arial"/>
          <w:color w:val="000000" w:themeColor="text1"/>
          <w:sz w:val="18"/>
          <w:szCs w:val="18"/>
        </w:rPr>
        <w:t>d</w:t>
      </w:r>
      <w:r w:rsidRPr="007B192E">
        <w:rPr>
          <w:rFonts w:cs="Arial"/>
          <w:color w:val="000000" w:themeColor="text1"/>
          <w:sz w:val="18"/>
          <w:szCs w:val="18"/>
          <w:vertAlign w:val="subscript"/>
        </w:rPr>
        <w:t xml:space="preserve">85  </w:t>
      </w:r>
      <w:r w:rsidRPr="007B192E">
        <w:rPr>
          <w:rFonts w:cs="Arial"/>
          <w:color w:val="000000" w:themeColor="text1"/>
          <w:sz w:val="18"/>
          <w:szCs w:val="18"/>
        </w:rPr>
        <w:t xml:space="preserve">– </w:t>
      </w:r>
      <w:r w:rsidRPr="007B192E">
        <w:rPr>
          <w:rFonts w:cs="Arial"/>
          <w:color w:val="000000" w:themeColor="text1"/>
          <w:sz w:val="18"/>
          <w:szCs w:val="18"/>
          <w:vertAlign w:val="subscript"/>
        </w:rPr>
        <w:t xml:space="preserve"> </w:t>
      </w:r>
      <w:r w:rsidRPr="007B192E">
        <w:rPr>
          <w:rFonts w:cs="Arial"/>
          <w:color w:val="000000" w:themeColor="text1"/>
          <w:sz w:val="18"/>
          <w:szCs w:val="18"/>
        </w:rPr>
        <w:t>wymiar boku oczka sita w milimetrach, przez które przechodzi 85% (m/m) ziaren gruntu podłoża.</w:t>
      </w:r>
    </w:p>
    <w:p w14:paraId="0E6AF641"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ab/>
        <w:t xml:space="preserve">Jeżeli warunek (1) nie może być spełniony, to na podłożu gruntowym należy ułożyć warstwę odcinającą, spełniającą warunek (1), lub odpowiednio dobraną geowłókninę lub </w:t>
      </w:r>
      <w:proofErr w:type="spellStart"/>
      <w:r w:rsidRPr="007B192E">
        <w:rPr>
          <w:rFonts w:cs="Arial"/>
          <w:color w:val="000000" w:themeColor="text1"/>
          <w:sz w:val="18"/>
          <w:szCs w:val="18"/>
        </w:rPr>
        <w:t>geotkaninę</w:t>
      </w:r>
      <w:proofErr w:type="spellEnd"/>
      <w:r w:rsidRPr="007B192E">
        <w:rPr>
          <w:rFonts w:cs="Arial"/>
          <w:color w:val="000000" w:themeColor="text1"/>
          <w:sz w:val="18"/>
          <w:szCs w:val="18"/>
        </w:rPr>
        <w:t>.  Ochronne właściwości geowłókniny/</w:t>
      </w:r>
      <w:proofErr w:type="spellStart"/>
      <w:r w:rsidRPr="007B192E">
        <w:rPr>
          <w:rFonts w:cs="Arial"/>
          <w:color w:val="000000" w:themeColor="text1"/>
          <w:sz w:val="18"/>
          <w:szCs w:val="18"/>
        </w:rPr>
        <w:t>geotkaniny</w:t>
      </w:r>
      <w:proofErr w:type="spellEnd"/>
      <w:r w:rsidRPr="007B192E">
        <w:rPr>
          <w:rFonts w:cs="Arial"/>
          <w:color w:val="000000" w:themeColor="text1"/>
          <w:sz w:val="18"/>
          <w:szCs w:val="18"/>
        </w:rPr>
        <w:t xml:space="preserve"> przeciw przenikaniu drobnych ziaren gruntu podłoża, wyznacza się z warunku:</w:t>
      </w:r>
    </w:p>
    <w:p w14:paraId="3875D981" w14:textId="77777777" w:rsidR="00F45500" w:rsidRPr="007B192E" w:rsidRDefault="00F45500" w:rsidP="00F45500">
      <w:pPr>
        <w:pStyle w:val="Bezodstpw"/>
        <w:spacing w:before="60" w:after="60"/>
        <w:jc w:val="center"/>
        <w:rPr>
          <w:rFonts w:cs="Arial"/>
          <w:color w:val="000000" w:themeColor="text1"/>
          <w:sz w:val="18"/>
          <w:szCs w:val="18"/>
        </w:rPr>
      </w:pPr>
      <w:r w:rsidRPr="007B192E">
        <w:rPr>
          <w:rFonts w:cs="Arial"/>
          <w:i/>
          <w:color w:val="000000" w:themeColor="text1"/>
          <w:sz w:val="18"/>
          <w:szCs w:val="18"/>
        </w:rPr>
        <w:t>d</w:t>
      </w:r>
      <w:r w:rsidRPr="007B192E">
        <w:rPr>
          <w:rFonts w:cs="Arial"/>
          <w:color w:val="000000" w:themeColor="text1"/>
          <w:sz w:val="18"/>
          <w:szCs w:val="18"/>
          <w:vertAlign w:val="subscript"/>
        </w:rPr>
        <w:t>50</w:t>
      </w:r>
      <w:r w:rsidRPr="007B192E">
        <w:rPr>
          <w:rFonts w:cs="Arial"/>
          <w:color w:val="000000" w:themeColor="text1"/>
          <w:sz w:val="18"/>
          <w:szCs w:val="18"/>
        </w:rPr>
        <w:t xml:space="preserve">/ </w:t>
      </w:r>
      <w:r w:rsidRPr="007B192E">
        <w:rPr>
          <w:rFonts w:cs="Arial"/>
          <w:i/>
          <w:color w:val="000000" w:themeColor="text1"/>
          <w:sz w:val="18"/>
          <w:szCs w:val="18"/>
        </w:rPr>
        <w:t>O</w:t>
      </w:r>
      <w:r w:rsidRPr="007B192E">
        <w:rPr>
          <w:rFonts w:cs="Arial"/>
          <w:color w:val="000000" w:themeColor="text1"/>
          <w:sz w:val="18"/>
          <w:szCs w:val="18"/>
          <w:vertAlign w:val="subscript"/>
        </w:rPr>
        <w:t>90</w:t>
      </w:r>
      <w:r w:rsidRPr="007B192E">
        <w:rPr>
          <w:rFonts w:cs="Arial"/>
          <w:color w:val="000000" w:themeColor="text1"/>
          <w:sz w:val="18"/>
          <w:szCs w:val="18"/>
        </w:rPr>
        <w:t xml:space="preserve"> ≥ 1,2</w:t>
      </w:r>
      <w:r w:rsidRPr="007B192E">
        <w:rPr>
          <w:rFonts w:cs="Arial"/>
          <w:color w:val="000000" w:themeColor="text1"/>
          <w:sz w:val="18"/>
          <w:szCs w:val="18"/>
        </w:rPr>
        <w:tab/>
      </w:r>
      <w:r w:rsidRPr="007B192E">
        <w:rPr>
          <w:rFonts w:cs="Arial"/>
          <w:color w:val="000000" w:themeColor="text1"/>
          <w:sz w:val="18"/>
          <w:szCs w:val="18"/>
        </w:rPr>
        <w:tab/>
      </w:r>
      <w:r w:rsidRPr="007B192E">
        <w:rPr>
          <w:rFonts w:cs="Arial"/>
          <w:color w:val="000000" w:themeColor="text1"/>
          <w:sz w:val="18"/>
          <w:szCs w:val="18"/>
        </w:rPr>
        <w:tab/>
        <w:t>(2)</w:t>
      </w:r>
    </w:p>
    <w:p w14:paraId="1C26050E"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w którym:</w:t>
      </w:r>
    </w:p>
    <w:p w14:paraId="799C9FBB" w14:textId="77777777" w:rsidR="00F45500" w:rsidRPr="007B192E" w:rsidRDefault="00F45500" w:rsidP="00F45500">
      <w:pPr>
        <w:pStyle w:val="Bezodstpw"/>
        <w:ind w:left="600" w:hanging="600"/>
        <w:jc w:val="both"/>
        <w:rPr>
          <w:rFonts w:cs="Arial"/>
          <w:color w:val="000000" w:themeColor="text1"/>
          <w:sz w:val="18"/>
          <w:szCs w:val="18"/>
        </w:rPr>
      </w:pPr>
      <w:r w:rsidRPr="007B192E">
        <w:rPr>
          <w:rFonts w:cs="Arial"/>
          <w:i/>
          <w:color w:val="000000" w:themeColor="text1"/>
          <w:sz w:val="18"/>
          <w:szCs w:val="18"/>
        </w:rPr>
        <w:t>d</w:t>
      </w:r>
      <w:r w:rsidRPr="007B192E">
        <w:rPr>
          <w:rFonts w:cs="Arial"/>
          <w:color w:val="000000" w:themeColor="text1"/>
          <w:sz w:val="18"/>
          <w:szCs w:val="18"/>
          <w:vertAlign w:val="subscript"/>
        </w:rPr>
        <w:t xml:space="preserve">50 </w:t>
      </w:r>
      <w:r w:rsidRPr="007B192E">
        <w:rPr>
          <w:rFonts w:cs="Arial"/>
          <w:color w:val="000000" w:themeColor="text1"/>
          <w:sz w:val="18"/>
          <w:szCs w:val="18"/>
        </w:rPr>
        <w:t>– wymiar boku oczka sita w milimetrach, przez które przechodzi 50% (m/m) ziaren gruntu podłoża,</w:t>
      </w:r>
    </w:p>
    <w:p w14:paraId="08A8CB3D" w14:textId="77777777" w:rsidR="00F45500" w:rsidRPr="007B192E" w:rsidRDefault="00F45500" w:rsidP="00F45500">
      <w:pPr>
        <w:pStyle w:val="Bezodstpw"/>
        <w:ind w:left="600" w:hanging="600"/>
        <w:jc w:val="both"/>
        <w:rPr>
          <w:rFonts w:cs="Arial"/>
          <w:color w:val="000000" w:themeColor="text1"/>
          <w:sz w:val="18"/>
          <w:szCs w:val="18"/>
        </w:rPr>
      </w:pPr>
      <w:r w:rsidRPr="007B192E">
        <w:rPr>
          <w:rFonts w:cs="Arial"/>
          <w:i/>
          <w:color w:val="000000" w:themeColor="text1"/>
          <w:sz w:val="18"/>
          <w:szCs w:val="18"/>
        </w:rPr>
        <w:t>O</w:t>
      </w:r>
      <w:r w:rsidRPr="007B192E">
        <w:rPr>
          <w:rFonts w:cs="Arial"/>
          <w:color w:val="000000" w:themeColor="text1"/>
          <w:sz w:val="18"/>
          <w:szCs w:val="18"/>
          <w:vertAlign w:val="subscript"/>
        </w:rPr>
        <w:t xml:space="preserve">90 </w:t>
      </w:r>
      <w:r w:rsidRPr="007B192E">
        <w:rPr>
          <w:rFonts w:cs="Arial"/>
          <w:color w:val="000000" w:themeColor="text1"/>
          <w:sz w:val="18"/>
          <w:szCs w:val="18"/>
        </w:rPr>
        <w:t xml:space="preserve">– umowna średnica porów geowłókniny odpowiadająca wymiarom frakcji gruntu (podłoża) zatrzymującego się na geowłókninie w ilości 90% (m/m); wartość parametru </w:t>
      </w:r>
      <w:r w:rsidRPr="007B192E">
        <w:rPr>
          <w:rFonts w:cs="Arial"/>
          <w:i/>
          <w:color w:val="000000" w:themeColor="text1"/>
          <w:sz w:val="18"/>
          <w:szCs w:val="18"/>
        </w:rPr>
        <w:t>O</w:t>
      </w:r>
      <w:r w:rsidRPr="007B192E">
        <w:rPr>
          <w:rFonts w:cs="Arial"/>
          <w:color w:val="000000" w:themeColor="text1"/>
          <w:sz w:val="18"/>
          <w:szCs w:val="18"/>
          <w:vertAlign w:val="subscript"/>
        </w:rPr>
        <w:t xml:space="preserve">90 </w:t>
      </w:r>
      <w:r w:rsidRPr="007B192E">
        <w:rPr>
          <w:rFonts w:cs="Arial"/>
          <w:color w:val="000000" w:themeColor="text1"/>
          <w:sz w:val="18"/>
          <w:szCs w:val="18"/>
        </w:rPr>
        <w:t>powinna być podawana przez producenta geowłókniny; masa powierzchniowa geowłókniny nie powinna być mniejsza od 200 g/m</w:t>
      </w:r>
      <w:r w:rsidRPr="007B192E">
        <w:rPr>
          <w:rFonts w:cs="Arial"/>
          <w:color w:val="000000" w:themeColor="text1"/>
          <w:sz w:val="18"/>
          <w:szCs w:val="18"/>
          <w:vertAlign w:val="superscript"/>
        </w:rPr>
        <w:t>2</w:t>
      </w:r>
      <w:r w:rsidRPr="007B192E">
        <w:rPr>
          <w:rFonts w:cs="Arial"/>
          <w:color w:val="000000" w:themeColor="text1"/>
          <w:sz w:val="18"/>
          <w:szCs w:val="18"/>
        </w:rPr>
        <w:t>.</w:t>
      </w:r>
    </w:p>
    <w:p w14:paraId="4E8991D7"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color w:val="000000" w:themeColor="text1"/>
          <w:sz w:val="18"/>
          <w:szCs w:val="18"/>
        </w:rPr>
        <w:tab/>
        <w:t>Zawartość wody w mieszankach kruszyw powinna odpowiadać wymaganej zawartości wody w trakcie wbudowywania i zagęszczania określonej według PN-EN 13286-2 [20], w granicach podanych w tablicy 2.</w:t>
      </w:r>
    </w:p>
    <w:p w14:paraId="0EACC52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Istotne cechy środowiskowe</w:t>
      </w:r>
    </w:p>
    <w:p w14:paraId="1514B0D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w:t>
      </w:r>
    </w:p>
    <w:p w14:paraId="55D177C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Wymagania wobec mieszanek</w:t>
      </w:r>
    </w:p>
    <w:p w14:paraId="5FEE072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tablicy 2 przedstawia się zbiorcze zestawienie wymagań wobec mieszanek kruszywa niezwiązanego w warstwie podłoża ulepszonego.</w:t>
      </w:r>
    </w:p>
    <w:p w14:paraId="499563E5" w14:textId="77777777" w:rsidR="00F45500" w:rsidRPr="007B192E" w:rsidRDefault="00F45500" w:rsidP="00F45500">
      <w:pPr>
        <w:jc w:val="both"/>
        <w:rPr>
          <w:rFonts w:ascii="Arial" w:hAnsi="Arial" w:cs="Arial"/>
          <w:color w:val="000000" w:themeColor="text1"/>
          <w:sz w:val="18"/>
          <w:szCs w:val="18"/>
        </w:rPr>
      </w:pPr>
    </w:p>
    <w:p w14:paraId="03262448" w14:textId="77777777" w:rsidR="00F45500" w:rsidRPr="007B192E" w:rsidRDefault="00F45500" w:rsidP="00F45500">
      <w:pPr>
        <w:pStyle w:val="Bezodstpw"/>
        <w:tabs>
          <w:tab w:val="left" w:pos="1276"/>
        </w:tabs>
        <w:ind w:left="1276" w:hanging="1276"/>
        <w:rPr>
          <w:rFonts w:cs="Arial"/>
          <w:color w:val="000000" w:themeColor="text1"/>
          <w:sz w:val="18"/>
          <w:szCs w:val="18"/>
        </w:rPr>
      </w:pPr>
      <w:r w:rsidRPr="007B192E">
        <w:rPr>
          <w:rFonts w:cs="Arial"/>
          <w:color w:val="000000" w:themeColor="text1"/>
          <w:sz w:val="18"/>
          <w:szCs w:val="18"/>
        </w:rPr>
        <w:t>Tablica  2.</w:t>
      </w:r>
      <w:r w:rsidRPr="007B192E">
        <w:rPr>
          <w:rFonts w:cs="Arial"/>
          <w:color w:val="000000" w:themeColor="text1"/>
          <w:sz w:val="18"/>
          <w:szCs w:val="18"/>
        </w:rPr>
        <w:tab/>
        <w:t>Wymagania wobec  mieszanek kruszywa niezwiązanego w warstwie podłoża ulepszonego</w:t>
      </w:r>
    </w:p>
    <w:p w14:paraId="694A9AB2" w14:textId="77777777" w:rsidR="00F45500" w:rsidRPr="007B192E" w:rsidRDefault="00F45500" w:rsidP="00F45500">
      <w:pPr>
        <w:pStyle w:val="Bezodstpw"/>
        <w:rPr>
          <w:rFonts w:cs="Arial"/>
          <w:color w:val="000000" w:themeColor="text1"/>
          <w:sz w:val="18"/>
          <w:szCs w:val="18"/>
        </w:rPr>
      </w:pPr>
      <w:r w:rsidRPr="007B192E">
        <w:rPr>
          <w:rFonts w:cs="Arial"/>
          <w:color w:val="000000" w:themeColor="text1"/>
          <w:sz w:val="18"/>
          <w:szCs w:val="18"/>
        </w:rPr>
        <w:t xml:space="preserve">Skróty użyte w tablicy: Kat.–kategoria właściwości,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xml:space="preserve">.– wskaźnik,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 współczynnik</w:t>
      </w:r>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851"/>
        <w:gridCol w:w="4961"/>
      </w:tblGrid>
      <w:tr w:rsidR="004D7D23" w:rsidRPr="007B192E" w14:paraId="2C8709E9" w14:textId="77777777" w:rsidTr="008F7A94">
        <w:trPr>
          <w:jc w:val="center"/>
        </w:trPr>
        <w:tc>
          <w:tcPr>
            <w:tcW w:w="3085" w:type="dxa"/>
            <w:vMerge w:val="restart"/>
            <w:vAlign w:val="center"/>
          </w:tcPr>
          <w:p w14:paraId="6E1D95E0"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Właściwość</w:t>
            </w:r>
          </w:p>
          <w:p w14:paraId="000BA2D9"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kruszywa</w:t>
            </w:r>
          </w:p>
        </w:tc>
        <w:tc>
          <w:tcPr>
            <w:tcW w:w="5812" w:type="dxa"/>
            <w:gridSpan w:val="2"/>
          </w:tcPr>
          <w:p w14:paraId="597304AB"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 wobec  mieszanek kruszywa niezwiązanego w warstwie podłoża ulepszonego pod nawierzchnią drogi obciążonej ruchem  kategorii KR1 ÷ KR6</w:t>
            </w:r>
          </w:p>
        </w:tc>
      </w:tr>
      <w:tr w:rsidR="004D7D23" w:rsidRPr="007B192E" w14:paraId="559AE71B" w14:textId="77777777" w:rsidTr="008F7A94">
        <w:trPr>
          <w:trHeight w:val="476"/>
          <w:jc w:val="center"/>
        </w:trPr>
        <w:tc>
          <w:tcPr>
            <w:tcW w:w="3085" w:type="dxa"/>
            <w:vMerge/>
          </w:tcPr>
          <w:p w14:paraId="53940570" w14:textId="77777777" w:rsidR="00F45500" w:rsidRPr="007B192E" w:rsidRDefault="00F45500" w:rsidP="008F7A94">
            <w:pPr>
              <w:pStyle w:val="Bezodstpw"/>
              <w:rPr>
                <w:rFonts w:cs="Arial"/>
                <w:color w:val="000000" w:themeColor="text1"/>
                <w:sz w:val="18"/>
                <w:szCs w:val="18"/>
              </w:rPr>
            </w:pPr>
          </w:p>
        </w:tc>
        <w:tc>
          <w:tcPr>
            <w:tcW w:w="851" w:type="dxa"/>
            <w:vAlign w:val="center"/>
          </w:tcPr>
          <w:p w14:paraId="70A172B3"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Punkt</w:t>
            </w:r>
          </w:p>
          <w:p w14:paraId="7CBA352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PN-EN</w:t>
            </w:r>
          </w:p>
          <w:p w14:paraId="0E956027"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13285</w:t>
            </w:r>
          </w:p>
        </w:tc>
        <w:tc>
          <w:tcPr>
            <w:tcW w:w="4961" w:type="dxa"/>
            <w:vAlign w:val="center"/>
          </w:tcPr>
          <w:p w14:paraId="139662F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w:t>
            </w:r>
          </w:p>
          <w:p w14:paraId="0B5EF99E" w14:textId="77777777" w:rsidR="00F45500" w:rsidRPr="007B192E" w:rsidRDefault="00F45500" w:rsidP="008F7A94">
            <w:pPr>
              <w:pStyle w:val="Bezodstpw"/>
              <w:jc w:val="center"/>
              <w:rPr>
                <w:rFonts w:cs="Arial"/>
                <w:color w:val="000000" w:themeColor="text1"/>
                <w:sz w:val="18"/>
                <w:szCs w:val="18"/>
              </w:rPr>
            </w:pPr>
          </w:p>
        </w:tc>
      </w:tr>
      <w:tr w:rsidR="004D7D23" w:rsidRPr="007B192E" w14:paraId="704B8970" w14:textId="77777777" w:rsidTr="008F7A94">
        <w:trPr>
          <w:jc w:val="center"/>
        </w:trPr>
        <w:tc>
          <w:tcPr>
            <w:tcW w:w="3085" w:type="dxa"/>
          </w:tcPr>
          <w:p w14:paraId="32A0E64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Uziarnienie mieszanek</w:t>
            </w:r>
          </w:p>
        </w:tc>
        <w:tc>
          <w:tcPr>
            <w:tcW w:w="851" w:type="dxa"/>
          </w:tcPr>
          <w:p w14:paraId="61AFFC9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4.3.1</w:t>
            </w:r>
          </w:p>
        </w:tc>
        <w:tc>
          <w:tcPr>
            <w:tcW w:w="4961" w:type="dxa"/>
          </w:tcPr>
          <w:p w14:paraId="377A779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0/8; 0/11,2; 0/16; 0/22,4; 0/31,5; 0/45; 0/63 mm</w:t>
            </w:r>
          </w:p>
        </w:tc>
      </w:tr>
      <w:tr w:rsidR="004D7D23" w:rsidRPr="007B192E" w14:paraId="19CF7866" w14:textId="77777777" w:rsidTr="008F7A94">
        <w:trPr>
          <w:trHeight w:val="433"/>
          <w:jc w:val="center"/>
        </w:trPr>
        <w:tc>
          <w:tcPr>
            <w:tcW w:w="3085" w:type="dxa"/>
          </w:tcPr>
          <w:p w14:paraId="1CE491D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Maksymalna zawartość pyłów:</w:t>
            </w:r>
          </w:p>
          <w:p w14:paraId="07BC8EA6" w14:textId="77777777" w:rsidR="00F45500" w:rsidRPr="007B192E" w:rsidRDefault="00F45500" w:rsidP="008F7A94">
            <w:pPr>
              <w:pStyle w:val="Bezodstpw"/>
              <w:rPr>
                <w:rFonts w:cs="Arial"/>
                <w:color w:val="000000" w:themeColor="text1"/>
                <w:sz w:val="18"/>
                <w:szCs w:val="18"/>
              </w:rPr>
            </w:pPr>
            <w:proofErr w:type="spellStart"/>
            <w:r w:rsidRPr="007B192E">
              <w:rPr>
                <w:rFonts w:cs="Arial"/>
                <w:color w:val="000000" w:themeColor="text1"/>
                <w:sz w:val="18"/>
                <w:szCs w:val="18"/>
              </w:rPr>
              <w:t>Kat.UF</w:t>
            </w:r>
            <w:proofErr w:type="spellEnd"/>
          </w:p>
        </w:tc>
        <w:tc>
          <w:tcPr>
            <w:tcW w:w="851" w:type="dxa"/>
          </w:tcPr>
          <w:p w14:paraId="67B9351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4.3.2</w:t>
            </w:r>
          </w:p>
        </w:tc>
        <w:tc>
          <w:tcPr>
            <w:tcW w:w="4961" w:type="dxa"/>
          </w:tcPr>
          <w:p w14:paraId="4736BBC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UF</w:t>
            </w:r>
            <w:r w:rsidRPr="007B192E">
              <w:rPr>
                <w:rFonts w:cs="Arial"/>
                <w:color w:val="000000" w:themeColor="text1"/>
                <w:sz w:val="18"/>
                <w:szCs w:val="18"/>
                <w:vertAlign w:val="subscript"/>
              </w:rPr>
              <w:t>15</w:t>
            </w:r>
            <w:r w:rsidRPr="007B192E">
              <w:rPr>
                <w:rFonts w:cs="Arial"/>
                <w:color w:val="000000" w:themeColor="text1"/>
                <w:sz w:val="18"/>
                <w:szCs w:val="18"/>
              </w:rPr>
              <w:t xml:space="preserve">  (tj. masa frakcji przechodzącej przez sito            0,063 mm powinna być ≤ 15%)</w:t>
            </w:r>
          </w:p>
        </w:tc>
      </w:tr>
      <w:tr w:rsidR="004D7D23" w:rsidRPr="007B192E" w14:paraId="32445234" w14:textId="77777777" w:rsidTr="008F7A94">
        <w:trPr>
          <w:jc w:val="center"/>
        </w:trPr>
        <w:tc>
          <w:tcPr>
            <w:tcW w:w="3085" w:type="dxa"/>
          </w:tcPr>
          <w:p w14:paraId="474A9B2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Minimalna zawartość pyłów:</w:t>
            </w:r>
          </w:p>
          <w:p w14:paraId="142DEBB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LF </w:t>
            </w:r>
          </w:p>
        </w:tc>
        <w:tc>
          <w:tcPr>
            <w:tcW w:w="851" w:type="dxa"/>
          </w:tcPr>
          <w:p w14:paraId="40B7FA0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4.3.2</w:t>
            </w:r>
          </w:p>
        </w:tc>
        <w:tc>
          <w:tcPr>
            <w:tcW w:w="4961" w:type="dxa"/>
          </w:tcPr>
          <w:p w14:paraId="6CFFF41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LF</w:t>
            </w:r>
            <w:r w:rsidRPr="007B192E">
              <w:rPr>
                <w:rFonts w:cs="Arial"/>
                <w:color w:val="000000" w:themeColor="text1"/>
                <w:sz w:val="18"/>
                <w:szCs w:val="18"/>
                <w:vertAlign w:val="subscript"/>
              </w:rPr>
              <w:t xml:space="preserve">NR  </w:t>
            </w:r>
            <w:r w:rsidRPr="007B192E">
              <w:rPr>
                <w:rFonts w:cs="Arial"/>
                <w:color w:val="000000" w:themeColor="text1"/>
                <w:sz w:val="18"/>
                <w:szCs w:val="18"/>
              </w:rPr>
              <w:t>(tj. brak wymagań)</w:t>
            </w:r>
          </w:p>
        </w:tc>
      </w:tr>
      <w:tr w:rsidR="004D7D23" w:rsidRPr="007B192E" w14:paraId="333334A9" w14:textId="77777777" w:rsidTr="008F7A94">
        <w:trPr>
          <w:trHeight w:val="671"/>
          <w:jc w:val="center"/>
        </w:trPr>
        <w:tc>
          <w:tcPr>
            <w:tcW w:w="3085" w:type="dxa"/>
          </w:tcPr>
          <w:p w14:paraId="021256C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Zawartość nadziarna:</w:t>
            </w:r>
          </w:p>
          <w:p w14:paraId="1496F6FE" w14:textId="77777777" w:rsidR="00F45500" w:rsidRPr="007B192E" w:rsidRDefault="00F45500" w:rsidP="008F7A94">
            <w:pPr>
              <w:pStyle w:val="Bezodstpw"/>
              <w:rPr>
                <w:rFonts w:cs="Arial"/>
                <w:color w:val="000000" w:themeColor="text1"/>
                <w:sz w:val="18"/>
                <w:szCs w:val="18"/>
              </w:rPr>
            </w:pPr>
            <w:proofErr w:type="spellStart"/>
            <w:r w:rsidRPr="007B192E">
              <w:rPr>
                <w:rFonts w:cs="Arial"/>
                <w:color w:val="000000" w:themeColor="text1"/>
                <w:sz w:val="18"/>
                <w:szCs w:val="18"/>
              </w:rPr>
              <w:t>Kat.OC</w:t>
            </w:r>
            <w:proofErr w:type="spellEnd"/>
          </w:p>
        </w:tc>
        <w:tc>
          <w:tcPr>
            <w:tcW w:w="851" w:type="dxa"/>
          </w:tcPr>
          <w:p w14:paraId="7E8E2FA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4.3.3</w:t>
            </w:r>
          </w:p>
        </w:tc>
        <w:tc>
          <w:tcPr>
            <w:tcW w:w="4961" w:type="dxa"/>
          </w:tcPr>
          <w:p w14:paraId="2FC8535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OC</w:t>
            </w:r>
            <w:r w:rsidRPr="007B192E">
              <w:rPr>
                <w:rFonts w:cs="Arial"/>
                <w:color w:val="000000" w:themeColor="text1"/>
                <w:sz w:val="18"/>
                <w:szCs w:val="18"/>
                <w:vertAlign w:val="subscript"/>
              </w:rPr>
              <w:t>90</w:t>
            </w:r>
            <w:r w:rsidRPr="007B192E">
              <w:rPr>
                <w:rFonts w:cs="Arial"/>
                <w:color w:val="000000" w:themeColor="text1"/>
                <w:sz w:val="18"/>
                <w:szCs w:val="18"/>
              </w:rPr>
              <w:t xml:space="preserve"> (tj. procent przechodzącej masy przez sito 1,4D</w:t>
            </w:r>
            <w:r w:rsidRPr="007B192E">
              <w:rPr>
                <w:rFonts w:cs="Arial"/>
                <w:color w:val="000000" w:themeColor="text1"/>
                <w:sz w:val="18"/>
                <w:szCs w:val="18"/>
                <w:vertAlign w:val="superscript"/>
              </w:rPr>
              <w:t>*)</w:t>
            </w:r>
            <w:r w:rsidRPr="007B192E">
              <w:rPr>
                <w:rFonts w:cs="Arial"/>
                <w:color w:val="000000" w:themeColor="text1"/>
                <w:sz w:val="18"/>
                <w:szCs w:val="18"/>
              </w:rPr>
              <w:t xml:space="preserve"> powinien wynosić 100%, a przechodzącej przez sito D</w:t>
            </w:r>
            <w:r w:rsidRPr="007B192E">
              <w:rPr>
                <w:rFonts w:cs="Arial"/>
                <w:color w:val="000000" w:themeColor="text1"/>
                <w:sz w:val="18"/>
                <w:szCs w:val="18"/>
                <w:vertAlign w:val="superscript"/>
              </w:rPr>
              <w:t>**)</w:t>
            </w:r>
            <w:r w:rsidRPr="007B192E">
              <w:rPr>
                <w:rFonts w:cs="Arial"/>
                <w:color w:val="000000" w:themeColor="text1"/>
                <w:sz w:val="18"/>
                <w:szCs w:val="18"/>
              </w:rPr>
              <w:t xml:space="preserve"> powinien wynosić 90-99%)</w:t>
            </w:r>
          </w:p>
        </w:tc>
      </w:tr>
      <w:tr w:rsidR="004D7D23" w:rsidRPr="007B192E" w14:paraId="5237045F" w14:textId="77777777" w:rsidTr="008F7A94">
        <w:trPr>
          <w:jc w:val="center"/>
        </w:trPr>
        <w:tc>
          <w:tcPr>
            <w:tcW w:w="3085" w:type="dxa"/>
          </w:tcPr>
          <w:p w14:paraId="4E78065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Wymagania wobec uziarnienia</w:t>
            </w:r>
          </w:p>
        </w:tc>
        <w:tc>
          <w:tcPr>
            <w:tcW w:w="851" w:type="dxa"/>
          </w:tcPr>
          <w:p w14:paraId="6D992F3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4.4.1</w:t>
            </w:r>
          </w:p>
        </w:tc>
        <w:tc>
          <w:tcPr>
            <w:tcW w:w="4961" w:type="dxa"/>
          </w:tcPr>
          <w:p w14:paraId="28B566D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Krzywe graniczne uziarnienia według rys. 1÷7</w:t>
            </w:r>
          </w:p>
        </w:tc>
      </w:tr>
      <w:tr w:rsidR="004D7D23" w:rsidRPr="007B192E" w14:paraId="0D3A297B" w14:textId="77777777" w:rsidTr="008F7A94">
        <w:trPr>
          <w:jc w:val="center"/>
        </w:trPr>
        <w:tc>
          <w:tcPr>
            <w:tcW w:w="3085" w:type="dxa"/>
          </w:tcPr>
          <w:p w14:paraId="23AF882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Wymagania wobec jednorodności uziarnienia poszczególnych partii – porównanie z deklarowaną przez producenta wartością (S)</w:t>
            </w:r>
          </w:p>
        </w:tc>
        <w:tc>
          <w:tcPr>
            <w:tcW w:w="851" w:type="dxa"/>
          </w:tcPr>
          <w:p w14:paraId="2008141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4.4.2</w:t>
            </w:r>
          </w:p>
        </w:tc>
        <w:tc>
          <w:tcPr>
            <w:tcW w:w="4961" w:type="dxa"/>
          </w:tcPr>
          <w:p w14:paraId="70F8A0B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wymagań</w:t>
            </w:r>
          </w:p>
        </w:tc>
      </w:tr>
      <w:tr w:rsidR="004D7D23" w:rsidRPr="007B192E" w14:paraId="0C8E063A" w14:textId="77777777" w:rsidTr="008F7A94">
        <w:trPr>
          <w:jc w:val="center"/>
        </w:trPr>
        <w:tc>
          <w:tcPr>
            <w:tcW w:w="3085" w:type="dxa"/>
          </w:tcPr>
          <w:p w14:paraId="0B56128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Wymagania wobec jednorodności uziarnienia na sitach kontrolnych – różnice w przesiewach</w:t>
            </w:r>
          </w:p>
        </w:tc>
        <w:tc>
          <w:tcPr>
            <w:tcW w:w="851" w:type="dxa"/>
          </w:tcPr>
          <w:p w14:paraId="00126DE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4.4.2</w:t>
            </w:r>
          </w:p>
        </w:tc>
        <w:tc>
          <w:tcPr>
            <w:tcW w:w="4961" w:type="dxa"/>
          </w:tcPr>
          <w:p w14:paraId="5E0F507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wymagań</w:t>
            </w:r>
          </w:p>
        </w:tc>
      </w:tr>
      <w:tr w:rsidR="004D7D23" w:rsidRPr="007B192E" w14:paraId="63441BFC" w14:textId="77777777" w:rsidTr="008F7A94">
        <w:trPr>
          <w:jc w:val="center"/>
        </w:trPr>
        <w:tc>
          <w:tcPr>
            <w:tcW w:w="3085" w:type="dxa"/>
          </w:tcPr>
          <w:p w14:paraId="3F9193E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Wrażliwość na mróz; wskaźnik piaskowy SE</w:t>
            </w:r>
            <w:r w:rsidRPr="007B192E">
              <w:rPr>
                <w:rFonts w:cs="Arial"/>
                <w:color w:val="000000" w:themeColor="text1"/>
                <w:sz w:val="18"/>
                <w:szCs w:val="18"/>
                <w:vertAlign w:val="superscript"/>
              </w:rPr>
              <w:t>***)</w:t>
            </w:r>
            <w:r w:rsidRPr="007B192E">
              <w:rPr>
                <w:rFonts w:cs="Arial"/>
                <w:color w:val="000000" w:themeColor="text1"/>
                <w:sz w:val="18"/>
                <w:szCs w:val="18"/>
              </w:rPr>
              <w:t>, co najmniej</w:t>
            </w:r>
          </w:p>
        </w:tc>
        <w:tc>
          <w:tcPr>
            <w:tcW w:w="851" w:type="dxa"/>
          </w:tcPr>
          <w:p w14:paraId="4EE3943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4.5</w:t>
            </w:r>
          </w:p>
        </w:tc>
        <w:tc>
          <w:tcPr>
            <w:tcW w:w="4961" w:type="dxa"/>
          </w:tcPr>
          <w:p w14:paraId="0BB96AD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35</w:t>
            </w:r>
          </w:p>
        </w:tc>
      </w:tr>
      <w:tr w:rsidR="004D7D23" w:rsidRPr="007B192E" w14:paraId="76348F81" w14:textId="77777777" w:rsidTr="008F7A94">
        <w:trPr>
          <w:jc w:val="center"/>
        </w:trPr>
        <w:tc>
          <w:tcPr>
            <w:tcW w:w="3085" w:type="dxa"/>
          </w:tcPr>
          <w:p w14:paraId="46F26BA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Odporność na rozdrabnianie (dotyczy frakcji 10/14 mm odsianej z mieszanki) wg PN-EN 1097-1 [11], kat. nie wyższa niż</w:t>
            </w:r>
          </w:p>
        </w:tc>
        <w:tc>
          <w:tcPr>
            <w:tcW w:w="851" w:type="dxa"/>
          </w:tcPr>
          <w:p w14:paraId="5D1824EE" w14:textId="77777777" w:rsidR="00F45500" w:rsidRPr="007B192E" w:rsidRDefault="00F45500" w:rsidP="008F7A94">
            <w:pPr>
              <w:pStyle w:val="Bezodstpw"/>
              <w:rPr>
                <w:rFonts w:cs="Arial"/>
                <w:color w:val="000000" w:themeColor="text1"/>
                <w:sz w:val="18"/>
                <w:szCs w:val="18"/>
              </w:rPr>
            </w:pPr>
          </w:p>
        </w:tc>
        <w:tc>
          <w:tcPr>
            <w:tcW w:w="4961" w:type="dxa"/>
          </w:tcPr>
          <w:p w14:paraId="024D9AB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LA</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wymagań)</w:t>
            </w:r>
          </w:p>
        </w:tc>
      </w:tr>
      <w:tr w:rsidR="004D7D23" w:rsidRPr="007B192E" w14:paraId="5799D9BA" w14:textId="77777777" w:rsidTr="008F7A94">
        <w:trPr>
          <w:jc w:val="center"/>
        </w:trPr>
        <w:tc>
          <w:tcPr>
            <w:tcW w:w="3085" w:type="dxa"/>
          </w:tcPr>
          <w:p w14:paraId="597236D5" w14:textId="77777777" w:rsidR="00F45500" w:rsidRPr="007B192E" w:rsidRDefault="00F45500" w:rsidP="008F7A94">
            <w:pPr>
              <w:pStyle w:val="Bezodstpw"/>
              <w:rPr>
                <w:rFonts w:cs="Arial"/>
                <w:color w:val="000000" w:themeColor="text1"/>
                <w:sz w:val="18"/>
                <w:szCs w:val="18"/>
                <w:vertAlign w:val="subscript"/>
              </w:rPr>
            </w:pPr>
            <w:r w:rsidRPr="007B192E">
              <w:rPr>
                <w:rFonts w:cs="Arial"/>
                <w:color w:val="000000" w:themeColor="text1"/>
                <w:sz w:val="18"/>
                <w:szCs w:val="18"/>
              </w:rPr>
              <w:t>Odporność na ścieranie (dotyczy frakcji 10/14 mm odsianej z mieszanki) wg PN-EN 1097-1 [11], kat. M</w:t>
            </w:r>
            <w:r w:rsidRPr="007B192E">
              <w:rPr>
                <w:rFonts w:cs="Arial"/>
                <w:color w:val="000000" w:themeColor="text1"/>
                <w:sz w:val="18"/>
                <w:szCs w:val="18"/>
                <w:vertAlign w:val="subscript"/>
              </w:rPr>
              <w:t>DE</w:t>
            </w:r>
          </w:p>
        </w:tc>
        <w:tc>
          <w:tcPr>
            <w:tcW w:w="851" w:type="dxa"/>
          </w:tcPr>
          <w:p w14:paraId="0DAE7A99" w14:textId="77777777" w:rsidR="00F45500" w:rsidRPr="007B192E" w:rsidRDefault="00F45500" w:rsidP="008F7A94">
            <w:pPr>
              <w:pStyle w:val="Bezodstpw"/>
              <w:rPr>
                <w:rFonts w:cs="Arial"/>
                <w:color w:val="000000" w:themeColor="text1"/>
                <w:sz w:val="18"/>
                <w:szCs w:val="18"/>
              </w:rPr>
            </w:pPr>
          </w:p>
        </w:tc>
        <w:tc>
          <w:tcPr>
            <w:tcW w:w="4961" w:type="dxa"/>
          </w:tcPr>
          <w:p w14:paraId="79A204A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Deklarowana</w:t>
            </w:r>
          </w:p>
        </w:tc>
      </w:tr>
      <w:tr w:rsidR="004D7D23" w:rsidRPr="007B192E" w14:paraId="6326B91B" w14:textId="77777777" w:rsidTr="008F7A94">
        <w:trPr>
          <w:jc w:val="center"/>
        </w:trPr>
        <w:tc>
          <w:tcPr>
            <w:tcW w:w="3085" w:type="dxa"/>
          </w:tcPr>
          <w:p w14:paraId="4442AB0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Mrozoodporność (dotyczy frakcji kruszywa 8/16 mm odsianej z mieszanki) wg PN-EN 1367-1 [14]</w:t>
            </w:r>
          </w:p>
        </w:tc>
        <w:tc>
          <w:tcPr>
            <w:tcW w:w="851" w:type="dxa"/>
          </w:tcPr>
          <w:p w14:paraId="4CA8326A" w14:textId="77777777" w:rsidR="00F45500" w:rsidRPr="007B192E" w:rsidRDefault="00F45500" w:rsidP="008F7A94">
            <w:pPr>
              <w:pStyle w:val="Bezodstpw"/>
              <w:rPr>
                <w:rFonts w:cs="Arial"/>
                <w:color w:val="000000" w:themeColor="text1"/>
                <w:sz w:val="18"/>
                <w:szCs w:val="18"/>
              </w:rPr>
            </w:pPr>
          </w:p>
        </w:tc>
        <w:tc>
          <w:tcPr>
            <w:tcW w:w="4961" w:type="dxa"/>
          </w:tcPr>
          <w:p w14:paraId="6BA2E48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F10  (tj. zamrażanie-rozmrażanie, procent masy ≤ 10)</w:t>
            </w:r>
          </w:p>
        </w:tc>
      </w:tr>
      <w:tr w:rsidR="004D7D23" w:rsidRPr="007B192E" w14:paraId="0AD4EC21" w14:textId="77777777" w:rsidTr="008F7A94">
        <w:trPr>
          <w:jc w:val="center"/>
        </w:trPr>
        <w:tc>
          <w:tcPr>
            <w:tcW w:w="3085" w:type="dxa"/>
          </w:tcPr>
          <w:p w14:paraId="5F98308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Wartość CBR po zagęszczeniu do wskaźnika zagęszczenia I</w:t>
            </w:r>
            <w:r w:rsidRPr="007B192E">
              <w:rPr>
                <w:rFonts w:cs="Arial"/>
                <w:color w:val="000000" w:themeColor="text1"/>
                <w:sz w:val="18"/>
                <w:szCs w:val="18"/>
                <w:vertAlign w:val="subscript"/>
              </w:rPr>
              <w:t>S</w:t>
            </w:r>
            <w:r w:rsidRPr="007B192E">
              <w:rPr>
                <w:rFonts w:cs="Arial"/>
                <w:color w:val="000000" w:themeColor="text1"/>
                <w:sz w:val="18"/>
                <w:szCs w:val="18"/>
              </w:rPr>
              <w:t>=1,0 i moczeniu w wodzie 96 h, co najmniej</w:t>
            </w:r>
          </w:p>
        </w:tc>
        <w:tc>
          <w:tcPr>
            <w:tcW w:w="851" w:type="dxa"/>
          </w:tcPr>
          <w:p w14:paraId="6C8A7E36" w14:textId="77777777" w:rsidR="00F45500" w:rsidRPr="007B192E" w:rsidRDefault="00F45500" w:rsidP="008F7A94">
            <w:pPr>
              <w:pStyle w:val="Bezodstpw"/>
              <w:rPr>
                <w:rFonts w:cs="Arial"/>
                <w:color w:val="000000" w:themeColor="text1"/>
                <w:sz w:val="18"/>
                <w:szCs w:val="18"/>
              </w:rPr>
            </w:pPr>
          </w:p>
        </w:tc>
        <w:tc>
          <w:tcPr>
            <w:tcW w:w="4961" w:type="dxa"/>
          </w:tcPr>
          <w:p w14:paraId="1818CF4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Warstwa </w:t>
            </w:r>
            <w:proofErr w:type="spellStart"/>
            <w:r w:rsidRPr="007B192E">
              <w:rPr>
                <w:rFonts w:cs="Arial"/>
                <w:color w:val="000000" w:themeColor="text1"/>
                <w:sz w:val="18"/>
                <w:szCs w:val="18"/>
              </w:rPr>
              <w:t>mrozoochronna</w:t>
            </w:r>
            <w:proofErr w:type="spellEnd"/>
            <w:r w:rsidRPr="007B192E">
              <w:rPr>
                <w:rFonts w:cs="Arial"/>
                <w:color w:val="000000" w:themeColor="text1"/>
                <w:sz w:val="18"/>
                <w:szCs w:val="18"/>
              </w:rPr>
              <w:t>, odsączająca i odcinająca: ≥35; warstwa wzmacniająca: ≥ 40</w:t>
            </w:r>
          </w:p>
        </w:tc>
      </w:tr>
      <w:tr w:rsidR="004D7D23" w:rsidRPr="007B192E" w14:paraId="2F25ABF1" w14:textId="77777777" w:rsidTr="008F7A94">
        <w:trPr>
          <w:jc w:val="center"/>
        </w:trPr>
        <w:tc>
          <w:tcPr>
            <w:tcW w:w="3085" w:type="dxa"/>
          </w:tcPr>
          <w:p w14:paraId="257361D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Wodoprzepuszczalność mieszanki w warstwie odsączającej po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do wskaźnika zagęszczenia I</w:t>
            </w:r>
            <w:r w:rsidRPr="007B192E">
              <w:rPr>
                <w:rFonts w:cs="Arial"/>
                <w:color w:val="000000" w:themeColor="text1"/>
                <w:sz w:val="18"/>
                <w:szCs w:val="18"/>
                <w:vertAlign w:val="subscript"/>
              </w:rPr>
              <w:t>S</w:t>
            </w:r>
            <w:r w:rsidRPr="007B192E">
              <w:rPr>
                <w:rFonts w:cs="Arial"/>
                <w:color w:val="000000" w:themeColor="text1"/>
                <w:sz w:val="18"/>
                <w:szCs w:val="18"/>
              </w:rPr>
              <w:t xml:space="preserve">=1,0;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filtracji ”k”, co najmniej cm/s</w:t>
            </w:r>
          </w:p>
        </w:tc>
        <w:tc>
          <w:tcPr>
            <w:tcW w:w="851" w:type="dxa"/>
          </w:tcPr>
          <w:p w14:paraId="567D434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4.5</w:t>
            </w:r>
          </w:p>
        </w:tc>
        <w:tc>
          <w:tcPr>
            <w:tcW w:w="4961" w:type="dxa"/>
          </w:tcPr>
          <w:p w14:paraId="1E89FFC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0,0093</w:t>
            </w:r>
          </w:p>
        </w:tc>
      </w:tr>
      <w:tr w:rsidR="004D7D23" w:rsidRPr="007B192E" w14:paraId="494945C8" w14:textId="77777777" w:rsidTr="008F7A94">
        <w:trPr>
          <w:jc w:val="center"/>
        </w:trPr>
        <w:tc>
          <w:tcPr>
            <w:tcW w:w="3085" w:type="dxa"/>
          </w:tcPr>
          <w:p w14:paraId="5341F6B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Zawartość wody w mieszance zagęszczanej; % (m/m) wilgotności optymalnej wg metody </w:t>
            </w:r>
            <w:proofErr w:type="spellStart"/>
            <w:r w:rsidRPr="007B192E">
              <w:rPr>
                <w:rFonts w:cs="Arial"/>
                <w:color w:val="000000" w:themeColor="text1"/>
                <w:sz w:val="18"/>
                <w:szCs w:val="18"/>
              </w:rPr>
              <w:t>Proctora</w:t>
            </w:r>
            <w:proofErr w:type="spellEnd"/>
          </w:p>
        </w:tc>
        <w:tc>
          <w:tcPr>
            <w:tcW w:w="851" w:type="dxa"/>
          </w:tcPr>
          <w:p w14:paraId="24A1E2B5" w14:textId="77777777" w:rsidR="00F45500" w:rsidRPr="007B192E" w:rsidRDefault="00F45500" w:rsidP="008F7A94">
            <w:pPr>
              <w:pStyle w:val="Bezodstpw"/>
              <w:rPr>
                <w:rFonts w:cs="Arial"/>
                <w:color w:val="000000" w:themeColor="text1"/>
                <w:sz w:val="18"/>
                <w:szCs w:val="18"/>
              </w:rPr>
            </w:pPr>
          </w:p>
        </w:tc>
        <w:tc>
          <w:tcPr>
            <w:tcW w:w="4961" w:type="dxa"/>
          </w:tcPr>
          <w:p w14:paraId="7182FDA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70-100</w:t>
            </w:r>
          </w:p>
        </w:tc>
      </w:tr>
      <w:tr w:rsidR="004D7D23" w:rsidRPr="007B192E" w14:paraId="45AA756A" w14:textId="77777777" w:rsidTr="008F7A94">
        <w:trPr>
          <w:jc w:val="center"/>
        </w:trPr>
        <w:tc>
          <w:tcPr>
            <w:tcW w:w="3085" w:type="dxa"/>
          </w:tcPr>
          <w:p w14:paraId="1B06F55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Inne cechy środowiskowe</w:t>
            </w:r>
          </w:p>
        </w:tc>
        <w:tc>
          <w:tcPr>
            <w:tcW w:w="851" w:type="dxa"/>
          </w:tcPr>
          <w:p w14:paraId="74FE720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4.5</w:t>
            </w:r>
          </w:p>
        </w:tc>
        <w:tc>
          <w:tcPr>
            <w:tcW w:w="4961" w:type="dxa"/>
          </w:tcPr>
          <w:p w14:paraId="60696091" w14:textId="77777777" w:rsidR="00F45500" w:rsidRPr="007B192E" w:rsidRDefault="00F45500" w:rsidP="008F7A94">
            <w:pPr>
              <w:pStyle w:val="Bezodstpw"/>
              <w:rPr>
                <w:rFonts w:cs="Arial"/>
                <w:color w:val="000000" w:themeColor="text1"/>
                <w:spacing w:val="-6"/>
                <w:sz w:val="18"/>
                <w:szCs w:val="18"/>
              </w:rPr>
            </w:pPr>
            <w:r w:rsidRPr="007B192E">
              <w:rPr>
                <w:rFonts w:cs="Arial"/>
                <w:color w:val="000000" w:themeColor="text1"/>
                <w:spacing w:val="-6"/>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37673C13"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 xml:space="preserve"> Gdy wartości obliczone z 1,4D oraz d/2 nie są dokładnymi wymiarami sit serii ISO 565/R20, należy przyjąć następny niższy wymiar sita. Jeśli D=90 mm należy przyjąć wymiar sita 125 mm jako wartość nadziarna.</w:t>
      </w:r>
    </w:p>
    <w:p w14:paraId="0E787335"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 xml:space="preserve"> Procentowa zawartość ziaren przechodzących przez sito D może być większa niż 99% masy, ale w takich przypadkach dostawca powinien zadeklarować typowe uziarnienie.</w:t>
      </w:r>
    </w:p>
    <w:p w14:paraId="3DE8649D"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vertAlign w:val="superscript"/>
        </w:rPr>
        <w:t xml:space="preserve">***) </w:t>
      </w:r>
      <w:r w:rsidRPr="007B192E">
        <w:rPr>
          <w:rFonts w:ascii="Arial" w:hAnsi="Arial" w:cs="Arial"/>
          <w:color w:val="000000" w:themeColor="text1"/>
          <w:sz w:val="18"/>
          <w:szCs w:val="18"/>
        </w:rPr>
        <w:t xml:space="preserve">Badanie wskaźnika piaskowego SE należy wykonać na mieszance po pięciokrotnym zagęszczeniu metodą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wg PN-EN 13286-2 [20].</w:t>
      </w:r>
    </w:p>
    <w:p w14:paraId="1768A2E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5.5. Odcinek próbny</w:t>
      </w:r>
    </w:p>
    <w:p w14:paraId="243DE61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Jeżeli w ST przewidziano potrzebę wykonania odcinka próbnego, to przed rozpoczęciem robót, w terminie uzgodnionym z Inżynierem, Wykonawca powinien wykonać odcinek próbny w celu:</w:t>
      </w:r>
    </w:p>
    <w:p w14:paraId="75B0AAFD" w14:textId="77777777" w:rsidR="00F45500" w:rsidRPr="007B192E" w:rsidRDefault="00F45500" w:rsidP="00BA5651">
      <w:pPr>
        <w:widowControl/>
        <w:numPr>
          <w:ilvl w:val="0"/>
          <w:numId w:val="264"/>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stwierdzenia czy właściwy jest sprzęt budowlany do produkcji mieszanki oraz jej rozkładania i zagęszczania,</w:t>
      </w:r>
    </w:p>
    <w:p w14:paraId="159C9350" w14:textId="77777777" w:rsidR="00F45500" w:rsidRPr="007B192E" w:rsidRDefault="00F45500" w:rsidP="00BA5651">
      <w:pPr>
        <w:widowControl/>
        <w:numPr>
          <w:ilvl w:val="0"/>
          <w:numId w:val="264"/>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określenia grubości wykonywanej warstwy w stanie luźnym, koniecznej do uzyskania wymaganej grubości warstwy po zagęszczeniu,</w:t>
      </w:r>
    </w:p>
    <w:p w14:paraId="32CC3104" w14:textId="77777777" w:rsidR="00F45500" w:rsidRPr="007B192E" w:rsidRDefault="00F45500" w:rsidP="00BA5651">
      <w:pPr>
        <w:widowControl/>
        <w:numPr>
          <w:ilvl w:val="0"/>
          <w:numId w:val="264"/>
        </w:numPr>
        <w:tabs>
          <w:tab w:val="clear" w:pos="720"/>
          <w:tab w:val="num" w:pos="360"/>
        </w:tabs>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określenia liczby przejść sprzętu zagęszczającego, potrzebnej do uzyskania wymaganego wskaźnika zagęszczenia wykonywanej warstwy.</w:t>
      </w:r>
    </w:p>
    <w:p w14:paraId="5E812ED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odcinku próbnym Wykonawca powinien użyć takich materiałów oraz sprzętu do mieszania, rozkładania i zagęszczania, jakie będą stosowane do wykonania warstwy.</w:t>
      </w:r>
    </w:p>
    <w:p w14:paraId="1CEE8D0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Powierzchnia odcinka próbnego powinna wynosić od 400  do 800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w:t>
      </w:r>
    </w:p>
    <w:p w14:paraId="06A6063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Odcinek próbny powinien być zlokalizowany w miejscu wskazanym przez Inżyniera.</w:t>
      </w:r>
    </w:p>
    <w:p w14:paraId="2A4A15D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może przystąpić do wykonywania warstwy po zaakceptowaniu odcinka próbnego przez Inżyniera.</w:t>
      </w:r>
    </w:p>
    <w:p w14:paraId="7733F3F3" w14:textId="77777777" w:rsidR="00F45500" w:rsidRPr="007B192E" w:rsidRDefault="00F45500" w:rsidP="00F45500">
      <w:pPr>
        <w:pStyle w:val="Nagwek2"/>
        <w:numPr>
          <w:ilvl w:val="1"/>
          <w:numId w:val="30"/>
        </w:numPr>
        <w:overflowPunct/>
        <w:autoSpaceDE/>
        <w:spacing w:before="60"/>
        <w:ind w:left="600" w:hanging="600"/>
        <w:jc w:val="both"/>
        <w:textAlignment w:val="auto"/>
        <w:rPr>
          <w:color w:val="000000" w:themeColor="text1"/>
          <w:sz w:val="18"/>
          <w:szCs w:val="18"/>
        </w:rPr>
      </w:pPr>
      <w:r w:rsidRPr="007B192E">
        <w:rPr>
          <w:color w:val="000000" w:themeColor="text1"/>
          <w:sz w:val="18"/>
          <w:szCs w:val="18"/>
        </w:rPr>
        <w:t>5.6. Przygotowanie podłoża gruntowego i wykonanie warstw odsączającej i odcinającej</w:t>
      </w:r>
    </w:p>
    <w:p w14:paraId="1F22A93D" w14:textId="77777777" w:rsidR="00F45500" w:rsidRPr="007B192E" w:rsidRDefault="00F45500" w:rsidP="00F45500">
      <w:pPr>
        <w:spacing w:after="120"/>
        <w:jc w:val="both"/>
        <w:rPr>
          <w:rFonts w:ascii="Arial" w:hAnsi="Arial" w:cs="Arial"/>
          <w:b/>
          <w:color w:val="000000" w:themeColor="text1"/>
          <w:sz w:val="18"/>
          <w:szCs w:val="18"/>
        </w:rPr>
      </w:pPr>
      <w:r w:rsidRPr="007B192E">
        <w:rPr>
          <w:rFonts w:ascii="Arial" w:hAnsi="Arial" w:cs="Arial"/>
          <w:b/>
          <w:color w:val="000000" w:themeColor="text1"/>
          <w:sz w:val="18"/>
          <w:szCs w:val="18"/>
        </w:rPr>
        <w:t xml:space="preserve">5.6.1. </w:t>
      </w:r>
      <w:r w:rsidRPr="007B192E">
        <w:rPr>
          <w:rFonts w:ascii="Arial" w:hAnsi="Arial" w:cs="Arial"/>
          <w:color w:val="000000" w:themeColor="text1"/>
          <w:sz w:val="18"/>
          <w:szCs w:val="18"/>
        </w:rPr>
        <w:t>Przygotowanie podłoża gruntowego</w:t>
      </w:r>
    </w:p>
    <w:p w14:paraId="0FC35BA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Podłoże gruntowe powinno spełniać wymagania określone w ST D-04.01.01 „Koryto wraz z profilowaniem i zagęszczeniem podłoża” [4]. Podłoże powinno być przygotowane zgodnie z wymaganiami określonymi w dokumentacji projektowej i ST.</w:t>
      </w:r>
    </w:p>
    <w:p w14:paraId="54A0155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1C5FBE9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Rodzaj sprzętu należy dostosować do rodzaju gruntu, w którym prowadzone są roboty i do trudności jego odspojenia.</w:t>
      </w:r>
    </w:p>
    <w:p w14:paraId="201F76B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Grunt odspojony w czasie wykonywania koryta powinien być wykorzystany zgodnie z ustaleniami dokumentacji projektowej i ST, tj. wbudowany w nasyp lub odwieziony na odkład w miejsce uzgodnione z Inżynierem.</w:t>
      </w:r>
    </w:p>
    <w:p w14:paraId="721AAF8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wykonanym korycie oraz po wyprofilowanym i zagęszczonym podłożu nie może odbywać się ruch budowlany, niezwiązany bezpośrednio z wykonaniem warstwy podłoża ulepszonego.</w:t>
      </w:r>
    </w:p>
    <w:p w14:paraId="04CCFF2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 wyprofilowaniu i zagęszczeniu podłoże (koryto) powinno być utrzymywane w dobrym stanie. Jeśli uległo ono nadmiernemu zawilgoceniu, to do układania warstwy podłoża ulepszonego można przystąpić dopiero po jego naturalnym osuszeniu. Po osuszeniu podłoża Inżynier oceni jego stan i ewentualnie zaleci wykonanie niezbędnych napraw.</w:t>
      </w:r>
    </w:p>
    <w:p w14:paraId="4766241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5.7. Wytwarzanie mieszanki kruszywa</w:t>
      </w:r>
    </w:p>
    <w:p w14:paraId="348419F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4AE40F3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Ze względu na konieczność zapewnienia mieszance jednorodności nie zaleca się wytwarzania mieszanki przez mieszanie poszczególnych frakcji kruszywa na drodze.</w:t>
      </w:r>
    </w:p>
    <w:p w14:paraId="2A29651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produkcji mieszanki kruszywa należy prowadzić zakładową kontrolę produkcji mieszanek niezwiązanych, zgodnie z  WT-4 [22] załącznik C, a przy dostarczaniu mieszanki przez producenta/dostawcę należy stosować się do zasad deklarowania w odniesieniu do zakresu uziarnienia podanych w WT-4 [22] załącznik B.</w:t>
      </w:r>
    </w:p>
    <w:p w14:paraId="1117D33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5.8. Wbudowanie mieszanki kruszywa</w:t>
      </w:r>
    </w:p>
    <w:p w14:paraId="5A0F814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1FDEA05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3ABACC0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Wilgotność mieszanki kruszywa podczas zagęszczania powinna odpowiadać wilgotności optymalnej, określonej według próby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2B3203E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Rozścieloną mieszankę kruszywa należy sprofilować równiarką lub ciężkim szablonem, do spadków poprzecznych i pochyleń podłużnych ustalonych w dokumentacji projektowej. W czasie profilowania należy wyrównać lokalne wgłębienia.</w:t>
      </w:r>
    </w:p>
    <w:p w14:paraId="38CBB8B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5.9. Zagęszczanie mieszanki kruszywa</w:t>
      </w:r>
    </w:p>
    <w:p w14:paraId="7A790BA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 wyprofilowaniu mieszanki kruszywa należy rozpocząć jej zagęszczanie, które należy kontynuować aż do osiągnięcia wymaganego w ST wskaźnika zagęszczenia.</w:t>
      </w:r>
    </w:p>
    <w:p w14:paraId="10C01B9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34EE821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Zagęszczenie powinno być równomierne na całej szerokości warstwy.</w:t>
      </w:r>
    </w:p>
    <w:p w14:paraId="3D015BD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Zaleca się, aby grubość zagęszczanej warstwy nie przekraczała przy walcach statycznych gładkich 15 cm, a przy walcach ogumionych lub wibracyjnych 20 cm.</w:t>
      </w:r>
    </w:p>
    <w:p w14:paraId="782DE6E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5.10. Utrzymanie wykonanej warstwy</w:t>
      </w:r>
    </w:p>
    <w:p w14:paraId="14001FE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63D4E80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5.11. Roboty wykończeniowe</w:t>
      </w:r>
    </w:p>
    <w:p w14:paraId="79D5A80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14:paraId="149C3F28" w14:textId="77777777" w:rsidR="00F45500" w:rsidRPr="007B192E"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odtworzenie przeszkód czasowo usuniętych,</w:t>
      </w:r>
    </w:p>
    <w:p w14:paraId="492FABEF" w14:textId="77777777" w:rsidR="00F45500" w:rsidRPr="007B192E"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uzupełnienie zniszczonych w czasie robót istniejących elementów drogowych lub terenowych,</w:t>
      </w:r>
    </w:p>
    <w:p w14:paraId="44E3D7D3"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porządkujące otoczenie terenu robót,</w:t>
      </w:r>
    </w:p>
    <w:p w14:paraId="73DB97FC"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usunięcie oznakowania drogi wprowadzonego na okres robót.</w:t>
      </w:r>
    </w:p>
    <w:p w14:paraId="4A6292AF" w14:textId="77777777" w:rsidR="00F45500" w:rsidRPr="007B192E" w:rsidRDefault="00F45500" w:rsidP="001D052E">
      <w:pPr>
        <w:pStyle w:val="Nagwek2"/>
        <w:rPr>
          <w:i w:val="0"/>
          <w:color w:val="000000" w:themeColor="text1"/>
        </w:rPr>
      </w:pPr>
      <w:bookmarkStart w:id="177" w:name="_Toc331508868"/>
      <w:bookmarkStart w:id="178" w:name="_Toc346094297"/>
      <w:r w:rsidRPr="007B192E">
        <w:rPr>
          <w:i w:val="0"/>
          <w:color w:val="000000" w:themeColor="text1"/>
        </w:rPr>
        <w:lastRenderedPageBreak/>
        <w:t>6. KONTROLA JAKOŚCI ROBÓT</w:t>
      </w:r>
      <w:bookmarkEnd w:id="177"/>
      <w:bookmarkEnd w:id="178"/>
    </w:p>
    <w:p w14:paraId="42A23265"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6.1. Ogólne zasady kontroli jakości robót</w:t>
      </w:r>
    </w:p>
    <w:p w14:paraId="637418F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77EEB87C"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6.2. Badania przed przystąpieniem do robót</w:t>
      </w:r>
    </w:p>
    <w:p w14:paraId="1C28577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52AF878E"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2F035F1"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wykonać badania kruszyw przeznaczonych do wykonania robót, obejmujące wszystkie właściwości określone w tablicy 1 niniejszej ST.</w:t>
      </w:r>
    </w:p>
    <w:p w14:paraId="445232D8"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20756F93"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6.3. Badania w czasie robót</w:t>
      </w:r>
    </w:p>
    <w:p w14:paraId="54460B7B"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Częstotliwość oraz zakres badań i pomiarów, które należy wykonać w czasie robót podaje tablica 3. </w:t>
      </w:r>
    </w:p>
    <w:p w14:paraId="1E33468D" w14:textId="77777777" w:rsidR="00F45500" w:rsidRPr="007B192E" w:rsidRDefault="00F45500" w:rsidP="00F45500">
      <w:pPr>
        <w:numPr>
          <w:ilvl w:val="12"/>
          <w:numId w:val="0"/>
        </w:numPr>
        <w:spacing w:before="120" w:after="120"/>
        <w:rPr>
          <w:rFonts w:ascii="Arial" w:hAnsi="Arial" w:cs="Arial"/>
          <w:color w:val="000000" w:themeColor="text1"/>
          <w:sz w:val="18"/>
          <w:szCs w:val="18"/>
        </w:rPr>
      </w:pPr>
      <w:r w:rsidRPr="007B192E">
        <w:rPr>
          <w:rFonts w:ascii="Arial" w:hAnsi="Arial" w:cs="Arial"/>
          <w:color w:val="000000" w:themeColor="text1"/>
          <w:sz w:val="18"/>
          <w:szCs w:val="18"/>
        </w:rPr>
        <w:t>Tablica 3. Częstotliwość oraz zakres badań i pomiarów w czasie robót</w:t>
      </w:r>
    </w:p>
    <w:tbl>
      <w:tblPr>
        <w:tblW w:w="89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4D7D23" w:rsidRPr="007B192E" w14:paraId="713E2E46" w14:textId="77777777" w:rsidTr="008F7A94">
        <w:trPr>
          <w:jc w:val="center"/>
        </w:trPr>
        <w:tc>
          <w:tcPr>
            <w:tcW w:w="496" w:type="dxa"/>
            <w:tcBorders>
              <w:bottom w:val="single" w:sz="4" w:space="0" w:color="auto"/>
            </w:tcBorders>
          </w:tcPr>
          <w:p w14:paraId="30265309"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534" w:type="dxa"/>
            <w:tcBorders>
              <w:bottom w:val="single" w:sz="4" w:space="0" w:color="auto"/>
            </w:tcBorders>
          </w:tcPr>
          <w:p w14:paraId="494C4282"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Wyszczególnienie robót</w:t>
            </w:r>
          </w:p>
        </w:tc>
        <w:tc>
          <w:tcPr>
            <w:tcW w:w="2204" w:type="dxa"/>
            <w:tcBorders>
              <w:bottom w:val="single" w:sz="4" w:space="0" w:color="auto"/>
            </w:tcBorders>
          </w:tcPr>
          <w:p w14:paraId="0DA03E96"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Częstotliwość badań</w:t>
            </w:r>
          </w:p>
        </w:tc>
        <w:tc>
          <w:tcPr>
            <w:tcW w:w="2693" w:type="dxa"/>
            <w:tcBorders>
              <w:bottom w:val="single" w:sz="4" w:space="0" w:color="auto"/>
            </w:tcBorders>
          </w:tcPr>
          <w:p w14:paraId="578DAD4C"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Wartości dopuszczalne</w:t>
            </w:r>
          </w:p>
        </w:tc>
      </w:tr>
      <w:tr w:rsidR="004D7D23" w:rsidRPr="007B192E" w14:paraId="61F2AACB" w14:textId="77777777" w:rsidTr="008F7A94">
        <w:trPr>
          <w:jc w:val="center"/>
        </w:trPr>
        <w:tc>
          <w:tcPr>
            <w:tcW w:w="496" w:type="dxa"/>
            <w:tcBorders>
              <w:top w:val="single" w:sz="4" w:space="0" w:color="auto"/>
            </w:tcBorders>
            <w:vAlign w:val="center"/>
          </w:tcPr>
          <w:p w14:paraId="79822252" w14:textId="77777777" w:rsidR="00F45500" w:rsidRPr="007B192E" w:rsidRDefault="00F45500" w:rsidP="008F7A94">
            <w:pPr>
              <w:numPr>
                <w:ilvl w:val="12"/>
                <w:numId w:val="0"/>
              </w:num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534" w:type="dxa"/>
            <w:tcBorders>
              <w:top w:val="single" w:sz="4" w:space="0" w:color="auto"/>
            </w:tcBorders>
            <w:vAlign w:val="center"/>
          </w:tcPr>
          <w:p w14:paraId="106B9D67"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Lokalizacja i zgodność granic terenu robót z dokumentacją projektową</w:t>
            </w:r>
          </w:p>
        </w:tc>
        <w:tc>
          <w:tcPr>
            <w:tcW w:w="2204" w:type="dxa"/>
            <w:tcBorders>
              <w:top w:val="single" w:sz="4" w:space="0" w:color="auto"/>
            </w:tcBorders>
            <w:vAlign w:val="center"/>
          </w:tcPr>
          <w:p w14:paraId="0B822468" w14:textId="77777777" w:rsidR="00F45500" w:rsidRPr="007B192E" w:rsidRDefault="00F45500" w:rsidP="008F7A94">
            <w:pPr>
              <w:numPr>
                <w:ilvl w:val="12"/>
                <w:numId w:val="0"/>
              </w:numPr>
              <w:jc w:val="center"/>
              <w:rPr>
                <w:rFonts w:ascii="Arial" w:hAnsi="Arial" w:cs="Arial"/>
                <w:color w:val="000000" w:themeColor="text1"/>
                <w:sz w:val="18"/>
                <w:szCs w:val="18"/>
              </w:rPr>
            </w:pPr>
            <w:r w:rsidRPr="007B192E">
              <w:rPr>
                <w:rFonts w:ascii="Arial" w:hAnsi="Arial" w:cs="Arial"/>
                <w:color w:val="000000" w:themeColor="text1"/>
                <w:sz w:val="18"/>
                <w:szCs w:val="18"/>
              </w:rPr>
              <w:t>1 raz</w:t>
            </w:r>
          </w:p>
        </w:tc>
        <w:tc>
          <w:tcPr>
            <w:tcW w:w="2693" w:type="dxa"/>
            <w:tcBorders>
              <w:top w:val="single" w:sz="4" w:space="0" w:color="auto"/>
            </w:tcBorders>
            <w:vAlign w:val="center"/>
          </w:tcPr>
          <w:p w14:paraId="1ABB4ECC" w14:textId="77777777" w:rsidR="00F45500" w:rsidRPr="007B192E" w:rsidRDefault="00F45500" w:rsidP="008F7A94">
            <w:pPr>
              <w:numPr>
                <w:ilvl w:val="12"/>
                <w:numId w:val="0"/>
              </w:num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 </w:t>
            </w:r>
          </w:p>
          <w:p w14:paraId="1ECAB79C" w14:textId="77777777" w:rsidR="00F45500" w:rsidRPr="007B192E" w:rsidRDefault="00F45500" w:rsidP="008F7A94">
            <w:pPr>
              <w:numPr>
                <w:ilvl w:val="12"/>
                <w:numId w:val="0"/>
              </w:num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i dokumentacji projektowej </w:t>
            </w:r>
          </w:p>
        </w:tc>
      </w:tr>
      <w:tr w:rsidR="004D7D23" w:rsidRPr="007B192E" w14:paraId="7944D3A8" w14:textId="77777777" w:rsidTr="008F7A94">
        <w:trPr>
          <w:jc w:val="center"/>
        </w:trPr>
        <w:tc>
          <w:tcPr>
            <w:tcW w:w="496" w:type="dxa"/>
            <w:vAlign w:val="center"/>
          </w:tcPr>
          <w:p w14:paraId="358F26C2"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534" w:type="dxa"/>
            <w:vAlign w:val="center"/>
          </w:tcPr>
          <w:p w14:paraId="4FCEA15D"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c>
          <w:tcPr>
            <w:tcW w:w="2204" w:type="dxa"/>
            <w:vAlign w:val="center"/>
          </w:tcPr>
          <w:p w14:paraId="4511522A"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693" w:type="dxa"/>
            <w:vAlign w:val="center"/>
          </w:tcPr>
          <w:p w14:paraId="4489E5E1"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5.3</w:t>
            </w:r>
          </w:p>
        </w:tc>
      </w:tr>
      <w:tr w:rsidR="004D7D23" w:rsidRPr="007B192E" w14:paraId="772CFF17" w14:textId="77777777" w:rsidTr="008F7A94">
        <w:trPr>
          <w:jc w:val="center"/>
        </w:trPr>
        <w:tc>
          <w:tcPr>
            <w:tcW w:w="496" w:type="dxa"/>
            <w:vAlign w:val="center"/>
          </w:tcPr>
          <w:p w14:paraId="6078DBF3"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534" w:type="dxa"/>
            <w:vAlign w:val="center"/>
          </w:tcPr>
          <w:p w14:paraId="179AE64D"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2204" w:type="dxa"/>
            <w:vAlign w:val="center"/>
          </w:tcPr>
          <w:p w14:paraId="2C81D677"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Dla każdej partii kruszywa  i przy każdej zmianie kruszywa</w:t>
            </w:r>
          </w:p>
        </w:tc>
        <w:tc>
          <w:tcPr>
            <w:tcW w:w="2693" w:type="dxa"/>
            <w:vAlign w:val="center"/>
          </w:tcPr>
          <w:p w14:paraId="0C0D5971"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Wg tablicy 1</w:t>
            </w:r>
          </w:p>
        </w:tc>
      </w:tr>
      <w:tr w:rsidR="004D7D23" w:rsidRPr="007B192E" w14:paraId="5030B68E" w14:textId="77777777" w:rsidTr="008F7A94">
        <w:trPr>
          <w:jc w:val="center"/>
        </w:trPr>
        <w:tc>
          <w:tcPr>
            <w:tcW w:w="496" w:type="dxa"/>
            <w:vAlign w:val="center"/>
          </w:tcPr>
          <w:p w14:paraId="14431AA8"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534" w:type="dxa"/>
            <w:vAlign w:val="center"/>
          </w:tcPr>
          <w:p w14:paraId="6D6257E6"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Uziarnienie mieszanki</w:t>
            </w:r>
          </w:p>
        </w:tc>
        <w:tc>
          <w:tcPr>
            <w:tcW w:w="2204" w:type="dxa"/>
            <w:vAlign w:val="center"/>
          </w:tcPr>
          <w:p w14:paraId="70D30D96"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2 razy na dziennej działce roboczej  </w:t>
            </w:r>
          </w:p>
        </w:tc>
        <w:tc>
          <w:tcPr>
            <w:tcW w:w="2693" w:type="dxa"/>
            <w:vAlign w:val="center"/>
          </w:tcPr>
          <w:p w14:paraId="6BBD1738"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Wg tablicy 2</w:t>
            </w:r>
          </w:p>
        </w:tc>
      </w:tr>
      <w:tr w:rsidR="004D7D23" w:rsidRPr="007B192E" w14:paraId="178E67FF" w14:textId="77777777" w:rsidTr="008F7A94">
        <w:trPr>
          <w:jc w:val="center"/>
        </w:trPr>
        <w:tc>
          <w:tcPr>
            <w:tcW w:w="496" w:type="dxa"/>
            <w:vAlign w:val="center"/>
          </w:tcPr>
          <w:p w14:paraId="77D83F1F"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534" w:type="dxa"/>
            <w:vAlign w:val="center"/>
          </w:tcPr>
          <w:p w14:paraId="3DFA8ACA"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Wilgotność mieszanki</w:t>
            </w:r>
          </w:p>
        </w:tc>
        <w:tc>
          <w:tcPr>
            <w:tcW w:w="2204" w:type="dxa"/>
            <w:vAlign w:val="center"/>
          </w:tcPr>
          <w:p w14:paraId="4FAB2B0B"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749F1FA8"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361E0437" w14:textId="77777777" w:rsidTr="008F7A94">
        <w:trPr>
          <w:jc w:val="center"/>
        </w:trPr>
        <w:tc>
          <w:tcPr>
            <w:tcW w:w="496" w:type="dxa"/>
            <w:vAlign w:val="center"/>
          </w:tcPr>
          <w:p w14:paraId="4D384DC5"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534" w:type="dxa"/>
            <w:vAlign w:val="center"/>
          </w:tcPr>
          <w:p w14:paraId="040C57E3"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Zawartość pyłów w mieszance</w:t>
            </w:r>
          </w:p>
        </w:tc>
        <w:tc>
          <w:tcPr>
            <w:tcW w:w="2204" w:type="dxa"/>
            <w:vAlign w:val="center"/>
          </w:tcPr>
          <w:p w14:paraId="6894405B"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1A75D94C"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0E03D540" w14:textId="77777777" w:rsidTr="008F7A94">
        <w:trPr>
          <w:jc w:val="center"/>
        </w:trPr>
        <w:tc>
          <w:tcPr>
            <w:tcW w:w="496" w:type="dxa"/>
            <w:vAlign w:val="center"/>
          </w:tcPr>
          <w:p w14:paraId="38947006"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534" w:type="dxa"/>
            <w:vAlign w:val="center"/>
          </w:tcPr>
          <w:p w14:paraId="319A58F1"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Zawartość nadziarna w mieszance</w:t>
            </w:r>
          </w:p>
        </w:tc>
        <w:tc>
          <w:tcPr>
            <w:tcW w:w="2204" w:type="dxa"/>
            <w:vAlign w:val="center"/>
          </w:tcPr>
          <w:p w14:paraId="0952E953"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4CCDCB7A"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2BA80157" w14:textId="77777777" w:rsidTr="008F7A94">
        <w:trPr>
          <w:jc w:val="center"/>
        </w:trPr>
        <w:tc>
          <w:tcPr>
            <w:tcW w:w="496" w:type="dxa"/>
            <w:vAlign w:val="center"/>
          </w:tcPr>
          <w:p w14:paraId="4418A821"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534" w:type="dxa"/>
            <w:vAlign w:val="center"/>
          </w:tcPr>
          <w:p w14:paraId="00F6D67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Wrażliwość mieszanki na mróz, wskaźnik piaskowy</w:t>
            </w:r>
          </w:p>
        </w:tc>
        <w:tc>
          <w:tcPr>
            <w:tcW w:w="2204" w:type="dxa"/>
            <w:vAlign w:val="center"/>
          </w:tcPr>
          <w:p w14:paraId="188DD92A"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14D0DC81"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11DC9AC3" w14:textId="77777777" w:rsidTr="008F7A94">
        <w:trPr>
          <w:jc w:val="center"/>
        </w:trPr>
        <w:tc>
          <w:tcPr>
            <w:tcW w:w="496" w:type="dxa"/>
            <w:vAlign w:val="center"/>
          </w:tcPr>
          <w:p w14:paraId="674838D6"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9</w:t>
            </w:r>
          </w:p>
        </w:tc>
        <w:tc>
          <w:tcPr>
            <w:tcW w:w="3534" w:type="dxa"/>
            <w:vAlign w:val="center"/>
          </w:tcPr>
          <w:p w14:paraId="58B96436"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Zawartość wody w mieszance</w:t>
            </w:r>
          </w:p>
        </w:tc>
        <w:tc>
          <w:tcPr>
            <w:tcW w:w="2204" w:type="dxa"/>
            <w:vAlign w:val="center"/>
          </w:tcPr>
          <w:p w14:paraId="5B465484"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3425312F"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137FC0D6" w14:textId="77777777" w:rsidTr="008F7A94">
        <w:trPr>
          <w:jc w:val="center"/>
        </w:trPr>
        <w:tc>
          <w:tcPr>
            <w:tcW w:w="496" w:type="dxa"/>
            <w:vAlign w:val="center"/>
          </w:tcPr>
          <w:p w14:paraId="5729F7A4"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3534" w:type="dxa"/>
            <w:vAlign w:val="center"/>
          </w:tcPr>
          <w:p w14:paraId="000E2F6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Wartość CBR po zagęszczeniu mieszanki</w:t>
            </w:r>
          </w:p>
        </w:tc>
        <w:tc>
          <w:tcPr>
            <w:tcW w:w="2204" w:type="dxa"/>
            <w:vAlign w:val="center"/>
          </w:tcPr>
          <w:p w14:paraId="3B3CB684" w14:textId="77777777" w:rsidR="00F45500" w:rsidRPr="007B192E" w:rsidRDefault="00F45500" w:rsidP="008F7A94">
            <w:pPr>
              <w:numPr>
                <w:ilvl w:val="12"/>
                <w:numId w:val="0"/>
              </w:num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10 próbek </w:t>
            </w:r>
          </w:p>
          <w:p w14:paraId="2332BFB8" w14:textId="77777777" w:rsidR="00F45500" w:rsidRPr="007B192E" w:rsidRDefault="00F45500" w:rsidP="008F7A94">
            <w:pPr>
              <w:numPr>
                <w:ilvl w:val="12"/>
                <w:numId w:val="0"/>
              </w:numPr>
              <w:jc w:val="center"/>
              <w:rPr>
                <w:rFonts w:ascii="Arial" w:hAnsi="Arial" w:cs="Arial"/>
                <w:color w:val="000000" w:themeColor="text1"/>
                <w:sz w:val="18"/>
                <w:szCs w:val="18"/>
                <w:vertAlign w:val="superscript"/>
              </w:rPr>
            </w:pPr>
            <w:r w:rsidRPr="007B192E">
              <w:rPr>
                <w:rFonts w:ascii="Arial" w:hAnsi="Arial" w:cs="Arial"/>
                <w:color w:val="000000" w:themeColor="text1"/>
                <w:sz w:val="18"/>
                <w:szCs w:val="18"/>
              </w:rPr>
              <w:t>na 10 000 m</w:t>
            </w:r>
            <w:r w:rsidRPr="007B192E">
              <w:rPr>
                <w:rFonts w:ascii="Arial" w:hAnsi="Arial" w:cs="Arial"/>
                <w:color w:val="000000" w:themeColor="text1"/>
                <w:sz w:val="18"/>
                <w:szCs w:val="18"/>
                <w:vertAlign w:val="superscript"/>
              </w:rPr>
              <w:t>2</w:t>
            </w:r>
          </w:p>
        </w:tc>
        <w:tc>
          <w:tcPr>
            <w:tcW w:w="2693" w:type="dxa"/>
            <w:vAlign w:val="center"/>
          </w:tcPr>
          <w:p w14:paraId="6CF1CE2F"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11BC3774" w14:textId="77777777" w:rsidTr="008F7A94">
        <w:trPr>
          <w:jc w:val="center"/>
        </w:trPr>
        <w:tc>
          <w:tcPr>
            <w:tcW w:w="496" w:type="dxa"/>
            <w:vAlign w:val="center"/>
          </w:tcPr>
          <w:p w14:paraId="27158A9D"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3534" w:type="dxa"/>
            <w:vAlign w:val="center"/>
          </w:tcPr>
          <w:p w14:paraId="00737DB5"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Inne właściwości mieszanki</w:t>
            </w:r>
          </w:p>
        </w:tc>
        <w:tc>
          <w:tcPr>
            <w:tcW w:w="2204" w:type="dxa"/>
            <w:vAlign w:val="center"/>
          </w:tcPr>
          <w:p w14:paraId="69AA45F8" w14:textId="77777777" w:rsidR="00F45500" w:rsidRPr="007B192E" w:rsidRDefault="00F45500" w:rsidP="008F7A94">
            <w:pPr>
              <w:numPr>
                <w:ilvl w:val="12"/>
                <w:numId w:val="0"/>
              </w:num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Wg ustalenia Inżyniera</w:t>
            </w:r>
          </w:p>
        </w:tc>
        <w:tc>
          <w:tcPr>
            <w:tcW w:w="2693" w:type="dxa"/>
            <w:vAlign w:val="center"/>
          </w:tcPr>
          <w:p w14:paraId="444B244B"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5D9DF3B7" w14:textId="77777777" w:rsidTr="008F7A94">
        <w:trPr>
          <w:jc w:val="center"/>
        </w:trPr>
        <w:tc>
          <w:tcPr>
            <w:tcW w:w="496" w:type="dxa"/>
            <w:vAlign w:val="center"/>
          </w:tcPr>
          <w:p w14:paraId="7CA80752"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3534" w:type="dxa"/>
            <w:vAlign w:val="center"/>
          </w:tcPr>
          <w:p w14:paraId="552DDF1B"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Cechy środowiskowe</w:t>
            </w:r>
          </w:p>
        </w:tc>
        <w:tc>
          <w:tcPr>
            <w:tcW w:w="2204" w:type="dxa"/>
            <w:vAlign w:val="center"/>
          </w:tcPr>
          <w:p w14:paraId="5BD4F4A3" w14:textId="77777777" w:rsidR="00F45500" w:rsidRPr="007B192E" w:rsidRDefault="00F45500" w:rsidP="008F7A94">
            <w:pPr>
              <w:numPr>
                <w:ilvl w:val="12"/>
                <w:numId w:val="0"/>
              </w:num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Wg ustalenia Inżyniera</w:t>
            </w:r>
          </w:p>
        </w:tc>
        <w:tc>
          <w:tcPr>
            <w:tcW w:w="2693" w:type="dxa"/>
            <w:vAlign w:val="center"/>
          </w:tcPr>
          <w:p w14:paraId="13B9E54A"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68FE90B8" w14:textId="77777777" w:rsidTr="008F7A94">
        <w:trPr>
          <w:jc w:val="center"/>
        </w:trPr>
        <w:tc>
          <w:tcPr>
            <w:tcW w:w="496" w:type="dxa"/>
            <w:vAlign w:val="center"/>
          </w:tcPr>
          <w:p w14:paraId="0F9B974A"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3534" w:type="dxa"/>
            <w:vAlign w:val="center"/>
          </w:tcPr>
          <w:p w14:paraId="5F07A34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Roboty wykończeniowe</w:t>
            </w:r>
          </w:p>
        </w:tc>
        <w:tc>
          <w:tcPr>
            <w:tcW w:w="2204" w:type="dxa"/>
            <w:vAlign w:val="center"/>
          </w:tcPr>
          <w:p w14:paraId="430F0FB7" w14:textId="77777777" w:rsidR="00F45500" w:rsidRPr="007B192E" w:rsidRDefault="00F45500" w:rsidP="008F7A94">
            <w:pPr>
              <w:numPr>
                <w:ilvl w:val="12"/>
                <w:numId w:val="0"/>
              </w:num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693" w:type="dxa"/>
            <w:vAlign w:val="center"/>
          </w:tcPr>
          <w:p w14:paraId="33DAB92C" w14:textId="77777777" w:rsidR="00F45500" w:rsidRPr="007B192E" w:rsidRDefault="00F45500" w:rsidP="008F7A94">
            <w:pPr>
              <w:numPr>
                <w:ilvl w:val="12"/>
                <w:numId w:val="0"/>
              </w:num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5.11</w:t>
            </w:r>
          </w:p>
        </w:tc>
      </w:tr>
    </w:tbl>
    <w:p w14:paraId="0902C47B" w14:textId="77777777" w:rsidR="00F45500" w:rsidRPr="007B192E" w:rsidRDefault="00F45500" w:rsidP="00F45500">
      <w:pPr>
        <w:pStyle w:val="Nagwek2"/>
        <w:numPr>
          <w:ilvl w:val="1"/>
          <w:numId w:val="30"/>
        </w:numPr>
        <w:overflowPunct/>
        <w:autoSpaceDE/>
        <w:jc w:val="both"/>
        <w:textAlignment w:val="auto"/>
        <w:rPr>
          <w:color w:val="000000" w:themeColor="text1"/>
          <w:sz w:val="18"/>
          <w:szCs w:val="18"/>
        </w:rPr>
      </w:pPr>
      <w:r w:rsidRPr="007B192E">
        <w:rPr>
          <w:color w:val="000000" w:themeColor="text1"/>
          <w:sz w:val="18"/>
          <w:szCs w:val="18"/>
        </w:rPr>
        <w:t>6.4. Wymagania dotyczące cech geometrycznych podłoża ulepszonego</w:t>
      </w:r>
    </w:p>
    <w:p w14:paraId="4A3849C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Częstotliwość oraz zakres badań i pomiarów dotyczących cech geometrycznych warstwy z mieszanki niezwiązanej podaje tablica 4.</w:t>
      </w:r>
    </w:p>
    <w:p w14:paraId="6C73E9E7" w14:textId="77777777" w:rsidR="00F45500" w:rsidRPr="007B192E" w:rsidRDefault="00F45500" w:rsidP="00F45500">
      <w:pPr>
        <w:keepNext/>
        <w:spacing w:before="6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4. Częstotliwość oraz zakres badań i pomiarów dotyczących cech geometrycznych</w:t>
      </w:r>
    </w:p>
    <w:tbl>
      <w:tblPr>
        <w:tblW w:w="895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4D7D23" w:rsidRPr="007B192E" w14:paraId="5B8C6F91" w14:textId="77777777" w:rsidTr="008F7A94">
        <w:trPr>
          <w:jc w:val="center"/>
        </w:trPr>
        <w:tc>
          <w:tcPr>
            <w:tcW w:w="496" w:type="dxa"/>
            <w:tcBorders>
              <w:top w:val="single" w:sz="4" w:space="0" w:color="auto"/>
              <w:left w:val="single" w:sz="4" w:space="0" w:color="auto"/>
              <w:bottom w:val="single" w:sz="4" w:space="0" w:color="auto"/>
            </w:tcBorders>
          </w:tcPr>
          <w:p w14:paraId="35E1381B" w14:textId="77777777" w:rsidR="00F45500" w:rsidRPr="007B192E" w:rsidRDefault="00F45500" w:rsidP="008F7A94">
            <w:pPr>
              <w:jc w:val="center"/>
              <w:rPr>
                <w:rFonts w:ascii="Arial" w:hAnsi="Arial" w:cs="Arial"/>
                <w:color w:val="000000" w:themeColor="text1"/>
                <w:sz w:val="18"/>
                <w:szCs w:val="18"/>
              </w:rPr>
            </w:pPr>
          </w:p>
          <w:p w14:paraId="1C3240F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414" w:type="dxa"/>
            <w:tcBorders>
              <w:top w:val="single" w:sz="4" w:space="0" w:color="auto"/>
              <w:bottom w:val="single" w:sz="4" w:space="0" w:color="auto"/>
              <w:right w:val="single" w:sz="4" w:space="0" w:color="auto"/>
            </w:tcBorders>
          </w:tcPr>
          <w:p w14:paraId="4EF25549" w14:textId="77777777" w:rsidR="00F45500" w:rsidRPr="007B192E" w:rsidRDefault="00F45500" w:rsidP="008F7A94">
            <w:pPr>
              <w:spacing w:before="120"/>
              <w:ind w:left="215" w:right="312"/>
              <w:jc w:val="center"/>
              <w:rPr>
                <w:rFonts w:ascii="Arial" w:hAnsi="Arial" w:cs="Arial"/>
                <w:color w:val="000000" w:themeColor="text1"/>
                <w:sz w:val="18"/>
                <w:szCs w:val="18"/>
              </w:rPr>
            </w:pPr>
            <w:r w:rsidRPr="007B192E">
              <w:rPr>
                <w:rFonts w:ascii="Arial" w:hAnsi="Arial" w:cs="Arial"/>
                <w:color w:val="000000" w:themeColor="text1"/>
                <w:sz w:val="18"/>
                <w:szCs w:val="18"/>
              </w:rPr>
              <w:t>Wyszczególnienie badań i pomiarów</w:t>
            </w:r>
          </w:p>
        </w:tc>
        <w:tc>
          <w:tcPr>
            <w:tcW w:w="2280" w:type="dxa"/>
            <w:tcBorders>
              <w:left w:val="single" w:sz="4" w:space="0" w:color="auto"/>
            </w:tcBorders>
            <w:shd w:val="clear" w:color="auto" w:fill="auto"/>
          </w:tcPr>
          <w:p w14:paraId="41BEB56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Minimalna częstotliwość badań i pomiarów</w:t>
            </w:r>
          </w:p>
        </w:tc>
        <w:tc>
          <w:tcPr>
            <w:tcW w:w="2760" w:type="dxa"/>
            <w:shd w:val="clear" w:color="auto" w:fill="auto"/>
          </w:tcPr>
          <w:p w14:paraId="4C41E8C3" w14:textId="77777777" w:rsidR="00F45500" w:rsidRPr="007B192E" w:rsidRDefault="00F45500" w:rsidP="008F7A94">
            <w:pPr>
              <w:jc w:val="center"/>
              <w:rPr>
                <w:rFonts w:ascii="Arial" w:hAnsi="Arial" w:cs="Arial"/>
                <w:color w:val="000000" w:themeColor="text1"/>
                <w:sz w:val="18"/>
                <w:szCs w:val="18"/>
              </w:rPr>
            </w:pPr>
          </w:p>
          <w:p w14:paraId="178B717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Dopuszczalne odchyłki</w:t>
            </w:r>
          </w:p>
        </w:tc>
      </w:tr>
      <w:tr w:rsidR="004D7D23" w:rsidRPr="007B192E" w14:paraId="1F295211" w14:textId="77777777" w:rsidTr="008F7A94">
        <w:trPr>
          <w:jc w:val="center"/>
        </w:trPr>
        <w:tc>
          <w:tcPr>
            <w:tcW w:w="496" w:type="dxa"/>
            <w:tcBorders>
              <w:top w:val="single" w:sz="4" w:space="0" w:color="auto"/>
            </w:tcBorders>
          </w:tcPr>
          <w:p w14:paraId="35A0F44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414" w:type="dxa"/>
            <w:tcBorders>
              <w:top w:val="single" w:sz="4" w:space="0" w:color="auto"/>
            </w:tcBorders>
          </w:tcPr>
          <w:p w14:paraId="7AC72EA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Szerokość warstwy</w:t>
            </w:r>
          </w:p>
        </w:tc>
        <w:tc>
          <w:tcPr>
            <w:tcW w:w="2280" w:type="dxa"/>
            <w:shd w:val="clear" w:color="auto" w:fill="auto"/>
          </w:tcPr>
          <w:p w14:paraId="465518E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 razy na 1 km</w:t>
            </w:r>
          </w:p>
        </w:tc>
        <w:tc>
          <w:tcPr>
            <w:tcW w:w="2760" w:type="dxa"/>
            <w:shd w:val="clear" w:color="auto" w:fill="auto"/>
          </w:tcPr>
          <w:p w14:paraId="49AA23B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 cm, -5 cm (różnice od szerokości projektowej)</w:t>
            </w:r>
          </w:p>
        </w:tc>
      </w:tr>
      <w:tr w:rsidR="004D7D23" w:rsidRPr="007B192E" w14:paraId="2BDC491B" w14:textId="77777777" w:rsidTr="008F7A94">
        <w:trPr>
          <w:jc w:val="center"/>
        </w:trPr>
        <w:tc>
          <w:tcPr>
            <w:tcW w:w="496" w:type="dxa"/>
          </w:tcPr>
          <w:p w14:paraId="0F3E123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414" w:type="dxa"/>
          </w:tcPr>
          <w:p w14:paraId="5B4CCE9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Równość podłużna</w:t>
            </w:r>
          </w:p>
        </w:tc>
        <w:tc>
          <w:tcPr>
            <w:tcW w:w="2280" w:type="dxa"/>
            <w:shd w:val="clear" w:color="auto" w:fill="auto"/>
          </w:tcPr>
          <w:p w14:paraId="2C9E938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Wg [23]</w:t>
            </w:r>
          </w:p>
        </w:tc>
        <w:tc>
          <w:tcPr>
            <w:tcW w:w="2760" w:type="dxa"/>
            <w:shd w:val="clear" w:color="auto" w:fill="auto"/>
          </w:tcPr>
          <w:p w14:paraId="5A8E9AF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Wg [23]</w:t>
            </w:r>
          </w:p>
        </w:tc>
      </w:tr>
      <w:tr w:rsidR="004D7D23" w:rsidRPr="007B192E" w14:paraId="43780128" w14:textId="77777777" w:rsidTr="008F7A94">
        <w:trPr>
          <w:jc w:val="center"/>
        </w:trPr>
        <w:tc>
          <w:tcPr>
            <w:tcW w:w="496" w:type="dxa"/>
          </w:tcPr>
          <w:p w14:paraId="3CED53F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414" w:type="dxa"/>
          </w:tcPr>
          <w:p w14:paraId="77BA3B2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Równość poprzeczna</w:t>
            </w:r>
          </w:p>
        </w:tc>
        <w:tc>
          <w:tcPr>
            <w:tcW w:w="2280" w:type="dxa"/>
            <w:shd w:val="clear" w:color="auto" w:fill="auto"/>
          </w:tcPr>
          <w:p w14:paraId="3E7C825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Wg [23]</w:t>
            </w:r>
          </w:p>
        </w:tc>
        <w:tc>
          <w:tcPr>
            <w:tcW w:w="2760" w:type="dxa"/>
            <w:shd w:val="clear" w:color="auto" w:fill="auto"/>
          </w:tcPr>
          <w:p w14:paraId="49A1138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Wg [23]</w:t>
            </w:r>
          </w:p>
        </w:tc>
      </w:tr>
      <w:tr w:rsidR="004D7D23" w:rsidRPr="007B192E" w14:paraId="720273FD" w14:textId="77777777" w:rsidTr="008F7A94">
        <w:trPr>
          <w:jc w:val="center"/>
        </w:trPr>
        <w:tc>
          <w:tcPr>
            <w:tcW w:w="496" w:type="dxa"/>
          </w:tcPr>
          <w:p w14:paraId="6DD13BD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414" w:type="dxa"/>
          </w:tcPr>
          <w:p w14:paraId="0EF0841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Spadki poprzeczne </w:t>
            </w:r>
            <w:r w:rsidRPr="007B192E">
              <w:rPr>
                <w:rFonts w:ascii="Arial" w:hAnsi="Arial" w:cs="Arial"/>
                <w:color w:val="000000" w:themeColor="text1"/>
                <w:sz w:val="18"/>
                <w:szCs w:val="18"/>
                <w:vertAlign w:val="superscript"/>
              </w:rPr>
              <w:t>*)</w:t>
            </w:r>
          </w:p>
        </w:tc>
        <w:tc>
          <w:tcPr>
            <w:tcW w:w="2280" w:type="dxa"/>
            <w:shd w:val="clear" w:color="auto" w:fill="auto"/>
          </w:tcPr>
          <w:p w14:paraId="3C072A1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 razy na 1 km</w:t>
            </w:r>
          </w:p>
        </w:tc>
        <w:tc>
          <w:tcPr>
            <w:tcW w:w="2760" w:type="dxa"/>
            <w:shd w:val="clear" w:color="auto" w:fill="auto"/>
          </w:tcPr>
          <w:p w14:paraId="79E56FE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0,5% (dopuszczalna tolerancja od spadków projektowych)</w:t>
            </w:r>
          </w:p>
        </w:tc>
      </w:tr>
      <w:tr w:rsidR="004D7D23" w:rsidRPr="007B192E" w14:paraId="140EA499" w14:textId="77777777" w:rsidTr="008F7A94">
        <w:trPr>
          <w:jc w:val="center"/>
        </w:trPr>
        <w:tc>
          <w:tcPr>
            <w:tcW w:w="496" w:type="dxa"/>
          </w:tcPr>
          <w:p w14:paraId="63289BF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414" w:type="dxa"/>
          </w:tcPr>
          <w:p w14:paraId="27F4DBC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Rzędne wysokościowe</w:t>
            </w:r>
          </w:p>
        </w:tc>
        <w:tc>
          <w:tcPr>
            <w:tcW w:w="2280" w:type="dxa"/>
            <w:shd w:val="clear" w:color="auto" w:fill="auto"/>
          </w:tcPr>
          <w:p w14:paraId="779F405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Wg [23]</w:t>
            </w:r>
          </w:p>
        </w:tc>
        <w:tc>
          <w:tcPr>
            <w:tcW w:w="2760" w:type="dxa"/>
            <w:shd w:val="clear" w:color="auto" w:fill="auto"/>
          </w:tcPr>
          <w:p w14:paraId="337469E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Wg [23]</w:t>
            </w:r>
          </w:p>
        </w:tc>
      </w:tr>
      <w:tr w:rsidR="004D7D23" w:rsidRPr="007B192E" w14:paraId="09C8F27A" w14:textId="77777777" w:rsidTr="008F7A94">
        <w:trPr>
          <w:jc w:val="center"/>
        </w:trPr>
        <w:tc>
          <w:tcPr>
            <w:tcW w:w="496" w:type="dxa"/>
          </w:tcPr>
          <w:p w14:paraId="10CD3C7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414" w:type="dxa"/>
          </w:tcPr>
          <w:p w14:paraId="2C95E55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Ukształtowanie osi w planie </w:t>
            </w:r>
            <w:r w:rsidRPr="007B192E">
              <w:rPr>
                <w:rFonts w:ascii="Arial" w:hAnsi="Arial" w:cs="Arial"/>
                <w:color w:val="000000" w:themeColor="text1"/>
                <w:sz w:val="18"/>
                <w:szCs w:val="18"/>
                <w:vertAlign w:val="superscript"/>
              </w:rPr>
              <w:t>*)</w:t>
            </w:r>
          </w:p>
        </w:tc>
        <w:tc>
          <w:tcPr>
            <w:tcW w:w="2280" w:type="dxa"/>
            <w:shd w:val="clear" w:color="auto" w:fill="auto"/>
          </w:tcPr>
          <w:p w14:paraId="0D8B3BD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Co 100 m</w:t>
            </w:r>
          </w:p>
        </w:tc>
        <w:tc>
          <w:tcPr>
            <w:tcW w:w="2760" w:type="dxa"/>
            <w:shd w:val="clear" w:color="auto" w:fill="auto"/>
          </w:tcPr>
          <w:p w14:paraId="318300F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Przesunięcie od osi projektowanej ± 5 cm</w:t>
            </w:r>
          </w:p>
        </w:tc>
      </w:tr>
      <w:tr w:rsidR="004D7D23" w:rsidRPr="007B192E" w14:paraId="6CEEB698" w14:textId="77777777" w:rsidTr="008F7A94">
        <w:trPr>
          <w:jc w:val="center"/>
        </w:trPr>
        <w:tc>
          <w:tcPr>
            <w:tcW w:w="496" w:type="dxa"/>
          </w:tcPr>
          <w:p w14:paraId="7D0AF7A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414" w:type="dxa"/>
          </w:tcPr>
          <w:p w14:paraId="28CAB60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Grubość warstwy</w:t>
            </w:r>
          </w:p>
        </w:tc>
        <w:tc>
          <w:tcPr>
            <w:tcW w:w="2280" w:type="dxa"/>
            <w:shd w:val="clear" w:color="auto" w:fill="auto"/>
          </w:tcPr>
          <w:p w14:paraId="03B508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 3 punktach na działce roboczej, lecz nie rzadziej niż raz na 2000 m</w:t>
            </w:r>
            <w:r w:rsidRPr="007B192E">
              <w:rPr>
                <w:rFonts w:ascii="Arial" w:hAnsi="Arial" w:cs="Arial"/>
                <w:color w:val="000000" w:themeColor="text1"/>
                <w:sz w:val="18"/>
                <w:szCs w:val="18"/>
                <w:vertAlign w:val="superscript"/>
              </w:rPr>
              <w:t>2</w:t>
            </w:r>
          </w:p>
        </w:tc>
        <w:tc>
          <w:tcPr>
            <w:tcW w:w="2760" w:type="dxa"/>
            <w:shd w:val="clear" w:color="auto" w:fill="auto"/>
          </w:tcPr>
          <w:p w14:paraId="5301A8D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Różnice od grubości projektowanej +10%,           -15%</w:t>
            </w:r>
          </w:p>
          <w:p w14:paraId="01B73812" w14:textId="77777777" w:rsidR="00F45500" w:rsidRPr="007B192E" w:rsidRDefault="00F45500" w:rsidP="008F7A94">
            <w:pPr>
              <w:rPr>
                <w:rFonts w:ascii="Arial" w:hAnsi="Arial" w:cs="Arial"/>
                <w:color w:val="000000" w:themeColor="text1"/>
                <w:sz w:val="18"/>
                <w:szCs w:val="18"/>
              </w:rPr>
            </w:pPr>
          </w:p>
        </w:tc>
      </w:tr>
    </w:tbl>
    <w:p w14:paraId="1CDFDDEF" w14:textId="77777777" w:rsidR="00F45500" w:rsidRPr="007B192E" w:rsidRDefault="00F45500" w:rsidP="00F45500">
      <w:pPr>
        <w:spacing w:before="120"/>
        <w:rPr>
          <w:rFonts w:ascii="Arial" w:hAnsi="Arial" w:cs="Arial"/>
          <w:color w:val="000000" w:themeColor="text1"/>
          <w:sz w:val="18"/>
          <w:szCs w:val="18"/>
        </w:rPr>
      </w:pPr>
      <w:r w:rsidRPr="007B192E">
        <w:rPr>
          <w:rFonts w:ascii="Arial" w:hAnsi="Arial" w:cs="Arial"/>
          <w:color w:val="000000" w:themeColor="text1"/>
          <w:sz w:val="18"/>
          <w:szCs w:val="18"/>
        </w:rPr>
        <w:lastRenderedPageBreak/>
        <w:t>*) Dodatkowe pomiary spadków poprzecznych i ukształtowania osi w planie należy wykonać w punktach głównych łuków poziomych.</w:t>
      </w:r>
    </w:p>
    <w:p w14:paraId="5351D5D7" w14:textId="77777777" w:rsidR="00F45500" w:rsidRPr="007B192E" w:rsidRDefault="00F45500" w:rsidP="001D052E">
      <w:pPr>
        <w:pStyle w:val="Nagwek2"/>
        <w:rPr>
          <w:i w:val="0"/>
          <w:color w:val="000000" w:themeColor="text1"/>
        </w:rPr>
      </w:pPr>
      <w:bookmarkStart w:id="179" w:name="_Toc331508869"/>
      <w:bookmarkStart w:id="180" w:name="_Toc346094298"/>
      <w:r w:rsidRPr="007B192E">
        <w:rPr>
          <w:i w:val="0"/>
          <w:color w:val="000000" w:themeColor="text1"/>
        </w:rPr>
        <w:t>7. OBMIAR ROBOT</w:t>
      </w:r>
      <w:bookmarkEnd w:id="179"/>
      <w:bookmarkEnd w:id="180"/>
    </w:p>
    <w:p w14:paraId="058585E8"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7.1. Ogólne zasady obmiaru robót</w:t>
      </w:r>
    </w:p>
    <w:p w14:paraId="6E6EBED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299D1D3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7.2. Jednostka obmiarowa</w:t>
      </w:r>
    </w:p>
    <w:p w14:paraId="0B76CDC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wykonanej warstwy.</w:t>
      </w:r>
    </w:p>
    <w:p w14:paraId="67C11C5D" w14:textId="77777777" w:rsidR="00F45500" w:rsidRPr="007B192E" w:rsidRDefault="00F45500" w:rsidP="001D052E">
      <w:pPr>
        <w:pStyle w:val="Nagwek2"/>
        <w:rPr>
          <w:i w:val="0"/>
          <w:color w:val="000000" w:themeColor="text1"/>
        </w:rPr>
      </w:pPr>
      <w:bookmarkStart w:id="181" w:name="_Toc331508870"/>
      <w:bookmarkStart w:id="182" w:name="_Toc346094299"/>
      <w:r w:rsidRPr="007B192E">
        <w:rPr>
          <w:i w:val="0"/>
          <w:color w:val="000000" w:themeColor="text1"/>
        </w:rPr>
        <w:t>8. ODBIÓR ROBÓT</w:t>
      </w:r>
      <w:bookmarkEnd w:id="181"/>
      <w:bookmarkEnd w:id="182"/>
    </w:p>
    <w:p w14:paraId="766A0A2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5D14695C"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14:paraId="731ADD8A" w14:textId="77777777" w:rsidR="00F45500" w:rsidRPr="007B192E" w:rsidRDefault="00F45500" w:rsidP="001D052E">
      <w:pPr>
        <w:pStyle w:val="Nagwek2"/>
        <w:rPr>
          <w:i w:val="0"/>
          <w:color w:val="000000" w:themeColor="text1"/>
        </w:rPr>
      </w:pPr>
      <w:bookmarkStart w:id="183" w:name="_Toc331508871"/>
      <w:bookmarkStart w:id="184" w:name="_Toc346094300"/>
      <w:r w:rsidRPr="007B192E">
        <w:rPr>
          <w:i w:val="0"/>
          <w:color w:val="000000" w:themeColor="text1"/>
        </w:rPr>
        <w:t>9. PODSTAWA PŁATNOŚCI</w:t>
      </w:r>
      <w:bookmarkEnd w:id="183"/>
      <w:bookmarkEnd w:id="184"/>
    </w:p>
    <w:p w14:paraId="68B1DF48"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9.1. Ogólne ustalenia dotyczące podstawy płatności</w:t>
      </w:r>
    </w:p>
    <w:p w14:paraId="0ACFB995"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5E0F363C"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9.2. Cena jednostki obmiarowej</w:t>
      </w:r>
    </w:p>
    <w:p w14:paraId="08A082F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jednostki obmiarowej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obejmuje:</w:t>
      </w:r>
    </w:p>
    <w:p w14:paraId="10CD68DF"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333CE165"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419FA3E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245EAD75"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przygotowanie mieszanki z kruszywa, zgodnie z receptą,</w:t>
      </w:r>
    </w:p>
    <w:p w14:paraId="5F31164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mieszanki na miejsce wbudowania,</w:t>
      </w:r>
    </w:p>
    <w:p w14:paraId="792F90A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rozłożenie mieszanki,</w:t>
      </w:r>
    </w:p>
    <w:p w14:paraId="30CD5D1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zagęszczenie mieszanki,</w:t>
      </w:r>
    </w:p>
    <w:p w14:paraId="5179101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utrzymanie warstwy w czasie robót,</w:t>
      </w:r>
    </w:p>
    <w:p w14:paraId="2C6B79A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przeprowadzenie wymaganych  pomiarów i badań,</w:t>
      </w:r>
    </w:p>
    <w:p w14:paraId="3225FA91"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uporządkowanie terenu robót i jego otoczenia,</w:t>
      </w:r>
    </w:p>
    <w:p w14:paraId="760A67C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083C856E" w14:textId="77777777" w:rsidR="00F45500" w:rsidRPr="007B192E"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7B192E">
        <w:rPr>
          <w:rFonts w:ascii="Arial" w:hAnsi="Arial" w:cs="Arial"/>
          <w:color w:val="000000" w:themeColor="text1"/>
          <w:sz w:val="18"/>
          <w:szCs w:val="18"/>
        </w:rPr>
        <w:t>odwiezienie sprzętu.</w:t>
      </w:r>
    </w:p>
    <w:p w14:paraId="14D786B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Wszystkie roboty powinny być wykonane według wymagań dokumentacji projektowej, ST, specyfikacji technicznej i postanowień Inżyniera.</w:t>
      </w:r>
    </w:p>
    <w:p w14:paraId="2B588F7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7F85D3A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4C148ED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4BB7E521"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68DE10D5" w14:textId="77777777" w:rsidR="00F45500" w:rsidRPr="007B192E" w:rsidRDefault="00F45500" w:rsidP="001D052E">
      <w:pPr>
        <w:pStyle w:val="Nagwek2"/>
        <w:rPr>
          <w:i w:val="0"/>
          <w:color w:val="000000" w:themeColor="text1"/>
        </w:rPr>
      </w:pPr>
      <w:bookmarkStart w:id="185" w:name="_Toc331508872"/>
      <w:bookmarkStart w:id="186" w:name="_Toc346094301"/>
      <w:r w:rsidRPr="007B192E">
        <w:rPr>
          <w:i w:val="0"/>
          <w:color w:val="000000" w:themeColor="text1"/>
        </w:rPr>
        <w:t>10. PRZEPISY ZWIĄZANE</w:t>
      </w:r>
      <w:bookmarkEnd w:id="185"/>
      <w:bookmarkEnd w:id="186"/>
    </w:p>
    <w:p w14:paraId="2A38A02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Ogólne specyfikacje techniczne (ST)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4D7D23" w:rsidRPr="007B192E" w14:paraId="274A7D4B" w14:textId="77777777" w:rsidTr="008F7A94">
        <w:tc>
          <w:tcPr>
            <w:tcW w:w="637" w:type="dxa"/>
          </w:tcPr>
          <w:p w14:paraId="5965042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2073" w:type="dxa"/>
          </w:tcPr>
          <w:p w14:paraId="135C71E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w:t>
            </w:r>
          </w:p>
        </w:tc>
        <w:tc>
          <w:tcPr>
            <w:tcW w:w="6492" w:type="dxa"/>
          </w:tcPr>
          <w:p w14:paraId="5C89A34C"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46FDCAFF" w14:textId="77777777" w:rsidTr="008F7A94">
        <w:tc>
          <w:tcPr>
            <w:tcW w:w="637" w:type="dxa"/>
          </w:tcPr>
          <w:p w14:paraId="6FB5623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073" w:type="dxa"/>
          </w:tcPr>
          <w:p w14:paraId="1C84B144"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 D-01.00.00</w:t>
            </w:r>
          </w:p>
        </w:tc>
        <w:tc>
          <w:tcPr>
            <w:tcW w:w="6492" w:type="dxa"/>
          </w:tcPr>
          <w:p w14:paraId="299151D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r>
      <w:tr w:rsidR="004D7D23" w:rsidRPr="007B192E" w14:paraId="625237CC" w14:textId="77777777" w:rsidTr="008F7A94">
        <w:tc>
          <w:tcPr>
            <w:tcW w:w="637" w:type="dxa"/>
          </w:tcPr>
          <w:p w14:paraId="1161785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073" w:type="dxa"/>
          </w:tcPr>
          <w:p w14:paraId="6351B9E7"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 D-02.00.00</w:t>
            </w:r>
          </w:p>
        </w:tc>
        <w:tc>
          <w:tcPr>
            <w:tcW w:w="6492" w:type="dxa"/>
          </w:tcPr>
          <w:p w14:paraId="5155C42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Roboty ziemne</w:t>
            </w:r>
          </w:p>
        </w:tc>
      </w:tr>
      <w:tr w:rsidR="004D7D23" w:rsidRPr="007B192E" w14:paraId="7F08E76A" w14:textId="77777777" w:rsidTr="008F7A94">
        <w:tc>
          <w:tcPr>
            <w:tcW w:w="637" w:type="dxa"/>
          </w:tcPr>
          <w:p w14:paraId="073379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073" w:type="dxa"/>
          </w:tcPr>
          <w:p w14:paraId="5CB8EAA7"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 D-04.01.01</w:t>
            </w:r>
          </w:p>
        </w:tc>
        <w:tc>
          <w:tcPr>
            <w:tcW w:w="6492" w:type="dxa"/>
          </w:tcPr>
          <w:p w14:paraId="3D0EE235"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Koryto wraz z profilowaniem i zagęszczeniem podłoża </w:t>
            </w:r>
          </w:p>
        </w:tc>
      </w:tr>
    </w:tbl>
    <w:p w14:paraId="13A2B76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10.2. Normy</w:t>
      </w:r>
    </w:p>
    <w:tbl>
      <w:tblPr>
        <w:tblW w:w="9228" w:type="dxa"/>
        <w:tblLook w:val="01E0" w:firstRow="1" w:lastRow="1" w:firstColumn="1" w:lastColumn="1" w:noHBand="0" w:noVBand="0"/>
      </w:tblPr>
      <w:tblGrid>
        <w:gridCol w:w="675"/>
        <w:gridCol w:w="2073"/>
        <w:gridCol w:w="6480"/>
      </w:tblGrid>
      <w:tr w:rsidR="004D7D23" w:rsidRPr="007B192E" w14:paraId="16D41687" w14:textId="77777777" w:rsidTr="008F7A94">
        <w:tc>
          <w:tcPr>
            <w:tcW w:w="675" w:type="dxa"/>
          </w:tcPr>
          <w:p w14:paraId="6461F76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073" w:type="dxa"/>
          </w:tcPr>
          <w:p w14:paraId="1D5D0B3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933-1</w:t>
            </w:r>
          </w:p>
        </w:tc>
        <w:tc>
          <w:tcPr>
            <w:tcW w:w="6480" w:type="dxa"/>
          </w:tcPr>
          <w:p w14:paraId="15847DA0"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Oznaczanie składu ziarnowego – Metoda przesiewania</w:t>
            </w:r>
          </w:p>
        </w:tc>
      </w:tr>
      <w:tr w:rsidR="004D7D23" w:rsidRPr="007B192E" w14:paraId="2231E10F" w14:textId="77777777" w:rsidTr="008F7A94">
        <w:tc>
          <w:tcPr>
            <w:tcW w:w="675" w:type="dxa"/>
          </w:tcPr>
          <w:p w14:paraId="617103B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2073" w:type="dxa"/>
          </w:tcPr>
          <w:p w14:paraId="47A993E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933-3</w:t>
            </w:r>
          </w:p>
        </w:tc>
        <w:tc>
          <w:tcPr>
            <w:tcW w:w="6480" w:type="dxa"/>
          </w:tcPr>
          <w:p w14:paraId="4F9BAC6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Oznaczanie kształtu ziaren za pomocą wskaźnika płaskości</w:t>
            </w:r>
          </w:p>
        </w:tc>
      </w:tr>
      <w:tr w:rsidR="004D7D23" w:rsidRPr="007B192E" w14:paraId="25AC057B" w14:textId="77777777" w:rsidTr="008F7A94">
        <w:tc>
          <w:tcPr>
            <w:tcW w:w="675" w:type="dxa"/>
          </w:tcPr>
          <w:p w14:paraId="6E93B6A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w:t>
            </w:r>
          </w:p>
        </w:tc>
        <w:tc>
          <w:tcPr>
            <w:tcW w:w="2073" w:type="dxa"/>
          </w:tcPr>
          <w:p w14:paraId="33D39D2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933-4</w:t>
            </w:r>
          </w:p>
        </w:tc>
        <w:tc>
          <w:tcPr>
            <w:tcW w:w="6480" w:type="dxa"/>
          </w:tcPr>
          <w:p w14:paraId="583FE11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Oznaczanie kształtu ziaren – Wskaźnik kształtu</w:t>
            </w:r>
          </w:p>
        </w:tc>
      </w:tr>
      <w:tr w:rsidR="004D7D23" w:rsidRPr="007B192E" w14:paraId="4E5A89ED" w14:textId="77777777" w:rsidTr="008F7A94">
        <w:tc>
          <w:tcPr>
            <w:tcW w:w="675" w:type="dxa"/>
          </w:tcPr>
          <w:p w14:paraId="535B016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2073" w:type="dxa"/>
          </w:tcPr>
          <w:p w14:paraId="655164FE"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933-5</w:t>
            </w:r>
          </w:p>
        </w:tc>
        <w:tc>
          <w:tcPr>
            <w:tcW w:w="6480" w:type="dxa"/>
          </w:tcPr>
          <w:p w14:paraId="7E9C544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Oznaczanie procentowej zawartości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o powierzchniach powstałych w wyniku </w:t>
            </w:r>
            <w:proofErr w:type="spellStart"/>
            <w:r w:rsidRPr="007B192E">
              <w:rPr>
                <w:rFonts w:ascii="Arial" w:hAnsi="Arial" w:cs="Arial"/>
                <w:color w:val="000000" w:themeColor="text1"/>
                <w:sz w:val="18"/>
                <w:szCs w:val="18"/>
              </w:rPr>
              <w:t>przekruszenia</w:t>
            </w:r>
            <w:proofErr w:type="spellEnd"/>
            <w:r w:rsidRPr="007B192E">
              <w:rPr>
                <w:rFonts w:ascii="Arial" w:hAnsi="Arial" w:cs="Arial"/>
                <w:color w:val="000000" w:themeColor="text1"/>
                <w:sz w:val="18"/>
                <w:szCs w:val="18"/>
              </w:rPr>
              <w:t xml:space="preserve"> lub łamania kruszyw grubych</w:t>
            </w:r>
          </w:p>
        </w:tc>
      </w:tr>
      <w:tr w:rsidR="004D7D23" w:rsidRPr="007B192E" w14:paraId="232AD592" w14:textId="77777777" w:rsidTr="008F7A94">
        <w:tc>
          <w:tcPr>
            <w:tcW w:w="675" w:type="dxa"/>
          </w:tcPr>
          <w:p w14:paraId="026A2A6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2073" w:type="dxa"/>
          </w:tcPr>
          <w:p w14:paraId="3DEA95E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1097-1</w:t>
            </w:r>
          </w:p>
        </w:tc>
        <w:tc>
          <w:tcPr>
            <w:tcW w:w="6480" w:type="dxa"/>
          </w:tcPr>
          <w:p w14:paraId="6B86886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Oznaczanie odporności na ścieranie (mikro-</w:t>
            </w:r>
            <w:proofErr w:type="spellStart"/>
            <w:r w:rsidRPr="007B192E">
              <w:rPr>
                <w:rFonts w:ascii="Arial" w:hAnsi="Arial" w:cs="Arial"/>
                <w:color w:val="000000" w:themeColor="text1"/>
                <w:sz w:val="18"/>
                <w:szCs w:val="18"/>
              </w:rPr>
              <w:t>Deval</w:t>
            </w:r>
            <w:proofErr w:type="spellEnd"/>
            <w:r w:rsidRPr="007B192E">
              <w:rPr>
                <w:rFonts w:ascii="Arial" w:hAnsi="Arial" w:cs="Arial"/>
                <w:color w:val="000000" w:themeColor="text1"/>
                <w:sz w:val="18"/>
                <w:szCs w:val="18"/>
              </w:rPr>
              <w:t>)</w:t>
            </w:r>
          </w:p>
        </w:tc>
      </w:tr>
      <w:tr w:rsidR="004D7D23" w:rsidRPr="007B192E" w14:paraId="7DBB3DE2" w14:textId="77777777" w:rsidTr="008F7A94">
        <w:tc>
          <w:tcPr>
            <w:tcW w:w="675" w:type="dxa"/>
          </w:tcPr>
          <w:p w14:paraId="3D4FFDE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2073" w:type="dxa"/>
          </w:tcPr>
          <w:p w14:paraId="40CC8C24"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1097-2</w:t>
            </w:r>
          </w:p>
        </w:tc>
        <w:tc>
          <w:tcPr>
            <w:tcW w:w="6480" w:type="dxa"/>
          </w:tcPr>
          <w:p w14:paraId="0229194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Metody oznaczania odporności na rozdrabnianie</w:t>
            </w:r>
          </w:p>
        </w:tc>
      </w:tr>
      <w:tr w:rsidR="004D7D23" w:rsidRPr="007B192E" w14:paraId="098FB10F" w14:textId="77777777" w:rsidTr="008F7A94">
        <w:tc>
          <w:tcPr>
            <w:tcW w:w="675" w:type="dxa"/>
          </w:tcPr>
          <w:p w14:paraId="134214C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13.</w:t>
            </w:r>
          </w:p>
        </w:tc>
        <w:tc>
          <w:tcPr>
            <w:tcW w:w="2073" w:type="dxa"/>
          </w:tcPr>
          <w:p w14:paraId="69248CBB"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1097-6</w:t>
            </w:r>
          </w:p>
        </w:tc>
        <w:tc>
          <w:tcPr>
            <w:tcW w:w="6480" w:type="dxa"/>
          </w:tcPr>
          <w:p w14:paraId="3A37CBBC"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Badania mechanicznych i fizycznych właściwości kruszyw – Część 6: Oznaczanie gęstości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i nasiąkliwości</w:t>
            </w:r>
          </w:p>
        </w:tc>
      </w:tr>
      <w:tr w:rsidR="004D7D23" w:rsidRPr="007B192E" w14:paraId="5483DE61" w14:textId="77777777" w:rsidTr="008F7A94">
        <w:tc>
          <w:tcPr>
            <w:tcW w:w="675" w:type="dxa"/>
          </w:tcPr>
          <w:p w14:paraId="6888440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2073" w:type="dxa"/>
          </w:tcPr>
          <w:p w14:paraId="4EA751A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1367-1</w:t>
            </w:r>
          </w:p>
        </w:tc>
        <w:tc>
          <w:tcPr>
            <w:tcW w:w="6480" w:type="dxa"/>
          </w:tcPr>
          <w:p w14:paraId="03F476F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1: Oznaczanie mrozoodporności</w:t>
            </w:r>
          </w:p>
        </w:tc>
      </w:tr>
      <w:tr w:rsidR="004D7D23" w:rsidRPr="007B192E" w14:paraId="04B5B59F" w14:textId="77777777" w:rsidTr="008F7A94">
        <w:tc>
          <w:tcPr>
            <w:tcW w:w="675" w:type="dxa"/>
          </w:tcPr>
          <w:p w14:paraId="61F71F7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2073" w:type="dxa"/>
          </w:tcPr>
          <w:p w14:paraId="607F8F44"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1367-3</w:t>
            </w:r>
          </w:p>
        </w:tc>
        <w:tc>
          <w:tcPr>
            <w:tcW w:w="6480" w:type="dxa"/>
          </w:tcPr>
          <w:p w14:paraId="18A81EE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4D7D23" w:rsidRPr="007B192E" w14:paraId="0850100F" w14:textId="77777777" w:rsidTr="008F7A94">
        <w:tc>
          <w:tcPr>
            <w:tcW w:w="675" w:type="dxa"/>
          </w:tcPr>
          <w:p w14:paraId="4A054F5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2073" w:type="dxa"/>
          </w:tcPr>
          <w:p w14:paraId="48C2318C"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1744-1</w:t>
            </w:r>
          </w:p>
        </w:tc>
        <w:tc>
          <w:tcPr>
            <w:tcW w:w="6480" w:type="dxa"/>
          </w:tcPr>
          <w:p w14:paraId="5CF3996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chemicznych właściwości kruszyw – Analiza chemiczna</w:t>
            </w:r>
          </w:p>
        </w:tc>
      </w:tr>
      <w:tr w:rsidR="004D7D23" w:rsidRPr="007B192E" w14:paraId="4BFB301B" w14:textId="77777777" w:rsidTr="008F7A94">
        <w:tc>
          <w:tcPr>
            <w:tcW w:w="675" w:type="dxa"/>
          </w:tcPr>
          <w:p w14:paraId="0284BF8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17.</w:t>
            </w:r>
          </w:p>
        </w:tc>
        <w:tc>
          <w:tcPr>
            <w:tcW w:w="2073" w:type="dxa"/>
          </w:tcPr>
          <w:p w14:paraId="39B57597"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1744-3</w:t>
            </w:r>
          </w:p>
        </w:tc>
        <w:tc>
          <w:tcPr>
            <w:tcW w:w="6480" w:type="dxa"/>
          </w:tcPr>
          <w:p w14:paraId="016CF4E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chemicznych właściwości kruszyw – Część 3: Przygotowanie wyciągów przez wymywanie kruszyw</w:t>
            </w:r>
          </w:p>
        </w:tc>
      </w:tr>
      <w:tr w:rsidR="004D7D23" w:rsidRPr="007B192E" w14:paraId="1BB457BC" w14:textId="77777777" w:rsidTr="008F7A94">
        <w:tc>
          <w:tcPr>
            <w:tcW w:w="675" w:type="dxa"/>
          </w:tcPr>
          <w:p w14:paraId="7E7169E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18.</w:t>
            </w:r>
          </w:p>
        </w:tc>
        <w:tc>
          <w:tcPr>
            <w:tcW w:w="2073" w:type="dxa"/>
          </w:tcPr>
          <w:p w14:paraId="5FF7BB85"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13242</w:t>
            </w:r>
          </w:p>
        </w:tc>
        <w:tc>
          <w:tcPr>
            <w:tcW w:w="6480" w:type="dxa"/>
          </w:tcPr>
          <w:p w14:paraId="3DE1D4F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Kruszywa do niezwiązanych i związanych hydraulicznie materiałów stosowanych w obiektach budowlanych i budownictwie drogowym</w:t>
            </w:r>
          </w:p>
        </w:tc>
      </w:tr>
      <w:tr w:rsidR="004D7D23" w:rsidRPr="007B192E" w14:paraId="1E05A98B" w14:textId="77777777" w:rsidTr="008F7A94">
        <w:tc>
          <w:tcPr>
            <w:tcW w:w="675" w:type="dxa"/>
          </w:tcPr>
          <w:p w14:paraId="709683C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19.</w:t>
            </w:r>
          </w:p>
        </w:tc>
        <w:tc>
          <w:tcPr>
            <w:tcW w:w="2073" w:type="dxa"/>
          </w:tcPr>
          <w:p w14:paraId="5949C015"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13285</w:t>
            </w:r>
          </w:p>
        </w:tc>
        <w:tc>
          <w:tcPr>
            <w:tcW w:w="6480" w:type="dxa"/>
          </w:tcPr>
          <w:p w14:paraId="7D5AC35C"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Mieszanki niezwiązane – Wymagania </w:t>
            </w:r>
          </w:p>
        </w:tc>
      </w:tr>
      <w:tr w:rsidR="004D7D23" w:rsidRPr="007B192E" w14:paraId="65E98EA3" w14:textId="77777777" w:rsidTr="008F7A94">
        <w:tc>
          <w:tcPr>
            <w:tcW w:w="675" w:type="dxa"/>
          </w:tcPr>
          <w:p w14:paraId="5A45FC8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2073" w:type="dxa"/>
          </w:tcPr>
          <w:p w14:paraId="49F6C33B"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PN-EN 13286-2</w:t>
            </w:r>
          </w:p>
        </w:tc>
        <w:tc>
          <w:tcPr>
            <w:tcW w:w="6480" w:type="dxa"/>
          </w:tcPr>
          <w:p w14:paraId="1AAC7AA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Mieszanki niezwiązane i związane spoiwem hydraulicznym – Część 2: Metody określania gęstości i zawartości wody – Zagęszczanie metodą </w:t>
            </w:r>
            <w:proofErr w:type="spellStart"/>
            <w:r w:rsidRPr="007B192E">
              <w:rPr>
                <w:rFonts w:ascii="Arial" w:hAnsi="Arial" w:cs="Arial"/>
                <w:color w:val="000000" w:themeColor="text1"/>
                <w:sz w:val="18"/>
                <w:szCs w:val="18"/>
              </w:rPr>
              <w:t>Proctora</w:t>
            </w:r>
            <w:proofErr w:type="spellEnd"/>
          </w:p>
        </w:tc>
      </w:tr>
      <w:tr w:rsidR="004D7D23" w:rsidRPr="007B192E" w14:paraId="3009F4D7" w14:textId="77777777" w:rsidTr="008F7A94">
        <w:tc>
          <w:tcPr>
            <w:tcW w:w="675" w:type="dxa"/>
          </w:tcPr>
          <w:p w14:paraId="4C11F1B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21.</w:t>
            </w:r>
          </w:p>
        </w:tc>
        <w:tc>
          <w:tcPr>
            <w:tcW w:w="2073" w:type="dxa"/>
          </w:tcPr>
          <w:p w14:paraId="67739010"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ISO/TS 17892-11</w:t>
            </w:r>
          </w:p>
        </w:tc>
        <w:tc>
          <w:tcPr>
            <w:tcW w:w="6480" w:type="dxa"/>
          </w:tcPr>
          <w:p w14:paraId="576A9CB0"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Badania geotechniczne – Badania laboratoryjne gruntów – Część 11: Oznaczanie filtracji przy stałym i obniżającym spadku hydraulicznym</w:t>
            </w:r>
          </w:p>
        </w:tc>
      </w:tr>
    </w:tbl>
    <w:p w14:paraId="09029AF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10.3. Inne dokumenty</w:t>
      </w:r>
    </w:p>
    <w:p w14:paraId="44000525" w14:textId="77777777" w:rsidR="00F45500" w:rsidRPr="007B192E"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Mieszanki niezwiązane do dróg krajowych. WT-4 2010. Wymagania techniczne (zalecone do stosowania w specyfikacji technicznej na roboty budowlane na drogach krajowych wg zarządzenia nr 102 GDDKiA z dnia 19.11.2010 r.)</w:t>
      </w:r>
    </w:p>
    <w:p w14:paraId="4FD2293E" w14:textId="77777777" w:rsidR="00F45500" w:rsidRPr="007B192E"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(Dz.U. nr 43, poz. 430)</w:t>
      </w:r>
    </w:p>
    <w:p w14:paraId="4C851055" w14:textId="77777777" w:rsidR="00F45500" w:rsidRPr="007B192E" w:rsidRDefault="00F45500" w:rsidP="00F45500">
      <w:pPr>
        <w:widowControl/>
        <w:numPr>
          <w:ilvl w:val="0"/>
          <w:numId w:val="20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Katalog typowych konstrukcji nawierzchni podatnych i półsztywnych. Generalna Dyrekcja Dróg Publicznych – Instytut Badawczy Dróg i Mostów, Warszawa 1997</w:t>
      </w:r>
    </w:p>
    <w:p w14:paraId="27D05A6E" w14:textId="77777777" w:rsidR="00F45500" w:rsidRPr="007B192E" w:rsidRDefault="00F45500" w:rsidP="00F45500">
      <w:pPr>
        <w:rPr>
          <w:rFonts w:ascii="Arial" w:hAnsi="Arial" w:cs="Arial"/>
          <w:color w:val="000000" w:themeColor="text1"/>
          <w:sz w:val="18"/>
          <w:szCs w:val="18"/>
        </w:rPr>
      </w:pPr>
    </w:p>
    <w:p w14:paraId="7F2A07B9" w14:textId="77777777" w:rsidR="00F45500" w:rsidRPr="007B192E" w:rsidRDefault="00F45500" w:rsidP="001D052E">
      <w:pPr>
        <w:pStyle w:val="Nagwek2"/>
        <w:rPr>
          <w:i w:val="0"/>
          <w:color w:val="000000" w:themeColor="text1"/>
        </w:rPr>
      </w:pPr>
      <w:bookmarkStart w:id="187" w:name="_Toc346094302"/>
      <w:r w:rsidRPr="007B192E">
        <w:rPr>
          <w:i w:val="0"/>
          <w:color w:val="000000" w:themeColor="text1"/>
        </w:rPr>
        <w:t>11. ZAŁĄCZNIKI</w:t>
      </w:r>
      <w:bookmarkEnd w:id="187"/>
    </w:p>
    <w:p w14:paraId="0A773547" w14:textId="77777777" w:rsidR="00F45500" w:rsidRPr="007B192E" w:rsidRDefault="00F45500" w:rsidP="00F45500">
      <w:pPr>
        <w:spacing w:after="120"/>
        <w:jc w:val="right"/>
        <w:rPr>
          <w:rFonts w:ascii="Arial" w:hAnsi="Arial" w:cs="Arial"/>
          <w:b/>
          <w:color w:val="000000" w:themeColor="text1"/>
          <w:sz w:val="18"/>
          <w:szCs w:val="18"/>
        </w:rPr>
      </w:pPr>
      <w:r w:rsidRPr="007B192E">
        <w:rPr>
          <w:rFonts w:ascii="Arial" w:hAnsi="Arial" w:cs="Arial"/>
          <w:b/>
          <w:color w:val="000000" w:themeColor="text1"/>
          <w:sz w:val="18"/>
          <w:szCs w:val="18"/>
        </w:rPr>
        <w:t>ZAŁĄCZNIK 1</w:t>
      </w:r>
    </w:p>
    <w:p w14:paraId="1A439C05" w14:textId="77777777" w:rsidR="00F45500" w:rsidRPr="007B192E" w:rsidRDefault="00F45500" w:rsidP="00F45500">
      <w:pPr>
        <w:spacing w:after="120"/>
        <w:jc w:val="both"/>
        <w:rPr>
          <w:rFonts w:ascii="Arial" w:hAnsi="Arial" w:cs="Arial"/>
          <w:b/>
          <w:color w:val="000000" w:themeColor="text1"/>
          <w:sz w:val="18"/>
          <w:szCs w:val="18"/>
        </w:rPr>
      </w:pPr>
      <w:r w:rsidRPr="007B192E">
        <w:rPr>
          <w:rFonts w:ascii="Arial" w:hAnsi="Arial" w:cs="Arial"/>
          <w:b/>
          <w:color w:val="000000" w:themeColor="text1"/>
          <w:sz w:val="18"/>
          <w:szCs w:val="18"/>
        </w:rPr>
        <w:t>PRZYKŁADOWE  MIESZANKI  KRUSZYW  Z  RECYKLINGU [22]</w:t>
      </w:r>
    </w:p>
    <w:p w14:paraId="2EC51A46" w14:textId="77777777" w:rsidR="00F45500" w:rsidRPr="007B192E" w:rsidRDefault="00F45500" w:rsidP="00BA5651">
      <w:pPr>
        <w:pStyle w:val="Nagwek2"/>
        <w:widowControl/>
        <w:numPr>
          <w:ilvl w:val="1"/>
          <w:numId w:val="265"/>
        </w:numPr>
        <w:tabs>
          <w:tab w:val="clear" w:pos="420"/>
          <w:tab w:val="num" w:pos="1440"/>
        </w:tabs>
        <w:suppressAutoHyphens w:val="0"/>
        <w:adjustRightInd w:val="0"/>
        <w:spacing w:before="60"/>
        <w:ind w:left="1440" w:hanging="360"/>
        <w:jc w:val="both"/>
        <w:textAlignment w:val="auto"/>
        <w:rPr>
          <w:color w:val="000000" w:themeColor="text1"/>
          <w:sz w:val="18"/>
          <w:szCs w:val="18"/>
        </w:rPr>
      </w:pPr>
      <w:r w:rsidRPr="007B192E">
        <w:rPr>
          <w:color w:val="000000" w:themeColor="text1"/>
          <w:sz w:val="18"/>
          <w:szCs w:val="18"/>
        </w:rPr>
        <w:t>Rodzaje mieszanek kruszyw z recyklingu</w:t>
      </w:r>
    </w:p>
    <w:p w14:paraId="5A8DBA9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0A3BC71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Jako przykładowe podaje się następujące mieszanki kruszyw z recyklingu wraz z ich składami:</w:t>
      </w:r>
    </w:p>
    <w:p w14:paraId="3251727B" w14:textId="77777777" w:rsidR="00F45500" w:rsidRPr="007B192E"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z betonu </w:t>
      </w:r>
      <w:proofErr w:type="spellStart"/>
      <w:r w:rsidRPr="007B192E">
        <w:rPr>
          <w:rFonts w:ascii="Arial" w:hAnsi="Arial" w:cs="Arial"/>
          <w:color w:val="000000" w:themeColor="text1"/>
          <w:sz w:val="18"/>
          <w:szCs w:val="18"/>
        </w:rPr>
        <w:t>przekruszonego</w:t>
      </w:r>
      <w:proofErr w:type="spellEnd"/>
      <w:r w:rsidRPr="007B192E">
        <w:rPr>
          <w:rFonts w:ascii="Arial" w:hAnsi="Arial" w:cs="Arial"/>
          <w:color w:val="000000" w:themeColor="text1"/>
          <w:sz w:val="18"/>
          <w:szCs w:val="18"/>
        </w:rPr>
        <w:t>,</w:t>
      </w:r>
    </w:p>
    <w:p w14:paraId="79A1AA34" w14:textId="77777777" w:rsidR="00F45500" w:rsidRPr="007B192E"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z </w:t>
      </w:r>
      <w:proofErr w:type="spellStart"/>
      <w:r w:rsidRPr="007B192E">
        <w:rPr>
          <w:rFonts w:ascii="Arial" w:hAnsi="Arial" w:cs="Arial"/>
          <w:color w:val="000000" w:themeColor="text1"/>
          <w:sz w:val="18"/>
          <w:szCs w:val="18"/>
        </w:rPr>
        <w:t>przekruszonego</w:t>
      </w:r>
      <w:proofErr w:type="spellEnd"/>
      <w:r w:rsidRPr="007B192E">
        <w:rPr>
          <w:rFonts w:ascii="Arial" w:hAnsi="Arial" w:cs="Arial"/>
          <w:color w:val="000000" w:themeColor="text1"/>
          <w:sz w:val="18"/>
          <w:szCs w:val="18"/>
        </w:rPr>
        <w:t xml:space="preserve"> muru,</w:t>
      </w:r>
    </w:p>
    <w:p w14:paraId="4A0B7EB5" w14:textId="77777777" w:rsidR="00F45500" w:rsidRPr="007B192E"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z </w:t>
      </w:r>
      <w:proofErr w:type="spellStart"/>
      <w:r w:rsidRPr="007B192E">
        <w:rPr>
          <w:rFonts w:ascii="Arial" w:hAnsi="Arial" w:cs="Arial"/>
          <w:color w:val="000000" w:themeColor="text1"/>
          <w:sz w:val="18"/>
          <w:szCs w:val="18"/>
        </w:rPr>
        <w:t>przekruszonego</w:t>
      </w:r>
      <w:proofErr w:type="spellEnd"/>
      <w:r w:rsidRPr="007B192E">
        <w:rPr>
          <w:rFonts w:ascii="Arial" w:hAnsi="Arial" w:cs="Arial"/>
          <w:color w:val="000000" w:themeColor="text1"/>
          <w:sz w:val="18"/>
          <w:szCs w:val="18"/>
        </w:rPr>
        <w:t xml:space="preserve"> betonu i muru,</w:t>
      </w:r>
    </w:p>
    <w:p w14:paraId="3608BC4C" w14:textId="77777777" w:rsidR="00F45500" w:rsidRPr="007B192E"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z </w:t>
      </w:r>
      <w:proofErr w:type="spellStart"/>
      <w:r w:rsidRPr="007B192E">
        <w:rPr>
          <w:rFonts w:ascii="Arial" w:hAnsi="Arial" w:cs="Arial"/>
          <w:color w:val="000000" w:themeColor="text1"/>
          <w:sz w:val="18"/>
          <w:szCs w:val="18"/>
        </w:rPr>
        <w:t>przekruszonych</w:t>
      </w:r>
      <w:proofErr w:type="spellEnd"/>
      <w:r w:rsidRPr="007B192E">
        <w:rPr>
          <w:rFonts w:ascii="Arial" w:hAnsi="Arial" w:cs="Arial"/>
          <w:color w:val="000000" w:themeColor="text1"/>
          <w:sz w:val="18"/>
          <w:szCs w:val="18"/>
        </w:rPr>
        <w:t xml:space="preserve"> materiałów drogowych (w tym destruktu asfaltowego),</w:t>
      </w:r>
    </w:p>
    <w:p w14:paraId="082C8196" w14:textId="77777777" w:rsidR="00F45500" w:rsidRPr="007B192E" w:rsidRDefault="00F45500" w:rsidP="00BA5651">
      <w:pPr>
        <w:widowControl/>
        <w:numPr>
          <w:ilvl w:val="0"/>
          <w:numId w:val="26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popiół powstały ze spalania odpadów komunalnych (w tym odpadów z gospodarstw domowych).</w:t>
      </w:r>
    </w:p>
    <w:p w14:paraId="2E74000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1.2. Metoda badania</w:t>
      </w:r>
    </w:p>
    <w:p w14:paraId="3331F0A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Masa próbki analitycznej niezbędna do wykonania oznaczenia składu mieszanki zależy od wymiaru największego ziarna w mieszance:</w:t>
      </w:r>
    </w:p>
    <w:p w14:paraId="1DE9DD8F" w14:textId="77777777" w:rsidR="00F45500" w:rsidRPr="007B192E" w:rsidRDefault="00F45500" w:rsidP="00BA5651">
      <w:pPr>
        <w:widowControl/>
        <w:numPr>
          <w:ilvl w:val="0"/>
          <w:numId w:val="26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 D ≤ 32 mm</w:t>
      </w:r>
      <w:r w:rsidRPr="007B192E">
        <w:rPr>
          <w:rFonts w:ascii="Arial" w:hAnsi="Arial" w:cs="Arial"/>
          <w:color w:val="000000" w:themeColor="text1"/>
          <w:sz w:val="18"/>
          <w:szCs w:val="18"/>
        </w:rPr>
        <w:tab/>
        <w:t>masa próbki 4 000 g,</w:t>
      </w:r>
    </w:p>
    <w:p w14:paraId="2FE574D7" w14:textId="77777777" w:rsidR="00F45500" w:rsidRPr="007B192E" w:rsidRDefault="00F45500" w:rsidP="00BA5651">
      <w:pPr>
        <w:widowControl/>
        <w:numPr>
          <w:ilvl w:val="0"/>
          <w:numId w:val="26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 D &gt; 32 mm</w:t>
      </w:r>
      <w:r w:rsidRPr="007B192E">
        <w:rPr>
          <w:rFonts w:ascii="Arial" w:hAnsi="Arial" w:cs="Arial"/>
          <w:color w:val="000000" w:themeColor="text1"/>
          <w:sz w:val="18"/>
          <w:szCs w:val="18"/>
        </w:rPr>
        <w:tab/>
        <w:t>masa próbki 10 000 g.</w:t>
      </w:r>
    </w:p>
    <w:p w14:paraId="10C0374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Zgodnie z PN-EN 933-1 [7] próbkę mieszanki należy przepłukać na sicie 8 mm, przy czym sito nie może być przeładowane. Pozostałość na sicie jest suszona do masy stałej i podawana jako „M”.</w:t>
      </w:r>
    </w:p>
    <w:p w14:paraId="3916144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Wymyte i wysuszone ziarna są sortowane metodą wizualną w następujące grupy:</w:t>
      </w:r>
    </w:p>
    <w:p w14:paraId="1F1403EA"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kruszywa z </w:t>
      </w:r>
      <w:proofErr w:type="spellStart"/>
      <w:r w:rsidRPr="007B192E">
        <w:rPr>
          <w:rFonts w:ascii="Arial" w:hAnsi="Arial" w:cs="Arial"/>
          <w:color w:val="000000" w:themeColor="text1"/>
          <w:sz w:val="18"/>
          <w:szCs w:val="18"/>
        </w:rPr>
        <w:t>przekruszonej</w:t>
      </w:r>
      <w:proofErr w:type="spellEnd"/>
      <w:r w:rsidRPr="007B192E">
        <w:rPr>
          <w:rFonts w:ascii="Arial" w:hAnsi="Arial" w:cs="Arial"/>
          <w:color w:val="000000" w:themeColor="text1"/>
          <w:sz w:val="18"/>
          <w:szCs w:val="18"/>
        </w:rPr>
        <w:t xml:space="preserve"> skały,</w:t>
      </w:r>
    </w:p>
    <w:p w14:paraId="5DE6FCFA"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kruszywa ze żwiru,</w:t>
      </w:r>
    </w:p>
    <w:p w14:paraId="0183DBEA"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beton i inne hydraulicznie związane mieszanki,</w:t>
      </w:r>
    </w:p>
    <w:p w14:paraId="3A98525C"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żużel (łącznie z rodzajem żużla, jeżeli jest znany),</w:t>
      </w:r>
    </w:p>
    <w:p w14:paraId="009C6FAA"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cegły, mury i bloki betonowe,</w:t>
      </w:r>
    </w:p>
    <w:p w14:paraId="0C747C57"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mur z cegły wapienno-piaskowej,</w:t>
      </w:r>
    </w:p>
    <w:p w14:paraId="6BD2D631"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kruszywa lekkie,</w:t>
      </w:r>
    </w:p>
    <w:p w14:paraId="1270112C"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destrukt asfaltowy,</w:t>
      </w:r>
    </w:p>
    <w:p w14:paraId="704F8E7D" w14:textId="77777777" w:rsidR="00F45500" w:rsidRPr="007B192E" w:rsidRDefault="00F45500" w:rsidP="00BA5651">
      <w:pPr>
        <w:widowControl/>
        <w:numPr>
          <w:ilvl w:val="0"/>
          <w:numId w:val="26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zanieczyszczenia organiczne – drewno, tworzywo sztuczne itp.</w:t>
      </w:r>
    </w:p>
    <w:p w14:paraId="371A328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Należy określić masę m</w:t>
      </w:r>
      <w:r w:rsidRPr="007B192E">
        <w:rPr>
          <w:rFonts w:ascii="Arial" w:hAnsi="Arial" w:cs="Arial"/>
          <w:color w:val="000000" w:themeColor="text1"/>
          <w:sz w:val="18"/>
          <w:szCs w:val="18"/>
          <w:vertAlign w:val="subscript"/>
        </w:rPr>
        <w:t xml:space="preserve">i  </w:t>
      </w:r>
      <w:r w:rsidRPr="007B192E">
        <w:rPr>
          <w:rFonts w:ascii="Arial" w:hAnsi="Arial" w:cs="Arial"/>
          <w:color w:val="000000" w:themeColor="text1"/>
          <w:sz w:val="18"/>
          <w:szCs w:val="18"/>
        </w:rPr>
        <w:t>każdej wydzielonej grupy i obliczyć jej procentową zawartość w całej masie mieszanki M, według poniższego wzoru, oraz podać tę wartość:</w:t>
      </w:r>
    </w:p>
    <w:p w14:paraId="0310DB6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color w:val="000000" w:themeColor="text1"/>
          <w:sz w:val="18"/>
          <w:szCs w:val="18"/>
        </w:rPr>
        <w:t>100  ×  m</w:t>
      </w:r>
      <w:r w:rsidRPr="007B192E">
        <w:rPr>
          <w:rFonts w:ascii="Arial" w:hAnsi="Arial" w:cs="Arial"/>
          <w:color w:val="000000" w:themeColor="text1"/>
          <w:sz w:val="18"/>
          <w:szCs w:val="18"/>
          <w:vertAlign w:val="subscript"/>
        </w:rPr>
        <w:t xml:space="preserve">i </w:t>
      </w:r>
      <w:r w:rsidRPr="007B192E">
        <w:rPr>
          <w:rFonts w:ascii="Arial" w:hAnsi="Arial" w:cs="Arial"/>
          <w:color w:val="000000" w:themeColor="text1"/>
          <w:sz w:val="18"/>
          <w:szCs w:val="18"/>
        </w:rPr>
        <w:t>/ M     [%(m/m)]</w:t>
      </w:r>
    </w:p>
    <w:p w14:paraId="38BCE18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Składy mieszanek kruszyw z recyklingu</w:t>
      </w:r>
    </w:p>
    <w:p w14:paraId="4124778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(Uwaga: Gęstość materiałów podana w tablicach jest gęstością ziaren suszonych w suszarce laboratoryjnej, ustalana wg PN-EN 1097-6 [13])</w:t>
      </w:r>
    </w:p>
    <w:p w14:paraId="2F0A0FBF" w14:textId="77777777" w:rsidR="00F45500" w:rsidRPr="007B192E" w:rsidRDefault="00F45500" w:rsidP="00F45500">
      <w:pPr>
        <w:rPr>
          <w:rFonts w:ascii="Arial" w:hAnsi="Arial" w:cs="Arial"/>
          <w:color w:val="000000" w:themeColor="text1"/>
          <w:sz w:val="18"/>
          <w:szCs w:val="18"/>
        </w:rPr>
      </w:pPr>
    </w:p>
    <w:p w14:paraId="300AD17A" w14:textId="77777777" w:rsidR="00F45500" w:rsidRPr="007B192E" w:rsidRDefault="00F45500" w:rsidP="00F45500">
      <w:pPr>
        <w:spacing w:after="120"/>
        <w:rPr>
          <w:rFonts w:ascii="Arial" w:hAnsi="Arial" w:cs="Arial"/>
          <w:color w:val="000000" w:themeColor="text1"/>
          <w:sz w:val="18"/>
          <w:szCs w:val="18"/>
        </w:rPr>
      </w:pPr>
      <w:r w:rsidRPr="007B192E">
        <w:rPr>
          <w:rFonts w:ascii="Arial" w:hAnsi="Arial" w:cs="Arial"/>
          <w:color w:val="000000" w:themeColor="text1"/>
          <w:sz w:val="18"/>
          <w:szCs w:val="18"/>
        </w:rPr>
        <w:t xml:space="preserve">Tablica 1.1. Mieszanki z betonu </w:t>
      </w:r>
      <w:proofErr w:type="spellStart"/>
      <w:r w:rsidRPr="007B192E">
        <w:rPr>
          <w:rFonts w:ascii="Arial" w:hAnsi="Arial" w:cs="Arial"/>
          <w:color w:val="000000" w:themeColor="text1"/>
          <w:sz w:val="18"/>
          <w:szCs w:val="18"/>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4D7D23" w:rsidRPr="007B192E" w14:paraId="21535059" w14:textId="77777777" w:rsidTr="008F7A94">
        <w:tc>
          <w:tcPr>
            <w:tcW w:w="7184" w:type="dxa"/>
            <w:gridSpan w:val="2"/>
          </w:tcPr>
          <w:p w14:paraId="2A130CEA"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Składniki</w:t>
            </w:r>
          </w:p>
        </w:tc>
        <w:tc>
          <w:tcPr>
            <w:tcW w:w="1684" w:type="dxa"/>
          </w:tcPr>
          <w:p w14:paraId="37E32D7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[%(m/m)]</w:t>
            </w:r>
          </w:p>
        </w:tc>
      </w:tr>
      <w:tr w:rsidR="004D7D23" w:rsidRPr="007B192E" w14:paraId="63DF4E9D" w14:textId="77777777" w:rsidTr="008F7A94">
        <w:tc>
          <w:tcPr>
            <w:tcW w:w="2748" w:type="dxa"/>
          </w:tcPr>
          <w:p w14:paraId="143E2952"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Główne składniki</w:t>
            </w:r>
          </w:p>
        </w:tc>
        <w:tc>
          <w:tcPr>
            <w:tcW w:w="4436" w:type="dxa"/>
          </w:tcPr>
          <w:p w14:paraId="2FC3F11A" w14:textId="77777777" w:rsidR="00F45500" w:rsidRPr="007B192E" w:rsidRDefault="00F45500" w:rsidP="008F7A94">
            <w:pPr>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Przekruszony</w:t>
            </w:r>
            <w:proofErr w:type="spellEnd"/>
            <w:r w:rsidRPr="007B192E">
              <w:rPr>
                <w:rFonts w:ascii="Arial" w:hAnsi="Arial" w:cs="Arial"/>
                <w:color w:val="000000" w:themeColor="text1"/>
                <w:sz w:val="18"/>
                <w:szCs w:val="18"/>
              </w:rPr>
              <w:t xml:space="preserve"> beton (o gęstości &gt; 2,1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i kruszywo (łącznie z żużlem)</w:t>
            </w:r>
          </w:p>
        </w:tc>
        <w:tc>
          <w:tcPr>
            <w:tcW w:w="1684" w:type="dxa"/>
          </w:tcPr>
          <w:p w14:paraId="0B0542C6"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90</w:t>
            </w:r>
          </w:p>
        </w:tc>
      </w:tr>
      <w:tr w:rsidR="004D7D23" w:rsidRPr="007B192E" w14:paraId="6D2BFF77" w14:textId="77777777" w:rsidTr="008F7A94">
        <w:tc>
          <w:tcPr>
            <w:tcW w:w="2748" w:type="dxa"/>
            <w:vMerge w:val="restart"/>
          </w:tcPr>
          <w:p w14:paraId="08D7CF14"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Inne materiały ziarniste</w:t>
            </w:r>
          </w:p>
        </w:tc>
        <w:tc>
          <w:tcPr>
            <w:tcW w:w="4436" w:type="dxa"/>
          </w:tcPr>
          <w:p w14:paraId="5A2FF746" w14:textId="77777777" w:rsidR="00F45500" w:rsidRPr="007B192E" w:rsidRDefault="00F45500" w:rsidP="008F7A94">
            <w:pPr>
              <w:rPr>
                <w:rFonts w:ascii="Arial" w:hAnsi="Arial" w:cs="Arial"/>
                <w:color w:val="000000" w:themeColor="text1"/>
                <w:sz w:val="18"/>
                <w:szCs w:val="18"/>
              </w:rPr>
            </w:pPr>
            <w:proofErr w:type="spellStart"/>
            <w:r w:rsidRPr="007B192E">
              <w:rPr>
                <w:rFonts w:ascii="Arial" w:hAnsi="Arial" w:cs="Arial"/>
                <w:color w:val="000000" w:themeColor="text1"/>
                <w:sz w:val="18"/>
                <w:szCs w:val="18"/>
              </w:rPr>
              <w:t>Przekruszony</w:t>
            </w:r>
            <w:proofErr w:type="spellEnd"/>
            <w:r w:rsidRPr="007B192E">
              <w:rPr>
                <w:rFonts w:ascii="Arial" w:hAnsi="Arial" w:cs="Arial"/>
                <w:color w:val="000000" w:themeColor="text1"/>
                <w:sz w:val="18"/>
                <w:szCs w:val="18"/>
              </w:rPr>
              <w:t xml:space="preserve"> mur</w:t>
            </w:r>
          </w:p>
        </w:tc>
        <w:tc>
          <w:tcPr>
            <w:tcW w:w="1684" w:type="dxa"/>
          </w:tcPr>
          <w:p w14:paraId="7D2E1D6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10</w:t>
            </w:r>
          </w:p>
        </w:tc>
      </w:tr>
      <w:tr w:rsidR="004D7D23" w:rsidRPr="007B192E" w14:paraId="1B6B3630" w14:textId="77777777" w:rsidTr="008F7A94">
        <w:tc>
          <w:tcPr>
            <w:tcW w:w="2748" w:type="dxa"/>
            <w:vMerge/>
          </w:tcPr>
          <w:p w14:paraId="4BF477D5" w14:textId="77777777" w:rsidR="00F45500" w:rsidRPr="007B192E" w:rsidRDefault="00F45500" w:rsidP="008F7A94">
            <w:pPr>
              <w:spacing w:before="120"/>
              <w:rPr>
                <w:rFonts w:ascii="Arial" w:hAnsi="Arial" w:cs="Arial"/>
                <w:color w:val="000000" w:themeColor="text1"/>
                <w:sz w:val="18"/>
                <w:szCs w:val="18"/>
              </w:rPr>
            </w:pPr>
          </w:p>
        </w:tc>
        <w:tc>
          <w:tcPr>
            <w:tcW w:w="4436" w:type="dxa"/>
          </w:tcPr>
          <w:p w14:paraId="7CA60D1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Destrukt asfaltowy</w:t>
            </w:r>
          </w:p>
        </w:tc>
        <w:tc>
          <w:tcPr>
            <w:tcW w:w="1684" w:type="dxa"/>
          </w:tcPr>
          <w:p w14:paraId="09519FC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15</w:t>
            </w:r>
          </w:p>
        </w:tc>
      </w:tr>
      <w:tr w:rsidR="004D7D23" w:rsidRPr="007B192E" w14:paraId="348436E4" w14:textId="77777777" w:rsidTr="008F7A94">
        <w:tc>
          <w:tcPr>
            <w:tcW w:w="2748" w:type="dxa"/>
            <w:vMerge w:val="restart"/>
          </w:tcPr>
          <w:p w14:paraId="7B0A9F4F"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Zanieczyszczenia</w:t>
            </w:r>
          </w:p>
        </w:tc>
        <w:tc>
          <w:tcPr>
            <w:tcW w:w="4436" w:type="dxa"/>
          </w:tcPr>
          <w:p w14:paraId="618E8BA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spoiste (łącznie z gliną)</w:t>
            </w:r>
          </w:p>
        </w:tc>
        <w:tc>
          <w:tcPr>
            <w:tcW w:w="1684" w:type="dxa"/>
          </w:tcPr>
          <w:p w14:paraId="3490DD3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w:t>
            </w:r>
          </w:p>
        </w:tc>
      </w:tr>
      <w:tr w:rsidR="004D7D23" w:rsidRPr="007B192E" w14:paraId="07CE655E" w14:textId="77777777" w:rsidTr="008F7A94">
        <w:tc>
          <w:tcPr>
            <w:tcW w:w="2748" w:type="dxa"/>
            <w:vMerge/>
          </w:tcPr>
          <w:p w14:paraId="4F3A987A" w14:textId="77777777" w:rsidR="00F45500" w:rsidRPr="007B192E" w:rsidRDefault="00F45500" w:rsidP="008F7A94">
            <w:pPr>
              <w:rPr>
                <w:rFonts w:ascii="Arial" w:hAnsi="Arial" w:cs="Arial"/>
                <w:color w:val="000000" w:themeColor="text1"/>
                <w:sz w:val="18"/>
                <w:szCs w:val="18"/>
              </w:rPr>
            </w:pPr>
          </w:p>
        </w:tc>
        <w:tc>
          <w:tcPr>
            <w:tcW w:w="4436" w:type="dxa"/>
          </w:tcPr>
          <w:p w14:paraId="15F85D6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organiczne</w:t>
            </w:r>
          </w:p>
        </w:tc>
        <w:tc>
          <w:tcPr>
            <w:tcW w:w="1684" w:type="dxa"/>
          </w:tcPr>
          <w:p w14:paraId="7423430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0,1</w:t>
            </w:r>
          </w:p>
        </w:tc>
      </w:tr>
    </w:tbl>
    <w:p w14:paraId="14137F1F" w14:textId="77777777" w:rsidR="00F45500" w:rsidRPr="007B192E" w:rsidRDefault="00F45500" w:rsidP="00F45500">
      <w:pPr>
        <w:spacing w:before="120" w:after="120"/>
        <w:rPr>
          <w:rFonts w:ascii="Arial" w:hAnsi="Arial" w:cs="Arial"/>
          <w:color w:val="000000" w:themeColor="text1"/>
          <w:sz w:val="18"/>
          <w:szCs w:val="18"/>
        </w:rPr>
      </w:pPr>
      <w:r w:rsidRPr="007B192E">
        <w:rPr>
          <w:rFonts w:ascii="Arial" w:hAnsi="Arial" w:cs="Arial"/>
          <w:color w:val="000000" w:themeColor="text1"/>
          <w:sz w:val="18"/>
          <w:szCs w:val="18"/>
        </w:rPr>
        <w:t xml:space="preserve">Tablica 1.2. Mieszanki z </w:t>
      </w:r>
      <w:proofErr w:type="spellStart"/>
      <w:r w:rsidRPr="007B192E">
        <w:rPr>
          <w:rFonts w:ascii="Arial" w:hAnsi="Arial" w:cs="Arial"/>
          <w:color w:val="000000" w:themeColor="text1"/>
          <w:sz w:val="18"/>
          <w:szCs w:val="18"/>
        </w:rPr>
        <w:t>przekruszonego</w:t>
      </w:r>
      <w:proofErr w:type="spellEnd"/>
      <w:r w:rsidRPr="007B192E">
        <w:rPr>
          <w:rFonts w:ascii="Arial" w:hAnsi="Arial" w:cs="Arial"/>
          <w:color w:val="000000" w:themeColor="text1"/>
          <w:sz w:val="18"/>
          <w:szCs w:val="18"/>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4D7D23" w:rsidRPr="007B192E" w14:paraId="4A1E6CE4" w14:textId="77777777" w:rsidTr="008F7A94">
        <w:tc>
          <w:tcPr>
            <w:tcW w:w="7188" w:type="dxa"/>
            <w:gridSpan w:val="2"/>
          </w:tcPr>
          <w:p w14:paraId="4B009609"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Składniki</w:t>
            </w:r>
          </w:p>
        </w:tc>
        <w:tc>
          <w:tcPr>
            <w:tcW w:w="1680" w:type="dxa"/>
          </w:tcPr>
          <w:p w14:paraId="7088C5F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[%(m/m)]</w:t>
            </w:r>
          </w:p>
        </w:tc>
      </w:tr>
      <w:tr w:rsidR="004D7D23" w:rsidRPr="007B192E" w14:paraId="0A0D23EC" w14:textId="77777777" w:rsidTr="008F7A94">
        <w:tc>
          <w:tcPr>
            <w:tcW w:w="2748" w:type="dxa"/>
          </w:tcPr>
          <w:p w14:paraId="0C444577"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Główne składniki</w:t>
            </w:r>
          </w:p>
        </w:tc>
        <w:tc>
          <w:tcPr>
            <w:tcW w:w="4440" w:type="dxa"/>
          </w:tcPr>
          <w:p w14:paraId="3229A984" w14:textId="77777777" w:rsidR="00F45500" w:rsidRPr="007B192E" w:rsidRDefault="00F45500" w:rsidP="008F7A94">
            <w:pPr>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Przekruszony</w:t>
            </w:r>
            <w:proofErr w:type="spellEnd"/>
            <w:r w:rsidRPr="007B192E">
              <w:rPr>
                <w:rFonts w:ascii="Arial" w:hAnsi="Arial" w:cs="Arial"/>
                <w:color w:val="000000" w:themeColor="text1"/>
                <w:sz w:val="18"/>
                <w:szCs w:val="18"/>
              </w:rPr>
              <w:t xml:space="preserve"> mur (gęstość &gt; 1,6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przekruszony</w:t>
            </w:r>
            <w:proofErr w:type="spellEnd"/>
            <w:r w:rsidRPr="007B192E">
              <w:rPr>
                <w:rFonts w:ascii="Arial" w:hAnsi="Arial" w:cs="Arial"/>
                <w:color w:val="000000" w:themeColor="text1"/>
                <w:sz w:val="18"/>
                <w:szCs w:val="18"/>
              </w:rPr>
              <w:t xml:space="preserve"> beton (gęstość &gt; 2,1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i kruszywo (łącznie z żużlem)</w:t>
            </w:r>
          </w:p>
        </w:tc>
        <w:tc>
          <w:tcPr>
            <w:tcW w:w="1680" w:type="dxa"/>
          </w:tcPr>
          <w:p w14:paraId="03590B24"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80</w:t>
            </w:r>
          </w:p>
        </w:tc>
      </w:tr>
      <w:tr w:rsidR="004D7D23" w:rsidRPr="007B192E" w14:paraId="67E97B82" w14:textId="77777777" w:rsidTr="008F7A94">
        <w:tc>
          <w:tcPr>
            <w:tcW w:w="2748" w:type="dxa"/>
            <w:vMerge w:val="restart"/>
          </w:tcPr>
          <w:p w14:paraId="3527BEEC"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Inne materiały ziarniste</w:t>
            </w:r>
          </w:p>
        </w:tc>
        <w:tc>
          <w:tcPr>
            <w:tcW w:w="4440" w:type="dxa"/>
          </w:tcPr>
          <w:p w14:paraId="50D4215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Materiały ziarniste o gęstości &lt; 1,6 Mg/m</w:t>
            </w:r>
            <w:r w:rsidRPr="007B192E">
              <w:rPr>
                <w:rFonts w:ascii="Arial" w:hAnsi="Arial" w:cs="Arial"/>
                <w:color w:val="000000" w:themeColor="text1"/>
                <w:sz w:val="18"/>
                <w:szCs w:val="18"/>
                <w:vertAlign w:val="superscript"/>
              </w:rPr>
              <w:t>3</w:t>
            </w:r>
          </w:p>
        </w:tc>
        <w:tc>
          <w:tcPr>
            <w:tcW w:w="1680" w:type="dxa"/>
          </w:tcPr>
          <w:p w14:paraId="750F52D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20</w:t>
            </w:r>
          </w:p>
        </w:tc>
      </w:tr>
      <w:tr w:rsidR="004D7D23" w:rsidRPr="007B192E" w14:paraId="6264985D" w14:textId="77777777" w:rsidTr="008F7A94">
        <w:tc>
          <w:tcPr>
            <w:tcW w:w="2748" w:type="dxa"/>
            <w:vMerge/>
          </w:tcPr>
          <w:p w14:paraId="03342B08" w14:textId="77777777" w:rsidR="00F45500" w:rsidRPr="007B192E" w:rsidRDefault="00F45500" w:rsidP="008F7A94">
            <w:pPr>
              <w:spacing w:before="120"/>
              <w:rPr>
                <w:rFonts w:ascii="Arial" w:hAnsi="Arial" w:cs="Arial"/>
                <w:color w:val="000000" w:themeColor="text1"/>
                <w:sz w:val="18"/>
                <w:szCs w:val="18"/>
              </w:rPr>
            </w:pPr>
          </w:p>
        </w:tc>
        <w:tc>
          <w:tcPr>
            <w:tcW w:w="4440" w:type="dxa"/>
          </w:tcPr>
          <w:p w14:paraId="03638E9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Destrukt asfaltowy</w:t>
            </w:r>
          </w:p>
        </w:tc>
        <w:tc>
          <w:tcPr>
            <w:tcW w:w="1680" w:type="dxa"/>
          </w:tcPr>
          <w:p w14:paraId="1D62625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5</w:t>
            </w:r>
          </w:p>
        </w:tc>
      </w:tr>
      <w:tr w:rsidR="004D7D23" w:rsidRPr="007B192E" w14:paraId="7D67EC24" w14:textId="77777777" w:rsidTr="008F7A94">
        <w:tc>
          <w:tcPr>
            <w:tcW w:w="2748" w:type="dxa"/>
            <w:vMerge w:val="restart"/>
          </w:tcPr>
          <w:p w14:paraId="48360BC7"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Zanieczyszczenia</w:t>
            </w:r>
          </w:p>
        </w:tc>
        <w:tc>
          <w:tcPr>
            <w:tcW w:w="4440" w:type="dxa"/>
          </w:tcPr>
          <w:p w14:paraId="5C6EA74F"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spoiste (łącznie z gliną)</w:t>
            </w:r>
          </w:p>
        </w:tc>
        <w:tc>
          <w:tcPr>
            <w:tcW w:w="1680" w:type="dxa"/>
          </w:tcPr>
          <w:p w14:paraId="1C156F9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w:t>
            </w:r>
          </w:p>
        </w:tc>
      </w:tr>
      <w:tr w:rsidR="004D7D23" w:rsidRPr="007B192E" w14:paraId="077B8095" w14:textId="77777777" w:rsidTr="008F7A94">
        <w:tc>
          <w:tcPr>
            <w:tcW w:w="2748" w:type="dxa"/>
            <w:vMerge/>
          </w:tcPr>
          <w:p w14:paraId="16DB28ED" w14:textId="77777777" w:rsidR="00F45500" w:rsidRPr="007B192E" w:rsidRDefault="00F45500" w:rsidP="008F7A94">
            <w:pPr>
              <w:rPr>
                <w:rFonts w:ascii="Arial" w:hAnsi="Arial" w:cs="Arial"/>
                <w:color w:val="000000" w:themeColor="text1"/>
                <w:sz w:val="18"/>
                <w:szCs w:val="18"/>
              </w:rPr>
            </w:pPr>
          </w:p>
        </w:tc>
        <w:tc>
          <w:tcPr>
            <w:tcW w:w="4440" w:type="dxa"/>
          </w:tcPr>
          <w:p w14:paraId="70BDCBB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organiczne</w:t>
            </w:r>
          </w:p>
        </w:tc>
        <w:tc>
          <w:tcPr>
            <w:tcW w:w="1680" w:type="dxa"/>
          </w:tcPr>
          <w:p w14:paraId="3C3CE72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0,1</w:t>
            </w:r>
          </w:p>
        </w:tc>
      </w:tr>
    </w:tbl>
    <w:p w14:paraId="28009252" w14:textId="77777777" w:rsidR="00F45500" w:rsidRPr="007B192E" w:rsidRDefault="00F45500" w:rsidP="00F45500">
      <w:pPr>
        <w:spacing w:before="120" w:after="120"/>
        <w:rPr>
          <w:rFonts w:ascii="Arial" w:hAnsi="Arial" w:cs="Arial"/>
          <w:color w:val="000000" w:themeColor="text1"/>
          <w:sz w:val="18"/>
          <w:szCs w:val="18"/>
        </w:rPr>
      </w:pPr>
      <w:r w:rsidRPr="007B192E">
        <w:rPr>
          <w:rFonts w:ascii="Arial" w:hAnsi="Arial" w:cs="Arial"/>
          <w:color w:val="000000" w:themeColor="text1"/>
          <w:sz w:val="18"/>
          <w:szCs w:val="18"/>
        </w:rPr>
        <w:t xml:space="preserve">Tablica 1.3. Mieszanki z </w:t>
      </w:r>
      <w:proofErr w:type="spellStart"/>
      <w:r w:rsidRPr="007B192E">
        <w:rPr>
          <w:rFonts w:ascii="Arial" w:hAnsi="Arial" w:cs="Arial"/>
          <w:color w:val="000000" w:themeColor="text1"/>
          <w:sz w:val="18"/>
          <w:szCs w:val="18"/>
        </w:rPr>
        <w:t>przekruszonego</w:t>
      </w:r>
      <w:proofErr w:type="spellEnd"/>
      <w:r w:rsidRPr="007B192E">
        <w:rPr>
          <w:rFonts w:ascii="Arial" w:hAnsi="Arial" w:cs="Arial"/>
          <w:color w:val="000000" w:themeColor="text1"/>
          <w:sz w:val="18"/>
          <w:szCs w:val="18"/>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4D7D23" w:rsidRPr="007B192E" w14:paraId="6882C69F" w14:textId="77777777" w:rsidTr="008F7A94">
        <w:tc>
          <w:tcPr>
            <w:tcW w:w="7184" w:type="dxa"/>
            <w:gridSpan w:val="2"/>
          </w:tcPr>
          <w:p w14:paraId="38FA247D"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Składniki</w:t>
            </w:r>
          </w:p>
        </w:tc>
        <w:tc>
          <w:tcPr>
            <w:tcW w:w="1684" w:type="dxa"/>
          </w:tcPr>
          <w:p w14:paraId="6F569AE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[%(m/m)]</w:t>
            </w:r>
          </w:p>
        </w:tc>
      </w:tr>
      <w:tr w:rsidR="004D7D23" w:rsidRPr="007B192E" w14:paraId="5D67CA11" w14:textId="77777777" w:rsidTr="008F7A94">
        <w:tc>
          <w:tcPr>
            <w:tcW w:w="2748" w:type="dxa"/>
          </w:tcPr>
          <w:p w14:paraId="7C0AAF14"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Główne składniki</w:t>
            </w:r>
          </w:p>
        </w:tc>
        <w:tc>
          <w:tcPr>
            <w:tcW w:w="4436" w:type="dxa"/>
          </w:tcPr>
          <w:p w14:paraId="40EB92FE" w14:textId="77777777" w:rsidR="00F45500" w:rsidRPr="007B192E" w:rsidRDefault="00F45500" w:rsidP="008F7A94">
            <w:pPr>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Przekruszony</w:t>
            </w:r>
            <w:proofErr w:type="spellEnd"/>
            <w:r w:rsidRPr="007B192E">
              <w:rPr>
                <w:rFonts w:ascii="Arial" w:hAnsi="Arial" w:cs="Arial"/>
                <w:color w:val="000000" w:themeColor="text1"/>
                <w:sz w:val="18"/>
                <w:szCs w:val="18"/>
              </w:rPr>
              <w:t xml:space="preserve"> beton (gęstość &gt; 2,1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i kruszywo (łącznie z żużlem)</w:t>
            </w:r>
          </w:p>
        </w:tc>
        <w:tc>
          <w:tcPr>
            <w:tcW w:w="1684" w:type="dxa"/>
          </w:tcPr>
          <w:p w14:paraId="2872F683"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50</w:t>
            </w:r>
          </w:p>
        </w:tc>
      </w:tr>
      <w:tr w:rsidR="004D7D23" w:rsidRPr="007B192E" w14:paraId="570D7405" w14:textId="77777777" w:rsidTr="008F7A94">
        <w:tc>
          <w:tcPr>
            <w:tcW w:w="2748" w:type="dxa"/>
            <w:vMerge w:val="restart"/>
          </w:tcPr>
          <w:p w14:paraId="71BFDD24" w14:textId="77777777" w:rsidR="00F45500" w:rsidRPr="007B192E" w:rsidRDefault="00F45500" w:rsidP="008F7A94">
            <w:pPr>
              <w:rPr>
                <w:rFonts w:ascii="Arial" w:hAnsi="Arial" w:cs="Arial"/>
                <w:color w:val="000000" w:themeColor="text1"/>
                <w:sz w:val="18"/>
                <w:szCs w:val="18"/>
              </w:rPr>
            </w:pPr>
          </w:p>
          <w:p w14:paraId="6893AEA7"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Inne materiały ziarniste</w:t>
            </w:r>
          </w:p>
        </w:tc>
        <w:tc>
          <w:tcPr>
            <w:tcW w:w="4436" w:type="dxa"/>
          </w:tcPr>
          <w:p w14:paraId="04A0312F" w14:textId="77777777" w:rsidR="00F45500" w:rsidRPr="007B192E" w:rsidRDefault="00F45500" w:rsidP="008F7A94">
            <w:pPr>
              <w:rPr>
                <w:rFonts w:ascii="Arial" w:hAnsi="Arial" w:cs="Arial"/>
                <w:color w:val="000000" w:themeColor="text1"/>
                <w:sz w:val="18"/>
                <w:szCs w:val="18"/>
              </w:rPr>
            </w:pPr>
            <w:proofErr w:type="spellStart"/>
            <w:r w:rsidRPr="007B192E">
              <w:rPr>
                <w:rFonts w:ascii="Arial" w:hAnsi="Arial" w:cs="Arial"/>
                <w:color w:val="000000" w:themeColor="text1"/>
                <w:sz w:val="18"/>
                <w:szCs w:val="18"/>
              </w:rPr>
              <w:t>Przekruszony</w:t>
            </w:r>
            <w:proofErr w:type="spellEnd"/>
            <w:r w:rsidRPr="007B192E">
              <w:rPr>
                <w:rFonts w:ascii="Arial" w:hAnsi="Arial" w:cs="Arial"/>
                <w:color w:val="000000" w:themeColor="text1"/>
                <w:sz w:val="18"/>
                <w:szCs w:val="18"/>
              </w:rPr>
              <w:t xml:space="preserve"> mur</w:t>
            </w:r>
          </w:p>
        </w:tc>
        <w:tc>
          <w:tcPr>
            <w:tcW w:w="1684" w:type="dxa"/>
          </w:tcPr>
          <w:p w14:paraId="108B9CD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50</w:t>
            </w:r>
          </w:p>
        </w:tc>
      </w:tr>
      <w:tr w:rsidR="004D7D23" w:rsidRPr="007B192E" w14:paraId="242411EE" w14:textId="77777777" w:rsidTr="008F7A94">
        <w:tc>
          <w:tcPr>
            <w:tcW w:w="2748" w:type="dxa"/>
            <w:vMerge/>
          </w:tcPr>
          <w:p w14:paraId="3A28C453" w14:textId="77777777" w:rsidR="00F45500" w:rsidRPr="007B192E" w:rsidRDefault="00F45500" w:rsidP="008F7A94">
            <w:pPr>
              <w:spacing w:before="120"/>
              <w:rPr>
                <w:rFonts w:ascii="Arial" w:hAnsi="Arial" w:cs="Arial"/>
                <w:color w:val="000000" w:themeColor="text1"/>
                <w:sz w:val="18"/>
                <w:szCs w:val="18"/>
              </w:rPr>
            </w:pPr>
          </w:p>
        </w:tc>
        <w:tc>
          <w:tcPr>
            <w:tcW w:w="4436" w:type="dxa"/>
          </w:tcPr>
          <w:p w14:paraId="49007C3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Destrukt asfaltowy</w:t>
            </w:r>
          </w:p>
        </w:tc>
        <w:tc>
          <w:tcPr>
            <w:tcW w:w="1684" w:type="dxa"/>
          </w:tcPr>
          <w:p w14:paraId="32A94E0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5</w:t>
            </w:r>
          </w:p>
        </w:tc>
      </w:tr>
      <w:tr w:rsidR="004D7D23" w:rsidRPr="007B192E" w14:paraId="0641B259" w14:textId="77777777" w:rsidTr="008F7A94">
        <w:tc>
          <w:tcPr>
            <w:tcW w:w="2748" w:type="dxa"/>
            <w:vMerge/>
          </w:tcPr>
          <w:p w14:paraId="16D09CB3" w14:textId="77777777" w:rsidR="00F45500" w:rsidRPr="007B192E" w:rsidRDefault="00F45500" w:rsidP="008F7A94">
            <w:pPr>
              <w:spacing w:before="120"/>
              <w:rPr>
                <w:rFonts w:ascii="Arial" w:hAnsi="Arial" w:cs="Arial"/>
                <w:color w:val="000000" w:themeColor="text1"/>
                <w:sz w:val="18"/>
                <w:szCs w:val="18"/>
              </w:rPr>
            </w:pPr>
          </w:p>
        </w:tc>
        <w:tc>
          <w:tcPr>
            <w:tcW w:w="4436" w:type="dxa"/>
          </w:tcPr>
          <w:p w14:paraId="5C182C35" w14:textId="77777777" w:rsidR="00F45500" w:rsidRPr="007B192E" w:rsidRDefault="00F45500" w:rsidP="008F7A94">
            <w:pPr>
              <w:rPr>
                <w:rFonts w:ascii="Arial" w:hAnsi="Arial" w:cs="Arial"/>
                <w:color w:val="000000" w:themeColor="text1"/>
                <w:sz w:val="18"/>
                <w:szCs w:val="18"/>
                <w:vertAlign w:val="superscript"/>
              </w:rPr>
            </w:pPr>
            <w:r w:rsidRPr="007B192E">
              <w:rPr>
                <w:rFonts w:ascii="Arial" w:hAnsi="Arial" w:cs="Arial"/>
                <w:color w:val="000000" w:themeColor="text1"/>
                <w:sz w:val="18"/>
                <w:szCs w:val="18"/>
              </w:rPr>
              <w:t>Materiały ziarniste o gęstości &gt; 1,6 Mg/m</w:t>
            </w:r>
            <w:r w:rsidRPr="007B192E">
              <w:rPr>
                <w:rFonts w:ascii="Arial" w:hAnsi="Arial" w:cs="Arial"/>
                <w:color w:val="000000" w:themeColor="text1"/>
                <w:sz w:val="18"/>
                <w:szCs w:val="18"/>
                <w:vertAlign w:val="superscript"/>
              </w:rPr>
              <w:t>3</w:t>
            </w:r>
          </w:p>
        </w:tc>
        <w:tc>
          <w:tcPr>
            <w:tcW w:w="1684" w:type="dxa"/>
          </w:tcPr>
          <w:p w14:paraId="2664DB6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10</w:t>
            </w:r>
          </w:p>
        </w:tc>
      </w:tr>
      <w:tr w:rsidR="004D7D23" w:rsidRPr="007B192E" w14:paraId="796EB9DE" w14:textId="77777777" w:rsidTr="008F7A94">
        <w:tc>
          <w:tcPr>
            <w:tcW w:w="2748" w:type="dxa"/>
            <w:vMerge w:val="restart"/>
          </w:tcPr>
          <w:p w14:paraId="2163AF17"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Zanieczyszczenia</w:t>
            </w:r>
          </w:p>
        </w:tc>
        <w:tc>
          <w:tcPr>
            <w:tcW w:w="4436" w:type="dxa"/>
          </w:tcPr>
          <w:p w14:paraId="0840C60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spoiste (łącznie z gliną)</w:t>
            </w:r>
          </w:p>
        </w:tc>
        <w:tc>
          <w:tcPr>
            <w:tcW w:w="1684" w:type="dxa"/>
          </w:tcPr>
          <w:p w14:paraId="37F97E4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w:t>
            </w:r>
          </w:p>
        </w:tc>
      </w:tr>
      <w:tr w:rsidR="00F45500" w:rsidRPr="007B192E" w14:paraId="713F4061" w14:textId="77777777" w:rsidTr="008F7A94">
        <w:tc>
          <w:tcPr>
            <w:tcW w:w="2748" w:type="dxa"/>
            <w:vMerge/>
          </w:tcPr>
          <w:p w14:paraId="27DD6373" w14:textId="77777777" w:rsidR="00F45500" w:rsidRPr="007B192E" w:rsidRDefault="00F45500" w:rsidP="008F7A94">
            <w:pPr>
              <w:rPr>
                <w:rFonts w:ascii="Arial" w:hAnsi="Arial" w:cs="Arial"/>
                <w:color w:val="000000" w:themeColor="text1"/>
                <w:sz w:val="18"/>
                <w:szCs w:val="18"/>
              </w:rPr>
            </w:pPr>
          </w:p>
        </w:tc>
        <w:tc>
          <w:tcPr>
            <w:tcW w:w="4436" w:type="dxa"/>
          </w:tcPr>
          <w:p w14:paraId="733CF88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organiczne</w:t>
            </w:r>
          </w:p>
        </w:tc>
        <w:tc>
          <w:tcPr>
            <w:tcW w:w="1684" w:type="dxa"/>
          </w:tcPr>
          <w:p w14:paraId="05177DB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0,1</w:t>
            </w:r>
          </w:p>
        </w:tc>
      </w:tr>
    </w:tbl>
    <w:p w14:paraId="2295B417" w14:textId="77777777" w:rsidR="00F45500" w:rsidRPr="007B192E" w:rsidRDefault="00F45500" w:rsidP="00F45500">
      <w:pPr>
        <w:spacing w:before="120" w:after="120"/>
        <w:rPr>
          <w:rFonts w:ascii="Arial" w:hAnsi="Arial" w:cs="Arial"/>
          <w:color w:val="000000" w:themeColor="text1"/>
          <w:sz w:val="18"/>
          <w:szCs w:val="18"/>
        </w:rPr>
      </w:pPr>
    </w:p>
    <w:p w14:paraId="642A8ABA" w14:textId="77777777" w:rsidR="00F45500" w:rsidRPr="007B192E" w:rsidRDefault="00F45500" w:rsidP="00F45500">
      <w:pPr>
        <w:spacing w:before="120" w:after="120"/>
        <w:rPr>
          <w:rFonts w:ascii="Arial" w:hAnsi="Arial" w:cs="Arial"/>
          <w:color w:val="000000" w:themeColor="text1"/>
          <w:sz w:val="18"/>
          <w:szCs w:val="18"/>
        </w:rPr>
      </w:pPr>
      <w:r w:rsidRPr="007B192E">
        <w:rPr>
          <w:rFonts w:ascii="Arial" w:hAnsi="Arial" w:cs="Arial"/>
          <w:color w:val="000000" w:themeColor="text1"/>
          <w:sz w:val="18"/>
          <w:szCs w:val="18"/>
        </w:rPr>
        <w:t xml:space="preserve">Tablica 1.4. </w:t>
      </w:r>
      <w:proofErr w:type="spellStart"/>
      <w:r w:rsidRPr="007B192E">
        <w:rPr>
          <w:rFonts w:ascii="Arial" w:hAnsi="Arial" w:cs="Arial"/>
          <w:color w:val="000000" w:themeColor="text1"/>
          <w:sz w:val="18"/>
          <w:szCs w:val="18"/>
        </w:rPr>
        <w:t>Przekruszone</w:t>
      </w:r>
      <w:proofErr w:type="spellEnd"/>
      <w:r w:rsidRPr="007B192E">
        <w:rPr>
          <w:rFonts w:ascii="Arial" w:hAnsi="Arial" w:cs="Arial"/>
          <w:color w:val="000000" w:themeColor="text1"/>
          <w:sz w:val="18"/>
          <w:szCs w:val="18"/>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4D7D23" w:rsidRPr="007B192E" w14:paraId="44D31732" w14:textId="77777777" w:rsidTr="008F7A94">
        <w:tc>
          <w:tcPr>
            <w:tcW w:w="7184" w:type="dxa"/>
            <w:gridSpan w:val="2"/>
          </w:tcPr>
          <w:p w14:paraId="4F190080"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Składniki</w:t>
            </w:r>
          </w:p>
        </w:tc>
        <w:tc>
          <w:tcPr>
            <w:tcW w:w="1684" w:type="dxa"/>
          </w:tcPr>
          <w:p w14:paraId="0D34FCC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[%(m/m)]</w:t>
            </w:r>
          </w:p>
        </w:tc>
      </w:tr>
      <w:tr w:rsidR="004D7D23" w:rsidRPr="007B192E" w14:paraId="34CDB9AF" w14:textId="77777777" w:rsidTr="008F7A94">
        <w:tc>
          <w:tcPr>
            <w:tcW w:w="2748" w:type="dxa"/>
            <w:vMerge w:val="restart"/>
          </w:tcPr>
          <w:p w14:paraId="712DA105" w14:textId="77777777" w:rsidR="00F45500" w:rsidRPr="007B192E" w:rsidRDefault="00F45500" w:rsidP="008F7A94">
            <w:pPr>
              <w:spacing w:before="120"/>
              <w:rPr>
                <w:rFonts w:ascii="Arial" w:hAnsi="Arial" w:cs="Arial"/>
                <w:color w:val="000000" w:themeColor="text1"/>
                <w:sz w:val="18"/>
                <w:szCs w:val="18"/>
              </w:rPr>
            </w:pPr>
          </w:p>
          <w:p w14:paraId="7E871E12"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Główne składniki</w:t>
            </w:r>
          </w:p>
        </w:tc>
        <w:tc>
          <w:tcPr>
            <w:tcW w:w="4436" w:type="dxa"/>
          </w:tcPr>
          <w:p w14:paraId="2099900D" w14:textId="77777777" w:rsidR="00F45500" w:rsidRPr="007B192E" w:rsidRDefault="00F45500" w:rsidP="008F7A94">
            <w:pPr>
              <w:rPr>
                <w:rFonts w:ascii="Arial" w:hAnsi="Arial" w:cs="Arial"/>
                <w:color w:val="000000" w:themeColor="text1"/>
                <w:sz w:val="18"/>
                <w:szCs w:val="18"/>
                <w:vertAlign w:val="superscript"/>
              </w:rPr>
            </w:pPr>
            <w:r w:rsidRPr="007B192E">
              <w:rPr>
                <w:rFonts w:ascii="Arial" w:hAnsi="Arial" w:cs="Arial"/>
                <w:color w:val="000000" w:themeColor="text1"/>
                <w:sz w:val="18"/>
                <w:szCs w:val="18"/>
              </w:rPr>
              <w:t xml:space="preserve">Materiały drogowe – łącznie z kruszonym betonem, niezwiązanymi kruszywami i </w:t>
            </w:r>
            <w:proofErr w:type="spellStart"/>
            <w:r w:rsidRPr="007B192E">
              <w:rPr>
                <w:rFonts w:ascii="Arial" w:hAnsi="Arial" w:cs="Arial"/>
                <w:color w:val="000000" w:themeColor="text1"/>
                <w:sz w:val="18"/>
                <w:szCs w:val="18"/>
              </w:rPr>
              <w:t>przekruszone</w:t>
            </w:r>
            <w:proofErr w:type="spellEnd"/>
            <w:r w:rsidRPr="007B192E">
              <w:rPr>
                <w:rFonts w:ascii="Arial" w:hAnsi="Arial" w:cs="Arial"/>
                <w:color w:val="000000" w:themeColor="text1"/>
                <w:sz w:val="18"/>
                <w:szCs w:val="18"/>
              </w:rPr>
              <w:t xml:space="preserve"> mieszanki kruszyw związane hydraulicznie</w:t>
            </w:r>
          </w:p>
        </w:tc>
        <w:tc>
          <w:tcPr>
            <w:tcW w:w="1684" w:type="dxa"/>
          </w:tcPr>
          <w:p w14:paraId="3E3811C6" w14:textId="77777777" w:rsidR="00F45500" w:rsidRPr="007B192E" w:rsidRDefault="00F45500" w:rsidP="008F7A94">
            <w:pPr>
              <w:spacing w:before="120"/>
              <w:jc w:val="center"/>
              <w:rPr>
                <w:rFonts w:ascii="Arial" w:hAnsi="Arial" w:cs="Arial"/>
                <w:color w:val="000000" w:themeColor="text1"/>
                <w:sz w:val="18"/>
                <w:szCs w:val="18"/>
              </w:rPr>
            </w:pPr>
          </w:p>
          <w:p w14:paraId="080EA49C"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90</w:t>
            </w:r>
          </w:p>
        </w:tc>
      </w:tr>
      <w:tr w:rsidR="004D7D23" w:rsidRPr="007B192E" w14:paraId="31A6BC11" w14:textId="77777777" w:rsidTr="008F7A94">
        <w:tc>
          <w:tcPr>
            <w:tcW w:w="2748" w:type="dxa"/>
            <w:vMerge/>
          </w:tcPr>
          <w:p w14:paraId="53592D37" w14:textId="77777777" w:rsidR="00F45500" w:rsidRPr="007B192E" w:rsidRDefault="00F45500" w:rsidP="008F7A94">
            <w:pPr>
              <w:spacing w:before="120"/>
              <w:rPr>
                <w:rFonts w:ascii="Arial" w:hAnsi="Arial" w:cs="Arial"/>
                <w:color w:val="000000" w:themeColor="text1"/>
                <w:sz w:val="18"/>
                <w:szCs w:val="18"/>
              </w:rPr>
            </w:pPr>
          </w:p>
        </w:tc>
        <w:tc>
          <w:tcPr>
            <w:tcW w:w="4436" w:type="dxa"/>
          </w:tcPr>
          <w:p w14:paraId="1F286B2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Destrukt asfaltowy</w:t>
            </w:r>
          </w:p>
        </w:tc>
        <w:tc>
          <w:tcPr>
            <w:tcW w:w="1684" w:type="dxa"/>
          </w:tcPr>
          <w:p w14:paraId="6CA283C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30</w:t>
            </w:r>
          </w:p>
        </w:tc>
      </w:tr>
      <w:tr w:rsidR="004D7D23" w:rsidRPr="007B192E" w14:paraId="00ADF139" w14:textId="77777777" w:rsidTr="008F7A94">
        <w:tc>
          <w:tcPr>
            <w:tcW w:w="2748" w:type="dxa"/>
            <w:vMerge w:val="restart"/>
          </w:tcPr>
          <w:p w14:paraId="6489B05D"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Zanieczyszczenia</w:t>
            </w:r>
          </w:p>
        </w:tc>
        <w:tc>
          <w:tcPr>
            <w:tcW w:w="4436" w:type="dxa"/>
          </w:tcPr>
          <w:p w14:paraId="113FD7F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spoiste (łącznie z gliną)</w:t>
            </w:r>
          </w:p>
        </w:tc>
        <w:tc>
          <w:tcPr>
            <w:tcW w:w="1684" w:type="dxa"/>
          </w:tcPr>
          <w:p w14:paraId="594D2C6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w:t>
            </w:r>
          </w:p>
        </w:tc>
      </w:tr>
      <w:tr w:rsidR="00F45500" w:rsidRPr="007B192E" w14:paraId="4B8B639C" w14:textId="77777777" w:rsidTr="008F7A94">
        <w:tc>
          <w:tcPr>
            <w:tcW w:w="2748" w:type="dxa"/>
            <w:vMerge/>
          </w:tcPr>
          <w:p w14:paraId="2C0BBDD9" w14:textId="77777777" w:rsidR="00F45500" w:rsidRPr="007B192E" w:rsidRDefault="00F45500" w:rsidP="008F7A94">
            <w:pPr>
              <w:rPr>
                <w:rFonts w:ascii="Arial" w:hAnsi="Arial" w:cs="Arial"/>
                <w:color w:val="000000" w:themeColor="text1"/>
                <w:sz w:val="18"/>
                <w:szCs w:val="18"/>
              </w:rPr>
            </w:pPr>
          </w:p>
        </w:tc>
        <w:tc>
          <w:tcPr>
            <w:tcW w:w="4436" w:type="dxa"/>
          </w:tcPr>
          <w:p w14:paraId="597EF2C4"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organiczne</w:t>
            </w:r>
          </w:p>
        </w:tc>
        <w:tc>
          <w:tcPr>
            <w:tcW w:w="1684" w:type="dxa"/>
          </w:tcPr>
          <w:p w14:paraId="763432B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0,1</w:t>
            </w:r>
          </w:p>
        </w:tc>
      </w:tr>
    </w:tbl>
    <w:p w14:paraId="3D7947B1" w14:textId="77777777" w:rsidR="00F45500" w:rsidRPr="007B192E" w:rsidRDefault="00F45500" w:rsidP="00F45500">
      <w:pPr>
        <w:jc w:val="right"/>
        <w:rPr>
          <w:rFonts w:ascii="Arial" w:hAnsi="Arial" w:cs="Arial"/>
          <w:b/>
          <w:color w:val="000000" w:themeColor="text1"/>
          <w:sz w:val="18"/>
          <w:szCs w:val="18"/>
        </w:rPr>
      </w:pPr>
    </w:p>
    <w:p w14:paraId="70C019FB" w14:textId="77777777" w:rsidR="00F45500" w:rsidRPr="007B192E" w:rsidRDefault="00F45500" w:rsidP="00F45500">
      <w:pPr>
        <w:spacing w:before="120" w:after="120"/>
        <w:rPr>
          <w:rFonts w:ascii="Arial" w:hAnsi="Arial" w:cs="Arial"/>
          <w:color w:val="000000" w:themeColor="text1"/>
          <w:sz w:val="18"/>
          <w:szCs w:val="18"/>
        </w:rPr>
      </w:pPr>
      <w:r w:rsidRPr="007B192E">
        <w:rPr>
          <w:rFonts w:ascii="Arial" w:hAnsi="Arial" w:cs="Arial"/>
          <w:color w:val="000000" w:themeColor="text1"/>
          <w:sz w:val="18"/>
          <w:szCs w:val="18"/>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4D7D23" w:rsidRPr="007B192E" w14:paraId="770D54BD" w14:textId="77777777" w:rsidTr="008F7A94">
        <w:tc>
          <w:tcPr>
            <w:tcW w:w="6348" w:type="dxa"/>
            <w:gridSpan w:val="2"/>
          </w:tcPr>
          <w:p w14:paraId="14B1935E"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Składniki</w:t>
            </w:r>
          </w:p>
        </w:tc>
        <w:tc>
          <w:tcPr>
            <w:tcW w:w="2520" w:type="dxa"/>
          </w:tcPr>
          <w:p w14:paraId="7B6F474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grubego kruszywa [%(m/m)]</w:t>
            </w:r>
          </w:p>
        </w:tc>
      </w:tr>
      <w:tr w:rsidR="004D7D23" w:rsidRPr="007B192E" w14:paraId="4EAAD0C4" w14:textId="77777777" w:rsidTr="008F7A94">
        <w:tc>
          <w:tcPr>
            <w:tcW w:w="2028" w:type="dxa"/>
          </w:tcPr>
          <w:p w14:paraId="5578C57A"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Główne składniki</w:t>
            </w:r>
          </w:p>
        </w:tc>
        <w:tc>
          <w:tcPr>
            <w:tcW w:w="4320" w:type="dxa"/>
          </w:tcPr>
          <w:p w14:paraId="153CCC0A" w14:textId="77777777" w:rsidR="00F45500" w:rsidRPr="007B192E" w:rsidRDefault="00F45500" w:rsidP="008F7A94">
            <w:pPr>
              <w:rPr>
                <w:rFonts w:ascii="Arial" w:hAnsi="Arial" w:cs="Arial"/>
                <w:color w:val="000000" w:themeColor="text1"/>
                <w:sz w:val="18"/>
                <w:szCs w:val="18"/>
                <w:vertAlign w:val="superscript"/>
              </w:rPr>
            </w:pPr>
            <w:r w:rsidRPr="007B192E">
              <w:rPr>
                <w:rFonts w:ascii="Arial" w:hAnsi="Arial" w:cs="Arial"/>
                <w:color w:val="000000" w:themeColor="text1"/>
                <w:sz w:val="18"/>
                <w:szCs w:val="18"/>
              </w:rPr>
              <w:t>Ziarniste substancje mineralne, łącznie ze szkłem, ceramiką, żużlem itp.</w:t>
            </w:r>
          </w:p>
        </w:tc>
        <w:tc>
          <w:tcPr>
            <w:tcW w:w="2520" w:type="dxa"/>
          </w:tcPr>
          <w:p w14:paraId="586C52A1"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90</w:t>
            </w:r>
          </w:p>
        </w:tc>
      </w:tr>
      <w:tr w:rsidR="004D7D23" w:rsidRPr="007B192E" w14:paraId="6F880A87" w14:textId="77777777" w:rsidTr="008F7A94">
        <w:tc>
          <w:tcPr>
            <w:tcW w:w="2028" w:type="dxa"/>
          </w:tcPr>
          <w:p w14:paraId="0A17C6B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Inne składniki</w:t>
            </w:r>
          </w:p>
        </w:tc>
        <w:tc>
          <w:tcPr>
            <w:tcW w:w="4320" w:type="dxa"/>
          </w:tcPr>
          <w:p w14:paraId="4D2F60A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Żelazo i inne metale</w:t>
            </w:r>
          </w:p>
        </w:tc>
        <w:tc>
          <w:tcPr>
            <w:tcW w:w="2520" w:type="dxa"/>
          </w:tcPr>
          <w:p w14:paraId="2D9CB2E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5</w:t>
            </w:r>
          </w:p>
        </w:tc>
      </w:tr>
      <w:tr w:rsidR="004D7D23" w:rsidRPr="007B192E" w14:paraId="1F34A89D" w14:textId="77777777" w:rsidTr="008F7A94">
        <w:tc>
          <w:tcPr>
            <w:tcW w:w="2028" w:type="dxa"/>
            <w:vMerge w:val="restart"/>
          </w:tcPr>
          <w:p w14:paraId="5108C93D" w14:textId="77777777" w:rsidR="00F45500" w:rsidRPr="007B192E" w:rsidRDefault="00F45500" w:rsidP="008F7A94">
            <w:pPr>
              <w:rPr>
                <w:rFonts w:ascii="Arial" w:hAnsi="Arial" w:cs="Arial"/>
                <w:color w:val="000000" w:themeColor="text1"/>
                <w:sz w:val="18"/>
                <w:szCs w:val="18"/>
              </w:rPr>
            </w:pPr>
          </w:p>
          <w:p w14:paraId="591D0E1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Zanieczyszczenia</w:t>
            </w:r>
          </w:p>
        </w:tc>
        <w:tc>
          <w:tcPr>
            <w:tcW w:w="4320" w:type="dxa"/>
          </w:tcPr>
          <w:p w14:paraId="4AB2558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niespalone</w:t>
            </w:r>
          </w:p>
        </w:tc>
        <w:tc>
          <w:tcPr>
            <w:tcW w:w="2520" w:type="dxa"/>
          </w:tcPr>
          <w:p w14:paraId="36881FB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6</w:t>
            </w:r>
          </w:p>
        </w:tc>
      </w:tr>
      <w:tr w:rsidR="004D7D23" w:rsidRPr="007B192E" w14:paraId="024E6507" w14:textId="77777777" w:rsidTr="008F7A94">
        <w:tc>
          <w:tcPr>
            <w:tcW w:w="2028" w:type="dxa"/>
            <w:vMerge/>
          </w:tcPr>
          <w:p w14:paraId="4235444F" w14:textId="77777777" w:rsidR="00F45500" w:rsidRPr="007B192E" w:rsidRDefault="00F45500" w:rsidP="008F7A94">
            <w:pPr>
              <w:rPr>
                <w:rFonts w:ascii="Arial" w:hAnsi="Arial" w:cs="Arial"/>
                <w:color w:val="000000" w:themeColor="text1"/>
                <w:sz w:val="18"/>
                <w:szCs w:val="18"/>
              </w:rPr>
            </w:pPr>
          </w:p>
        </w:tc>
        <w:tc>
          <w:tcPr>
            <w:tcW w:w="4320" w:type="dxa"/>
          </w:tcPr>
          <w:p w14:paraId="108A6A2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Składniki organiczne</w:t>
            </w:r>
          </w:p>
        </w:tc>
        <w:tc>
          <w:tcPr>
            <w:tcW w:w="2520" w:type="dxa"/>
          </w:tcPr>
          <w:p w14:paraId="29176A1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5</w:t>
            </w:r>
          </w:p>
        </w:tc>
      </w:tr>
      <w:tr w:rsidR="00F45500" w:rsidRPr="007B192E" w14:paraId="013FBD9C" w14:textId="77777777" w:rsidTr="008F7A94">
        <w:tc>
          <w:tcPr>
            <w:tcW w:w="2028" w:type="dxa"/>
            <w:vMerge/>
          </w:tcPr>
          <w:p w14:paraId="14868182" w14:textId="77777777" w:rsidR="00F45500" w:rsidRPr="007B192E" w:rsidRDefault="00F45500" w:rsidP="008F7A94">
            <w:pPr>
              <w:rPr>
                <w:rFonts w:ascii="Arial" w:hAnsi="Arial" w:cs="Arial"/>
                <w:color w:val="000000" w:themeColor="text1"/>
                <w:sz w:val="18"/>
                <w:szCs w:val="18"/>
              </w:rPr>
            </w:pPr>
          </w:p>
        </w:tc>
        <w:tc>
          <w:tcPr>
            <w:tcW w:w="4320" w:type="dxa"/>
          </w:tcPr>
          <w:p w14:paraId="0723020B"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Popiół lotny ze spalania odpadów komunalnych</w:t>
            </w:r>
          </w:p>
        </w:tc>
        <w:tc>
          <w:tcPr>
            <w:tcW w:w="2520" w:type="dxa"/>
          </w:tcPr>
          <w:p w14:paraId="651211BF"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0</w:t>
            </w:r>
          </w:p>
        </w:tc>
      </w:tr>
    </w:tbl>
    <w:p w14:paraId="0559A865" w14:textId="77777777" w:rsidR="00F45500" w:rsidRPr="007B192E" w:rsidRDefault="00F45500" w:rsidP="00F45500">
      <w:pPr>
        <w:rPr>
          <w:rFonts w:ascii="Arial" w:hAnsi="Arial" w:cs="Arial"/>
          <w:b/>
          <w:color w:val="000000" w:themeColor="text1"/>
          <w:sz w:val="18"/>
          <w:szCs w:val="18"/>
        </w:rPr>
      </w:pPr>
    </w:p>
    <w:p w14:paraId="5B9DF04D" w14:textId="77777777" w:rsidR="00F45500" w:rsidRPr="007B192E" w:rsidRDefault="00F45500" w:rsidP="00F45500">
      <w:pPr>
        <w:pStyle w:val="Standard"/>
        <w:jc w:val="both"/>
        <w:rPr>
          <w:rFonts w:ascii="Arial" w:hAnsi="Arial" w:cs="Arial"/>
          <w:color w:val="000000" w:themeColor="text1"/>
          <w:sz w:val="18"/>
          <w:szCs w:val="18"/>
        </w:rPr>
      </w:pPr>
    </w:p>
    <w:p w14:paraId="5518957E" w14:textId="77777777" w:rsidR="00F45500" w:rsidRPr="007B192E" w:rsidRDefault="00F45500" w:rsidP="00F45500">
      <w:pPr>
        <w:pStyle w:val="Standard"/>
        <w:jc w:val="both"/>
        <w:rPr>
          <w:rFonts w:ascii="Arial" w:hAnsi="Arial" w:cs="Arial"/>
          <w:color w:val="000000" w:themeColor="text1"/>
          <w:sz w:val="20"/>
          <w:szCs w:val="20"/>
        </w:rPr>
      </w:pPr>
    </w:p>
    <w:p w14:paraId="2B2BE35C" w14:textId="77777777" w:rsidR="00F45500" w:rsidRPr="004D7D23" w:rsidRDefault="00F45500" w:rsidP="00F45500">
      <w:pPr>
        <w:pStyle w:val="Standard"/>
        <w:tabs>
          <w:tab w:val="left" w:pos="142"/>
        </w:tabs>
        <w:spacing w:line="216" w:lineRule="auto"/>
        <w:jc w:val="center"/>
        <w:rPr>
          <w:rFonts w:ascii="Arial" w:hAnsi="Arial" w:cs="Arial"/>
          <w:b/>
          <w:bCs/>
          <w:color w:val="FF0000"/>
          <w:sz w:val="28"/>
          <w:szCs w:val="28"/>
        </w:rPr>
      </w:pPr>
    </w:p>
    <w:p w14:paraId="4DBDF911" w14:textId="77777777" w:rsidR="00F45500" w:rsidRPr="004D7D23" w:rsidRDefault="00F45500" w:rsidP="00F45500">
      <w:pPr>
        <w:rPr>
          <w:rFonts w:ascii="Arial" w:hAnsi="Arial" w:cs="Arial"/>
          <w:b/>
          <w:bCs/>
          <w:color w:val="FF0000"/>
          <w:sz w:val="28"/>
          <w:szCs w:val="28"/>
        </w:rPr>
      </w:pPr>
      <w:r w:rsidRPr="004D7D23">
        <w:rPr>
          <w:rFonts w:ascii="Arial" w:hAnsi="Arial" w:cs="Arial"/>
          <w:b/>
          <w:bCs/>
          <w:color w:val="FF0000"/>
          <w:sz w:val="28"/>
          <w:szCs w:val="28"/>
        </w:rPr>
        <w:br w:type="page"/>
      </w:r>
    </w:p>
    <w:p w14:paraId="0C08E74E" w14:textId="77777777" w:rsidR="00F45500" w:rsidRPr="007B192E" w:rsidRDefault="00072856" w:rsidP="00522146">
      <w:pPr>
        <w:pStyle w:val="Nagwek1"/>
        <w:jc w:val="center"/>
        <w:rPr>
          <w:color w:val="000000" w:themeColor="text1"/>
          <w:sz w:val="40"/>
        </w:rPr>
      </w:pPr>
      <w:bookmarkStart w:id="188" w:name="_Toc138757094"/>
      <w:bookmarkStart w:id="189" w:name="_Toc163481054"/>
      <w:r w:rsidRPr="007B192E">
        <w:rPr>
          <w:color w:val="000000" w:themeColor="text1"/>
          <w:sz w:val="40"/>
        </w:rPr>
        <w:lastRenderedPageBreak/>
        <w:t>D-</w:t>
      </w:r>
      <w:r w:rsidR="00522146" w:rsidRPr="007B192E">
        <w:rPr>
          <w:color w:val="000000" w:themeColor="text1"/>
          <w:sz w:val="40"/>
        </w:rPr>
        <w:t xml:space="preserve">04.04.02b </w:t>
      </w:r>
      <w:r w:rsidR="00F45500" w:rsidRPr="007B192E">
        <w:rPr>
          <w:color w:val="000000" w:themeColor="text1"/>
          <w:sz w:val="40"/>
        </w:rPr>
        <w:t>PODBUDOWA ZASADNICZA</w:t>
      </w:r>
      <w:r w:rsidR="00522146" w:rsidRPr="007B192E">
        <w:rPr>
          <w:color w:val="000000" w:themeColor="text1"/>
          <w:sz w:val="40"/>
        </w:rPr>
        <w:t xml:space="preserve"> </w:t>
      </w:r>
      <w:r w:rsidR="00F45500" w:rsidRPr="007B192E">
        <w:rPr>
          <w:color w:val="000000" w:themeColor="text1"/>
          <w:sz w:val="40"/>
        </w:rPr>
        <w:t>Z MIESZANKI KRUSZYWA NIEZWIĄZANEGO</w:t>
      </w:r>
      <w:bookmarkEnd w:id="188"/>
      <w:bookmarkEnd w:id="189"/>
    </w:p>
    <w:p w14:paraId="4C9E64EA" w14:textId="77777777" w:rsidR="00F45500" w:rsidRPr="007B192E" w:rsidRDefault="00F45500" w:rsidP="001D052E">
      <w:pPr>
        <w:pStyle w:val="Nagwek2"/>
        <w:rPr>
          <w:i w:val="0"/>
          <w:color w:val="000000" w:themeColor="text1"/>
        </w:rPr>
      </w:pPr>
      <w:r w:rsidRPr="007B192E">
        <w:rPr>
          <w:i w:val="0"/>
          <w:color w:val="000000" w:themeColor="text1"/>
        </w:rPr>
        <w:t>1. WSTĘP</w:t>
      </w:r>
    </w:p>
    <w:p w14:paraId="73924D1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4EA403EE" w14:textId="77777777" w:rsidR="00F45500" w:rsidRPr="007B192E" w:rsidRDefault="00F45500" w:rsidP="00F45500">
      <w:pPr>
        <w:pStyle w:val="Standardowytekst"/>
        <w:spacing w:line="216" w:lineRule="auto"/>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wykonaniem podbudowy zasadniczej z mieszanki kruszywa niezwiązanego.</w:t>
      </w:r>
    </w:p>
    <w:p w14:paraId="0537B17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44A0845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5D02C4F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4E4B281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wykonaniem i odbiorem podbudowy zasadniczej z mieszanki kruszywa niezwiązanego, tj. ziarnistego materiału o określonym składzie, w procesie technologicznym, polegającym na odpowiednim zagęszczeniu przy optymalnej wilgotności mieszanki.</w:t>
      </w:r>
    </w:p>
    <w:p w14:paraId="344F18C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Podbudowa zasadnicza, stanowiąca górną część podbudowy w nawierzchni drogowej, zapewnia przenoszenie obciążeń z warstw wyżej leżących na warstwę podbudowy pomocniczej i podłoże.</w:t>
      </w:r>
    </w:p>
    <w:p w14:paraId="5976A39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376EF07C" w14:textId="77777777" w:rsidR="00F45500" w:rsidRPr="007B192E" w:rsidRDefault="00F45500" w:rsidP="00F45500">
      <w:pPr>
        <w:pStyle w:val="Bezodstpw"/>
        <w:jc w:val="both"/>
        <w:rPr>
          <w:rFonts w:cs="Arial"/>
          <w:color w:val="000000" w:themeColor="text1"/>
          <w:sz w:val="18"/>
          <w:szCs w:val="18"/>
        </w:rPr>
      </w:pPr>
      <w:r w:rsidRPr="007B192E">
        <w:rPr>
          <w:rFonts w:cs="Arial"/>
          <w:b/>
          <w:color w:val="000000" w:themeColor="text1"/>
          <w:sz w:val="18"/>
          <w:szCs w:val="18"/>
        </w:rPr>
        <w:t>1.4.1.</w:t>
      </w:r>
      <w:r w:rsidRPr="007B192E">
        <w:rPr>
          <w:rFonts w:cs="Arial"/>
          <w:color w:val="000000" w:themeColor="text1"/>
          <w:sz w:val="18"/>
          <w:szCs w:val="18"/>
        </w:rPr>
        <w:t xml:space="preserve"> Mieszanka niezwiązana – ziarnisty materiał, zazwyczaj o określonym składzie ziarnowym (od d=0 do D), który jest stosowany do wykonania ulepszonego podłoża gruntowego oraz warstw konstrukcji nawierzchni dróg.</w:t>
      </w:r>
    </w:p>
    <w:p w14:paraId="360C9EF6"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1.4.2.</w:t>
      </w:r>
      <w:r w:rsidRPr="007B192E">
        <w:rPr>
          <w:rFonts w:cs="Arial"/>
          <w:color w:val="000000" w:themeColor="text1"/>
          <w:sz w:val="18"/>
          <w:szCs w:val="18"/>
        </w:rPr>
        <w:t xml:space="preserve"> Kategoria – charakterystyczny poziom właściwości kruszywa lub mieszanki niezwiązanej, wyrażony, jako przedział wartości lub wartość graniczna. Nie ma zależności pomiędzy kategoriami różnych właściwości.</w:t>
      </w:r>
    </w:p>
    <w:p w14:paraId="1D3B1C03"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1.4.3.</w:t>
      </w:r>
      <w:r w:rsidRPr="007B192E">
        <w:rPr>
          <w:rFonts w:cs="Arial"/>
          <w:color w:val="000000" w:themeColor="text1"/>
          <w:sz w:val="18"/>
          <w:szCs w:val="18"/>
        </w:rPr>
        <w:t xml:space="preserve"> Kruszywo – materiał ziarnisty stosowany w budownictwie, który może być naturalny, sztuczny lub z recyklingu.</w:t>
      </w:r>
    </w:p>
    <w:p w14:paraId="7FAE4DFE"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1.4.4.</w:t>
      </w:r>
      <w:r w:rsidRPr="007B192E">
        <w:rPr>
          <w:rFonts w:cs="Arial"/>
          <w:color w:val="000000" w:themeColor="text1"/>
          <w:sz w:val="18"/>
          <w:szCs w:val="18"/>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CF2FE3C"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1.4.7.</w:t>
      </w:r>
      <w:r w:rsidRPr="007B192E">
        <w:rPr>
          <w:rFonts w:cs="Arial"/>
          <w:color w:val="000000" w:themeColor="text1"/>
          <w:sz w:val="18"/>
          <w:szCs w:val="18"/>
        </w:rPr>
        <w:t xml:space="preserve"> Kruszywo kamienne – kruszywo z mineralnych surowców jak żwir kruszony, mechanicznie rozdrobnione skały, nadziarno żwirowe.</w:t>
      </w:r>
    </w:p>
    <w:p w14:paraId="71103277"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1.4.10.</w:t>
      </w:r>
      <w:r w:rsidRPr="007B192E">
        <w:rPr>
          <w:rFonts w:cs="Arial"/>
          <w:color w:val="000000" w:themeColor="text1"/>
          <w:sz w:val="18"/>
          <w:szCs w:val="18"/>
        </w:rPr>
        <w:t xml:space="preserve"> Kategoria ruchu (KR1÷KR6) – obciążenie drogi ruchem samochodowym, wyrażone w osiach obliczeniowych (100 </w:t>
      </w:r>
      <w:proofErr w:type="spellStart"/>
      <w:r w:rsidRPr="007B192E">
        <w:rPr>
          <w:rFonts w:cs="Arial"/>
          <w:color w:val="000000" w:themeColor="text1"/>
          <w:sz w:val="18"/>
          <w:szCs w:val="18"/>
        </w:rPr>
        <w:t>kN</w:t>
      </w:r>
      <w:proofErr w:type="spellEnd"/>
      <w:r w:rsidRPr="007B192E">
        <w:rPr>
          <w:rFonts w:cs="Arial"/>
          <w:color w:val="000000" w:themeColor="text1"/>
          <w:sz w:val="18"/>
          <w:szCs w:val="18"/>
        </w:rPr>
        <w:t>) według „Katalogu typowych konstrukcji nawierzchni podatnych i półsztywnych”. Generalna Dyrekcja Dróg Publicznych – Instytut Badawczy Dróg i Mostów, Warszawa 1997 [22]</w:t>
      </w:r>
      <w:bookmarkStart w:id="190" w:name="_GoBack1"/>
      <w:bookmarkEnd w:id="190"/>
      <w:r w:rsidRPr="007B192E">
        <w:rPr>
          <w:rFonts w:cs="Arial"/>
          <w:color w:val="000000" w:themeColor="text1"/>
          <w:sz w:val="18"/>
          <w:szCs w:val="18"/>
        </w:rPr>
        <w:t>.</w:t>
      </w:r>
    </w:p>
    <w:p w14:paraId="156CE3F0"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1.4.11</w:t>
      </w:r>
      <w:r w:rsidRPr="007B192E">
        <w:rPr>
          <w:rFonts w:cs="Arial"/>
          <w:color w:val="000000" w:themeColor="text1"/>
          <w:sz w:val="18"/>
          <w:szCs w:val="18"/>
        </w:rPr>
        <w:t xml:space="preserve">. Kruszywo grube (wg PN-EN 13242) – oznaczenie kruszywa o wymiarach ziaren </w:t>
      </w:r>
      <w:r w:rsidRPr="007B192E">
        <w:rPr>
          <w:rFonts w:cs="Arial"/>
          <w:i/>
          <w:color w:val="000000" w:themeColor="text1"/>
          <w:sz w:val="18"/>
          <w:szCs w:val="18"/>
        </w:rPr>
        <w:t xml:space="preserve">d </w:t>
      </w:r>
      <w:r w:rsidRPr="007B192E">
        <w:rPr>
          <w:rFonts w:cs="Arial"/>
          <w:color w:val="000000" w:themeColor="text1"/>
          <w:sz w:val="18"/>
          <w:szCs w:val="18"/>
        </w:rPr>
        <w:t xml:space="preserve">(dolnego) równym lub większym niż 1 mm oraz </w:t>
      </w:r>
      <w:r w:rsidRPr="007B192E">
        <w:rPr>
          <w:rFonts w:cs="Arial"/>
          <w:i/>
          <w:color w:val="000000" w:themeColor="text1"/>
          <w:sz w:val="18"/>
          <w:szCs w:val="18"/>
        </w:rPr>
        <w:t xml:space="preserve">D </w:t>
      </w:r>
      <w:r w:rsidRPr="007B192E">
        <w:rPr>
          <w:rFonts w:cs="Arial"/>
          <w:color w:val="000000" w:themeColor="text1"/>
          <w:sz w:val="18"/>
          <w:szCs w:val="18"/>
        </w:rPr>
        <w:t>(górnego) większym niż 2 mm.</w:t>
      </w:r>
    </w:p>
    <w:p w14:paraId="0D712676"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1.4.12.</w:t>
      </w:r>
      <w:r w:rsidRPr="007B192E">
        <w:rPr>
          <w:rFonts w:cs="Arial"/>
          <w:color w:val="000000" w:themeColor="text1"/>
          <w:sz w:val="18"/>
          <w:szCs w:val="18"/>
        </w:rPr>
        <w:t xml:space="preserve"> Kruszywo drobne (wg PN-EN 13242) – oznaczenie kruszywa o wymiarach ziaren </w:t>
      </w:r>
      <w:r w:rsidRPr="007B192E">
        <w:rPr>
          <w:rFonts w:cs="Arial"/>
          <w:i/>
          <w:color w:val="000000" w:themeColor="text1"/>
          <w:sz w:val="18"/>
          <w:szCs w:val="18"/>
        </w:rPr>
        <w:t>d</w:t>
      </w:r>
      <w:r w:rsidRPr="007B192E">
        <w:rPr>
          <w:rFonts w:cs="Arial"/>
          <w:color w:val="000000" w:themeColor="text1"/>
          <w:sz w:val="18"/>
          <w:szCs w:val="18"/>
        </w:rPr>
        <w:t xml:space="preserve"> równym 0 oraz </w:t>
      </w:r>
      <w:r w:rsidRPr="007B192E">
        <w:rPr>
          <w:rFonts w:cs="Arial"/>
          <w:i/>
          <w:color w:val="000000" w:themeColor="text1"/>
          <w:sz w:val="18"/>
          <w:szCs w:val="18"/>
        </w:rPr>
        <w:t>D</w:t>
      </w:r>
      <w:r w:rsidRPr="007B192E">
        <w:rPr>
          <w:rFonts w:cs="Arial"/>
          <w:color w:val="000000" w:themeColor="text1"/>
          <w:sz w:val="18"/>
          <w:szCs w:val="18"/>
        </w:rPr>
        <w:t xml:space="preserve"> równym 6,3 mm lub mniejszym.</w:t>
      </w:r>
    </w:p>
    <w:p w14:paraId="48DD4027"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1.4.13.</w:t>
      </w:r>
      <w:r w:rsidRPr="007B192E">
        <w:rPr>
          <w:rFonts w:cs="Arial"/>
          <w:color w:val="000000" w:themeColor="text1"/>
          <w:sz w:val="18"/>
          <w:szCs w:val="18"/>
        </w:rPr>
        <w:t xml:space="preserve"> Kruszywo o ciągłym uziarnieniu (wg PN-EN 13242) – kruszywo stanowiące mieszankę kruszyw grubych i drobnych, w której </w:t>
      </w:r>
      <w:r w:rsidRPr="007B192E">
        <w:rPr>
          <w:rFonts w:cs="Arial"/>
          <w:i/>
          <w:color w:val="000000" w:themeColor="text1"/>
          <w:sz w:val="18"/>
          <w:szCs w:val="18"/>
        </w:rPr>
        <w:t>D</w:t>
      </w:r>
      <w:r w:rsidRPr="007B192E">
        <w:rPr>
          <w:rFonts w:cs="Arial"/>
          <w:color w:val="000000" w:themeColor="text1"/>
          <w:sz w:val="18"/>
          <w:szCs w:val="18"/>
        </w:rPr>
        <w:t xml:space="preserve"> jest większe niż 6,3 mm.</w:t>
      </w:r>
    </w:p>
    <w:p w14:paraId="6AF2F65A"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1.4.15.</w:t>
      </w:r>
      <w:r w:rsidRPr="007B192E">
        <w:rPr>
          <w:rFonts w:cs="Arial"/>
          <w:color w:val="000000" w:themeColor="text1"/>
          <w:sz w:val="18"/>
          <w:szCs w:val="18"/>
        </w:rPr>
        <w:t xml:space="preserve"> Kruszywo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przekraczającymi ± 8%. Uziarnienie kruszywa należy sprawdzać na sitach przewidzianych do kontroli uziarnienia wg PN-EN 13285 i niniejszej ST. O zakwalifikowaniu kruszywa do kruszyw słabych decyduje największa różnica wartości przesiewów na jednym z sit kontrolnych.</w:t>
      </w:r>
    </w:p>
    <w:p w14:paraId="05E1C0E7"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1.4.16.</w:t>
      </w:r>
      <w:r w:rsidRPr="007B192E">
        <w:rPr>
          <w:rFonts w:cs="Arial"/>
          <w:color w:val="000000" w:themeColor="text1"/>
          <w:sz w:val="18"/>
          <w:szCs w:val="18"/>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40B2081A"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b/>
          <w:color w:val="000000" w:themeColor="text1"/>
          <w:sz w:val="18"/>
          <w:szCs w:val="18"/>
        </w:rPr>
        <w:t>1.4.17.</w:t>
      </w:r>
      <w:r w:rsidRPr="007B192E">
        <w:rPr>
          <w:rFonts w:cs="Arial"/>
          <w:color w:val="000000" w:themeColor="text1"/>
          <w:sz w:val="18"/>
          <w:szCs w:val="18"/>
        </w:rPr>
        <w:t xml:space="preserve"> Podbudowa zasadnicza – warstwa zapewniająca przenoszenie obciążeń z warstw wyżej leżących na warstwę podbudowy pomocniczej lub podłoże.</w:t>
      </w:r>
    </w:p>
    <w:p w14:paraId="08EDB167" w14:textId="77777777" w:rsidR="00F45500" w:rsidRPr="007B192E" w:rsidRDefault="00F45500" w:rsidP="00F45500">
      <w:pPr>
        <w:pStyle w:val="Bezodstpw"/>
        <w:spacing w:before="120" w:after="120"/>
        <w:jc w:val="both"/>
        <w:rPr>
          <w:rFonts w:cs="Arial"/>
          <w:color w:val="000000" w:themeColor="text1"/>
          <w:sz w:val="18"/>
          <w:szCs w:val="18"/>
        </w:rPr>
      </w:pPr>
      <w:r w:rsidRPr="007B192E">
        <w:rPr>
          <w:rFonts w:cs="Arial"/>
          <w:b/>
          <w:color w:val="000000" w:themeColor="text1"/>
          <w:sz w:val="18"/>
          <w:szCs w:val="18"/>
        </w:rPr>
        <w:t>1.4.18.</w:t>
      </w:r>
      <w:r w:rsidRPr="007B192E">
        <w:rPr>
          <w:rFonts w:cs="Arial"/>
          <w:color w:val="000000" w:themeColor="text1"/>
          <w:sz w:val="18"/>
          <w:szCs w:val="18"/>
        </w:rPr>
        <w:t xml:space="preserve"> Symbole i skróty dodatkowe</w:t>
      </w:r>
    </w:p>
    <w:p w14:paraId="21BB7BBC"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 m/m   procent masy,</w:t>
      </w:r>
    </w:p>
    <w:p w14:paraId="3086A16E"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NR         brak konieczności badania danej cechy,</w:t>
      </w:r>
    </w:p>
    <w:p w14:paraId="37EBD366"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CRB       kalifornijski wskaźnik nośności, %</w:t>
      </w:r>
    </w:p>
    <w:p w14:paraId="6D19D31C" w14:textId="77777777" w:rsidR="00F45500" w:rsidRPr="007B192E" w:rsidRDefault="00F45500" w:rsidP="00F45500">
      <w:pPr>
        <w:pStyle w:val="Bezodstpw"/>
        <w:ind w:left="840" w:hanging="840"/>
        <w:jc w:val="both"/>
        <w:rPr>
          <w:rFonts w:cs="Arial"/>
          <w:color w:val="000000" w:themeColor="text1"/>
          <w:sz w:val="18"/>
          <w:szCs w:val="18"/>
        </w:rPr>
      </w:pPr>
      <w:r w:rsidRPr="007B192E">
        <w:rPr>
          <w:rFonts w:cs="Arial"/>
          <w:color w:val="000000" w:themeColor="text1"/>
          <w:sz w:val="18"/>
          <w:szCs w:val="18"/>
        </w:rPr>
        <w:t>SDV   obszar  uziarnienia,  w  którym  powinna  się mieścić  krzywa  uziarnienia mieszanki (S)  deklarowana przez dostawcę/producenta,</w:t>
      </w:r>
    </w:p>
    <w:p w14:paraId="12C4B7F6" w14:textId="77777777" w:rsidR="00F45500" w:rsidRPr="007B192E" w:rsidRDefault="00F45500" w:rsidP="00F45500">
      <w:pPr>
        <w:pStyle w:val="Bezodstpw"/>
        <w:ind w:left="840" w:hanging="840"/>
        <w:jc w:val="both"/>
        <w:rPr>
          <w:rFonts w:cs="Arial"/>
          <w:color w:val="000000" w:themeColor="text1"/>
          <w:sz w:val="18"/>
          <w:szCs w:val="18"/>
        </w:rPr>
      </w:pPr>
      <w:r w:rsidRPr="007B192E">
        <w:rPr>
          <w:rFonts w:cs="Arial"/>
          <w:color w:val="000000" w:themeColor="text1"/>
          <w:sz w:val="18"/>
          <w:szCs w:val="18"/>
        </w:rPr>
        <w:t>ZKP</w:t>
      </w:r>
      <w:r w:rsidRPr="007B192E">
        <w:rPr>
          <w:rFonts w:cs="Arial"/>
          <w:color w:val="000000" w:themeColor="text1"/>
          <w:sz w:val="18"/>
          <w:szCs w:val="18"/>
        </w:rPr>
        <w:tab/>
        <w:t>zakładowa kontrola produkcji.</w:t>
      </w:r>
    </w:p>
    <w:p w14:paraId="1FD2034E"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1.4.19.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1.4.</w:t>
      </w:r>
    </w:p>
    <w:p w14:paraId="56D57DE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1.5. Ogólne wymagania dotyczące robót</w:t>
      </w:r>
    </w:p>
    <w:p w14:paraId="574B29EE"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79947FB3" w14:textId="77777777" w:rsidR="00F45500" w:rsidRPr="007B192E" w:rsidRDefault="001D052E" w:rsidP="001D052E">
      <w:pPr>
        <w:pStyle w:val="Nagwek2"/>
        <w:rPr>
          <w:i w:val="0"/>
          <w:color w:val="000000" w:themeColor="text1"/>
        </w:rPr>
      </w:pPr>
      <w:bookmarkStart w:id="191" w:name="__RefHeading__25753_1880156434"/>
      <w:r w:rsidRPr="007B192E">
        <w:rPr>
          <w:i w:val="0"/>
          <w:color w:val="000000" w:themeColor="text1"/>
        </w:rPr>
        <w:t>2. MATERIAŁY</w:t>
      </w:r>
      <w:bookmarkEnd w:id="191"/>
    </w:p>
    <w:p w14:paraId="50F3F9F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3AC9C0B7"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68F2FE9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Materiały do wykonania robót</w:t>
      </w:r>
    </w:p>
    <w:p w14:paraId="4D1E36C8"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 xml:space="preserve"> Zgodność materiałów z dokumentacją projektową</w:t>
      </w:r>
    </w:p>
    <w:p w14:paraId="1B287285"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powinny być zgodne z ustaleniami dokumentacji projektowej lub ST.</w:t>
      </w:r>
    </w:p>
    <w:p w14:paraId="79BE2650"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2.2.2. </w:t>
      </w:r>
      <w:r w:rsidRPr="007B192E">
        <w:rPr>
          <w:rFonts w:ascii="Arial" w:hAnsi="Arial" w:cs="Arial"/>
          <w:color w:val="000000" w:themeColor="text1"/>
          <w:sz w:val="18"/>
          <w:szCs w:val="18"/>
        </w:rPr>
        <w:t>Materiały wchodzące w skład mieszanki</w:t>
      </w:r>
    </w:p>
    <w:p w14:paraId="0ED0CEA4"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ab/>
        <w:t>Materiałami stosowanymi do wytwarzania mieszanek z kruszywa niezwiązanego są:</w:t>
      </w:r>
    </w:p>
    <w:p w14:paraId="7B941B8D" w14:textId="77777777" w:rsidR="00F45500" w:rsidRPr="007B192E" w:rsidRDefault="00F45500" w:rsidP="00F45500">
      <w:pPr>
        <w:pStyle w:val="Bezodstpw"/>
        <w:widowControl w:val="0"/>
        <w:numPr>
          <w:ilvl w:val="0"/>
          <w:numId w:val="42"/>
        </w:numPr>
        <w:autoSpaceDN w:val="0"/>
        <w:jc w:val="both"/>
        <w:rPr>
          <w:rFonts w:cs="Arial"/>
          <w:color w:val="000000" w:themeColor="text1"/>
          <w:sz w:val="18"/>
          <w:szCs w:val="18"/>
        </w:rPr>
      </w:pPr>
      <w:r w:rsidRPr="007B192E">
        <w:rPr>
          <w:rFonts w:cs="Arial"/>
          <w:color w:val="000000" w:themeColor="text1"/>
          <w:sz w:val="18"/>
          <w:szCs w:val="18"/>
        </w:rPr>
        <w:t>kruszywo,</w:t>
      </w:r>
    </w:p>
    <w:p w14:paraId="7BF1F657" w14:textId="77777777" w:rsidR="00F45500" w:rsidRPr="007B192E" w:rsidRDefault="00F45500" w:rsidP="00F45500">
      <w:pPr>
        <w:pStyle w:val="Bezodstpw"/>
        <w:widowControl w:val="0"/>
        <w:numPr>
          <w:ilvl w:val="0"/>
          <w:numId w:val="42"/>
        </w:numPr>
        <w:autoSpaceDN w:val="0"/>
        <w:jc w:val="both"/>
        <w:rPr>
          <w:rFonts w:cs="Arial"/>
          <w:color w:val="000000" w:themeColor="text1"/>
          <w:sz w:val="18"/>
          <w:szCs w:val="18"/>
        </w:rPr>
      </w:pPr>
      <w:r w:rsidRPr="007B192E">
        <w:rPr>
          <w:rFonts w:cs="Arial"/>
          <w:color w:val="000000" w:themeColor="text1"/>
          <w:sz w:val="18"/>
          <w:szCs w:val="18"/>
        </w:rPr>
        <w:t>woda do zraszania kruszywa.</w:t>
      </w:r>
    </w:p>
    <w:p w14:paraId="0C846D35" w14:textId="77777777" w:rsidR="00F45500" w:rsidRPr="007B192E" w:rsidRDefault="00F45500" w:rsidP="00F45500">
      <w:pPr>
        <w:pStyle w:val="Bezodstpw"/>
        <w:spacing w:before="120" w:after="120"/>
        <w:jc w:val="both"/>
        <w:rPr>
          <w:rFonts w:cs="Arial"/>
          <w:color w:val="000000" w:themeColor="text1"/>
          <w:sz w:val="18"/>
          <w:szCs w:val="18"/>
        </w:rPr>
      </w:pPr>
      <w:r w:rsidRPr="007B192E">
        <w:rPr>
          <w:rFonts w:cs="Arial"/>
          <w:b/>
          <w:color w:val="000000" w:themeColor="text1"/>
          <w:sz w:val="18"/>
          <w:szCs w:val="18"/>
        </w:rPr>
        <w:t>2.2.3</w:t>
      </w:r>
      <w:r w:rsidRPr="007B192E">
        <w:rPr>
          <w:rFonts w:cs="Arial"/>
          <w:color w:val="000000" w:themeColor="text1"/>
          <w:sz w:val="18"/>
          <w:szCs w:val="18"/>
        </w:rPr>
        <w:t>. Kruszywa</w:t>
      </w:r>
    </w:p>
    <w:p w14:paraId="4F5E38A2" w14:textId="77777777" w:rsidR="00F45500" w:rsidRPr="007B192E" w:rsidRDefault="00F45500" w:rsidP="00F45500">
      <w:pPr>
        <w:pStyle w:val="Standard"/>
        <w:tabs>
          <w:tab w:val="left" w:pos="600"/>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mieszanek na warstwy podbudowy zasadniczej należy stosować wyłącznie kruszywa powstałe z mechanicznego </w:t>
      </w:r>
      <w:proofErr w:type="spellStart"/>
      <w:r w:rsidRPr="007B192E">
        <w:rPr>
          <w:rFonts w:ascii="Arial" w:hAnsi="Arial" w:cs="Arial"/>
          <w:color w:val="000000" w:themeColor="text1"/>
          <w:sz w:val="18"/>
          <w:szCs w:val="18"/>
        </w:rPr>
        <w:t>przekruszenia</w:t>
      </w:r>
      <w:proofErr w:type="spellEnd"/>
      <w:r w:rsidRPr="007B192E">
        <w:rPr>
          <w:rFonts w:ascii="Arial" w:hAnsi="Arial" w:cs="Arial"/>
          <w:color w:val="000000" w:themeColor="text1"/>
          <w:sz w:val="18"/>
          <w:szCs w:val="18"/>
        </w:rPr>
        <w:t xml:space="preserve"> skał litych.</w:t>
      </w:r>
    </w:p>
    <w:p w14:paraId="6CAF8966" w14:textId="77777777" w:rsidR="00F45500" w:rsidRPr="007B192E" w:rsidRDefault="00F45500" w:rsidP="00F45500">
      <w:pPr>
        <w:pStyle w:val="Standard"/>
        <w:jc w:val="both"/>
        <w:rPr>
          <w:rFonts w:ascii="Arial" w:hAnsi="Arial" w:cs="Arial"/>
          <w:color w:val="000000" w:themeColor="text1"/>
          <w:sz w:val="18"/>
          <w:szCs w:val="18"/>
        </w:rPr>
      </w:pPr>
    </w:p>
    <w:p w14:paraId="2536F32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Wymagania wobec kruszywa do warstwy podbudowy zasadniczej przedstawia tablica 1.</w:t>
      </w:r>
    </w:p>
    <w:p w14:paraId="481A3A8A" w14:textId="77777777" w:rsidR="00F45500" w:rsidRPr="007B192E" w:rsidRDefault="00F45500" w:rsidP="00F45500">
      <w:pPr>
        <w:pStyle w:val="Standard"/>
        <w:jc w:val="both"/>
        <w:rPr>
          <w:rFonts w:ascii="Arial" w:hAnsi="Arial" w:cs="Arial"/>
          <w:color w:val="000000" w:themeColor="text1"/>
          <w:sz w:val="18"/>
          <w:szCs w:val="18"/>
        </w:rPr>
      </w:pPr>
    </w:p>
    <w:p w14:paraId="31449C25" w14:textId="77777777" w:rsidR="00F45500" w:rsidRPr="007B192E" w:rsidRDefault="00F45500" w:rsidP="00F45500">
      <w:pPr>
        <w:pStyle w:val="Bezodstpw"/>
        <w:tabs>
          <w:tab w:val="left" w:pos="2334"/>
        </w:tabs>
        <w:ind w:left="1200" w:hanging="1200"/>
        <w:jc w:val="both"/>
        <w:rPr>
          <w:rFonts w:cs="Arial"/>
          <w:color w:val="000000" w:themeColor="text1"/>
          <w:sz w:val="18"/>
          <w:szCs w:val="18"/>
        </w:rPr>
      </w:pPr>
      <w:r w:rsidRPr="007B192E">
        <w:rPr>
          <w:rFonts w:cs="Arial"/>
          <w:color w:val="000000" w:themeColor="text1"/>
          <w:sz w:val="18"/>
          <w:szCs w:val="18"/>
        </w:rPr>
        <w:t>Tablica 1.</w:t>
      </w:r>
      <w:r w:rsidRPr="007B192E">
        <w:rPr>
          <w:rFonts w:cs="Arial"/>
          <w:color w:val="000000" w:themeColor="text1"/>
          <w:sz w:val="18"/>
          <w:szCs w:val="18"/>
        </w:rPr>
        <w:tab/>
        <w:t>Wymagania według WT-4 [20] i PN-EN 13242 [16] wobec kruszyw do mieszanek niezwiązanych w warstwie podbudowy zasadniczej</w:t>
      </w:r>
    </w:p>
    <w:p w14:paraId="30271361" w14:textId="77777777" w:rsidR="00F45500" w:rsidRPr="007B192E" w:rsidRDefault="00F45500" w:rsidP="00F45500">
      <w:pPr>
        <w:pStyle w:val="Bezodstpw"/>
        <w:spacing w:before="120" w:after="120"/>
        <w:ind w:left="2280" w:hanging="2280"/>
        <w:jc w:val="both"/>
        <w:rPr>
          <w:rFonts w:cs="Arial"/>
          <w:color w:val="000000" w:themeColor="text1"/>
          <w:sz w:val="18"/>
          <w:szCs w:val="18"/>
        </w:rPr>
      </w:pPr>
      <w:r w:rsidRPr="007B192E">
        <w:rPr>
          <w:rFonts w:cs="Arial"/>
          <w:color w:val="000000" w:themeColor="text1"/>
          <w:sz w:val="18"/>
          <w:szCs w:val="18"/>
        </w:rPr>
        <w:t xml:space="preserve">Skróty użyte w tablicy: Kat. – kategoria właściwości,  </w:t>
      </w:r>
      <w:proofErr w:type="spellStart"/>
      <w:r w:rsidRPr="007B192E">
        <w:rPr>
          <w:rFonts w:cs="Arial"/>
          <w:color w:val="000000" w:themeColor="text1"/>
          <w:sz w:val="18"/>
          <w:szCs w:val="18"/>
        </w:rPr>
        <w:t>Dekl</w:t>
      </w:r>
      <w:proofErr w:type="spellEnd"/>
      <w:r w:rsidRPr="007B192E">
        <w:rPr>
          <w:rFonts w:cs="Arial"/>
          <w:color w:val="000000" w:themeColor="text1"/>
          <w:sz w:val="18"/>
          <w:szCs w:val="18"/>
        </w:rPr>
        <w:t xml:space="preserve"> – deklarowana,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xml:space="preserve">. – wskaźnik,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xml:space="preserve">. – współczynnik, </w:t>
      </w:r>
      <w:r w:rsidRPr="007B192E">
        <w:rPr>
          <w:rFonts w:cs="Arial"/>
          <w:color w:val="000000" w:themeColor="text1"/>
          <w:sz w:val="18"/>
          <w:szCs w:val="18"/>
        </w:rPr>
        <w:br/>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-rozdział</w:t>
      </w:r>
    </w:p>
    <w:tbl>
      <w:tblPr>
        <w:tblW w:w="9638" w:type="dxa"/>
        <w:jc w:val="center"/>
        <w:tblLayout w:type="fixed"/>
        <w:tblCellMar>
          <w:left w:w="10" w:type="dxa"/>
          <w:right w:w="10" w:type="dxa"/>
        </w:tblCellMar>
        <w:tblLook w:val="0000" w:firstRow="0" w:lastRow="0" w:firstColumn="0" w:lastColumn="0" w:noHBand="0" w:noVBand="0"/>
      </w:tblPr>
      <w:tblGrid>
        <w:gridCol w:w="3223"/>
        <w:gridCol w:w="1185"/>
        <w:gridCol w:w="741"/>
        <w:gridCol w:w="4489"/>
      </w:tblGrid>
      <w:tr w:rsidR="004D7D23" w:rsidRPr="007B192E" w14:paraId="3D3679E7" w14:textId="77777777" w:rsidTr="008F7A94">
        <w:trPr>
          <w:jc w:val="center"/>
        </w:trPr>
        <w:tc>
          <w:tcPr>
            <w:tcW w:w="3223"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61F453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Właściwość</w:t>
            </w:r>
          </w:p>
          <w:p w14:paraId="58AEDB5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kruszywa</w:t>
            </w:r>
          </w:p>
        </w:tc>
        <w:tc>
          <w:tcPr>
            <w:tcW w:w="1185"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472197A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Metoda</w:t>
            </w:r>
          </w:p>
          <w:p w14:paraId="6EC4F0C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badania</w:t>
            </w:r>
          </w:p>
          <w:p w14:paraId="1457260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wg</w:t>
            </w:r>
          </w:p>
        </w:tc>
        <w:tc>
          <w:tcPr>
            <w:tcW w:w="523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E5B3CC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Wymagania wobec kruszywa do mieszanek niezwiązanych, przeznaczonych do zastosowania w warstwie podbudowy zasadniczej pod nawierzchnią drogi</w:t>
            </w:r>
          </w:p>
        </w:tc>
      </w:tr>
      <w:tr w:rsidR="004D7D23" w:rsidRPr="007B192E" w14:paraId="5CC6296F" w14:textId="77777777" w:rsidTr="008F7A94">
        <w:trPr>
          <w:trHeight w:val="476"/>
          <w:jc w:val="center"/>
        </w:trPr>
        <w:tc>
          <w:tcPr>
            <w:tcW w:w="3223"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DEF58F9" w14:textId="77777777" w:rsidR="00F45500" w:rsidRPr="007B192E" w:rsidRDefault="00F45500" w:rsidP="008F7A94">
            <w:pPr>
              <w:rPr>
                <w:rFonts w:ascii="Arial" w:hAnsi="Arial" w:cs="Arial"/>
                <w:color w:val="000000" w:themeColor="text1"/>
                <w:sz w:val="18"/>
                <w:szCs w:val="18"/>
              </w:rPr>
            </w:pPr>
          </w:p>
        </w:tc>
        <w:tc>
          <w:tcPr>
            <w:tcW w:w="1185"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1235424B" w14:textId="77777777" w:rsidR="00F45500" w:rsidRPr="007B192E" w:rsidRDefault="00F45500" w:rsidP="008F7A94">
            <w:pPr>
              <w:rPr>
                <w:rFonts w:ascii="Arial" w:hAnsi="Arial"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03CF83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Punkt</w:t>
            </w:r>
          </w:p>
          <w:p w14:paraId="5E0AF59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657CE17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13242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2E1BDB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Wymagania</w:t>
            </w:r>
          </w:p>
          <w:p w14:paraId="2937CD27" w14:textId="77777777" w:rsidR="00F45500" w:rsidRPr="007B192E" w:rsidRDefault="00F45500" w:rsidP="008F7A94">
            <w:pPr>
              <w:pStyle w:val="Bezodstpw"/>
              <w:jc w:val="both"/>
              <w:rPr>
                <w:rFonts w:cs="Arial"/>
                <w:color w:val="000000" w:themeColor="text1"/>
                <w:sz w:val="18"/>
                <w:szCs w:val="18"/>
              </w:rPr>
            </w:pPr>
          </w:p>
        </w:tc>
      </w:tr>
      <w:tr w:rsidR="004D7D23" w:rsidRPr="007B192E" w14:paraId="681A3458"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930771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Zestaw sit #</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356940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7B7A0AD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4.1-4.2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3FDBCD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0,063; 0,5; 1; 2; 4; 5,6; 8; 11,2; 16; 22,4; 31,5; 45; 63 i 90 mm (zestaw podstawowy plus zestaw 1)</w:t>
            </w:r>
          </w:p>
          <w:p w14:paraId="0842072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 Wszystkie frakcje dozwolone</w:t>
            </w:r>
          </w:p>
        </w:tc>
      </w:tr>
      <w:tr w:rsidR="004D7D23" w:rsidRPr="007B192E" w14:paraId="4AF4F550"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056FC7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Uziarnienie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3421568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7E0129F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933-1[5]</w:t>
            </w:r>
          </w:p>
          <w:p w14:paraId="0DB40064" w14:textId="77777777" w:rsidR="00F45500" w:rsidRPr="007B192E"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4D7FA20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4.3.1</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775B4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Kruszywo grube: kat. G</w:t>
            </w:r>
            <w:r w:rsidRPr="007B192E">
              <w:rPr>
                <w:rFonts w:cs="Arial"/>
                <w:color w:val="000000" w:themeColor="text1"/>
                <w:sz w:val="18"/>
                <w:szCs w:val="18"/>
                <w:vertAlign w:val="subscript"/>
              </w:rPr>
              <w:t>C</w:t>
            </w:r>
            <w:r w:rsidRPr="007B192E">
              <w:rPr>
                <w:rFonts w:cs="Arial"/>
                <w:color w:val="000000" w:themeColor="text1"/>
                <w:sz w:val="18"/>
                <w:szCs w:val="18"/>
              </w:rPr>
              <w:t>80/20,   kruszywo drobne: kat. G</w:t>
            </w:r>
            <w:r w:rsidRPr="007B192E">
              <w:rPr>
                <w:rFonts w:cs="Arial"/>
                <w:color w:val="000000" w:themeColor="text1"/>
                <w:sz w:val="18"/>
                <w:szCs w:val="18"/>
                <w:vertAlign w:val="subscript"/>
              </w:rPr>
              <w:t>F</w:t>
            </w:r>
            <w:r w:rsidRPr="007B192E">
              <w:rPr>
                <w:rFonts w:cs="Arial"/>
                <w:color w:val="000000" w:themeColor="text1"/>
                <w:sz w:val="18"/>
                <w:szCs w:val="18"/>
              </w:rPr>
              <w:t>80,   kruszywo o ciągłym uziarnieniu: kat. G</w:t>
            </w:r>
            <w:r w:rsidRPr="007B192E">
              <w:rPr>
                <w:rFonts w:cs="Arial"/>
                <w:color w:val="000000" w:themeColor="text1"/>
                <w:sz w:val="18"/>
                <w:szCs w:val="18"/>
                <w:vertAlign w:val="subscript"/>
              </w:rPr>
              <w:t>A</w:t>
            </w:r>
            <w:r w:rsidRPr="007B192E">
              <w:rPr>
                <w:rFonts w:cs="Arial"/>
                <w:color w:val="000000" w:themeColor="text1"/>
                <w:sz w:val="18"/>
                <w:szCs w:val="18"/>
              </w:rPr>
              <w:t xml:space="preserve">75.   </w:t>
            </w:r>
          </w:p>
          <w:p w14:paraId="61F68FB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Uziarnienie mieszanek kruszywa wg rysunków 1÷3</w:t>
            </w:r>
          </w:p>
        </w:tc>
      </w:tr>
      <w:tr w:rsidR="004D7D23" w:rsidRPr="007B192E" w14:paraId="026E100E" w14:textId="77777777" w:rsidTr="008F7A94">
        <w:trPr>
          <w:trHeight w:val="433"/>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273EBF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Ogólne granice i tolerancje uziarnienia kruszywa grubego na sitach pośrednich</w:t>
            </w:r>
          </w:p>
          <w:p w14:paraId="2430E7EF" w14:textId="77777777" w:rsidR="00F45500" w:rsidRPr="007B192E" w:rsidRDefault="00F45500" w:rsidP="008F7A94">
            <w:pPr>
              <w:pStyle w:val="Bezodstpw"/>
              <w:jc w:val="both"/>
              <w:rPr>
                <w:rFonts w:cs="Arial"/>
                <w:color w:val="000000" w:themeColor="text1"/>
                <w:sz w:val="18"/>
                <w:szCs w:val="18"/>
              </w:rPr>
            </w:pP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33E76F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0E65E17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933-1 [5]</w:t>
            </w:r>
          </w:p>
          <w:p w14:paraId="7586FA2E" w14:textId="77777777" w:rsidR="00F45500" w:rsidRPr="007B192E"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6389BC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4.3.2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BD6F9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GT</w:t>
            </w:r>
            <w:r w:rsidRPr="007B192E">
              <w:rPr>
                <w:rFonts w:cs="Arial"/>
                <w:color w:val="000000" w:themeColor="text1"/>
                <w:sz w:val="18"/>
                <w:szCs w:val="18"/>
                <w:vertAlign w:val="subscript"/>
              </w:rPr>
              <w:t>C</w:t>
            </w:r>
            <w:r w:rsidRPr="007B192E">
              <w:rPr>
                <w:rFonts w:cs="Arial"/>
                <w:color w:val="000000" w:themeColor="text1"/>
                <w:sz w:val="18"/>
                <w:szCs w:val="18"/>
              </w:rPr>
              <w:t>20/15 (tj. dla stosunku D/d ≥2 i sita o pośrednich wymiarach D/1,4 ogólne granice wynoszą 20-70% przechodzącej masy i graniczne odchylenia od typowego uziarnienia deklarowanego przez producenta wynoszą ±15%)</w:t>
            </w:r>
          </w:p>
        </w:tc>
      </w:tr>
      <w:tr w:rsidR="004D7D23" w:rsidRPr="007B192E" w14:paraId="706E5CBA"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36A9EA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Tolerancje typowego uziarnienia </w:t>
            </w:r>
            <w:proofErr w:type="spellStart"/>
            <w:r w:rsidRPr="007B192E">
              <w:rPr>
                <w:rFonts w:cs="Arial"/>
                <w:color w:val="000000" w:themeColor="text1"/>
                <w:sz w:val="18"/>
                <w:szCs w:val="18"/>
              </w:rPr>
              <w:t>kru</w:t>
            </w:r>
            <w:proofErr w:type="spellEnd"/>
            <w:r w:rsidRPr="007B192E">
              <w:rPr>
                <w:rFonts w:cs="Arial"/>
                <w:color w:val="000000" w:themeColor="text1"/>
                <w:sz w:val="18"/>
                <w:szCs w:val="18"/>
              </w:rPr>
              <w:t>-</w:t>
            </w:r>
            <w:r w:rsidRPr="007B192E">
              <w:rPr>
                <w:rFonts w:cs="Arial"/>
                <w:color w:val="000000" w:themeColor="text1"/>
                <w:sz w:val="18"/>
                <w:szCs w:val="18"/>
              </w:rPr>
              <w:br/>
            </w:r>
            <w:proofErr w:type="spellStart"/>
            <w:r w:rsidRPr="007B192E">
              <w:rPr>
                <w:rFonts w:cs="Arial"/>
                <w:color w:val="000000" w:themeColor="text1"/>
                <w:sz w:val="18"/>
                <w:szCs w:val="18"/>
              </w:rPr>
              <w:t>szywa</w:t>
            </w:r>
            <w:proofErr w:type="spellEnd"/>
            <w:r w:rsidRPr="007B192E">
              <w:rPr>
                <w:rFonts w:cs="Arial"/>
                <w:color w:val="000000" w:themeColor="text1"/>
                <w:sz w:val="18"/>
                <w:szCs w:val="18"/>
              </w:rPr>
              <w:t xml:space="preserve"> drobnego i kruszywa o ciągłym uziarnieniu</w:t>
            </w:r>
            <w:r w:rsidRPr="007B192E">
              <w:rPr>
                <w:rFonts w:cs="Arial"/>
                <w:color w:val="000000" w:themeColor="text1"/>
                <w:sz w:val="18"/>
                <w:szCs w:val="18"/>
              </w:rPr>
              <w:br/>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3C558E5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394375E1"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933-1 [5]</w:t>
            </w:r>
          </w:p>
          <w:p w14:paraId="6C0E0862" w14:textId="77777777" w:rsidR="00F45500" w:rsidRPr="007B192E" w:rsidRDefault="00F45500" w:rsidP="008F7A94">
            <w:pPr>
              <w:pStyle w:val="Bezodstpw"/>
              <w:jc w:val="both"/>
              <w:rPr>
                <w:rFonts w:cs="Arial"/>
                <w:color w:val="000000" w:themeColor="text1"/>
                <w:sz w:val="18"/>
                <w:szCs w:val="18"/>
              </w:rPr>
            </w:pP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71649B0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4.3.3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9C261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Kruszywo drobne: kat. GT</w:t>
            </w:r>
            <w:r w:rsidRPr="007B192E">
              <w:rPr>
                <w:rFonts w:cs="Arial"/>
                <w:color w:val="000000" w:themeColor="text1"/>
                <w:sz w:val="18"/>
                <w:szCs w:val="18"/>
                <w:vertAlign w:val="subscript"/>
              </w:rPr>
              <w:t>F</w:t>
            </w:r>
            <w:r w:rsidRPr="007B192E">
              <w:rPr>
                <w:rFonts w:cs="Arial"/>
                <w:color w:val="000000" w:themeColor="text1"/>
                <w:sz w:val="18"/>
                <w:szCs w:val="18"/>
              </w:rPr>
              <w:t>10 (tj. procent masy przechodzącej przez sito górne D: ±5%, sito D/2: ±10%, sito 0,063 mm: ±3%).Kruszywo o ciągłym uziarnieniu: kat. GT</w:t>
            </w:r>
            <w:r w:rsidRPr="007B192E">
              <w:rPr>
                <w:rFonts w:cs="Arial"/>
                <w:color w:val="000000" w:themeColor="text1"/>
                <w:sz w:val="18"/>
                <w:szCs w:val="18"/>
                <w:vertAlign w:val="subscript"/>
              </w:rPr>
              <w:t>A</w:t>
            </w:r>
            <w:r w:rsidRPr="007B192E">
              <w:rPr>
                <w:rFonts w:cs="Arial"/>
                <w:color w:val="000000" w:themeColor="text1"/>
                <w:sz w:val="18"/>
                <w:szCs w:val="18"/>
              </w:rPr>
              <w:t>20 (tj. procent masy przechodzącej przez sito górne D: ±5%, sito D/2: ±20%, sito 0,063 mm: ±4%)</w:t>
            </w:r>
          </w:p>
        </w:tc>
      </w:tr>
      <w:tr w:rsidR="004D7D23" w:rsidRPr="007B192E" w14:paraId="69A222AD" w14:textId="77777777" w:rsidTr="008F7A94">
        <w:trPr>
          <w:trHeight w:val="671"/>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4E84EF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Kształt kruszywa grubego – maksymalne wartości wskaź</w:t>
            </w:r>
            <w:r w:rsidRPr="007B192E">
              <w:rPr>
                <w:rFonts w:cs="Arial"/>
                <w:color w:val="000000" w:themeColor="text1"/>
                <w:sz w:val="18"/>
                <w:szCs w:val="18"/>
              </w:rPr>
              <w:softHyphen/>
              <w:t>nika płaskości</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F2B573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6CBCC25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933-3  [6]</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079B31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D9626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FI</w:t>
            </w:r>
            <w:r w:rsidRPr="007B192E">
              <w:rPr>
                <w:rFonts w:cs="Arial"/>
                <w:color w:val="000000" w:themeColor="text1"/>
                <w:sz w:val="18"/>
                <w:szCs w:val="18"/>
                <w:vertAlign w:val="subscript"/>
              </w:rPr>
              <w:t xml:space="preserve">50 </w:t>
            </w:r>
            <w:r w:rsidRPr="007B192E">
              <w:rPr>
                <w:rFonts w:cs="Arial"/>
                <w:color w:val="000000" w:themeColor="text1"/>
                <w:sz w:val="18"/>
                <w:szCs w:val="18"/>
              </w:rPr>
              <w:t>(tj. maksymalna wartość wskaźnika płaskości wynosi ≤ 50)</w:t>
            </w:r>
          </w:p>
        </w:tc>
      </w:tr>
      <w:tr w:rsidR="004D7D23" w:rsidRPr="007B192E" w14:paraId="05D131F5"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0C19257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Kształt kruszywa grubego – maksymalne wartości wskaźnika kształtu</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3BBFC95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479BA01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933-4  [7]</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8586C0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34A601"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SI</w:t>
            </w:r>
            <w:r w:rsidRPr="007B192E">
              <w:rPr>
                <w:rFonts w:cs="Arial"/>
                <w:color w:val="000000" w:themeColor="text1"/>
                <w:sz w:val="18"/>
                <w:szCs w:val="18"/>
                <w:vertAlign w:val="subscript"/>
              </w:rPr>
              <w:t xml:space="preserve">55 </w:t>
            </w:r>
            <w:r w:rsidRPr="007B192E">
              <w:rPr>
                <w:rFonts w:cs="Arial"/>
                <w:color w:val="000000" w:themeColor="text1"/>
                <w:sz w:val="18"/>
                <w:szCs w:val="18"/>
              </w:rPr>
              <w:t>(tj. maksymalna wartość wskaźnika kształtu wynosi ≤ 55)</w:t>
            </w:r>
          </w:p>
        </w:tc>
      </w:tr>
      <w:tr w:rsidR="004D7D23" w:rsidRPr="007B192E" w14:paraId="1C430819"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5764351"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Kategorie procentowych zawartości ziaren o powierzchni </w:t>
            </w:r>
            <w:proofErr w:type="spellStart"/>
            <w:r w:rsidRPr="007B192E">
              <w:rPr>
                <w:rFonts w:cs="Arial"/>
                <w:color w:val="000000" w:themeColor="text1"/>
                <w:sz w:val="18"/>
                <w:szCs w:val="18"/>
              </w:rPr>
              <w:t>przekruszonej</w:t>
            </w:r>
            <w:proofErr w:type="spellEnd"/>
            <w:r w:rsidRPr="007B192E">
              <w:rPr>
                <w:rFonts w:cs="Arial"/>
                <w:color w:val="000000" w:themeColor="text1"/>
                <w:sz w:val="18"/>
                <w:szCs w:val="18"/>
              </w:rPr>
              <w:t xml:space="preserve"> lub łamanych oraz ziaren całkowicie za</w:t>
            </w:r>
            <w:r w:rsidRPr="007B192E">
              <w:rPr>
                <w:rFonts w:cs="Arial"/>
                <w:color w:val="000000" w:themeColor="text1"/>
                <w:sz w:val="18"/>
                <w:szCs w:val="18"/>
              </w:rPr>
              <w:softHyphen/>
              <w:t>okrąglonych w kruszywie grubym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50166E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01D6462D"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933-5 [8]</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144EE90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4.5</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4F036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C</w:t>
            </w:r>
            <w:r w:rsidRPr="007B192E">
              <w:rPr>
                <w:rFonts w:cs="Arial"/>
                <w:color w:val="000000" w:themeColor="text1"/>
                <w:sz w:val="18"/>
                <w:szCs w:val="18"/>
                <w:vertAlign w:val="subscript"/>
              </w:rPr>
              <w:t>90/3</w:t>
            </w:r>
            <w:r w:rsidRPr="007B192E">
              <w:rPr>
                <w:rFonts w:cs="Arial"/>
                <w:color w:val="000000" w:themeColor="text1"/>
                <w:sz w:val="18"/>
                <w:szCs w:val="18"/>
              </w:rPr>
              <w:t xml:space="preserve"> (tj. masa </w:t>
            </w:r>
            <w:proofErr w:type="spellStart"/>
            <w:r w:rsidRPr="007B192E">
              <w:rPr>
                <w:rFonts w:cs="Arial"/>
                <w:color w:val="000000" w:themeColor="text1"/>
                <w:sz w:val="18"/>
                <w:szCs w:val="18"/>
              </w:rPr>
              <w:t>ziarn</w:t>
            </w:r>
            <w:proofErr w:type="spellEnd"/>
            <w:r w:rsidRPr="007B192E">
              <w:rPr>
                <w:rFonts w:cs="Arial"/>
                <w:color w:val="000000" w:themeColor="text1"/>
                <w:sz w:val="18"/>
                <w:szCs w:val="18"/>
              </w:rPr>
              <w:t xml:space="preserve"> </w:t>
            </w:r>
            <w:proofErr w:type="spellStart"/>
            <w:r w:rsidRPr="007B192E">
              <w:rPr>
                <w:rFonts w:cs="Arial"/>
                <w:color w:val="000000" w:themeColor="text1"/>
                <w:sz w:val="18"/>
                <w:szCs w:val="18"/>
              </w:rPr>
              <w:t>przekruszonych</w:t>
            </w:r>
            <w:proofErr w:type="spellEnd"/>
            <w:r w:rsidRPr="007B192E">
              <w:rPr>
                <w:rFonts w:cs="Arial"/>
                <w:color w:val="000000" w:themeColor="text1"/>
                <w:sz w:val="18"/>
                <w:szCs w:val="18"/>
              </w:rPr>
              <w:t xml:space="preserve"> lub łamanych wynosi 90 do 100 %, a masa </w:t>
            </w:r>
            <w:proofErr w:type="spellStart"/>
            <w:r w:rsidRPr="007B192E">
              <w:rPr>
                <w:rFonts w:cs="Arial"/>
                <w:color w:val="000000" w:themeColor="text1"/>
                <w:sz w:val="18"/>
                <w:szCs w:val="18"/>
              </w:rPr>
              <w:t>ziarn</w:t>
            </w:r>
            <w:proofErr w:type="spellEnd"/>
            <w:r w:rsidRPr="007B192E">
              <w:rPr>
                <w:rFonts w:cs="Arial"/>
                <w:color w:val="000000" w:themeColor="text1"/>
                <w:sz w:val="18"/>
                <w:szCs w:val="18"/>
              </w:rPr>
              <w:t xml:space="preserve"> całkowicie zaokrąglonych wynosi 0 do 3 %)</w:t>
            </w:r>
          </w:p>
        </w:tc>
      </w:tr>
      <w:tr w:rsidR="004D7D23" w:rsidRPr="007B192E" w14:paraId="6C5F68AC"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29A73F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Zawartość pyłów w kruszywie grubym</w:t>
            </w:r>
            <w:r w:rsidRPr="007B192E">
              <w:rPr>
                <w:rFonts w:cs="Arial"/>
                <w:color w:val="000000" w:themeColor="text1"/>
                <w:sz w:val="18"/>
                <w:szCs w:val="18"/>
                <w:vertAlign w:val="superscript"/>
              </w:rPr>
              <w:t>*)</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A5F65C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08D0731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933-1 [5]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FDBED2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4.6</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24F88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w:t>
            </w:r>
            <w:r w:rsidRPr="007B192E">
              <w:rPr>
                <w:rFonts w:cs="Arial"/>
                <w:color w:val="000000" w:themeColor="text1"/>
                <w:sz w:val="18"/>
                <w:szCs w:val="18"/>
                <w:vertAlign w:val="subscript"/>
              </w:rPr>
              <w:t>Dekl</w:t>
            </w:r>
            <w:proofErr w:type="spellEnd"/>
            <w:r w:rsidRPr="007B192E">
              <w:rPr>
                <w:rFonts w:cs="Arial"/>
                <w:color w:val="000000" w:themeColor="text1"/>
                <w:sz w:val="18"/>
                <w:szCs w:val="18"/>
              </w:rPr>
              <w:t xml:space="preserve">  (tj. masa frakcji przechodzącej przez sito 0,063 mm jest &gt; 4)</w:t>
            </w:r>
          </w:p>
        </w:tc>
      </w:tr>
      <w:tr w:rsidR="004D7D23" w:rsidRPr="007B192E" w14:paraId="78B61FD8"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233F84A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Zawartość pyłów</w:t>
            </w:r>
            <w:r w:rsidRPr="007B192E">
              <w:rPr>
                <w:rFonts w:cs="Arial"/>
                <w:color w:val="000000" w:themeColor="text1"/>
                <w:sz w:val="18"/>
                <w:szCs w:val="18"/>
                <w:vertAlign w:val="superscript"/>
              </w:rPr>
              <w:t xml:space="preserve">  </w:t>
            </w:r>
            <w:r w:rsidRPr="007B192E">
              <w:rPr>
                <w:rFonts w:cs="Arial"/>
                <w:color w:val="000000" w:themeColor="text1"/>
                <w:sz w:val="18"/>
                <w:szCs w:val="18"/>
              </w:rPr>
              <w:t xml:space="preserve"> w  kruszywie drob</w:t>
            </w:r>
            <w:r w:rsidRPr="007B192E">
              <w:rPr>
                <w:rFonts w:cs="Arial"/>
                <w:color w:val="000000" w:themeColor="text1"/>
                <w:sz w:val="18"/>
                <w:szCs w:val="18"/>
              </w:rPr>
              <w:softHyphen/>
              <w:t>nym</w:t>
            </w:r>
            <w:r w:rsidRPr="007B192E">
              <w:rPr>
                <w:rFonts w:cs="Arial"/>
                <w:color w:val="000000" w:themeColor="text1"/>
                <w:sz w:val="18"/>
                <w:szCs w:val="18"/>
                <w:vertAlign w:val="superscript"/>
              </w:rPr>
              <w:t>*)</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56D09903"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PN-EN   </w:t>
            </w:r>
          </w:p>
          <w:p w14:paraId="1B8AF79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933-1 [5]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D48F3C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4.6</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BC312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w:t>
            </w:r>
            <w:r w:rsidRPr="007B192E">
              <w:rPr>
                <w:rFonts w:cs="Arial"/>
                <w:color w:val="000000" w:themeColor="text1"/>
                <w:sz w:val="18"/>
                <w:szCs w:val="18"/>
                <w:vertAlign w:val="subscript"/>
              </w:rPr>
              <w:t>Dekl</w:t>
            </w:r>
            <w:proofErr w:type="spellEnd"/>
            <w:r w:rsidRPr="007B192E">
              <w:rPr>
                <w:rFonts w:cs="Arial"/>
                <w:color w:val="000000" w:themeColor="text1"/>
                <w:sz w:val="18"/>
                <w:szCs w:val="18"/>
              </w:rPr>
              <w:t xml:space="preserve">  (tj. masa frakcji przechodzącej przez sito 0,063 mm jest &gt; 22)</w:t>
            </w:r>
          </w:p>
        </w:tc>
      </w:tr>
      <w:tr w:rsidR="004D7D23" w:rsidRPr="007B192E" w14:paraId="3BE78091"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7DF0A5A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Jakość pyłów</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40F6E4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F07653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4.7</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C23E9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Właściwość niebadana na pojedynczych frakcjach, a </w:t>
            </w:r>
            <w:r w:rsidRPr="007B192E">
              <w:rPr>
                <w:rFonts w:cs="Arial"/>
                <w:color w:val="000000" w:themeColor="text1"/>
                <w:sz w:val="18"/>
                <w:szCs w:val="18"/>
              </w:rPr>
              <w:lastRenderedPageBreak/>
              <w:t>tylko w mieszankach wg wymagań dla mieszanek</w:t>
            </w:r>
          </w:p>
        </w:tc>
      </w:tr>
      <w:tr w:rsidR="004D7D23" w:rsidRPr="007B192E" w14:paraId="15EA3182"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B3C1B7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lastRenderedPageBreak/>
              <w:t>Odporność na rozdrabnianie kruszywa grubego</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BF7319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2536945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1097-2 [10]</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9E5E50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5.2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9067C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LA</w:t>
            </w:r>
            <w:r w:rsidRPr="007B192E">
              <w:rPr>
                <w:rFonts w:cs="Arial"/>
                <w:color w:val="000000" w:themeColor="text1"/>
                <w:sz w:val="18"/>
                <w:szCs w:val="18"/>
                <w:vertAlign w:val="subscript"/>
              </w:rPr>
              <w:t>40</w:t>
            </w:r>
            <w:r w:rsidRPr="007B192E">
              <w:rPr>
                <w:rFonts w:cs="Arial"/>
                <w:color w:val="000000" w:themeColor="text1"/>
                <w:sz w:val="18"/>
                <w:szCs w:val="18"/>
              </w:rPr>
              <w:t xml:space="preserve"> (tj. maksymalna wartość współczynnika Los Angeles ≤ 40 </w:t>
            </w:r>
            <w:r w:rsidRPr="007B192E">
              <w:rPr>
                <w:rFonts w:cs="Arial"/>
                <w:color w:val="000000" w:themeColor="text1"/>
                <w:sz w:val="18"/>
                <w:szCs w:val="18"/>
                <w:vertAlign w:val="superscript"/>
              </w:rPr>
              <w:t>**)</w:t>
            </w:r>
            <w:r w:rsidRPr="007B192E">
              <w:rPr>
                <w:rFonts w:cs="Arial"/>
                <w:color w:val="000000" w:themeColor="text1"/>
                <w:sz w:val="18"/>
                <w:szCs w:val="18"/>
              </w:rPr>
              <w:t>)</w:t>
            </w:r>
          </w:p>
        </w:tc>
      </w:tr>
      <w:tr w:rsidR="004D7D23" w:rsidRPr="007B192E" w14:paraId="5BAD2115"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47A178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Odporność na ścieranie kruszywa grubego</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AE46A1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PN-EN  </w:t>
            </w:r>
          </w:p>
          <w:p w14:paraId="57C686A3"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1097-1 [9]</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7628015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5.3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C8568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M</w:t>
            </w:r>
            <w:r w:rsidRPr="007B192E">
              <w:rPr>
                <w:rFonts w:cs="Arial"/>
                <w:color w:val="000000" w:themeColor="text1"/>
                <w:sz w:val="18"/>
                <w:szCs w:val="18"/>
                <w:vertAlign w:val="subscript"/>
              </w:rPr>
              <w:t>DE</w:t>
            </w:r>
            <w:r w:rsidRPr="007B192E">
              <w:rPr>
                <w:rFonts w:cs="Arial"/>
                <w:color w:val="000000" w:themeColor="text1"/>
                <w:sz w:val="18"/>
                <w:szCs w:val="18"/>
              </w:rPr>
              <w:t>Deklarowana</w:t>
            </w:r>
            <w:proofErr w:type="spellEnd"/>
            <w:r w:rsidRPr="007B192E">
              <w:rPr>
                <w:rFonts w:cs="Arial"/>
                <w:color w:val="000000" w:themeColor="text1"/>
                <w:sz w:val="18"/>
                <w:szCs w:val="18"/>
              </w:rPr>
              <w:t xml:space="preserve"> (tj. współczynnik mikro-</w:t>
            </w:r>
            <w:proofErr w:type="spellStart"/>
            <w:r w:rsidRPr="007B192E">
              <w:rPr>
                <w:rFonts w:cs="Arial"/>
                <w:color w:val="000000" w:themeColor="text1"/>
                <w:sz w:val="18"/>
                <w:szCs w:val="18"/>
              </w:rPr>
              <w:t>Devala</w:t>
            </w:r>
            <w:proofErr w:type="spellEnd"/>
            <w:r w:rsidRPr="007B192E">
              <w:rPr>
                <w:rFonts w:cs="Arial"/>
                <w:color w:val="000000" w:themeColor="text1"/>
                <w:sz w:val="18"/>
                <w:szCs w:val="18"/>
              </w:rPr>
              <w:t xml:space="preserve"> &gt;50))</w:t>
            </w:r>
          </w:p>
        </w:tc>
      </w:tr>
      <w:tr w:rsidR="004D7D23" w:rsidRPr="007B192E" w14:paraId="524EBE20"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1BDB15F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Gęstość ziaren</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3EE5AD4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PN-EN 1097-6,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7, 8 i 9  [11]</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C3601E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5.4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EF46EE3"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Deklarowana</w:t>
            </w:r>
          </w:p>
        </w:tc>
      </w:tr>
      <w:tr w:rsidR="004D7D23" w:rsidRPr="007B192E" w14:paraId="48CBB891"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1E0AC4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Nasiąkliwość</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133E647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PN-EN 1097-6,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7, 8 i 9 [11]</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BA1951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5.5 i</w:t>
            </w:r>
          </w:p>
          <w:p w14:paraId="60E1FF2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7.3.2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9066CE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W</w:t>
            </w:r>
            <w:r w:rsidRPr="007B192E">
              <w:rPr>
                <w:rFonts w:cs="Arial"/>
                <w:color w:val="000000" w:themeColor="text1"/>
                <w:sz w:val="18"/>
                <w:szCs w:val="18"/>
                <w:vertAlign w:val="subscript"/>
              </w:rPr>
              <w:t>cm</w:t>
            </w:r>
            <w:r w:rsidRPr="007B192E">
              <w:rPr>
                <w:rFonts w:cs="Arial"/>
                <w:color w:val="000000" w:themeColor="text1"/>
                <w:sz w:val="18"/>
                <w:szCs w:val="18"/>
              </w:rPr>
              <w:t>NR</w:t>
            </w:r>
            <w:proofErr w:type="spellEnd"/>
            <w:r w:rsidRPr="007B192E">
              <w:rPr>
                <w:rFonts w:cs="Arial"/>
                <w:color w:val="000000" w:themeColor="text1"/>
                <w:sz w:val="18"/>
                <w:szCs w:val="18"/>
              </w:rPr>
              <w:t xml:space="preserve"> (tj. brak wymagania)</w:t>
            </w:r>
          </w:p>
          <w:p w14:paraId="668CF62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WA</w:t>
            </w:r>
            <w:r w:rsidRPr="007B192E">
              <w:rPr>
                <w:rFonts w:cs="Arial"/>
                <w:color w:val="000000" w:themeColor="text1"/>
                <w:sz w:val="18"/>
                <w:szCs w:val="18"/>
                <w:vertAlign w:val="subscript"/>
              </w:rPr>
              <w:t>24</w:t>
            </w:r>
            <w:r w:rsidRPr="007B192E">
              <w:rPr>
                <w:rFonts w:cs="Arial"/>
                <w:color w:val="000000" w:themeColor="text1"/>
                <w:sz w:val="18"/>
                <w:szCs w:val="18"/>
              </w:rPr>
              <w:t>2</w:t>
            </w:r>
            <w:r w:rsidRPr="007B192E">
              <w:rPr>
                <w:rFonts w:cs="Arial"/>
                <w:color w:val="000000" w:themeColor="text1"/>
                <w:sz w:val="18"/>
                <w:szCs w:val="18"/>
                <w:vertAlign w:val="superscript"/>
              </w:rPr>
              <w:t xml:space="preserve">***) </w:t>
            </w:r>
            <w:r w:rsidRPr="007B192E">
              <w:rPr>
                <w:rFonts w:cs="Arial"/>
                <w:color w:val="000000" w:themeColor="text1"/>
                <w:sz w:val="18"/>
                <w:szCs w:val="18"/>
              </w:rPr>
              <w:t xml:space="preserve"> (tj. maksymalna wartość nasiąkliwości  ≤2% masy)</w:t>
            </w:r>
          </w:p>
        </w:tc>
      </w:tr>
      <w:tr w:rsidR="004D7D23" w:rsidRPr="007B192E" w14:paraId="63BB8C66"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A74655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Siarczany rozpuszczalne w kwasie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E5FE20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6F6F7F0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1744-1[14]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236866C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3C1EF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AS</w:t>
            </w:r>
            <w:r w:rsidRPr="007B192E">
              <w:rPr>
                <w:rFonts w:cs="Arial"/>
                <w:color w:val="000000" w:themeColor="text1"/>
                <w:sz w:val="18"/>
                <w:szCs w:val="18"/>
                <w:vertAlign w:val="subscript"/>
              </w:rPr>
              <w:t xml:space="preserve">NR   </w:t>
            </w:r>
            <w:r w:rsidRPr="007B192E">
              <w:rPr>
                <w:rFonts w:cs="Arial"/>
                <w:color w:val="000000" w:themeColor="text1"/>
                <w:sz w:val="18"/>
                <w:szCs w:val="18"/>
              </w:rPr>
              <w:t>(tj. brak wymagania)</w:t>
            </w:r>
          </w:p>
          <w:p w14:paraId="587D8DF3" w14:textId="77777777" w:rsidR="00F45500" w:rsidRPr="007B192E" w:rsidRDefault="00F45500" w:rsidP="008F7A94">
            <w:pPr>
              <w:pStyle w:val="Bezodstpw"/>
              <w:jc w:val="both"/>
              <w:rPr>
                <w:rFonts w:cs="Arial"/>
                <w:color w:val="000000" w:themeColor="text1"/>
                <w:sz w:val="18"/>
                <w:szCs w:val="18"/>
              </w:rPr>
            </w:pPr>
          </w:p>
        </w:tc>
      </w:tr>
      <w:tr w:rsidR="004D7D23" w:rsidRPr="007B192E" w14:paraId="3BEC9F8E"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2D061F3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Całkowita zawartość siarki</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5EE7511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w:t>
            </w:r>
          </w:p>
          <w:p w14:paraId="6B20068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1744-1[14]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46A8257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B222C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S</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wymagania)</w:t>
            </w:r>
          </w:p>
        </w:tc>
      </w:tr>
      <w:tr w:rsidR="004D7D23" w:rsidRPr="007B192E" w14:paraId="0A8BCF91"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7FB1E911"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Stałość objętości żużla stalowniczego</w:t>
            </w:r>
            <w:r w:rsidRPr="007B192E">
              <w:rPr>
                <w:rFonts w:cs="Arial"/>
                <w:color w:val="000000" w:themeColor="text1"/>
                <w:sz w:val="18"/>
                <w:szCs w:val="18"/>
              </w:rPr>
              <w:br/>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6747334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PN-EN 1744-1,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xml:space="preserve">. 19.3 [14]  </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18604A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6.4.2.1</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D6E464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V</w:t>
            </w:r>
            <w:r w:rsidRPr="007B192E">
              <w:rPr>
                <w:rFonts w:cs="Arial"/>
                <w:color w:val="000000" w:themeColor="text1"/>
                <w:sz w:val="18"/>
                <w:szCs w:val="18"/>
                <w:vertAlign w:val="subscript"/>
              </w:rPr>
              <w:t>5</w:t>
            </w:r>
            <w:r w:rsidRPr="007B192E">
              <w:rPr>
                <w:rFonts w:cs="Arial"/>
                <w:color w:val="000000" w:themeColor="text1"/>
                <w:sz w:val="18"/>
                <w:szCs w:val="18"/>
              </w:rPr>
              <w:t xml:space="preserve"> (tj. pęcznienie ≤ 5 % objętości). Dotyczy żużla z klasycznego pieca tlenowego i elektrycznego pieca łukowego</w:t>
            </w:r>
          </w:p>
        </w:tc>
      </w:tr>
      <w:tr w:rsidR="004D7D23" w:rsidRPr="007B192E" w14:paraId="44E6F2BE"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30A6AE31"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Rozpad krzemianowy w żużlu wielko- piecowym kawałkowym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0575505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PN-EN 1744-1, p. 19.1 [14]  </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097D87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6.4.2.2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C585CA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Brak rozpadu</w:t>
            </w:r>
          </w:p>
        </w:tc>
      </w:tr>
      <w:tr w:rsidR="004D7D23" w:rsidRPr="007B192E" w14:paraId="2D9CDEE6"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6AFB4F4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Rozpad żelazawy w żużlu </w:t>
            </w:r>
            <w:proofErr w:type="spellStart"/>
            <w:r w:rsidRPr="007B192E">
              <w:rPr>
                <w:rFonts w:cs="Arial"/>
                <w:color w:val="000000" w:themeColor="text1"/>
                <w:sz w:val="18"/>
                <w:szCs w:val="18"/>
              </w:rPr>
              <w:t>wielkopieco</w:t>
            </w:r>
            <w:proofErr w:type="spellEnd"/>
            <w:r w:rsidRPr="007B192E">
              <w:rPr>
                <w:rFonts w:cs="Arial"/>
                <w:color w:val="000000" w:themeColor="text1"/>
                <w:sz w:val="18"/>
                <w:szCs w:val="18"/>
              </w:rPr>
              <w:t xml:space="preserve">- </w:t>
            </w:r>
            <w:proofErr w:type="spellStart"/>
            <w:r w:rsidRPr="007B192E">
              <w:rPr>
                <w:rFonts w:cs="Arial"/>
                <w:color w:val="000000" w:themeColor="text1"/>
                <w:sz w:val="18"/>
                <w:szCs w:val="18"/>
              </w:rPr>
              <w:t>wym</w:t>
            </w:r>
            <w:proofErr w:type="spellEnd"/>
            <w:r w:rsidRPr="007B192E">
              <w:rPr>
                <w:rFonts w:cs="Arial"/>
                <w:color w:val="000000" w:themeColor="text1"/>
                <w:sz w:val="18"/>
                <w:szCs w:val="18"/>
              </w:rPr>
              <w:t xml:space="preserve"> kawałkowym</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61DDC2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 1744-1, p.19.2[14]</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0293408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6.4.2.3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61E25C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Brak rozpadu</w:t>
            </w:r>
          </w:p>
        </w:tc>
      </w:tr>
      <w:tr w:rsidR="004D7D23" w:rsidRPr="007B192E" w14:paraId="53D2DB99"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761FFB96"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Składniki rozpuszczalne w wodzie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403A81F"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 1744-3 [15]</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5B558633"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6.4.3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B0A43A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Brak substancji szkodliwych w stosunku do środowiska wg odrębnych przepisów</w:t>
            </w:r>
          </w:p>
        </w:tc>
      </w:tr>
      <w:tr w:rsidR="004D7D23" w:rsidRPr="007B192E" w14:paraId="758A04D4"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B3F6CC0"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Zanieczyszczenia</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2B3BD85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1E8671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6.4.4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C7A82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Brak ciał obcych takich jak drewno, szkło i plastik, mogących pogorszyć wyrób końcowy</w:t>
            </w:r>
          </w:p>
        </w:tc>
      </w:tr>
      <w:tr w:rsidR="004D7D23" w:rsidRPr="007B192E" w14:paraId="28DBAD16"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4AE8291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Zgorzel słoneczna bazaltu</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477DE6D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 1367-3[13] i PN-EN 1097-2 [10]</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440CE35A"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7.2</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7ABE1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Kat. SB</w:t>
            </w:r>
            <w:r w:rsidRPr="007B192E">
              <w:rPr>
                <w:rFonts w:cs="Arial"/>
                <w:color w:val="000000" w:themeColor="text1"/>
                <w:sz w:val="18"/>
                <w:szCs w:val="18"/>
                <w:vertAlign w:val="subscript"/>
              </w:rPr>
              <w:t>LA Deklarowana</w:t>
            </w:r>
            <w:r w:rsidRPr="007B192E">
              <w:rPr>
                <w:rFonts w:cs="Arial"/>
                <w:color w:val="000000" w:themeColor="text1"/>
                <w:sz w:val="18"/>
                <w:szCs w:val="18"/>
              </w:rPr>
              <w:t xml:space="preserve"> (tj. wzrost współczynnika Los Angeles po gotowaniu &gt; 8%)</w:t>
            </w:r>
          </w:p>
        </w:tc>
      </w:tr>
      <w:tr w:rsidR="004D7D23" w:rsidRPr="007B192E" w14:paraId="5D4ACACE"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0E8BDCF8"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Mrozoodporność na frakcji kruszy-</w:t>
            </w:r>
            <w:r w:rsidRPr="007B192E">
              <w:rPr>
                <w:rFonts w:cs="Arial"/>
                <w:color w:val="000000" w:themeColor="text1"/>
                <w:sz w:val="18"/>
                <w:szCs w:val="18"/>
              </w:rPr>
              <w:br/>
            </w:r>
            <w:proofErr w:type="spellStart"/>
            <w:r w:rsidRPr="007B192E">
              <w:rPr>
                <w:rFonts w:cs="Arial"/>
                <w:color w:val="000000" w:themeColor="text1"/>
                <w:sz w:val="18"/>
                <w:szCs w:val="18"/>
              </w:rPr>
              <w:t>wa</w:t>
            </w:r>
            <w:proofErr w:type="spellEnd"/>
            <w:r w:rsidRPr="007B192E">
              <w:rPr>
                <w:rFonts w:cs="Arial"/>
                <w:color w:val="000000" w:themeColor="text1"/>
                <w:sz w:val="18"/>
                <w:szCs w:val="18"/>
              </w:rPr>
              <w:t xml:space="preserve">  8/16 mm  </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26A8BD82"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PN-EN 1367-1 [12]</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27AEC8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7.3.3</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0D1021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Skały magmowe i przeobrażone: kat. F</w:t>
            </w:r>
            <w:r w:rsidRPr="007B192E">
              <w:rPr>
                <w:rFonts w:cs="Arial"/>
                <w:color w:val="000000" w:themeColor="text1"/>
                <w:sz w:val="18"/>
                <w:szCs w:val="18"/>
                <w:vertAlign w:val="subscript"/>
              </w:rPr>
              <w:t>4</w:t>
            </w:r>
            <w:r w:rsidRPr="007B192E">
              <w:rPr>
                <w:rFonts w:cs="Arial"/>
                <w:color w:val="000000" w:themeColor="text1"/>
                <w:sz w:val="18"/>
                <w:szCs w:val="18"/>
              </w:rPr>
              <w:t xml:space="preserve"> (tj. zamrażanie-rozmrażanie ≤ 4% masy), skały osadowe: kat. F</w:t>
            </w:r>
            <w:r w:rsidRPr="007B192E">
              <w:rPr>
                <w:rFonts w:cs="Arial"/>
                <w:color w:val="000000" w:themeColor="text1"/>
                <w:sz w:val="18"/>
                <w:szCs w:val="18"/>
                <w:vertAlign w:val="subscript"/>
              </w:rPr>
              <w:t>10</w:t>
            </w:r>
            <w:r w:rsidRPr="007B192E">
              <w:rPr>
                <w:rFonts w:cs="Arial"/>
                <w:color w:val="000000" w:themeColor="text1"/>
                <w:sz w:val="18"/>
                <w:szCs w:val="18"/>
              </w:rPr>
              <w:t>, kruszywa z recyklingu: kat. F</w:t>
            </w:r>
            <w:r w:rsidRPr="007B192E">
              <w:rPr>
                <w:rFonts w:cs="Arial"/>
                <w:color w:val="000000" w:themeColor="text1"/>
                <w:sz w:val="18"/>
                <w:szCs w:val="18"/>
                <w:vertAlign w:val="subscript"/>
              </w:rPr>
              <w:t>10</w:t>
            </w:r>
            <w:r w:rsidRPr="007B192E">
              <w:rPr>
                <w:rFonts w:cs="Arial"/>
                <w:color w:val="000000" w:themeColor="text1"/>
                <w:sz w:val="18"/>
                <w:szCs w:val="18"/>
              </w:rPr>
              <w:t xml:space="preserve"> (F</w:t>
            </w:r>
            <w:r w:rsidRPr="007B192E">
              <w:rPr>
                <w:rFonts w:cs="Arial"/>
                <w:color w:val="000000" w:themeColor="text1"/>
                <w:sz w:val="18"/>
                <w:szCs w:val="18"/>
                <w:vertAlign w:val="subscript"/>
              </w:rPr>
              <w:t>25</w:t>
            </w:r>
            <w:r w:rsidRPr="007B192E">
              <w:rPr>
                <w:rFonts w:cs="Arial"/>
                <w:color w:val="000000" w:themeColor="text1"/>
                <w:sz w:val="18"/>
                <w:szCs w:val="18"/>
              </w:rPr>
              <w:t>****)</w:t>
            </w:r>
          </w:p>
        </w:tc>
      </w:tr>
      <w:tr w:rsidR="004D7D23" w:rsidRPr="007B192E" w14:paraId="11C1D86D"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19532A7D"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Skład materiałowy</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2691B53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3EE27EA3"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Zał. C</w:t>
            </w:r>
          </w:p>
          <w:p w14:paraId="122103C4" w14:textId="77777777" w:rsidR="00F45500" w:rsidRPr="007B192E" w:rsidRDefault="00F45500" w:rsidP="008F7A94">
            <w:pPr>
              <w:pStyle w:val="Bezodstpw"/>
              <w:jc w:val="both"/>
              <w:rPr>
                <w:rFonts w:cs="Arial"/>
                <w:color w:val="000000" w:themeColor="text1"/>
                <w:sz w:val="18"/>
                <w:szCs w:val="18"/>
              </w:rPr>
            </w:pP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9A33CC"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Deklarowany</w:t>
            </w:r>
          </w:p>
        </w:tc>
      </w:tr>
      <w:tr w:rsidR="004D7D23" w:rsidRPr="007B192E" w14:paraId="483D9A0B" w14:textId="77777777" w:rsidTr="008F7A94">
        <w:trPr>
          <w:jc w:val="center"/>
        </w:trPr>
        <w:tc>
          <w:tcPr>
            <w:tcW w:w="3223" w:type="dxa"/>
            <w:tcBorders>
              <w:top w:val="single" w:sz="4" w:space="0" w:color="000000"/>
              <w:left w:val="single" w:sz="4" w:space="0" w:color="000000"/>
              <w:bottom w:val="single" w:sz="4" w:space="0" w:color="000000"/>
            </w:tcBorders>
            <w:tcMar>
              <w:top w:w="0" w:type="dxa"/>
              <w:left w:w="108" w:type="dxa"/>
              <w:bottom w:w="0" w:type="dxa"/>
              <w:right w:w="108" w:type="dxa"/>
            </w:tcMar>
          </w:tcPr>
          <w:p w14:paraId="549893B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Istotne cechy środowiskowe</w:t>
            </w:r>
          </w:p>
        </w:tc>
        <w:tc>
          <w:tcPr>
            <w:tcW w:w="1185" w:type="dxa"/>
            <w:tcBorders>
              <w:top w:val="single" w:sz="4" w:space="0" w:color="000000"/>
              <w:left w:val="single" w:sz="4" w:space="0" w:color="000000"/>
              <w:bottom w:val="single" w:sz="4" w:space="0" w:color="000000"/>
            </w:tcBorders>
            <w:tcMar>
              <w:top w:w="0" w:type="dxa"/>
              <w:left w:w="108" w:type="dxa"/>
              <w:bottom w:w="0" w:type="dxa"/>
              <w:right w:w="108" w:type="dxa"/>
            </w:tcMar>
          </w:tcPr>
          <w:p w14:paraId="7C68475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t>
            </w:r>
          </w:p>
        </w:tc>
        <w:tc>
          <w:tcPr>
            <w:tcW w:w="741" w:type="dxa"/>
            <w:tcBorders>
              <w:top w:val="single" w:sz="4" w:space="0" w:color="000000"/>
              <w:left w:val="single" w:sz="4" w:space="0" w:color="000000"/>
              <w:bottom w:val="single" w:sz="4" w:space="0" w:color="000000"/>
            </w:tcBorders>
            <w:tcMar>
              <w:top w:w="0" w:type="dxa"/>
              <w:left w:w="108" w:type="dxa"/>
              <w:bottom w:w="0" w:type="dxa"/>
              <w:right w:w="108" w:type="dxa"/>
            </w:tcMar>
          </w:tcPr>
          <w:p w14:paraId="4786EA91"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Zał. C</w:t>
            </w:r>
          </w:p>
          <w:p w14:paraId="1DE19B9D"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pkt</w:t>
            </w:r>
          </w:p>
          <w:p w14:paraId="731B8ED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C.3.4</w:t>
            </w:r>
          </w:p>
        </w:tc>
        <w:tc>
          <w:tcPr>
            <w:tcW w:w="448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434F1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4D7D23" w:rsidRPr="007B192E" w14:paraId="7046EA0A" w14:textId="77777777" w:rsidTr="008F7A94">
        <w:trPr>
          <w:jc w:val="center"/>
        </w:trPr>
        <w:tc>
          <w:tcPr>
            <w:tcW w:w="9638"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E4B616D"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Łączna zawartość pyłów w mieszance powinna się mieścić w wybranych krzywych granicznych</w:t>
            </w:r>
          </w:p>
          <w:p w14:paraId="2CE583B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Do warstw  podbudów zasadniczych na drogach obciążonych ruchem   KR5-KR6  dopuszcza  się jedynie kruszywa</w:t>
            </w:r>
          </w:p>
          <w:p w14:paraId="7BFBCE49"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           charakteryzujące się odpornością na rozdrabnianie LA≤35   </w:t>
            </w:r>
          </w:p>
          <w:p w14:paraId="0625C48E"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W przypadku, gdy wymaganie nie jest spełnione, należy sprawdzić mrozoodporność</w:t>
            </w:r>
          </w:p>
          <w:p w14:paraId="71F21CC7"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Pod warunkiem, gdy zawartość w mieszance nie przekracza 50% m/m</w:t>
            </w:r>
          </w:p>
        </w:tc>
      </w:tr>
    </w:tbl>
    <w:p w14:paraId="6B8D6343" w14:textId="77777777" w:rsidR="00F45500" w:rsidRPr="007B192E" w:rsidRDefault="00F45500" w:rsidP="00F45500">
      <w:pPr>
        <w:pStyle w:val="Bezodstpw"/>
        <w:spacing w:before="120" w:after="120"/>
        <w:jc w:val="both"/>
        <w:rPr>
          <w:rFonts w:cs="Arial"/>
          <w:color w:val="000000" w:themeColor="text1"/>
          <w:sz w:val="18"/>
          <w:szCs w:val="18"/>
        </w:rPr>
      </w:pPr>
      <w:r w:rsidRPr="007B192E">
        <w:rPr>
          <w:rFonts w:cs="Arial"/>
          <w:b/>
          <w:color w:val="000000" w:themeColor="text1"/>
          <w:sz w:val="18"/>
          <w:szCs w:val="18"/>
        </w:rPr>
        <w:t xml:space="preserve">2.2.4. </w:t>
      </w:r>
      <w:r w:rsidRPr="007B192E">
        <w:rPr>
          <w:rFonts w:cs="Arial"/>
          <w:color w:val="000000" w:themeColor="text1"/>
          <w:sz w:val="18"/>
          <w:szCs w:val="18"/>
        </w:rPr>
        <w:t>Woda do zraszania kruszywa</w:t>
      </w:r>
    </w:p>
    <w:p w14:paraId="2A25F541"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ab/>
        <w:t>Do zraszania kruszywa należy stosować wodę nie zawierającą składników wpływających szkodliwie na mieszankę kruszywa, ale umożliwiającą właściwe zagęszczenie mieszanki niezwiązanej.</w:t>
      </w:r>
    </w:p>
    <w:p w14:paraId="0D3E9875" w14:textId="77777777" w:rsidR="00F45500" w:rsidRPr="007B192E" w:rsidRDefault="008E1092" w:rsidP="001D052E">
      <w:pPr>
        <w:pStyle w:val="Nagwek2"/>
        <w:rPr>
          <w:i w:val="0"/>
          <w:color w:val="000000" w:themeColor="text1"/>
        </w:rPr>
      </w:pPr>
      <w:bookmarkStart w:id="192" w:name="__RefHeading__25755_1880156434"/>
      <w:r w:rsidRPr="007B192E">
        <w:rPr>
          <w:i w:val="0"/>
          <w:color w:val="000000" w:themeColor="text1"/>
        </w:rPr>
        <w:t>3. SPRZĘT</w:t>
      </w:r>
      <w:bookmarkEnd w:id="192"/>
    </w:p>
    <w:p w14:paraId="356B6BD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3.1. Ogólne wymagania dotyczące sprzętu</w:t>
      </w:r>
    </w:p>
    <w:p w14:paraId="7513E3F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171CD5D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4845716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2B1C4866"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mieszarki do wytwarzania mieszanki kruszywa, wyposażone w urządzenia dozujące wodę, które powinny zapewnić wytworzenie jednorodnej mieszanki o wilgotności optymalnej,</w:t>
      </w:r>
    </w:p>
    <w:p w14:paraId="77122B92"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układarki lub równiarki do rozkładania mieszanki kruszywa niezwiązanego,</w:t>
      </w:r>
    </w:p>
    <w:p w14:paraId="0F1E7AED"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walce ogumione i stalowe wibracyjne lub statyczne do zagęszczania mieszanki,</w:t>
      </w:r>
    </w:p>
    <w:p w14:paraId="1F5E8561" w14:textId="77777777" w:rsidR="00F45500" w:rsidRPr="007B192E" w:rsidRDefault="00F45500" w:rsidP="00F45500">
      <w:pPr>
        <w:pStyle w:val="Standard"/>
        <w:widowControl w:val="0"/>
        <w:numPr>
          <w:ilvl w:val="0"/>
          <w:numId w:val="4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zagęszczarki płytowe, ubijaki mechaniczne lub małe walce wibracyjne, do stosowania w miejscach trudno dostępnych.</w:t>
      </w:r>
    </w:p>
    <w:p w14:paraId="082FA552"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Sprzęt powinien odpowiadać wymaganiom określonym w dokumentacji projektowej, ST, instrukcjach producentów lub propozycji Wykonawcy i powinien być zaakceptowany przez Inżyniera.</w:t>
      </w:r>
    </w:p>
    <w:p w14:paraId="26E5EE6B" w14:textId="77777777" w:rsidR="00F45500" w:rsidRPr="007B192E" w:rsidRDefault="008E1092" w:rsidP="001D052E">
      <w:pPr>
        <w:pStyle w:val="Nagwek2"/>
        <w:rPr>
          <w:i w:val="0"/>
          <w:color w:val="000000" w:themeColor="text1"/>
        </w:rPr>
      </w:pPr>
      <w:bookmarkStart w:id="193" w:name="__RefHeading__25757_1880156434"/>
      <w:r w:rsidRPr="007B192E">
        <w:rPr>
          <w:i w:val="0"/>
          <w:color w:val="000000" w:themeColor="text1"/>
        </w:rPr>
        <w:t>4. TRANSPORT</w:t>
      </w:r>
      <w:bookmarkEnd w:id="193"/>
    </w:p>
    <w:p w14:paraId="5DF8381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4.1. Ogólne wymagania dotyczące transportu</w:t>
      </w:r>
    </w:p>
    <w:p w14:paraId="168DA80C" w14:textId="77777777" w:rsidR="00F45500" w:rsidRPr="007B192E" w:rsidRDefault="00F45500" w:rsidP="00F45500">
      <w:pPr>
        <w:pStyle w:val="Standard"/>
        <w:tabs>
          <w:tab w:val="left" w:pos="284"/>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p>
    <w:p w14:paraId="5374A35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4.2. Transport materiałów</w:t>
      </w:r>
    </w:p>
    <w:p w14:paraId="3CAADEF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Materiały sypkie (kruszywa) można przewozić dowolnymi środkami transportu, w warunkach zabezpieczających je przed  zanieczyszczeniem, zmieszaniem z innymi materiałami i nadmiernym zawilgoceniem.</w:t>
      </w:r>
    </w:p>
    <w:p w14:paraId="0237FFC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Woda może być dostarczana wodociągiem lub przewoźnymi zbiornikami wody.</w:t>
      </w:r>
    </w:p>
    <w:p w14:paraId="395C0D32" w14:textId="77777777" w:rsidR="00F45500" w:rsidRPr="007B192E" w:rsidRDefault="008E1092" w:rsidP="001D052E">
      <w:pPr>
        <w:pStyle w:val="Nagwek2"/>
        <w:rPr>
          <w:i w:val="0"/>
          <w:color w:val="000000" w:themeColor="text1"/>
        </w:rPr>
      </w:pPr>
      <w:bookmarkStart w:id="194" w:name="__RefHeading__25759_1880156434"/>
      <w:r w:rsidRPr="007B192E">
        <w:rPr>
          <w:i w:val="0"/>
          <w:color w:val="000000" w:themeColor="text1"/>
        </w:rPr>
        <w:t>5. WYKONANIE ROBÓT</w:t>
      </w:r>
      <w:bookmarkEnd w:id="194"/>
    </w:p>
    <w:p w14:paraId="1B730ED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280CDFCA" w14:textId="77777777" w:rsidR="00F45500" w:rsidRPr="007B192E" w:rsidRDefault="00F45500" w:rsidP="00F45500">
      <w:pPr>
        <w:pStyle w:val="Standard"/>
        <w:tabs>
          <w:tab w:val="left" w:pos="0"/>
          <w:tab w:val="left" w:pos="567"/>
          <w:tab w:val="left" w:pos="851"/>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10F21D2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Zasady wykonywania robót</w:t>
      </w:r>
    </w:p>
    <w:p w14:paraId="33543F2D"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załącznikach.</w:t>
      </w:r>
    </w:p>
    <w:p w14:paraId="42086010"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wykonaniu robót obejmują:</w:t>
      </w:r>
    </w:p>
    <w:p w14:paraId="565A20ED" w14:textId="77777777" w:rsidR="00F45500" w:rsidRPr="007B192E" w:rsidRDefault="00F45500" w:rsidP="00F45500">
      <w:pPr>
        <w:pStyle w:val="Standard"/>
        <w:widowControl w:val="0"/>
        <w:numPr>
          <w:ilvl w:val="0"/>
          <w:numId w:val="18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przygotowawcze,</w:t>
      </w:r>
    </w:p>
    <w:p w14:paraId="5AADF924" w14:textId="77777777" w:rsidR="00F45500" w:rsidRPr="007B192E"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projektowanie mieszanki,</w:t>
      </w:r>
    </w:p>
    <w:p w14:paraId="5F3BBA22" w14:textId="77777777" w:rsidR="00F45500" w:rsidRPr="007B192E"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odcinek próbny,</w:t>
      </w:r>
    </w:p>
    <w:p w14:paraId="1160A550" w14:textId="77777777" w:rsidR="00F45500" w:rsidRPr="007B192E"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wbudowanie mieszanki,</w:t>
      </w:r>
    </w:p>
    <w:p w14:paraId="43B2A450" w14:textId="77777777" w:rsidR="00F45500" w:rsidRPr="007B192E" w:rsidRDefault="00F45500" w:rsidP="00F45500">
      <w:pPr>
        <w:pStyle w:val="Standard"/>
        <w:widowControl w:val="0"/>
        <w:numPr>
          <w:ilvl w:val="0"/>
          <w:numId w:val="21"/>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3756580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Roboty przygotowawcze</w:t>
      </w:r>
    </w:p>
    <w:p w14:paraId="067B922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należy, na podstawie dokumentacji projektowej,  ST lub wskazań Inżyniera:</w:t>
      </w:r>
    </w:p>
    <w:p w14:paraId="4DA3CACC" w14:textId="77777777" w:rsidR="00F45500" w:rsidRPr="007B192E" w:rsidRDefault="00F45500" w:rsidP="00F45500">
      <w:pPr>
        <w:pStyle w:val="Standard"/>
        <w:widowControl w:val="0"/>
        <w:numPr>
          <w:ilvl w:val="0"/>
          <w:numId w:val="16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ustalić lokalizację robót,</w:t>
      </w:r>
    </w:p>
    <w:p w14:paraId="1FA7D704" w14:textId="77777777" w:rsidR="00F45500" w:rsidRPr="007B192E"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przeprowadzić obliczenia i pomiary niezbędne do szczegółowego wytyczenia robót oraz ustalenia danych wysokościowych,</w:t>
      </w:r>
    </w:p>
    <w:p w14:paraId="04F0854E" w14:textId="77777777" w:rsidR="00F45500" w:rsidRPr="007B192E"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usunąć przeszkody utrudniające wykonanie robót,</w:t>
      </w:r>
    </w:p>
    <w:p w14:paraId="1A36B471" w14:textId="77777777" w:rsidR="00F45500" w:rsidRPr="007B192E"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wprowadzić oznakowanie drogi na okres robót,</w:t>
      </w:r>
    </w:p>
    <w:p w14:paraId="3FB501E2" w14:textId="77777777" w:rsidR="00F45500" w:rsidRPr="007B192E" w:rsidRDefault="00F45500" w:rsidP="00F45500">
      <w:pPr>
        <w:pStyle w:val="Standard"/>
        <w:widowControl w:val="0"/>
        <w:numPr>
          <w:ilvl w:val="0"/>
          <w:numId w:val="24"/>
        </w:numPr>
        <w:tabs>
          <w:tab w:val="clear" w:pos="0"/>
        </w:tabs>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zgromadzić materiały i sprzęt potrzebne do rozpoczęcia robót.</w:t>
      </w:r>
    </w:p>
    <w:p w14:paraId="1E1602B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Projektowanie mieszanki kruszywa niezwiązanego</w:t>
      </w:r>
    </w:p>
    <w:p w14:paraId="4D73B2A6"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5.4.1. </w:t>
      </w:r>
      <w:r w:rsidRPr="007B192E">
        <w:rPr>
          <w:rFonts w:ascii="Arial" w:hAnsi="Arial" w:cs="Arial"/>
          <w:color w:val="000000" w:themeColor="text1"/>
          <w:sz w:val="18"/>
          <w:szCs w:val="18"/>
        </w:rPr>
        <w:t>Postanowienia ogólne</w:t>
      </w:r>
    </w:p>
    <w:p w14:paraId="6A9967AA"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1A2ACB0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zasadniczej.</w:t>
      </w:r>
    </w:p>
    <w:p w14:paraId="76BBEFC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Skład mieszanki projektuje się zgodnie z wymaganiami wobec mieszanek niezwiązanych do podbudowy zasadniczej, określonych w tablicy 4. Wartości graniczne i tolerancje zawierają rozrzut wynikający z pobierania i dzielenia próbki, przedział ufności (precyzja w porównywalnych warunkach) oraz nierównomierności warunków wykonawczych.</w:t>
      </w:r>
    </w:p>
    <w:p w14:paraId="22EAD1D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25817E53"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5.4.2. </w:t>
      </w:r>
      <w:r w:rsidRPr="007B192E">
        <w:rPr>
          <w:rFonts w:ascii="Arial" w:hAnsi="Arial" w:cs="Arial"/>
          <w:color w:val="000000" w:themeColor="text1"/>
          <w:sz w:val="18"/>
          <w:szCs w:val="18"/>
        </w:rPr>
        <w:t>Wymagania wobec mieszanek</w:t>
      </w:r>
    </w:p>
    <w:p w14:paraId="73D7FFB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 warstwach podbudowy zasadniczej należy stosować mieszankę kruszywa 0/31,5 mm.</w:t>
      </w:r>
    </w:p>
    <w:p w14:paraId="407A9102" w14:textId="77777777" w:rsidR="00F45500" w:rsidRPr="007B192E" w:rsidRDefault="00F45500" w:rsidP="00F45500">
      <w:pPr>
        <w:pStyle w:val="Bezodstpw"/>
        <w:tabs>
          <w:tab w:val="left" w:pos="480"/>
        </w:tabs>
        <w:jc w:val="both"/>
        <w:rPr>
          <w:rFonts w:cs="Arial"/>
          <w:color w:val="000000" w:themeColor="text1"/>
          <w:sz w:val="18"/>
          <w:szCs w:val="18"/>
        </w:rPr>
      </w:pPr>
      <w:r w:rsidRPr="007B192E">
        <w:rPr>
          <w:rFonts w:cs="Arial"/>
          <w:color w:val="000000" w:themeColor="text1"/>
          <w:sz w:val="18"/>
          <w:szCs w:val="18"/>
        </w:rPr>
        <w:tab/>
      </w:r>
      <w:r w:rsidRPr="007B192E">
        <w:rPr>
          <w:rFonts w:cs="Arial"/>
          <w:color w:val="000000" w:themeColor="text1"/>
          <w:sz w:val="18"/>
          <w:szCs w:val="18"/>
        </w:rPr>
        <w:tab/>
        <w:t xml:space="preserve">Wymagania wobec mieszanek przeznaczonych do podbudowy zasadniczej, podane w tablicy 4, odnośnie wrażliwości na mróz mieszanek kruszyw, dotyczą badania materiału po pięciokrotnym zagęszczeniu w aparacie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według PN-EN 13286-2 [18].</w:t>
      </w:r>
    </w:p>
    <w:p w14:paraId="3919DF1B"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t xml:space="preserve">Zawartość pyłów w mieszankach kruszyw do warstwy podbudowy zasadniczej, określana wg PN-EN 933-1 [5], powinna być zgodna z wymaganiami tablicy 4. W przypadku słabych kruszyw, zawartość pyłów w mieszance kruszyw należy również badać i deklarować,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Zawartość pyłów w takiej mieszance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powinna również spełniać wymagania podane w tablicy 4. Nie określa się wymagania wobec minimalnej zawartości pyłów &lt; 0,063 mm w mieszankach kruszyw do warstwy podbudowy zasadniczej.</w:t>
      </w:r>
    </w:p>
    <w:p w14:paraId="3090DF6F"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t xml:space="preserve">Zawartość nadziarna w mieszankach kruszyw, określana według PN-EN 933-1 [5] powinna spełniać wymagania podane w tablicy 4. W przypadku słabych kruszyw decyduje zawartość nadziarna w mieszance kruszyw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w:t>
      </w:r>
    </w:p>
    <w:p w14:paraId="40D869E2"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lastRenderedPageBreak/>
        <w:t>Uziarnienie mieszanek kruszyw o wymiarach ziaren D od 0 do 63 mm należy określić według PN-EN 933-1 [5]. Krzywe uziarnienia mieszanki kruszyw powinny zawierać się w obszarze między krzywymi granicznymi uziarnienia przedstawionymi na rysunku 1. Na rysunku 1 pokazano również liniami przerywanymi obszar uziarnienia SDV, w którym powinna się mieścić krzywa uziarnienia mieszanki „S” deklarowana przez dostawcę/producenta.</w:t>
      </w:r>
    </w:p>
    <w:p w14:paraId="4962E4A8" w14:textId="77777777" w:rsidR="00F45500" w:rsidRPr="007B192E" w:rsidRDefault="00F45500" w:rsidP="00F45500">
      <w:pPr>
        <w:pStyle w:val="Bezodstpw"/>
        <w:ind w:firstLine="709"/>
        <w:jc w:val="both"/>
        <w:rPr>
          <w:rFonts w:cs="Arial"/>
          <w:color w:val="000000" w:themeColor="text1"/>
          <w:sz w:val="18"/>
          <w:szCs w:val="18"/>
        </w:rPr>
      </w:pPr>
      <w:r w:rsidRPr="007B192E">
        <w:rPr>
          <w:rFonts w:cs="Arial"/>
          <w:color w:val="000000" w:themeColor="text1"/>
          <w:sz w:val="18"/>
          <w:szCs w:val="18"/>
        </w:rPr>
        <w:t xml:space="preserve">W przypadku słabych kruszyw uziarnienie mieszanki kruszyw należy również badać i deklarować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Kryterium przydatności takiej mieszanki, pod względem uziarnienia, jest spełnione, jeżeli uziarnienie mieszanki po pięciokrotnym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mieści się w krzywych granicznych podanych na odpowiednich rysunku 1.  </w:t>
      </w:r>
    </w:p>
    <w:p w14:paraId="71EAEDE6" w14:textId="77777777" w:rsidR="00F45500" w:rsidRPr="007B192E" w:rsidRDefault="00F45500" w:rsidP="00F45500">
      <w:pPr>
        <w:pStyle w:val="Bezodstpw"/>
        <w:ind w:firstLine="709"/>
        <w:jc w:val="both"/>
        <w:rPr>
          <w:rFonts w:cs="Arial"/>
          <w:color w:val="000000" w:themeColor="text1"/>
          <w:sz w:val="18"/>
          <w:szCs w:val="18"/>
        </w:rPr>
      </w:pPr>
    </w:p>
    <w:p w14:paraId="5CB58DD5" w14:textId="77777777" w:rsidR="00F45500" w:rsidRPr="007B192E" w:rsidRDefault="00F45500" w:rsidP="00F45500">
      <w:pPr>
        <w:pStyle w:val="Bezodstpw"/>
        <w:jc w:val="both"/>
        <w:rPr>
          <w:rFonts w:cs="Arial"/>
          <w:color w:val="000000" w:themeColor="text1"/>
          <w:sz w:val="18"/>
          <w:szCs w:val="18"/>
        </w:rPr>
      </w:pPr>
      <w:r w:rsidRPr="007B192E">
        <w:rPr>
          <w:rFonts w:cs="Arial"/>
          <w:noProof/>
          <w:color w:val="000000" w:themeColor="text1"/>
          <w:sz w:val="18"/>
          <w:szCs w:val="18"/>
          <w:lang w:eastAsia="pl-PL"/>
        </w:rPr>
        <w:drawing>
          <wp:inline distT="0" distB="0" distL="0" distR="0" wp14:anchorId="30BC9AC1" wp14:editId="4E89ABE3">
            <wp:extent cx="5519520" cy="2620080"/>
            <wp:effectExtent l="0" t="0" r="4980" b="8820"/>
            <wp:docPr id="2" name="grafika1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lum/>
                      <a:alphaModFix/>
                    </a:blip>
                    <a:srcRect/>
                    <a:stretch>
                      <a:fillRect/>
                    </a:stretch>
                  </pic:blipFill>
                  <pic:spPr>
                    <a:xfrm>
                      <a:off x="0" y="0"/>
                      <a:ext cx="5519520" cy="2620080"/>
                    </a:xfrm>
                    <a:prstGeom prst="rect">
                      <a:avLst/>
                    </a:prstGeom>
                    <a:ln>
                      <a:noFill/>
                      <a:prstDash/>
                    </a:ln>
                  </pic:spPr>
                </pic:pic>
              </a:graphicData>
            </a:graphic>
          </wp:inline>
        </w:drawing>
      </w:r>
    </w:p>
    <w:p w14:paraId="3C0F1931" w14:textId="77777777" w:rsidR="00F45500" w:rsidRPr="007B192E" w:rsidRDefault="00F45500" w:rsidP="00F45500">
      <w:pPr>
        <w:pStyle w:val="Bezodstpw"/>
        <w:tabs>
          <w:tab w:val="left" w:pos="1690"/>
        </w:tabs>
        <w:spacing w:before="120" w:after="120"/>
        <w:ind w:left="839" w:hanging="839"/>
        <w:jc w:val="both"/>
        <w:rPr>
          <w:rFonts w:cs="Arial"/>
          <w:color w:val="000000" w:themeColor="text1"/>
          <w:sz w:val="18"/>
          <w:szCs w:val="18"/>
        </w:rPr>
      </w:pPr>
      <w:r w:rsidRPr="007B192E">
        <w:rPr>
          <w:rFonts w:cs="Arial"/>
          <w:color w:val="000000" w:themeColor="text1"/>
          <w:sz w:val="18"/>
          <w:szCs w:val="18"/>
        </w:rPr>
        <w:t>Rys. 1.</w:t>
      </w:r>
      <w:r w:rsidRPr="007B192E">
        <w:rPr>
          <w:rFonts w:cs="Arial"/>
          <w:color w:val="000000" w:themeColor="text1"/>
          <w:sz w:val="18"/>
          <w:szCs w:val="18"/>
        </w:rPr>
        <w:tab/>
        <w:t>Krzywe graniczne uziarnienia mieszanki kruszywa niezwiązanego 0/31,5 mm do warstw podbudowy zasadniczej</w:t>
      </w:r>
    </w:p>
    <w:p w14:paraId="2A464D76"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Oprócz wymagań podanych na rysunku 1, wymaga się aby 90% uziarnień mieszanek zbadanych w ramach ZKP w okresie 6 miesięcy spełniało wymagania kategorii podanych w tablicach 2 i 3, aby zapewnić jednorodność i ciągłość uziarnienia mieszanek.</w:t>
      </w:r>
    </w:p>
    <w:p w14:paraId="6616677B"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w:t>
      </w:r>
      <w:proofErr w:type="spellStart"/>
      <w:r w:rsidRPr="007B192E">
        <w:rPr>
          <w:rFonts w:ascii="Arial" w:hAnsi="Arial" w:cs="Arial"/>
          <w:color w:val="000000" w:themeColor="text1"/>
          <w:sz w:val="18"/>
          <w:szCs w:val="18"/>
        </w:rPr>
        <w:t>Proctora</w:t>
      </w:r>
      <w:proofErr w:type="spellEnd"/>
    </w:p>
    <w:tbl>
      <w:tblPr>
        <w:tblW w:w="9638" w:type="dxa"/>
        <w:jc w:val="center"/>
        <w:tblLayout w:type="fixed"/>
        <w:tblCellMar>
          <w:left w:w="10" w:type="dxa"/>
          <w:right w:w="10" w:type="dxa"/>
        </w:tblCellMar>
        <w:tblLook w:val="0000" w:firstRow="0" w:lastRow="0" w:firstColumn="0" w:lastColumn="0" w:noHBand="0" w:noVBand="0"/>
      </w:tblPr>
      <w:tblGrid>
        <w:gridCol w:w="1564"/>
        <w:gridCol w:w="806"/>
        <w:gridCol w:w="807"/>
        <w:gridCol w:w="806"/>
        <w:gridCol w:w="806"/>
        <w:gridCol w:w="806"/>
        <w:gridCol w:w="807"/>
        <w:gridCol w:w="806"/>
        <w:gridCol w:w="806"/>
        <w:gridCol w:w="807"/>
        <w:gridCol w:w="817"/>
      </w:tblGrid>
      <w:tr w:rsidR="004D7D23" w:rsidRPr="007B192E" w14:paraId="001D9353" w14:textId="77777777" w:rsidTr="008F7A94">
        <w:trPr>
          <w:jc w:val="center"/>
        </w:trPr>
        <w:tc>
          <w:tcPr>
            <w:tcW w:w="1564" w:type="dxa"/>
            <w:vMerge w:val="restart"/>
            <w:tcBorders>
              <w:top w:val="single" w:sz="4" w:space="0" w:color="000000"/>
              <w:left w:val="single" w:sz="4" w:space="0" w:color="000000"/>
              <w:bottom w:val="double" w:sz="2" w:space="0" w:color="000000"/>
            </w:tcBorders>
            <w:tcMar>
              <w:top w:w="0" w:type="dxa"/>
              <w:left w:w="108" w:type="dxa"/>
              <w:bottom w:w="0" w:type="dxa"/>
              <w:right w:w="108" w:type="dxa"/>
            </w:tcMar>
          </w:tcPr>
          <w:p w14:paraId="048CBBB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Mieszanka niezwiązana, mm</w:t>
            </w:r>
          </w:p>
        </w:tc>
        <w:tc>
          <w:tcPr>
            <w:tcW w:w="8074" w:type="dxa"/>
            <w:gridSpan w:val="10"/>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6093F4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Porównanie z deklarowaną przez producenta wartością (S)</w:t>
            </w:r>
          </w:p>
          <w:p w14:paraId="4BCC852B"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Tolerancje przesiewu przez sito (mm), % (m/m)</w:t>
            </w:r>
          </w:p>
        </w:tc>
      </w:tr>
      <w:tr w:rsidR="004D7D23" w:rsidRPr="007B192E" w14:paraId="67EA5C13" w14:textId="77777777" w:rsidTr="008F7A94">
        <w:trPr>
          <w:jc w:val="center"/>
        </w:trPr>
        <w:tc>
          <w:tcPr>
            <w:tcW w:w="1564" w:type="dxa"/>
            <w:vMerge/>
            <w:tcBorders>
              <w:top w:val="single" w:sz="4" w:space="0" w:color="000000"/>
              <w:left w:val="single" w:sz="4" w:space="0" w:color="000000"/>
              <w:bottom w:val="double" w:sz="2" w:space="0" w:color="000000"/>
            </w:tcBorders>
            <w:tcMar>
              <w:top w:w="0" w:type="dxa"/>
              <w:left w:w="108" w:type="dxa"/>
              <w:bottom w:w="0" w:type="dxa"/>
              <w:right w:w="108" w:type="dxa"/>
            </w:tcMar>
          </w:tcPr>
          <w:p w14:paraId="09A97C52" w14:textId="77777777" w:rsidR="00F45500" w:rsidRPr="007B192E" w:rsidRDefault="00F45500" w:rsidP="008F7A94">
            <w:pPr>
              <w:rPr>
                <w:rFonts w:ascii="Arial" w:hAnsi="Arial" w:cs="Arial"/>
                <w:color w:val="000000" w:themeColor="text1"/>
                <w:sz w:val="18"/>
                <w:szCs w:val="18"/>
              </w:rPr>
            </w:pP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46130CDD"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0,5</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14:paraId="63E14F8B"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55B56D2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2C2A1D7B"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66B9D21F"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5,6</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14:paraId="01BED25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10974C37"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11,2</w:t>
            </w:r>
          </w:p>
        </w:tc>
        <w:tc>
          <w:tcPr>
            <w:tcW w:w="806" w:type="dxa"/>
            <w:tcBorders>
              <w:top w:val="single" w:sz="4" w:space="0" w:color="000000"/>
              <w:left w:val="single" w:sz="4" w:space="0" w:color="000000"/>
              <w:bottom w:val="double" w:sz="2" w:space="0" w:color="000000"/>
            </w:tcBorders>
            <w:tcMar>
              <w:top w:w="0" w:type="dxa"/>
              <w:left w:w="108" w:type="dxa"/>
              <w:bottom w:w="0" w:type="dxa"/>
              <w:right w:w="108" w:type="dxa"/>
            </w:tcMar>
          </w:tcPr>
          <w:p w14:paraId="175384D8"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807" w:type="dxa"/>
            <w:tcBorders>
              <w:top w:val="single" w:sz="4" w:space="0" w:color="000000"/>
              <w:left w:val="single" w:sz="4" w:space="0" w:color="000000"/>
              <w:bottom w:val="double" w:sz="2" w:space="0" w:color="000000"/>
            </w:tcBorders>
            <w:tcMar>
              <w:top w:w="0" w:type="dxa"/>
              <w:left w:w="108" w:type="dxa"/>
              <w:bottom w:w="0" w:type="dxa"/>
              <w:right w:w="108" w:type="dxa"/>
            </w:tcMar>
          </w:tcPr>
          <w:p w14:paraId="7A1C190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22,4</w:t>
            </w:r>
          </w:p>
        </w:tc>
        <w:tc>
          <w:tcPr>
            <w:tcW w:w="817"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14:paraId="22F9E59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31,5</w:t>
            </w:r>
          </w:p>
        </w:tc>
      </w:tr>
      <w:tr w:rsidR="00F45500" w:rsidRPr="007B192E" w14:paraId="15747684" w14:textId="77777777" w:rsidTr="008F7A94">
        <w:trPr>
          <w:jc w:val="center"/>
        </w:trPr>
        <w:tc>
          <w:tcPr>
            <w:tcW w:w="1564" w:type="dxa"/>
            <w:tcBorders>
              <w:top w:val="double" w:sz="2" w:space="0" w:color="000000"/>
              <w:left w:val="single" w:sz="4" w:space="0" w:color="000000"/>
              <w:bottom w:val="single" w:sz="4" w:space="0" w:color="000000"/>
            </w:tcBorders>
            <w:tcMar>
              <w:top w:w="0" w:type="dxa"/>
              <w:left w:w="108" w:type="dxa"/>
              <w:bottom w:w="0" w:type="dxa"/>
              <w:right w:w="108" w:type="dxa"/>
            </w:tcMar>
          </w:tcPr>
          <w:p w14:paraId="24DB2CE8"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0/31,5</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0756784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 5</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14:paraId="1B502364"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 5</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6C6A7BA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 7</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4C15DA8E"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 8</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7D6E5838"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14:paraId="0D3B45FF"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 8</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35F8FF9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806" w:type="dxa"/>
            <w:tcBorders>
              <w:top w:val="double" w:sz="2" w:space="0" w:color="000000"/>
              <w:left w:val="single" w:sz="4" w:space="0" w:color="000000"/>
              <w:bottom w:val="single" w:sz="4" w:space="0" w:color="000000"/>
            </w:tcBorders>
            <w:tcMar>
              <w:top w:w="0" w:type="dxa"/>
              <w:left w:w="108" w:type="dxa"/>
              <w:bottom w:w="0" w:type="dxa"/>
              <w:right w:w="108" w:type="dxa"/>
            </w:tcMar>
          </w:tcPr>
          <w:p w14:paraId="2C72D17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 8</w:t>
            </w:r>
          </w:p>
        </w:tc>
        <w:tc>
          <w:tcPr>
            <w:tcW w:w="807" w:type="dxa"/>
            <w:tcBorders>
              <w:top w:val="double" w:sz="2" w:space="0" w:color="000000"/>
              <w:left w:val="single" w:sz="4" w:space="0" w:color="000000"/>
              <w:bottom w:val="single" w:sz="4" w:space="0" w:color="000000"/>
            </w:tcBorders>
            <w:tcMar>
              <w:top w:w="0" w:type="dxa"/>
              <w:left w:w="108" w:type="dxa"/>
              <w:bottom w:w="0" w:type="dxa"/>
              <w:right w:w="108" w:type="dxa"/>
            </w:tcMar>
          </w:tcPr>
          <w:p w14:paraId="4BD9F115" w14:textId="77777777" w:rsidR="00F45500" w:rsidRPr="007B192E" w:rsidRDefault="00F45500" w:rsidP="008F7A94">
            <w:pPr>
              <w:pStyle w:val="Standard"/>
              <w:snapToGrid w:val="0"/>
              <w:jc w:val="center"/>
              <w:rPr>
                <w:rFonts w:ascii="Arial" w:hAnsi="Arial" w:cs="Arial"/>
                <w:color w:val="000000" w:themeColor="text1"/>
                <w:sz w:val="18"/>
                <w:szCs w:val="18"/>
              </w:rPr>
            </w:pPr>
          </w:p>
        </w:tc>
        <w:tc>
          <w:tcPr>
            <w:tcW w:w="817"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3029756" w14:textId="77777777" w:rsidR="00F45500" w:rsidRPr="007B192E" w:rsidRDefault="00F45500" w:rsidP="008F7A94">
            <w:pPr>
              <w:pStyle w:val="Standard"/>
              <w:snapToGrid w:val="0"/>
              <w:jc w:val="center"/>
              <w:rPr>
                <w:rFonts w:ascii="Arial" w:hAnsi="Arial" w:cs="Arial"/>
                <w:color w:val="000000" w:themeColor="text1"/>
                <w:sz w:val="18"/>
                <w:szCs w:val="18"/>
              </w:rPr>
            </w:pPr>
          </w:p>
        </w:tc>
      </w:tr>
    </w:tbl>
    <w:p w14:paraId="2FF3693E" w14:textId="77777777" w:rsidR="00F45500" w:rsidRPr="007B192E" w:rsidRDefault="00F45500" w:rsidP="00F45500">
      <w:pPr>
        <w:pStyle w:val="Standard"/>
        <w:jc w:val="both"/>
        <w:rPr>
          <w:rFonts w:ascii="Arial" w:hAnsi="Arial" w:cs="Arial"/>
          <w:color w:val="000000" w:themeColor="text1"/>
          <w:sz w:val="18"/>
          <w:szCs w:val="18"/>
        </w:rPr>
      </w:pPr>
    </w:p>
    <w:p w14:paraId="28193E5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Krzywa uziarnienia (S) deklarowana przez producenta mieszanek powinna nie tylko mieścić się w odpowiednich krzywych uziarnienia (rys. 1) ograniczonych przerywanymi liniami (SDV) z uwzględnieniem dopuszczalnych tolerancji podanych w tablicy 2, ale powinna spełniać także wymagania ciągłości uziarnienia zawarte w tablicy 3.</w:t>
      </w:r>
    </w:p>
    <w:p w14:paraId="6B79B977" w14:textId="77777777" w:rsidR="00F45500" w:rsidRPr="007B192E" w:rsidRDefault="00F45500" w:rsidP="00F45500">
      <w:pPr>
        <w:pStyle w:val="Standard"/>
        <w:tabs>
          <w:tab w:val="left" w:pos="2268"/>
        </w:tabs>
        <w:spacing w:before="12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3.</w:t>
      </w:r>
      <w:r w:rsidRPr="007B192E">
        <w:rPr>
          <w:rFonts w:ascii="Arial" w:hAnsi="Arial" w:cs="Arial"/>
          <w:color w:val="000000" w:themeColor="text1"/>
          <w:sz w:val="18"/>
          <w:szCs w:val="18"/>
        </w:rPr>
        <w:tab/>
        <w:t>Wymagania wobec ciągłości uziarnienia na sitach kontrolnych – różnice w przesiewach podczas badań kontrolnych produkowanych mieszanek</w:t>
      </w:r>
    </w:p>
    <w:tbl>
      <w:tblPr>
        <w:tblW w:w="9638" w:type="dxa"/>
        <w:jc w:val="center"/>
        <w:tblLayout w:type="fixed"/>
        <w:tblCellMar>
          <w:left w:w="10" w:type="dxa"/>
          <w:right w:w="10" w:type="dxa"/>
        </w:tblCellMar>
        <w:tblLook w:val="0000" w:firstRow="0" w:lastRow="0" w:firstColumn="0" w:lastColumn="0" w:noHBand="0" w:noVBand="0"/>
      </w:tblPr>
      <w:tblGrid>
        <w:gridCol w:w="881"/>
        <w:gridCol w:w="541"/>
        <w:gridCol w:w="527"/>
        <w:gridCol w:w="546"/>
        <w:gridCol w:w="533"/>
        <w:gridCol w:w="540"/>
        <w:gridCol w:w="527"/>
        <w:gridCol w:w="541"/>
        <w:gridCol w:w="527"/>
        <w:gridCol w:w="541"/>
        <w:gridCol w:w="557"/>
        <w:gridCol w:w="541"/>
        <w:gridCol w:w="553"/>
        <w:gridCol w:w="584"/>
        <w:gridCol w:w="619"/>
        <w:gridCol w:w="542"/>
        <w:gridCol w:w="538"/>
      </w:tblGrid>
      <w:tr w:rsidR="004D7D23" w:rsidRPr="007B192E" w14:paraId="52AF94A3" w14:textId="77777777" w:rsidTr="008F7A94">
        <w:trPr>
          <w:jc w:val="center"/>
        </w:trPr>
        <w:tc>
          <w:tcPr>
            <w:tcW w:w="881" w:type="dxa"/>
            <w:vMerge w:val="restart"/>
            <w:tcBorders>
              <w:top w:val="single" w:sz="4" w:space="0" w:color="000000"/>
              <w:left w:val="single" w:sz="4" w:space="0" w:color="000000"/>
              <w:bottom w:val="single" w:sz="4" w:space="0" w:color="000000"/>
            </w:tcBorders>
            <w:tcMar>
              <w:top w:w="0" w:type="dxa"/>
              <w:left w:w="108" w:type="dxa"/>
              <w:bottom w:w="0" w:type="dxa"/>
              <w:right w:w="108" w:type="dxa"/>
            </w:tcMar>
          </w:tcPr>
          <w:p w14:paraId="37CD01F7"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Mieszanka, mm</w:t>
            </w:r>
          </w:p>
        </w:tc>
        <w:tc>
          <w:tcPr>
            <w:tcW w:w="8757" w:type="dxa"/>
            <w:gridSpan w:val="1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ED144C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Minimalna i maksymalna zawartość frakcji w mieszankach;</w:t>
            </w:r>
          </w:p>
          <w:p w14:paraId="4D47B31F"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[różnice przesiewów w % (m/m) przez sito (mm)]</w:t>
            </w:r>
          </w:p>
        </w:tc>
      </w:tr>
      <w:tr w:rsidR="004D7D23" w:rsidRPr="007B192E" w14:paraId="46BB3D34" w14:textId="77777777" w:rsidTr="008F7A94">
        <w:trPr>
          <w:jc w:val="center"/>
        </w:trPr>
        <w:tc>
          <w:tcPr>
            <w:tcW w:w="881" w:type="dxa"/>
            <w:vMerge/>
            <w:tcBorders>
              <w:top w:val="single" w:sz="4" w:space="0" w:color="000000"/>
              <w:left w:val="single" w:sz="4" w:space="0" w:color="000000"/>
              <w:bottom w:val="single" w:sz="4" w:space="0" w:color="000000"/>
            </w:tcBorders>
            <w:tcMar>
              <w:top w:w="0" w:type="dxa"/>
              <w:left w:w="108" w:type="dxa"/>
              <w:bottom w:w="0" w:type="dxa"/>
              <w:right w:w="108" w:type="dxa"/>
            </w:tcMar>
          </w:tcPr>
          <w:p w14:paraId="34E60C07" w14:textId="77777777" w:rsidR="00F45500" w:rsidRPr="007B192E" w:rsidRDefault="00F45500" w:rsidP="008F7A94">
            <w:pPr>
              <w:rPr>
                <w:rFonts w:ascii="Arial" w:hAnsi="Arial" w:cs="Arial"/>
                <w:color w:val="000000" w:themeColor="text1"/>
                <w:sz w:val="18"/>
                <w:szCs w:val="18"/>
              </w:rPr>
            </w:pPr>
          </w:p>
        </w:tc>
        <w:tc>
          <w:tcPr>
            <w:tcW w:w="10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7868481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079"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53A1F17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067"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06B875AA"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2/5,6</w:t>
            </w:r>
          </w:p>
        </w:tc>
        <w:tc>
          <w:tcPr>
            <w:tcW w:w="106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D86A6AA"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4/8</w:t>
            </w:r>
          </w:p>
        </w:tc>
        <w:tc>
          <w:tcPr>
            <w:tcW w:w="1098"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1B4B287"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5,6/11,2</w:t>
            </w:r>
          </w:p>
        </w:tc>
        <w:tc>
          <w:tcPr>
            <w:tcW w:w="1094"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6C31DF19"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8/16</w:t>
            </w:r>
          </w:p>
        </w:tc>
        <w:tc>
          <w:tcPr>
            <w:tcW w:w="1203"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5048BE2A"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11,2/22,4</w:t>
            </w:r>
          </w:p>
        </w:tc>
        <w:tc>
          <w:tcPr>
            <w:tcW w:w="1080"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B4234F"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16/31,5</w:t>
            </w:r>
          </w:p>
        </w:tc>
      </w:tr>
      <w:tr w:rsidR="004D7D23" w:rsidRPr="007B192E" w14:paraId="27179C7D" w14:textId="77777777" w:rsidTr="008F7A94">
        <w:trPr>
          <w:jc w:val="center"/>
        </w:trPr>
        <w:tc>
          <w:tcPr>
            <w:tcW w:w="881" w:type="dxa"/>
            <w:vMerge/>
            <w:tcBorders>
              <w:top w:val="single" w:sz="4" w:space="0" w:color="000000"/>
              <w:left w:val="single" w:sz="4" w:space="0" w:color="000000"/>
              <w:bottom w:val="single" w:sz="4" w:space="0" w:color="000000"/>
            </w:tcBorders>
            <w:tcMar>
              <w:top w:w="0" w:type="dxa"/>
              <w:left w:w="108" w:type="dxa"/>
              <w:bottom w:w="0" w:type="dxa"/>
              <w:right w:w="108" w:type="dxa"/>
            </w:tcMar>
          </w:tcPr>
          <w:p w14:paraId="1827D3E0" w14:textId="77777777" w:rsidR="00F45500" w:rsidRPr="007B192E" w:rsidRDefault="00F45500" w:rsidP="008F7A94">
            <w:pPr>
              <w:rPr>
                <w:rFonts w:ascii="Arial" w:hAnsi="Arial" w:cs="Arial"/>
                <w:color w:val="000000" w:themeColor="text1"/>
                <w:sz w:val="18"/>
                <w:szCs w:val="18"/>
              </w:rPr>
            </w:pP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4AF8060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14:paraId="280B0EB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46" w:type="dxa"/>
            <w:tcBorders>
              <w:top w:val="single" w:sz="4" w:space="0" w:color="000000"/>
              <w:left w:val="single" w:sz="4" w:space="0" w:color="000000"/>
              <w:bottom w:val="double" w:sz="2" w:space="0" w:color="000000"/>
            </w:tcBorders>
            <w:tcMar>
              <w:top w:w="0" w:type="dxa"/>
              <w:left w:w="108" w:type="dxa"/>
              <w:bottom w:w="0" w:type="dxa"/>
              <w:right w:w="108" w:type="dxa"/>
            </w:tcMar>
          </w:tcPr>
          <w:p w14:paraId="4B4108E1"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33" w:type="dxa"/>
            <w:tcBorders>
              <w:top w:val="single" w:sz="4" w:space="0" w:color="000000"/>
              <w:left w:val="single" w:sz="4" w:space="0" w:color="000000"/>
              <w:bottom w:val="double" w:sz="2" w:space="0" w:color="000000"/>
            </w:tcBorders>
            <w:tcMar>
              <w:top w:w="0" w:type="dxa"/>
              <w:left w:w="108" w:type="dxa"/>
              <w:bottom w:w="0" w:type="dxa"/>
              <w:right w:w="108" w:type="dxa"/>
            </w:tcMar>
          </w:tcPr>
          <w:p w14:paraId="18FE7DA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40" w:type="dxa"/>
            <w:tcBorders>
              <w:top w:val="single" w:sz="4" w:space="0" w:color="000000"/>
              <w:left w:val="single" w:sz="4" w:space="0" w:color="000000"/>
              <w:bottom w:val="double" w:sz="2" w:space="0" w:color="000000"/>
            </w:tcBorders>
            <w:tcMar>
              <w:top w:w="0" w:type="dxa"/>
              <w:left w:w="108" w:type="dxa"/>
              <w:bottom w:w="0" w:type="dxa"/>
              <w:right w:w="108" w:type="dxa"/>
            </w:tcMar>
          </w:tcPr>
          <w:p w14:paraId="76262D7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14:paraId="31AA9C2D"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7936268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27" w:type="dxa"/>
            <w:tcBorders>
              <w:top w:val="single" w:sz="4" w:space="0" w:color="000000"/>
              <w:left w:val="single" w:sz="4" w:space="0" w:color="000000"/>
              <w:bottom w:val="double" w:sz="2" w:space="0" w:color="000000"/>
            </w:tcBorders>
            <w:tcMar>
              <w:top w:w="0" w:type="dxa"/>
              <w:left w:w="108" w:type="dxa"/>
              <w:bottom w:w="0" w:type="dxa"/>
              <w:right w:w="108" w:type="dxa"/>
            </w:tcMar>
          </w:tcPr>
          <w:p w14:paraId="2D706A5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4CABBA0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57" w:type="dxa"/>
            <w:tcBorders>
              <w:top w:val="single" w:sz="4" w:space="0" w:color="000000"/>
              <w:left w:val="single" w:sz="4" w:space="0" w:color="000000"/>
              <w:bottom w:val="double" w:sz="2" w:space="0" w:color="000000"/>
            </w:tcBorders>
            <w:tcMar>
              <w:top w:w="0" w:type="dxa"/>
              <w:left w:w="108" w:type="dxa"/>
              <w:bottom w:w="0" w:type="dxa"/>
              <w:right w:w="108" w:type="dxa"/>
            </w:tcMar>
          </w:tcPr>
          <w:p w14:paraId="730BBFFB"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41" w:type="dxa"/>
            <w:tcBorders>
              <w:top w:val="single" w:sz="4" w:space="0" w:color="000000"/>
              <w:left w:val="single" w:sz="4" w:space="0" w:color="000000"/>
              <w:bottom w:val="double" w:sz="2" w:space="0" w:color="000000"/>
            </w:tcBorders>
            <w:tcMar>
              <w:top w:w="0" w:type="dxa"/>
              <w:left w:w="108" w:type="dxa"/>
              <w:bottom w:w="0" w:type="dxa"/>
              <w:right w:w="108" w:type="dxa"/>
            </w:tcMar>
          </w:tcPr>
          <w:p w14:paraId="24D0F78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53" w:type="dxa"/>
            <w:tcBorders>
              <w:top w:val="single" w:sz="4" w:space="0" w:color="000000"/>
              <w:left w:val="single" w:sz="4" w:space="0" w:color="000000"/>
              <w:bottom w:val="double" w:sz="2" w:space="0" w:color="000000"/>
            </w:tcBorders>
            <w:tcMar>
              <w:top w:w="0" w:type="dxa"/>
              <w:left w:w="108" w:type="dxa"/>
              <w:bottom w:w="0" w:type="dxa"/>
              <w:right w:w="108" w:type="dxa"/>
            </w:tcMar>
          </w:tcPr>
          <w:p w14:paraId="7FB576F8"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84" w:type="dxa"/>
            <w:tcBorders>
              <w:top w:val="single" w:sz="4" w:space="0" w:color="000000"/>
              <w:left w:val="single" w:sz="4" w:space="0" w:color="000000"/>
              <w:bottom w:val="double" w:sz="2" w:space="0" w:color="000000"/>
            </w:tcBorders>
            <w:tcMar>
              <w:top w:w="0" w:type="dxa"/>
              <w:left w:w="108" w:type="dxa"/>
              <w:bottom w:w="0" w:type="dxa"/>
              <w:right w:w="108" w:type="dxa"/>
            </w:tcMar>
          </w:tcPr>
          <w:p w14:paraId="6FA2026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619" w:type="dxa"/>
            <w:tcBorders>
              <w:top w:val="single" w:sz="4" w:space="0" w:color="000000"/>
              <w:left w:val="single" w:sz="4" w:space="0" w:color="000000"/>
              <w:bottom w:val="double" w:sz="2" w:space="0" w:color="000000"/>
            </w:tcBorders>
            <w:tcMar>
              <w:top w:w="0" w:type="dxa"/>
              <w:left w:w="108" w:type="dxa"/>
              <w:bottom w:w="0" w:type="dxa"/>
              <w:right w:w="108" w:type="dxa"/>
            </w:tcMar>
          </w:tcPr>
          <w:p w14:paraId="3542078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c>
          <w:tcPr>
            <w:tcW w:w="542" w:type="dxa"/>
            <w:tcBorders>
              <w:top w:val="single" w:sz="4" w:space="0" w:color="000000"/>
              <w:left w:val="single" w:sz="4" w:space="0" w:color="000000"/>
              <w:bottom w:val="double" w:sz="2" w:space="0" w:color="000000"/>
            </w:tcBorders>
            <w:tcMar>
              <w:top w:w="0" w:type="dxa"/>
              <w:left w:w="108" w:type="dxa"/>
              <w:bottom w:w="0" w:type="dxa"/>
              <w:right w:w="108" w:type="dxa"/>
            </w:tcMar>
          </w:tcPr>
          <w:p w14:paraId="41267F42"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min.</w:t>
            </w:r>
          </w:p>
        </w:tc>
        <w:tc>
          <w:tcPr>
            <w:tcW w:w="538"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14:paraId="7CECE4EF"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max</w:t>
            </w:r>
          </w:p>
        </w:tc>
      </w:tr>
      <w:tr w:rsidR="004D7D23" w:rsidRPr="007B192E" w14:paraId="11CADE6F" w14:textId="77777777" w:rsidTr="008F7A94">
        <w:trPr>
          <w:jc w:val="center"/>
        </w:trPr>
        <w:tc>
          <w:tcPr>
            <w:tcW w:w="881" w:type="dxa"/>
            <w:tcBorders>
              <w:top w:val="double" w:sz="2" w:space="0" w:color="000000"/>
              <w:left w:val="single" w:sz="4" w:space="0" w:color="000000"/>
              <w:bottom w:val="single" w:sz="4" w:space="0" w:color="000000"/>
            </w:tcBorders>
            <w:tcMar>
              <w:top w:w="0" w:type="dxa"/>
              <w:left w:w="108" w:type="dxa"/>
              <w:bottom w:w="0" w:type="dxa"/>
              <w:right w:w="108" w:type="dxa"/>
            </w:tcMar>
          </w:tcPr>
          <w:p w14:paraId="4FDB1E08"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0/31,5</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241C02B5"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14:paraId="61A09F8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546" w:type="dxa"/>
            <w:tcBorders>
              <w:top w:val="double" w:sz="2" w:space="0" w:color="000000"/>
              <w:left w:val="single" w:sz="4" w:space="0" w:color="000000"/>
              <w:bottom w:val="single" w:sz="4" w:space="0" w:color="000000"/>
            </w:tcBorders>
            <w:tcMar>
              <w:top w:w="0" w:type="dxa"/>
              <w:left w:w="108" w:type="dxa"/>
              <w:bottom w:w="0" w:type="dxa"/>
              <w:right w:w="108" w:type="dxa"/>
            </w:tcMar>
          </w:tcPr>
          <w:p w14:paraId="6A14428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7</w:t>
            </w:r>
          </w:p>
        </w:tc>
        <w:tc>
          <w:tcPr>
            <w:tcW w:w="533" w:type="dxa"/>
            <w:tcBorders>
              <w:top w:val="double" w:sz="2" w:space="0" w:color="000000"/>
              <w:left w:val="single" w:sz="4" w:space="0" w:color="000000"/>
              <w:bottom w:val="single" w:sz="4" w:space="0" w:color="000000"/>
            </w:tcBorders>
            <w:tcMar>
              <w:top w:w="0" w:type="dxa"/>
              <w:left w:w="108" w:type="dxa"/>
              <w:bottom w:w="0" w:type="dxa"/>
              <w:right w:w="108" w:type="dxa"/>
            </w:tcMar>
          </w:tcPr>
          <w:p w14:paraId="2649EC86"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540" w:type="dxa"/>
            <w:tcBorders>
              <w:top w:val="double" w:sz="2" w:space="0" w:color="000000"/>
              <w:left w:val="single" w:sz="4" w:space="0" w:color="000000"/>
              <w:bottom w:val="single" w:sz="4" w:space="0" w:color="000000"/>
            </w:tcBorders>
            <w:tcMar>
              <w:top w:w="0" w:type="dxa"/>
              <w:left w:w="108" w:type="dxa"/>
              <w:bottom w:w="0" w:type="dxa"/>
              <w:right w:w="108" w:type="dxa"/>
            </w:tcMar>
          </w:tcPr>
          <w:p w14:paraId="7D038739"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14:paraId="0B679EE7"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2147CDE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527" w:type="dxa"/>
            <w:tcBorders>
              <w:top w:val="double" w:sz="2" w:space="0" w:color="000000"/>
              <w:left w:val="single" w:sz="4" w:space="0" w:color="000000"/>
              <w:bottom w:val="single" w:sz="4" w:space="0" w:color="000000"/>
            </w:tcBorders>
            <w:tcMar>
              <w:top w:w="0" w:type="dxa"/>
              <w:left w:w="108" w:type="dxa"/>
              <w:bottom w:w="0" w:type="dxa"/>
              <w:right w:w="108" w:type="dxa"/>
            </w:tcMar>
          </w:tcPr>
          <w:p w14:paraId="5AB1C89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7168335F"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557" w:type="dxa"/>
            <w:tcBorders>
              <w:top w:val="double" w:sz="2" w:space="0" w:color="000000"/>
              <w:left w:val="single" w:sz="4" w:space="0" w:color="000000"/>
              <w:bottom w:val="single" w:sz="4" w:space="0" w:color="000000"/>
            </w:tcBorders>
            <w:tcMar>
              <w:top w:w="0" w:type="dxa"/>
              <w:left w:w="108" w:type="dxa"/>
              <w:bottom w:w="0" w:type="dxa"/>
              <w:right w:w="108" w:type="dxa"/>
            </w:tcMar>
          </w:tcPr>
          <w:p w14:paraId="4587B567"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541" w:type="dxa"/>
            <w:tcBorders>
              <w:top w:val="double" w:sz="2" w:space="0" w:color="000000"/>
              <w:left w:val="single" w:sz="4" w:space="0" w:color="000000"/>
              <w:bottom w:val="single" w:sz="4" w:space="0" w:color="000000"/>
            </w:tcBorders>
            <w:tcMar>
              <w:top w:w="0" w:type="dxa"/>
              <w:left w:w="108" w:type="dxa"/>
              <w:bottom w:w="0" w:type="dxa"/>
              <w:right w:w="108" w:type="dxa"/>
            </w:tcMar>
          </w:tcPr>
          <w:p w14:paraId="02470DDC"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553" w:type="dxa"/>
            <w:tcBorders>
              <w:top w:val="double" w:sz="2" w:space="0" w:color="000000"/>
              <w:left w:val="single" w:sz="4" w:space="0" w:color="000000"/>
              <w:bottom w:val="single" w:sz="4" w:space="0" w:color="000000"/>
            </w:tcBorders>
            <w:tcMar>
              <w:top w:w="0" w:type="dxa"/>
              <w:left w:w="108" w:type="dxa"/>
              <w:bottom w:w="0" w:type="dxa"/>
              <w:right w:w="108" w:type="dxa"/>
            </w:tcMar>
          </w:tcPr>
          <w:p w14:paraId="7AEB5170"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584" w:type="dxa"/>
            <w:tcBorders>
              <w:top w:val="double" w:sz="2" w:space="0" w:color="000000"/>
              <w:left w:val="single" w:sz="4" w:space="0" w:color="000000"/>
              <w:bottom w:val="single" w:sz="4" w:space="0" w:color="000000"/>
            </w:tcBorders>
            <w:tcMar>
              <w:top w:w="0" w:type="dxa"/>
              <w:left w:w="108" w:type="dxa"/>
              <w:bottom w:w="0" w:type="dxa"/>
              <w:right w:w="108" w:type="dxa"/>
            </w:tcMar>
          </w:tcPr>
          <w:p w14:paraId="30A02F73"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619" w:type="dxa"/>
            <w:tcBorders>
              <w:top w:val="double" w:sz="2" w:space="0" w:color="000000"/>
              <w:left w:val="single" w:sz="4" w:space="0" w:color="000000"/>
              <w:bottom w:val="single" w:sz="4" w:space="0" w:color="000000"/>
            </w:tcBorders>
            <w:tcMar>
              <w:top w:w="0" w:type="dxa"/>
              <w:left w:w="108" w:type="dxa"/>
              <w:bottom w:w="0" w:type="dxa"/>
              <w:right w:w="108" w:type="dxa"/>
            </w:tcMar>
          </w:tcPr>
          <w:p w14:paraId="0C491FA1"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542" w:type="dxa"/>
            <w:tcBorders>
              <w:top w:val="double" w:sz="2" w:space="0" w:color="000000"/>
              <w:left w:val="single" w:sz="4" w:space="0" w:color="000000"/>
              <w:bottom w:val="single" w:sz="4" w:space="0" w:color="000000"/>
            </w:tcBorders>
            <w:tcMar>
              <w:top w:w="0" w:type="dxa"/>
              <w:left w:w="108" w:type="dxa"/>
              <w:bottom w:w="0" w:type="dxa"/>
              <w:right w:w="108" w:type="dxa"/>
            </w:tcMar>
          </w:tcPr>
          <w:p w14:paraId="6C4F1696"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538"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22740D" w14:textId="77777777" w:rsidR="00F45500" w:rsidRPr="007B192E" w:rsidRDefault="00F45500" w:rsidP="008F7A94">
            <w:pPr>
              <w:pStyle w:val="Standard"/>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bl>
    <w:p w14:paraId="2EC3F548" w14:textId="77777777" w:rsidR="00F45500" w:rsidRPr="007B192E" w:rsidRDefault="00F45500" w:rsidP="00F45500">
      <w:pPr>
        <w:pStyle w:val="Standard"/>
        <w:ind w:left="840" w:hanging="840"/>
        <w:jc w:val="both"/>
        <w:rPr>
          <w:rFonts w:ascii="Arial" w:hAnsi="Arial" w:cs="Arial"/>
          <w:color w:val="000000" w:themeColor="text1"/>
          <w:sz w:val="18"/>
          <w:szCs w:val="18"/>
        </w:rPr>
      </w:pPr>
      <w:r w:rsidRPr="007B192E">
        <w:rPr>
          <w:rFonts w:ascii="Arial" w:hAnsi="Arial" w:cs="Arial"/>
          <w:color w:val="000000" w:themeColor="text1"/>
          <w:sz w:val="18"/>
          <w:szCs w:val="18"/>
        </w:rPr>
        <w:tab/>
      </w:r>
    </w:p>
    <w:p w14:paraId="2EA5A46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Mieszanki kruszyw stosowane do warstw podbudów zasadniczych powinny spełniać wymagania wg tablicy 4. Wymagania wobec mieszanek przeznaczonych do warstw podbudowy zasadniczej odnośnie wrażliwości na mróz (wskaźnik SE), dotyczą badania materiału po pięciokrotnym zagęszczeniu metoda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według PN-EN 13286-2 [18]. Nie stawia się wymagań wobec wodoprzepuszczalności zagęszczonej mieszanki niezwiązanej do podbudowy zasadniczej, o ile szczegółowe rozwiązania nie przewidują tego.</w:t>
      </w:r>
    </w:p>
    <w:p w14:paraId="23A09D5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Zawartość wody w mieszankach kruszyw powinna odpowiadać wymaganej zawartości wody w trakcie wbudowywania i zagęszczania określonej metodą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według  PN-EN 13286-2 [18], w granicach podanych w tablicy 4.</w:t>
      </w:r>
    </w:p>
    <w:p w14:paraId="63C10CF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Badanie CBR mieszanek do podbudowy zasadniczej należy wykonać na mieszance zagęszczonej metodą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do wskaźnika zagęszczenia </w:t>
      </w:r>
      <w:proofErr w:type="spellStart"/>
      <w:r w:rsidRPr="007B192E">
        <w:rPr>
          <w:rFonts w:ascii="Arial" w:hAnsi="Arial" w:cs="Arial"/>
          <w:color w:val="000000" w:themeColor="text1"/>
          <w:sz w:val="18"/>
          <w:szCs w:val="18"/>
        </w:rPr>
        <w:t>Is</w:t>
      </w:r>
      <w:proofErr w:type="spellEnd"/>
      <w:r w:rsidRPr="007B192E">
        <w:rPr>
          <w:rFonts w:ascii="Arial" w:hAnsi="Arial" w:cs="Arial"/>
          <w:color w:val="000000" w:themeColor="text1"/>
          <w:sz w:val="18"/>
          <w:szCs w:val="18"/>
        </w:rPr>
        <w:t xml:space="preserve"> = 1,0 i po 96 godzinach przechowywania jej w wodzie. CBR należy oznaczyć wg PN-EN 13286-47 [19], a wymaganie przyjąć wg tablicy 4.</w:t>
      </w:r>
    </w:p>
    <w:p w14:paraId="001B2AF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Istotne cechy środowiskowe</w:t>
      </w:r>
    </w:p>
    <w:p w14:paraId="2D4BE0EE"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takiej mieszanki przez właściwe jednostki.</w:t>
      </w:r>
    </w:p>
    <w:p w14:paraId="5300E1D4"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Wymagania wobec mieszanek</w:t>
      </w:r>
    </w:p>
    <w:p w14:paraId="63E4624C"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 tablicy 4 przedstawia się zbiorcze zestawienie wymagań wobec mieszanek kruszywa niezwiązanego w warstwie podbudowy zasadniczej.</w:t>
      </w:r>
    </w:p>
    <w:p w14:paraId="4B9BE71C" w14:textId="77777777" w:rsidR="00F45500" w:rsidRPr="007B192E" w:rsidRDefault="00F45500" w:rsidP="00F45500">
      <w:pPr>
        <w:pStyle w:val="Standard"/>
        <w:jc w:val="both"/>
        <w:rPr>
          <w:rFonts w:ascii="Arial" w:hAnsi="Arial" w:cs="Arial"/>
          <w:color w:val="000000" w:themeColor="text1"/>
          <w:sz w:val="18"/>
          <w:szCs w:val="18"/>
        </w:rPr>
      </w:pPr>
    </w:p>
    <w:p w14:paraId="36FDED6C" w14:textId="77777777" w:rsidR="00F45500" w:rsidRPr="007B192E" w:rsidRDefault="00F45500" w:rsidP="00F45500">
      <w:pPr>
        <w:pStyle w:val="Bezodstpw"/>
        <w:tabs>
          <w:tab w:val="left" w:pos="2268"/>
        </w:tabs>
        <w:ind w:left="1134" w:hanging="1134"/>
        <w:jc w:val="both"/>
        <w:rPr>
          <w:rFonts w:cs="Arial"/>
          <w:color w:val="000000" w:themeColor="text1"/>
          <w:sz w:val="18"/>
          <w:szCs w:val="18"/>
        </w:rPr>
      </w:pPr>
      <w:r w:rsidRPr="007B192E">
        <w:rPr>
          <w:rFonts w:cs="Arial"/>
          <w:color w:val="000000" w:themeColor="text1"/>
          <w:sz w:val="18"/>
          <w:szCs w:val="18"/>
        </w:rPr>
        <w:t>Tablica 4.</w:t>
      </w:r>
      <w:r w:rsidRPr="007B192E">
        <w:rPr>
          <w:rFonts w:cs="Arial"/>
          <w:color w:val="000000" w:themeColor="text1"/>
          <w:sz w:val="18"/>
          <w:szCs w:val="18"/>
        </w:rPr>
        <w:tab/>
        <w:t>Wymagania wobec  mieszanek kruszywa niezwiązanego w warstwie podbudowy zasadniczej</w:t>
      </w:r>
    </w:p>
    <w:p w14:paraId="468A1051" w14:textId="77777777" w:rsidR="00F45500" w:rsidRPr="007B192E" w:rsidRDefault="00F45500" w:rsidP="00F45500">
      <w:pPr>
        <w:pStyle w:val="Bezodstpw"/>
        <w:spacing w:before="120"/>
        <w:jc w:val="both"/>
        <w:rPr>
          <w:rFonts w:cs="Arial"/>
          <w:color w:val="000000" w:themeColor="text1"/>
          <w:sz w:val="18"/>
          <w:szCs w:val="18"/>
        </w:rPr>
      </w:pPr>
      <w:r w:rsidRPr="007B192E">
        <w:rPr>
          <w:rFonts w:cs="Arial"/>
          <w:color w:val="000000" w:themeColor="text1"/>
          <w:sz w:val="18"/>
          <w:szCs w:val="18"/>
        </w:rPr>
        <w:t xml:space="preserve">Skróty użyte w tablicy: Kat. – kategoria właściwości,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xml:space="preserve">. – wskaźnik,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 współczynnik</w:t>
      </w:r>
    </w:p>
    <w:p w14:paraId="39A0C33A" w14:textId="77777777" w:rsidR="00F45500" w:rsidRPr="007B192E" w:rsidRDefault="00F45500" w:rsidP="00F45500">
      <w:pPr>
        <w:pStyle w:val="Bezodstpw"/>
        <w:jc w:val="both"/>
        <w:rPr>
          <w:rFonts w:cs="Arial"/>
          <w:color w:val="000000" w:themeColor="text1"/>
          <w:sz w:val="18"/>
          <w:szCs w:val="18"/>
        </w:rPr>
      </w:pPr>
    </w:p>
    <w:tbl>
      <w:tblPr>
        <w:tblW w:w="9637" w:type="dxa"/>
        <w:tblInd w:w="108" w:type="dxa"/>
        <w:tblLayout w:type="fixed"/>
        <w:tblCellMar>
          <w:left w:w="10" w:type="dxa"/>
          <w:right w:w="10" w:type="dxa"/>
        </w:tblCellMar>
        <w:tblLook w:val="0000" w:firstRow="0" w:lastRow="0" w:firstColumn="0" w:lastColumn="0" w:noHBand="0" w:noVBand="0"/>
      </w:tblPr>
      <w:tblGrid>
        <w:gridCol w:w="3402"/>
        <w:gridCol w:w="1701"/>
        <w:gridCol w:w="4534"/>
      </w:tblGrid>
      <w:tr w:rsidR="004D7D23" w:rsidRPr="007B192E" w14:paraId="118183C5" w14:textId="77777777" w:rsidTr="008F7A94">
        <w:tc>
          <w:tcPr>
            <w:tcW w:w="3402" w:type="dxa"/>
            <w:vMerge w:val="restart"/>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676E4CB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Właściwość</w:t>
            </w:r>
          </w:p>
          <w:p w14:paraId="0D817DEB"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kruszywa</w:t>
            </w:r>
          </w:p>
        </w:tc>
        <w:tc>
          <w:tcPr>
            <w:tcW w:w="62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BC862C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 wobec  mieszanek kruszywa niezwiązanego w warstwie podbudowy zasadniczej pod nawierzchnią drogi</w:t>
            </w:r>
          </w:p>
        </w:tc>
      </w:tr>
      <w:tr w:rsidR="004D7D23" w:rsidRPr="007B192E" w14:paraId="59B4A38E" w14:textId="77777777" w:rsidTr="008F7A94">
        <w:trPr>
          <w:trHeight w:val="476"/>
        </w:trPr>
        <w:tc>
          <w:tcPr>
            <w:tcW w:w="3402" w:type="dxa"/>
            <w:vMerge/>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0A8E77F" w14:textId="77777777" w:rsidR="00F45500" w:rsidRPr="007B192E" w:rsidRDefault="00F45500" w:rsidP="008F7A94">
            <w:pPr>
              <w:rPr>
                <w:rFonts w:ascii="Arial" w:hAnsi="Arial" w:cs="Arial"/>
                <w:color w:val="000000" w:themeColor="text1"/>
                <w:sz w:val="18"/>
                <w:szCs w:val="18"/>
              </w:rPr>
            </w:pP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AC5BF30"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Punkt</w:t>
            </w:r>
          </w:p>
          <w:p w14:paraId="6F447C49"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PN-EN</w:t>
            </w:r>
          </w:p>
          <w:p w14:paraId="3160F348"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13285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F61E73F"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w:t>
            </w:r>
          </w:p>
          <w:p w14:paraId="19F150C7" w14:textId="77777777" w:rsidR="00F45500" w:rsidRPr="007B192E" w:rsidRDefault="00F45500" w:rsidP="008F7A94">
            <w:pPr>
              <w:pStyle w:val="Bezodstpw"/>
              <w:jc w:val="center"/>
              <w:rPr>
                <w:rFonts w:cs="Arial"/>
                <w:color w:val="000000" w:themeColor="text1"/>
                <w:sz w:val="18"/>
                <w:szCs w:val="18"/>
              </w:rPr>
            </w:pPr>
          </w:p>
        </w:tc>
      </w:tr>
      <w:tr w:rsidR="004D7D23" w:rsidRPr="007B192E" w14:paraId="5BBFBA80"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01F3607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Uziarnienie mieszanek</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70C7B16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4.3.1</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EEB5C3"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 xml:space="preserve"> 0/31,5 mm</w:t>
            </w:r>
          </w:p>
        </w:tc>
      </w:tr>
      <w:tr w:rsidR="004D7D23" w:rsidRPr="007B192E" w14:paraId="3572E487" w14:textId="77777777" w:rsidTr="008F7A94">
        <w:trPr>
          <w:trHeight w:val="433"/>
        </w:trPr>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6562B75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Maksymalna zawartość pyłów:</w:t>
            </w:r>
          </w:p>
          <w:p w14:paraId="17203B3B" w14:textId="77777777" w:rsidR="00F45500" w:rsidRPr="007B192E" w:rsidRDefault="00F45500" w:rsidP="008F7A94">
            <w:pPr>
              <w:pStyle w:val="Bezodstpw"/>
              <w:jc w:val="center"/>
              <w:rPr>
                <w:rFonts w:cs="Arial"/>
                <w:color w:val="000000" w:themeColor="text1"/>
                <w:sz w:val="18"/>
                <w:szCs w:val="18"/>
              </w:rPr>
            </w:pPr>
            <w:proofErr w:type="spellStart"/>
            <w:r w:rsidRPr="007B192E">
              <w:rPr>
                <w:rFonts w:cs="Arial"/>
                <w:color w:val="000000" w:themeColor="text1"/>
                <w:sz w:val="18"/>
                <w:szCs w:val="18"/>
              </w:rPr>
              <w:t>Kat.UF</w:t>
            </w:r>
            <w:proofErr w:type="spellEnd"/>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4A8D09D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4.3.2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FC075C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Kat. UF</w:t>
            </w:r>
            <w:r w:rsidRPr="007B192E">
              <w:rPr>
                <w:rFonts w:cs="Arial"/>
                <w:color w:val="000000" w:themeColor="text1"/>
                <w:sz w:val="18"/>
                <w:szCs w:val="18"/>
                <w:vertAlign w:val="subscript"/>
              </w:rPr>
              <w:t>9</w:t>
            </w:r>
            <w:r w:rsidRPr="007B192E">
              <w:rPr>
                <w:rFonts w:cs="Arial"/>
                <w:color w:val="000000" w:themeColor="text1"/>
                <w:sz w:val="18"/>
                <w:szCs w:val="18"/>
              </w:rPr>
              <w:t xml:space="preserve">  (tj. masa frakcji przechodzącej przez sito 0,063 mm powinna być ≤ 9%)</w:t>
            </w:r>
          </w:p>
        </w:tc>
      </w:tr>
      <w:tr w:rsidR="004D7D23" w:rsidRPr="007B192E" w14:paraId="322A7524"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3B5E058"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Minimalna zawartość pyłów:</w:t>
            </w:r>
          </w:p>
          <w:p w14:paraId="436C468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Kat. LF</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2BDA18C9"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4.3.2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8F5A0E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Kat. LF</w:t>
            </w:r>
            <w:r w:rsidRPr="007B192E">
              <w:rPr>
                <w:rFonts w:cs="Arial"/>
                <w:color w:val="000000" w:themeColor="text1"/>
                <w:sz w:val="18"/>
                <w:szCs w:val="18"/>
                <w:vertAlign w:val="subscript"/>
              </w:rPr>
              <w:t xml:space="preserve">NR  </w:t>
            </w:r>
            <w:r w:rsidRPr="007B192E">
              <w:rPr>
                <w:rFonts w:cs="Arial"/>
                <w:color w:val="000000" w:themeColor="text1"/>
                <w:sz w:val="18"/>
                <w:szCs w:val="18"/>
              </w:rPr>
              <w:t>(tj. brak wymagań)</w:t>
            </w:r>
          </w:p>
        </w:tc>
      </w:tr>
      <w:tr w:rsidR="004D7D23" w:rsidRPr="007B192E" w14:paraId="558C2CD4" w14:textId="77777777" w:rsidTr="008F7A94">
        <w:trPr>
          <w:trHeight w:val="671"/>
        </w:trPr>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21DCBAE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Zawartość nadziarna:</w:t>
            </w:r>
          </w:p>
          <w:p w14:paraId="2BFAD4B6" w14:textId="77777777" w:rsidR="00F45500" w:rsidRPr="007B192E" w:rsidRDefault="00F45500" w:rsidP="008F7A94">
            <w:pPr>
              <w:pStyle w:val="Bezodstpw"/>
              <w:jc w:val="center"/>
              <w:rPr>
                <w:rFonts w:cs="Arial"/>
                <w:color w:val="000000" w:themeColor="text1"/>
                <w:sz w:val="18"/>
                <w:szCs w:val="18"/>
              </w:rPr>
            </w:pPr>
            <w:proofErr w:type="spellStart"/>
            <w:r w:rsidRPr="007B192E">
              <w:rPr>
                <w:rFonts w:cs="Arial"/>
                <w:color w:val="000000" w:themeColor="text1"/>
                <w:sz w:val="18"/>
                <w:szCs w:val="18"/>
              </w:rPr>
              <w:t>Kat.OC</w:t>
            </w:r>
            <w:proofErr w:type="spellEnd"/>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50BF04B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4.3.3</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B24959B"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Kat. OC</w:t>
            </w:r>
            <w:r w:rsidRPr="007B192E">
              <w:rPr>
                <w:rFonts w:cs="Arial"/>
                <w:color w:val="000000" w:themeColor="text1"/>
                <w:sz w:val="18"/>
                <w:szCs w:val="18"/>
                <w:vertAlign w:val="subscript"/>
              </w:rPr>
              <w:t>90</w:t>
            </w:r>
            <w:r w:rsidRPr="007B192E">
              <w:rPr>
                <w:rFonts w:cs="Arial"/>
                <w:color w:val="000000" w:themeColor="text1"/>
                <w:sz w:val="18"/>
                <w:szCs w:val="18"/>
              </w:rPr>
              <w:t xml:space="preserve"> (tj. procent przechodzącej masy przez sito 1,4D</w:t>
            </w:r>
            <w:r w:rsidRPr="007B192E">
              <w:rPr>
                <w:rFonts w:cs="Arial"/>
                <w:color w:val="000000" w:themeColor="text1"/>
                <w:sz w:val="18"/>
                <w:szCs w:val="18"/>
                <w:vertAlign w:val="superscript"/>
              </w:rPr>
              <w:t>*)</w:t>
            </w:r>
            <w:r w:rsidRPr="007B192E">
              <w:rPr>
                <w:rFonts w:cs="Arial"/>
                <w:color w:val="000000" w:themeColor="text1"/>
                <w:sz w:val="18"/>
                <w:szCs w:val="18"/>
              </w:rPr>
              <w:t xml:space="preserve"> powinien wynosić 100%, a przechodzącej przez sito D</w:t>
            </w:r>
            <w:r w:rsidRPr="007B192E">
              <w:rPr>
                <w:rFonts w:cs="Arial"/>
                <w:color w:val="000000" w:themeColor="text1"/>
                <w:sz w:val="18"/>
                <w:szCs w:val="18"/>
                <w:vertAlign w:val="superscript"/>
              </w:rPr>
              <w:t>**)</w:t>
            </w:r>
            <w:r w:rsidRPr="007B192E">
              <w:rPr>
                <w:rFonts w:cs="Arial"/>
                <w:color w:val="000000" w:themeColor="text1"/>
                <w:sz w:val="18"/>
                <w:szCs w:val="18"/>
              </w:rPr>
              <w:t xml:space="preserve"> powinien wynosić 90-99%)</w:t>
            </w:r>
          </w:p>
        </w:tc>
      </w:tr>
      <w:tr w:rsidR="004D7D23" w:rsidRPr="007B192E" w14:paraId="49365A81"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DA0B2D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 wobec uziarnienia</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18F96BD9"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4.4.1</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AB2EFC"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Krzywe graniczne uziarnienia według rys. 1÷3</w:t>
            </w:r>
          </w:p>
        </w:tc>
      </w:tr>
      <w:tr w:rsidR="004D7D23" w:rsidRPr="007B192E" w14:paraId="1CCB23A7"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453AE25A"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 wobec jednorodności uziarnienia poszczególnych partii – porównanie z deklarowaną przez producenta wartością (S)</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7F0A6837"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4.4.2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4CF7CC"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Wg tab. 2</w:t>
            </w:r>
          </w:p>
        </w:tc>
      </w:tr>
      <w:tr w:rsidR="004D7D23" w:rsidRPr="007B192E" w14:paraId="5B15DBD9"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38238FA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Wymagania wobec jednorodności uziarnienia na sitach kontrolnych – różnice w przesiewach</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474A557A"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4.4.2</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9BE0D6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Wg tab. 3</w:t>
            </w:r>
          </w:p>
        </w:tc>
      </w:tr>
      <w:tr w:rsidR="004D7D23" w:rsidRPr="007B192E" w14:paraId="3A31AC04"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09FF815"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Wrażliwość na mróz; wskaźnik piaskowy SE</w:t>
            </w:r>
            <w:r w:rsidRPr="007B192E">
              <w:rPr>
                <w:rFonts w:cs="Arial"/>
                <w:color w:val="000000" w:themeColor="text1"/>
                <w:sz w:val="18"/>
                <w:szCs w:val="18"/>
                <w:vertAlign w:val="superscript"/>
              </w:rPr>
              <w:t>***)</w:t>
            </w:r>
            <w:r w:rsidRPr="007B192E">
              <w:rPr>
                <w:rFonts w:cs="Arial"/>
                <w:color w:val="000000" w:themeColor="text1"/>
                <w:sz w:val="18"/>
                <w:szCs w:val="18"/>
              </w:rPr>
              <w:t>, co najmniej</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43FD3F2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56DA3CC"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45</w:t>
            </w:r>
          </w:p>
        </w:tc>
      </w:tr>
      <w:tr w:rsidR="004D7D23" w:rsidRPr="007B192E" w14:paraId="5D4FE7BB"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EA0E64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Odporność na rozdrabnianie (dotyczy frakcji 10/14 mm odsianej z mieszanki) wg PN-EN 1097-1 [9], kat. nie wyższa niż</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1DAFF171" w14:textId="77777777" w:rsidR="00F45500" w:rsidRPr="007B192E"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1CE2AE3"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Kat. LA</w:t>
            </w:r>
            <w:r w:rsidRPr="007B192E">
              <w:rPr>
                <w:rFonts w:cs="Arial"/>
                <w:color w:val="000000" w:themeColor="text1"/>
                <w:sz w:val="18"/>
                <w:szCs w:val="18"/>
                <w:vertAlign w:val="subscript"/>
              </w:rPr>
              <w:t>35</w:t>
            </w:r>
            <w:r w:rsidRPr="007B192E">
              <w:rPr>
                <w:rFonts w:cs="Arial"/>
                <w:color w:val="000000" w:themeColor="text1"/>
                <w:sz w:val="18"/>
                <w:szCs w:val="18"/>
              </w:rPr>
              <w:t xml:space="preserve">  (tj. współczynnik Los Angeles ≤ 35)</w:t>
            </w:r>
          </w:p>
        </w:tc>
      </w:tr>
      <w:tr w:rsidR="004D7D23" w:rsidRPr="007B192E" w14:paraId="3E93E138"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5D79E3A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Odporność na ścieranie (dotyczy frakcji 10/14 mm odsianej z mieszanki) wg PN-EN 1097-1 [9], kat. M</w:t>
            </w:r>
            <w:r w:rsidRPr="007B192E">
              <w:rPr>
                <w:rFonts w:cs="Arial"/>
                <w:color w:val="000000" w:themeColor="text1"/>
                <w:sz w:val="18"/>
                <w:szCs w:val="18"/>
                <w:vertAlign w:val="subscript"/>
              </w:rPr>
              <w:t>DE</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281F4BAC" w14:textId="77777777" w:rsidR="00F45500" w:rsidRPr="007B192E"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6BC55"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Deklarowana</w:t>
            </w:r>
          </w:p>
        </w:tc>
      </w:tr>
      <w:tr w:rsidR="004D7D23" w:rsidRPr="007B192E" w14:paraId="25B79B8A"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4A34011A"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Mrozoodporność (dotyczy frakcji kruszywa 8/16 mm odsianej z mieszanki) wg PN-EN 1367-1 [12]</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481B2187" w14:textId="77777777" w:rsidR="00F45500" w:rsidRPr="007B192E"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E22523"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Kat. F4  (tj. zamrażanie-rozmrażanie, procent masy ≤ 4)</w:t>
            </w:r>
          </w:p>
        </w:tc>
      </w:tr>
      <w:tr w:rsidR="004D7D23" w:rsidRPr="007B192E" w14:paraId="430DA630"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0FD6BF39"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Wartość CBR po zagęszczeniu do wskaźnika zagęszczenia I</w:t>
            </w:r>
            <w:r w:rsidRPr="007B192E">
              <w:rPr>
                <w:rFonts w:cs="Arial"/>
                <w:color w:val="000000" w:themeColor="text1"/>
                <w:sz w:val="18"/>
                <w:szCs w:val="18"/>
                <w:vertAlign w:val="subscript"/>
              </w:rPr>
              <w:t>S</w:t>
            </w:r>
            <w:r w:rsidRPr="007B192E">
              <w:rPr>
                <w:rFonts w:cs="Arial"/>
                <w:color w:val="000000" w:themeColor="text1"/>
                <w:sz w:val="18"/>
                <w:szCs w:val="18"/>
              </w:rPr>
              <w:t>=1,0 i moczeniu w wodzie 96 h, co najmniej</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3C72A920" w14:textId="77777777" w:rsidR="00F45500" w:rsidRPr="007B192E"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CF0C0A"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 xml:space="preserve"> ≥ 80</w:t>
            </w:r>
          </w:p>
        </w:tc>
      </w:tr>
      <w:tr w:rsidR="004D7D23" w:rsidRPr="007B192E" w14:paraId="5E006627"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7DAD4F0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 xml:space="preserve">Wodoprzepuszczalność mieszanki w warstwie odsączającej po zagęszczeniu metodą </w:t>
            </w:r>
            <w:proofErr w:type="spellStart"/>
            <w:r w:rsidRPr="007B192E">
              <w:rPr>
                <w:rFonts w:cs="Arial"/>
                <w:color w:val="000000" w:themeColor="text1"/>
                <w:sz w:val="18"/>
                <w:szCs w:val="18"/>
              </w:rPr>
              <w:t>Proctora</w:t>
            </w:r>
            <w:proofErr w:type="spellEnd"/>
            <w:r w:rsidRPr="007B192E">
              <w:rPr>
                <w:rFonts w:cs="Arial"/>
                <w:color w:val="000000" w:themeColor="text1"/>
                <w:sz w:val="18"/>
                <w:szCs w:val="18"/>
              </w:rPr>
              <w:t xml:space="preserve"> do wskaźnika zagęszczenia I</w:t>
            </w:r>
            <w:r w:rsidRPr="007B192E">
              <w:rPr>
                <w:rFonts w:cs="Arial"/>
                <w:color w:val="000000" w:themeColor="text1"/>
                <w:sz w:val="18"/>
                <w:szCs w:val="18"/>
                <w:vertAlign w:val="subscript"/>
              </w:rPr>
              <w:t>S</w:t>
            </w:r>
            <w:r w:rsidRPr="007B192E">
              <w:rPr>
                <w:rFonts w:cs="Arial"/>
                <w:color w:val="000000" w:themeColor="text1"/>
                <w:sz w:val="18"/>
                <w:szCs w:val="18"/>
              </w:rPr>
              <w:t xml:space="preserve">=1,0;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filtracji ”k”, co najmniej cm/s</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7CBCFC2E"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92365AC"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Brak wymagań</w:t>
            </w:r>
          </w:p>
        </w:tc>
      </w:tr>
      <w:tr w:rsidR="004D7D23" w:rsidRPr="007B192E" w14:paraId="51254951"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505BCAF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 xml:space="preserve">Zawartość wody w mieszance zagęszczanej; % (m/m) wilgotności optymalnej wg metody </w:t>
            </w:r>
            <w:proofErr w:type="spellStart"/>
            <w:r w:rsidRPr="007B192E">
              <w:rPr>
                <w:rFonts w:cs="Arial"/>
                <w:color w:val="000000" w:themeColor="text1"/>
                <w:sz w:val="18"/>
                <w:szCs w:val="18"/>
              </w:rPr>
              <w:t>Proctora</w:t>
            </w:r>
            <w:proofErr w:type="spellEnd"/>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6C858B84" w14:textId="77777777" w:rsidR="00F45500" w:rsidRPr="007B192E" w:rsidRDefault="00F45500" w:rsidP="008F7A94">
            <w:pPr>
              <w:pStyle w:val="Bezodstpw"/>
              <w:snapToGrid w:val="0"/>
              <w:jc w:val="center"/>
              <w:rPr>
                <w:rFonts w:cs="Arial"/>
                <w:color w:val="000000" w:themeColor="text1"/>
                <w:sz w:val="18"/>
                <w:szCs w:val="18"/>
              </w:rPr>
            </w:pP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A462C7B"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80-100</w:t>
            </w:r>
          </w:p>
        </w:tc>
      </w:tr>
      <w:tr w:rsidR="004D7D23" w:rsidRPr="007B192E" w14:paraId="6A4901B6" w14:textId="77777777" w:rsidTr="008F7A94">
        <w:tc>
          <w:tcPr>
            <w:tcW w:w="3402" w:type="dxa"/>
            <w:tcBorders>
              <w:top w:val="single" w:sz="4" w:space="0" w:color="000000"/>
              <w:left w:val="single" w:sz="4" w:space="0" w:color="000000"/>
              <w:bottom w:val="single" w:sz="4" w:space="0" w:color="000000"/>
            </w:tcBorders>
            <w:tcMar>
              <w:top w:w="0" w:type="dxa"/>
              <w:left w:w="108" w:type="dxa"/>
              <w:bottom w:w="0" w:type="dxa"/>
              <w:right w:w="108" w:type="dxa"/>
            </w:tcMar>
          </w:tcPr>
          <w:p w14:paraId="1E7A9214"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Inne cechy środowiskowe</w:t>
            </w:r>
          </w:p>
        </w:tc>
        <w:tc>
          <w:tcPr>
            <w:tcW w:w="1701" w:type="dxa"/>
            <w:tcBorders>
              <w:top w:val="single" w:sz="4" w:space="0" w:color="000000"/>
              <w:left w:val="single" w:sz="4" w:space="0" w:color="000000"/>
              <w:bottom w:val="single" w:sz="4" w:space="0" w:color="000000"/>
            </w:tcBorders>
            <w:tcMar>
              <w:top w:w="0" w:type="dxa"/>
              <w:left w:w="108" w:type="dxa"/>
              <w:bottom w:w="0" w:type="dxa"/>
              <w:right w:w="108" w:type="dxa"/>
            </w:tcMar>
          </w:tcPr>
          <w:p w14:paraId="5F42C116"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4.5</w:t>
            </w:r>
          </w:p>
        </w:tc>
        <w:tc>
          <w:tcPr>
            <w:tcW w:w="453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EF64F32" w14:textId="77777777" w:rsidR="00F45500" w:rsidRPr="007B192E" w:rsidRDefault="00F45500" w:rsidP="008F7A94">
            <w:pPr>
              <w:pStyle w:val="Bezodstpw"/>
              <w:jc w:val="center"/>
              <w:rPr>
                <w:rFonts w:cs="Arial"/>
                <w:color w:val="000000" w:themeColor="text1"/>
                <w:sz w:val="18"/>
                <w:szCs w:val="18"/>
              </w:rPr>
            </w:pPr>
            <w:r w:rsidRPr="007B192E">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0DD3871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lastRenderedPageBreak/>
        <w:t>*)</w:t>
      </w:r>
      <w:r w:rsidRPr="007B192E">
        <w:rPr>
          <w:rFonts w:ascii="Arial" w:hAnsi="Arial" w:cs="Arial"/>
          <w:color w:val="000000" w:themeColor="text1"/>
          <w:sz w:val="18"/>
          <w:szCs w:val="18"/>
        </w:rPr>
        <w:t xml:space="preserve"> Gdy wartości obliczone z 1,4D oraz d/2 nie są dokładnymi wymiarami sit serii ISO 565/R20, należy przyjąć następny niższy wymiar sita. Jeśli D=90 mm należy przyjąć wymiar sita 125 mm jako wartość nadziarna.</w:t>
      </w:r>
    </w:p>
    <w:p w14:paraId="06F1A33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 xml:space="preserve"> Procentowa zawartość ziaren przechodzących przez sito D może być większa niż 99% masy, ale w takich przypadkach dostawca powinien zadeklarować typowe uziarnienie.</w:t>
      </w:r>
    </w:p>
    <w:p w14:paraId="7F0F617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 xml:space="preserve">***) </w:t>
      </w:r>
      <w:r w:rsidRPr="007B192E">
        <w:rPr>
          <w:rFonts w:ascii="Arial" w:hAnsi="Arial" w:cs="Arial"/>
          <w:color w:val="000000" w:themeColor="text1"/>
          <w:sz w:val="18"/>
          <w:szCs w:val="18"/>
        </w:rPr>
        <w:t xml:space="preserve">Badanie wskaźnika piaskowego SE należy wykonać na mieszance po pięciokrotnym zagęszczeniu metodą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br/>
        <w:t>wg PN-EN 13286-2 [18].</w:t>
      </w:r>
    </w:p>
    <w:p w14:paraId="0C1B5FC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5.5. Odcinek próbny</w:t>
      </w:r>
    </w:p>
    <w:p w14:paraId="1135789C"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odcinku próbnym Wykonawca powinien użyć takich materiałów oraz sprzętu do mieszania, rozkładania i zagęszczania, jakie będą stosowane do wykonania warstwy.</w:t>
      </w:r>
    </w:p>
    <w:p w14:paraId="4B60B810"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Odcinek próbny powinien być zlokalizowany w miejscu wskazanym przez Inżyniera.</w:t>
      </w:r>
    </w:p>
    <w:p w14:paraId="58820AEA"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może przystąpić do wykonywania warstwy po zaakceptowaniu odcinka próbnego przez Inżyniera.</w:t>
      </w:r>
    </w:p>
    <w:p w14:paraId="0FE9895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5.7. Wytwarzanie mieszanki kruszywa na warstwę podbudowy zasadniczej</w:t>
      </w:r>
    </w:p>
    <w:p w14:paraId="0D461896"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5529E76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Ze względu na konieczność zapewnienia mieszance jednorodności nie zaleca się wytwarzania mieszanki przez mieszanie poszczególnych frakcji kruszywa na drodze.</w:t>
      </w:r>
    </w:p>
    <w:p w14:paraId="439ECA4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Przy produkcji mieszanki kruszywa należy prowadzić zakładową kontrolę produkcji mieszanek niezwiązanych, zgodnie z  WT-4 [20] załącznik C, a przy dostarczaniu mieszanki przez producenta/dostawcę należy stosować się do zasad deklarowania w odniesieniu do zakresu uziarnienia podanych w WT-4 [20] załącznik B.</w:t>
      </w:r>
    </w:p>
    <w:p w14:paraId="3DC4108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5.8. Wbudowanie mieszanki kruszywa</w:t>
      </w:r>
    </w:p>
    <w:p w14:paraId="25BA6D4C"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7BFFD22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20 cm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202EF2D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Wilgotność mieszanki kruszywa podczas zagęszczania powinna odpowiadać wilgotności optymalnej, określonej według próby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4426407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Rozścieloną mieszankę kruszywa należy sprofilować równiarką lub ciężkim szablonem, do spadków poprzecznych i pochyleń podłużnych ustalonych w dokumentacji projektowej. W czasie profilowania należy wyrównać lokalne wgłębienia.</w:t>
      </w:r>
    </w:p>
    <w:p w14:paraId="0A84482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5.9. Zagęszczanie mieszanki kruszywa</w:t>
      </w:r>
    </w:p>
    <w:p w14:paraId="0FD11D72"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Po wyprofilowaniu mieszanki kruszywa należy rozpocząć jej zagęszczanie, które należy kontynuować aż do osiągnięcia wymaganego w ST wskaźnika zagęszczenia.</w:t>
      </w:r>
    </w:p>
    <w:p w14:paraId="64635C0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52CD780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Zagęszczenie powinno być równomierne na całej szerokości warstwy.</w:t>
      </w:r>
    </w:p>
    <w:p w14:paraId="2F83042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Zaleca się, aby grubość zagęszczanej warstwy nie przekraczała przy walcach statycznych gładkich 15 cm, a przy walcach ogumionych lub wibracyjnych 20 cm.</w:t>
      </w:r>
    </w:p>
    <w:p w14:paraId="5042406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5.10. Utrzymanie wykonanej warstwy</w:t>
      </w:r>
    </w:p>
    <w:p w14:paraId="18AE78A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Zagęszczona warstwa, przed ułożeniem następnej warstwy, powinna być utrzymywana w dobrym stanie. Jeżeli po wykonanej warstwie będzie się odbywał ruch budowlany, to Wykonawca jest obowiązany naprawić wszelkie uszkodzenia, spowodowane przez ten ruch.</w:t>
      </w:r>
    </w:p>
    <w:p w14:paraId="78577D7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5.11. Impregnacja podbudowy zasadniczej</w:t>
      </w:r>
    </w:p>
    <w:p w14:paraId="4F749C5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Jeśli nie przewiduje się układania warstwy ścieralnej bezpośrednio po zagęszczeniu podbudowy zasadniczej można, po zaakceptowaniu przez Inżyniera, zaimpregnować podbudowę zasadniczą asfaltem 160/220 w ilości około 1,0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albo emulsją kationową z przysypaniem piaskiem gruboziarnistym w ilości około 5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w:t>
      </w:r>
    </w:p>
    <w:p w14:paraId="479F71B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5.12. Roboty wykończeniowe</w:t>
      </w:r>
    </w:p>
    <w:p w14:paraId="4ADAD385"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 zgodne z dokumentacją projektową, ST lub wskazaniami Inżyniera dotyczą prac związanych z dostosowaniem wykonanych  robót do istniejących warunków terenowych, takie jak:</w:t>
      </w:r>
    </w:p>
    <w:p w14:paraId="47F1852F" w14:textId="77777777" w:rsidR="00F45500" w:rsidRPr="007B192E" w:rsidRDefault="00F45500" w:rsidP="00F45500">
      <w:pPr>
        <w:pStyle w:val="Standard"/>
        <w:widowControl w:val="0"/>
        <w:numPr>
          <w:ilvl w:val="0"/>
          <w:numId w:val="185"/>
        </w:numPr>
        <w:tabs>
          <w:tab w:val="left" w:pos="568"/>
        </w:tabs>
        <w:ind w:left="284"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odtworzenie przeszkód czasowo usuniętych,</w:t>
      </w:r>
    </w:p>
    <w:p w14:paraId="178F3D2F" w14:textId="77777777" w:rsidR="00F45500" w:rsidRPr="007B192E"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uzupełnienie zniszczonych w czasie robót istniejących elementów drogowych lub terenowych,</w:t>
      </w:r>
    </w:p>
    <w:p w14:paraId="6D2AF722" w14:textId="77777777" w:rsidR="00F45500" w:rsidRPr="007B192E"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porządkujące otoczenie terenu robót,</w:t>
      </w:r>
    </w:p>
    <w:p w14:paraId="2457C2FF" w14:textId="77777777" w:rsidR="00F45500" w:rsidRPr="007B192E" w:rsidRDefault="00F45500" w:rsidP="00F45500">
      <w:pPr>
        <w:pStyle w:val="Standard"/>
        <w:widowControl w:val="0"/>
        <w:numPr>
          <w:ilvl w:val="0"/>
          <w:numId w:val="66"/>
        </w:numPr>
        <w:tabs>
          <w:tab w:val="left" w:pos="568"/>
        </w:tabs>
        <w:ind w:left="284" w:hanging="284"/>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usunięcie oznakowania drogi wprowadzonego na okres robót.</w:t>
      </w:r>
    </w:p>
    <w:p w14:paraId="55E07CFD" w14:textId="77777777" w:rsidR="00F45500" w:rsidRPr="007B192E" w:rsidRDefault="008E1092" w:rsidP="001D052E">
      <w:pPr>
        <w:pStyle w:val="Nagwek2"/>
        <w:rPr>
          <w:i w:val="0"/>
          <w:color w:val="000000" w:themeColor="text1"/>
        </w:rPr>
      </w:pPr>
      <w:bookmarkStart w:id="195" w:name="__RefHeading__25761_1880156434"/>
      <w:r w:rsidRPr="007B192E">
        <w:rPr>
          <w:i w:val="0"/>
          <w:color w:val="000000" w:themeColor="text1"/>
        </w:rPr>
        <w:lastRenderedPageBreak/>
        <w:t>6. KONTROLA JAKOŚCI ROBÓT</w:t>
      </w:r>
      <w:bookmarkEnd w:id="195"/>
    </w:p>
    <w:p w14:paraId="2027D34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6.1. Ogólne zasady kontroli jakości robót</w:t>
      </w:r>
    </w:p>
    <w:p w14:paraId="32E0E45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78A4DB7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6.2. Badania przed przystąpieniem do robót</w:t>
      </w:r>
    </w:p>
    <w:p w14:paraId="678503E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74F2B4DD" w14:textId="77777777" w:rsidR="00F45500" w:rsidRPr="007B192E" w:rsidRDefault="00F45500" w:rsidP="00F45500">
      <w:pPr>
        <w:pStyle w:val="Standard"/>
        <w:widowControl w:val="0"/>
        <w:numPr>
          <w:ilvl w:val="0"/>
          <w:numId w:val="9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1E11723B" w14:textId="77777777" w:rsidR="00F45500" w:rsidRPr="007B192E" w:rsidRDefault="00F45500" w:rsidP="00F45500">
      <w:pPr>
        <w:pStyle w:val="Standard"/>
        <w:widowControl w:val="0"/>
        <w:numPr>
          <w:ilvl w:val="0"/>
          <w:numId w:val="9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wykonać badania kruszyw przeznaczonych do wykonania robót, obejmujące wszystkie właściwości określone w tablicy 1 niniejszej ST.</w:t>
      </w:r>
    </w:p>
    <w:p w14:paraId="1E58034C"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3183477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6.3. Badania w czasie robót</w:t>
      </w:r>
    </w:p>
    <w:p w14:paraId="145A47D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Częstotliwość oraz zakres badań i pomiarów, które należy wykonać w czasie robót podaje tablica 5.</w:t>
      </w:r>
    </w:p>
    <w:p w14:paraId="66823314"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5. Częstotliwość oraz zakres badań i pomiarów w czasie robót</w:t>
      </w:r>
    </w:p>
    <w:tbl>
      <w:tblPr>
        <w:tblW w:w="9638" w:type="dxa"/>
        <w:jc w:val="center"/>
        <w:tblLayout w:type="fixed"/>
        <w:tblCellMar>
          <w:left w:w="10" w:type="dxa"/>
          <w:right w:w="10" w:type="dxa"/>
        </w:tblCellMar>
        <w:tblLook w:val="0000" w:firstRow="0" w:lastRow="0" w:firstColumn="0" w:lastColumn="0" w:noHBand="0" w:noVBand="0"/>
      </w:tblPr>
      <w:tblGrid>
        <w:gridCol w:w="534"/>
        <w:gridCol w:w="3809"/>
        <w:gridCol w:w="2376"/>
        <w:gridCol w:w="2919"/>
      </w:tblGrid>
      <w:tr w:rsidR="004D7D23" w:rsidRPr="007B192E" w14:paraId="5BB09C03"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tcPr>
          <w:p w14:paraId="2BEE86C5"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tcPr>
          <w:p w14:paraId="78B4FABF"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Wyszczególnienie robót</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tcPr>
          <w:p w14:paraId="520460A8"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Częstotliwość badań</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CFCDCD5"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Wartości dopuszczalne</w:t>
            </w:r>
          </w:p>
        </w:tc>
      </w:tr>
      <w:tr w:rsidR="004D7D23" w:rsidRPr="007B192E" w14:paraId="52396B01"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15E079E"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F56FAC9"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Lokalizacja i zgodność granic terenu robót z dokumentacją projektową</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6DFC850"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1 raz</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2146FFE"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w:t>
            </w:r>
          </w:p>
          <w:p w14:paraId="25192F54"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i dokumentacji projektowej</w:t>
            </w:r>
          </w:p>
        </w:tc>
      </w:tr>
      <w:tr w:rsidR="004D7D23" w:rsidRPr="007B192E" w14:paraId="321873A9"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FCAD5C2"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3776FDC"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80B127B"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BD0BE12"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5.3</w:t>
            </w:r>
          </w:p>
        </w:tc>
      </w:tr>
      <w:tr w:rsidR="004D7D23" w:rsidRPr="007B192E" w14:paraId="6307F734"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F19D9EE"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DCA80DD"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CBE6C6F"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Dla każdej partii kruszywa  i przy każdej zmianie kruszywa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052C978"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tablicy 1</w:t>
            </w:r>
          </w:p>
        </w:tc>
      </w:tr>
      <w:tr w:rsidR="004D7D23" w:rsidRPr="007B192E" w14:paraId="0FE10DD8"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3A37456"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0B2D70A"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Uziarnienie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7F085A2"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razy na dziennej działce roboczej  </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1435A04"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tablicy 4</w:t>
            </w:r>
          </w:p>
        </w:tc>
      </w:tr>
      <w:tr w:rsidR="004D7D23" w:rsidRPr="007B192E" w14:paraId="4A4563A5"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7DCC866"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C00C77B"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Wilgotność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4F1BAB6"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0894A9DE"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167A485D"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30C7B0B"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0D9477C"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Zawartość pyłów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A984EDD"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0166701"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2303DCA7"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C36D7B2"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EFDC58C"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Zawartość nadziarna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8904555"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1C08D92"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6736F34F"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634B880"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F96EB6F"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Wrażliwość mieszanki na mróz, wskaźnik piaskowy</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BD2A823"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4B892400"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262B1D38"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220F956"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60A37B4"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Zawartość wody w mieszance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107B79A"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01B662A"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F45500" w:rsidRPr="007B192E" w14:paraId="13E12897"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F0CBD84"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6CF586F"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Wartość CBR po zagęszczeniu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B8047E1" w14:textId="77777777" w:rsidR="00F45500" w:rsidRPr="007B192E" w:rsidRDefault="00F45500" w:rsidP="008F7A94">
            <w:pPr>
              <w:pStyle w:val="Standard"/>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1 próbka</w:t>
            </w:r>
          </w:p>
          <w:p w14:paraId="63526D5C"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na 500 m</w:t>
            </w:r>
            <w:r w:rsidRPr="007B192E">
              <w:rPr>
                <w:rFonts w:ascii="Arial" w:hAnsi="Arial" w:cs="Arial"/>
                <w:color w:val="000000" w:themeColor="text1"/>
                <w:sz w:val="18"/>
                <w:szCs w:val="18"/>
                <w:vertAlign w:val="superscript"/>
              </w:rPr>
              <w:t>2</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6C3A4E77"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bl>
    <w:p w14:paraId="3FDED7FC" w14:textId="77777777" w:rsidR="00F45500" w:rsidRPr="007B192E" w:rsidRDefault="00F45500" w:rsidP="00F45500">
      <w:pPr>
        <w:rPr>
          <w:rFonts w:ascii="Arial" w:hAnsi="Arial" w:cs="Arial"/>
          <w:vanish/>
          <w:color w:val="000000" w:themeColor="text1"/>
          <w:sz w:val="18"/>
          <w:szCs w:val="18"/>
        </w:rPr>
      </w:pPr>
    </w:p>
    <w:tbl>
      <w:tblPr>
        <w:tblW w:w="9638" w:type="dxa"/>
        <w:jc w:val="center"/>
        <w:tblLayout w:type="fixed"/>
        <w:tblCellMar>
          <w:left w:w="10" w:type="dxa"/>
          <w:right w:w="10" w:type="dxa"/>
        </w:tblCellMar>
        <w:tblLook w:val="0000" w:firstRow="0" w:lastRow="0" w:firstColumn="0" w:lastColumn="0" w:noHBand="0" w:noVBand="0"/>
      </w:tblPr>
      <w:tblGrid>
        <w:gridCol w:w="534"/>
        <w:gridCol w:w="3809"/>
        <w:gridCol w:w="2376"/>
        <w:gridCol w:w="2919"/>
      </w:tblGrid>
      <w:tr w:rsidR="004D7D23" w:rsidRPr="007B192E" w14:paraId="18173320"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310C20D"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4F14EF5"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Inne właściwości mieszanki</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86EC581" w14:textId="77777777" w:rsidR="00F45500" w:rsidRPr="007B192E" w:rsidRDefault="00F45500" w:rsidP="008F7A94">
            <w:pPr>
              <w:pStyle w:val="Standard"/>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Wg ustalenia Inżyniera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C9B97B1"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4E062E58"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4D111396"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3294DD7"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Cechy środowiskowe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29BFD9D" w14:textId="77777777" w:rsidR="00F45500" w:rsidRPr="007B192E" w:rsidRDefault="00F45500" w:rsidP="008F7A94">
            <w:pPr>
              <w:pStyle w:val="Standard"/>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Wg ustalenia Inżyniera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55D0E9B"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Jw.</w:t>
            </w:r>
          </w:p>
        </w:tc>
      </w:tr>
      <w:tr w:rsidR="004D7D23" w:rsidRPr="007B192E" w14:paraId="351CAB19" w14:textId="77777777" w:rsidTr="008F7A94">
        <w:trPr>
          <w:jc w:val="center"/>
        </w:trPr>
        <w:tc>
          <w:tcPr>
            <w:tcW w:w="5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5E2CD53C"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3809"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78FD54E1"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tc>
        <w:tc>
          <w:tcPr>
            <w:tcW w:w="23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29AE4622" w14:textId="77777777" w:rsidR="00F45500" w:rsidRPr="007B192E" w:rsidRDefault="00F45500" w:rsidP="008F7A94">
            <w:pPr>
              <w:pStyle w:val="Standard"/>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91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1DC54CB6"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5.12</w:t>
            </w:r>
          </w:p>
        </w:tc>
      </w:tr>
    </w:tbl>
    <w:p w14:paraId="27DCB4C7" w14:textId="77777777" w:rsidR="00F45500" w:rsidRPr="007B192E" w:rsidRDefault="00F45500" w:rsidP="00F45500">
      <w:pPr>
        <w:pStyle w:val="Nagwek2"/>
        <w:numPr>
          <w:ilvl w:val="1"/>
          <w:numId w:val="30"/>
        </w:numPr>
        <w:overflowPunct/>
        <w:autoSpaceDE/>
        <w:jc w:val="both"/>
        <w:textAlignment w:val="auto"/>
        <w:rPr>
          <w:color w:val="000000" w:themeColor="text1"/>
          <w:sz w:val="18"/>
          <w:szCs w:val="18"/>
        </w:rPr>
      </w:pPr>
      <w:r w:rsidRPr="007B192E">
        <w:rPr>
          <w:color w:val="000000" w:themeColor="text1"/>
          <w:sz w:val="18"/>
          <w:szCs w:val="18"/>
        </w:rPr>
        <w:t>6.4. Wymagania dotyczące cech geometrycznych podbudowy zasadniczej</w:t>
      </w:r>
    </w:p>
    <w:p w14:paraId="590FEFD6"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Częstotliwość oraz zakres badań i pomiarów dotyczących cech geometrycznych warstwy z mieszanki niezwiązanej podaje tablica 6.</w:t>
      </w:r>
    </w:p>
    <w:p w14:paraId="5370D1C3" w14:textId="77777777" w:rsidR="00F45500" w:rsidRPr="007B192E" w:rsidRDefault="00F45500" w:rsidP="00F45500">
      <w:pPr>
        <w:pStyle w:val="Standard"/>
        <w:keepNext/>
        <w:spacing w:before="6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6. Częstotliwość oraz zakres badań i pomiarów dotyczących cech geometrycznych</w:t>
      </w:r>
    </w:p>
    <w:tbl>
      <w:tblPr>
        <w:tblW w:w="9638" w:type="dxa"/>
        <w:jc w:val="center"/>
        <w:tblLayout w:type="fixed"/>
        <w:tblCellMar>
          <w:left w:w="10" w:type="dxa"/>
          <w:right w:w="10" w:type="dxa"/>
        </w:tblCellMar>
        <w:tblLook w:val="0000" w:firstRow="0" w:lastRow="0" w:firstColumn="0" w:lastColumn="0" w:noHBand="0" w:noVBand="0"/>
      </w:tblPr>
      <w:tblGrid>
        <w:gridCol w:w="533"/>
        <w:gridCol w:w="3670"/>
        <w:gridCol w:w="2451"/>
        <w:gridCol w:w="2984"/>
      </w:tblGrid>
      <w:tr w:rsidR="004D7D23" w:rsidRPr="007B192E" w14:paraId="342CB6F2"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2A2C0AB2" w14:textId="77777777" w:rsidR="00F45500" w:rsidRPr="007B192E" w:rsidRDefault="00F45500" w:rsidP="008F7A94">
            <w:pPr>
              <w:pStyle w:val="Standard"/>
              <w:snapToGrid w:val="0"/>
              <w:jc w:val="both"/>
              <w:rPr>
                <w:rFonts w:ascii="Arial" w:hAnsi="Arial" w:cs="Arial"/>
                <w:color w:val="000000" w:themeColor="text1"/>
                <w:sz w:val="18"/>
                <w:szCs w:val="18"/>
              </w:rPr>
            </w:pPr>
          </w:p>
          <w:p w14:paraId="76A314DE"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6964906B" w14:textId="77777777" w:rsidR="00F45500" w:rsidRPr="007B192E" w:rsidRDefault="00F45500" w:rsidP="008F7A94">
            <w:pPr>
              <w:pStyle w:val="Standard"/>
              <w:spacing w:before="120"/>
              <w:ind w:left="215" w:right="312"/>
              <w:jc w:val="both"/>
              <w:rPr>
                <w:rFonts w:ascii="Arial" w:hAnsi="Arial" w:cs="Arial"/>
                <w:color w:val="000000" w:themeColor="text1"/>
                <w:sz w:val="18"/>
                <w:szCs w:val="18"/>
              </w:rPr>
            </w:pPr>
            <w:r w:rsidRPr="007B192E">
              <w:rPr>
                <w:rFonts w:ascii="Arial" w:hAnsi="Arial" w:cs="Arial"/>
                <w:color w:val="000000" w:themeColor="text1"/>
                <w:sz w:val="18"/>
                <w:szCs w:val="18"/>
              </w:rPr>
              <w:t>Wyszczególnienie badań i pomiarów</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520537CE"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Minimalna częstotliwość badań i pomiarów</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D3AB8FF" w14:textId="77777777" w:rsidR="00F45500" w:rsidRPr="007B192E" w:rsidRDefault="00F45500" w:rsidP="008F7A94">
            <w:pPr>
              <w:pStyle w:val="Standard"/>
              <w:snapToGrid w:val="0"/>
              <w:jc w:val="both"/>
              <w:rPr>
                <w:rFonts w:ascii="Arial" w:hAnsi="Arial" w:cs="Arial"/>
                <w:color w:val="000000" w:themeColor="text1"/>
                <w:sz w:val="18"/>
                <w:szCs w:val="18"/>
              </w:rPr>
            </w:pPr>
          </w:p>
          <w:p w14:paraId="40D7DC56"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Dopuszczalne odchyłki</w:t>
            </w:r>
          </w:p>
        </w:tc>
      </w:tr>
      <w:tr w:rsidR="004D7D23" w:rsidRPr="007B192E" w14:paraId="0A0C4324"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32732460"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06475523"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Szerokość warstwy</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7999E685"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Co 20 </w:t>
            </w:r>
            <w:proofErr w:type="spellStart"/>
            <w:r w:rsidRPr="007B192E">
              <w:rPr>
                <w:rFonts w:ascii="Arial" w:hAnsi="Arial" w:cs="Arial"/>
                <w:color w:val="000000" w:themeColor="text1"/>
                <w:sz w:val="18"/>
                <w:szCs w:val="18"/>
              </w:rPr>
              <w:t>mb</w:t>
            </w:r>
            <w:proofErr w:type="spellEnd"/>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02D6F1C"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+10 cm, -5 cm (różnice od szerokości projektowej)</w:t>
            </w:r>
          </w:p>
        </w:tc>
      </w:tr>
      <w:tr w:rsidR="004D7D23" w:rsidRPr="007B192E" w14:paraId="6306E596"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137877E0"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0F9B7DE8"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Równość podłużna</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5B39E33A"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6CF1FE1"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[21]</w:t>
            </w:r>
          </w:p>
        </w:tc>
      </w:tr>
      <w:tr w:rsidR="004D7D23" w:rsidRPr="007B192E" w14:paraId="5210C5C8"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1AA28615"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67FE9E41"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Równość poprzeczna</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2E0A2085"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58E6049"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[21]</w:t>
            </w:r>
          </w:p>
        </w:tc>
      </w:tr>
      <w:tr w:rsidR="004D7D23" w:rsidRPr="007B192E" w14:paraId="4D10124A"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68806DC2" w14:textId="77777777" w:rsidR="00F45500" w:rsidRPr="007B192E" w:rsidRDefault="00F45500" w:rsidP="008F7A94">
            <w:pPr>
              <w:pStyle w:val="Standard"/>
              <w:snapToGrid w:val="0"/>
              <w:jc w:val="both"/>
              <w:rPr>
                <w:rFonts w:ascii="Arial" w:hAnsi="Arial" w:cs="Arial"/>
                <w:color w:val="000000" w:themeColor="text1"/>
                <w:sz w:val="18"/>
                <w:szCs w:val="18"/>
              </w:rPr>
            </w:pPr>
          </w:p>
          <w:p w14:paraId="21FF9F18"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6687199C" w14:textId="77777777" w:rsidR="00F45500" w:rsidRPr="007B192E" w:rsidRDefault="00F45500" w:rsidP="008F7A94">
            <w:pPr>
              <w:pStyle w:val="Standard"/>
              <w:snapToGrid w:val="0"/>
              <w:jc w:val="both"/>
              <w:rPr>
                <w:rFonts w:ascii="Arial" w:hAnsi="Arial" w:cs="Arial"/>
                <w:color w:val="000000" w:themeColor="text1"/>
                <w:sz w:val="18"/>
                <w:szCs w:val="18"/>
              </w:rPr>
            </w:pPr>
          </w:p>
          <w:p w14:paraId="67EE50DC"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Spadki poprzeczne </w:t>
            </w:r>
            <w:r w:rsidRPr="007B192E">
              <w:rPr>
                <w:rFonts w:ascii="Arial" w:hAnsi="Arial" w:cs="Arial"/>
                <w:color w:val="000000" w:themeColor="text1"/>
                <w:sz w:val="18"/>
                <w:szCs w:val="18"/>
                <w:vertAlign w:val="superscript"/>
              </w:rPr>
              <w:t>*)</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3CA0E3EF" w14:textId="77777777" w:rsidR="00F45500" w:rsidRPr="007B192E" w:rsidRDefault="00F45500" w:rsidP="008F7A94">
            <w:pPr>
              <w:pStyle w:val="Standard"/>
              <w:snapToGrid w:val="0"/>
              <w:jc w:val="both"/>
              <w:rPr>
                <w:rFonts w:ascii="Arial" w:hAnsi="Arial" w:cs="Arial"/>
                <w:color w:val="000000" w:themeColor="text1"/>
                <w:sz w:val="18"/>
                <w:szCs w:val="18"/>
              </w:rPr>
            </w:pPr>
          </w:p>
          <w:p w14:paraId="035523C4"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Co 20 </w:t>
            </w:r>
            <w:proofErr w:type="spellStart"/>
            <w:r w:rsidRPr="007B192E">
              <w:rPr>
                <w:rFonts w:ascii="Arial" w:hAnsi="Arial" w:cs="Arial"/>
                <w:color w:val="000000" w:themeColor="text1"/>
                <w:sz w:val="18"/>
                <w:szCs w:val="18"/>
              </w:rPr>
              <w:t>mb</w:t>
            </w:r>
            <w:proofErr w:type="spellEnd"/>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449C4CE"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 0,5% (dopuszczalna tolerancja od spadków projektowych)</w:t>
            </w:r>
          </w:p>
        </w:tc>
      </w:tr>
      <w:tr w:rsidR="004D7D23" w:rsidRPr="007B192E" w14:paraId="79756A42"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7C9A9099"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50AA371D"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Rzędne wysokościowe</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2D11455A"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[21]</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A9E642B" w14:textId="77777777" w:rsidR="00F45500" w:rsidRPr="007B192E" w:rsidRDefault="00F45500" w:rsidP="008F7A94">
            <w:pPr>
              <w:pStyle w:val="Standard"/>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Wg [21]</w:t>
            </w:r>
          </w:p>
        </w:tc>
      </w:tr>
      <w:tr w:rsidR="004D7D23" w:rsidRPr="007B192E" w14:paraId="3CF76D6A"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287A5F5D"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79A93026"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Ukształtowanie osi w planie </w:t>
            </w:r>
            <w:r w:rsidRPr="007B192E">
              <w:rPr>
                <w:rFonts w:ascii="Arial" w:hAnsi="Arial" w:cs="Arial"/>
                <w:color w:val="000000" w:themeColor="text1"/>
                <w:sz w:val="18"/>
                <w:szCs w:val="18"/>
                <w:vertAlign w:val="superscript"/>
              </w:rPr>
              <w:t>*)</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6AA918F0" w14:textId="77777777" w:rsidR="00F45500" w:rsidRPr="007B192E" w:rsidRDefault="00F45500" w:rsidP="008F7A94">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Co 20 </w:t>
            </w:r>
            <w:proofErr w:type="spellStart"/>
            <w:r w:rsidRPr="007B192E">
              <w:rPr>
                <w:rFonts w:ascii="Arial" w:hAnsi="Arial" w:cs="Arial"/>
                <w:color w:val="000000" w:themeColor="text1"/>
                <w:sz w:val="18"/>
                <w:szCs w:val="18"/>
              </w:rPr>
              <w:t>mb</w:t>
            </w:r>
            <w:proofErr w:type="spellEnd"/>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42EA832"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Przesunięcie od osi projektowanej ± 5 cm</w:t>
            </w:r>
          </w:p>
        </w:tc>
      </w:tr>
      <w:tr w:rsidR="004D7D23" w:rsidRPr="007B192E" w14:paraId="2DD88A9A" w14:textId="77777777" w:rsidTr="008F7A94">
        <w:trPr>
          <w:jc w:val="center"/>
        </w:trPr>
        <w:tc>
          <w:tcPr>
            <w:tcW w:w="533" w:type="dxa"/>
            <w:tcBorders>
              <w:top w:val="single" w:sz="4" w:space="0" w:color="000000"/>
              <w:left w:val="single" w:sz="4" w:space="0" w:color="000000"/>
              <w:bottom w:val="single" w:sz="4" w:space="0" w:color="000000"/>
            </w:tcBorders>
            <w:tcMar>
              <w:top w:w="0" w:type="dxa"/>
              <w:left w:w="70" w:type="dxa"/>
              <w:bottom w:w="0" w:type="dxa"/>
              <w:right w:w="70" w:type="dxa"/>
            </w:tcMar>
          </w:tcPr>
          <w:p w14:paraId="7B2D6108" w14:textId="77777777" w:rsidR="00F45500" w:rsidRPr="007B192E" w:rsidRDefault="00F45500" w:rsidP="008F7A94">
            <w:pPr>
              <w:pStyle w:val="Standard"/>
              <w:snapToGrid w:val="0"/>
              <w:jc w:val="both"/>
              <w:rPr>
                <w:rFonts w:ascii="Arial" w:hAnsi="Arial" w:cs="Arial"/>
                <w:color w:val="000000" w:themeColor="text1"/>
                <w:sz w:val="18"/>
                <w:szCs w:val="18"/>
              </w:rPr>
            </w:pPr>
          </w:p>
          <w:p w14:paraId="16F074D5"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670" w:type="dxa"/>
            <w:tcBorders>
              <w:top w:val="single" w:sz="4" w:space="0" w:color="000000"/>
              <w:left w:val="single" w:sz="4" w:space="0" w:color="000000"/>
              <w:bottom w:val="single" w:sz="4" w:space="0" w:color="000000"/>
            </w:tcBorders>
            <w:tcMar>
              <w:top w:w="0" w:type="dxa"/>
              <w:left w:w="70" w:type="dxa"/>
              <w:bottom w:w="0" w:type="dxa"/>
              <w:right w:w="70" w:type="dxa"/>
            </w:tcMar>
          </w:tcPr>
          <w:p w14:paraId="21BECBD9" w14:textId="77777777" w:rsidR="00F45500" w:rsidRPr="007B192E" w:rsidRDefault="00F45500" w:rsidP="008F7A94">
            <w:pPr>
              <w:pStyle w:val="Standard"/>
              <w:snapToGrid w:val="0"/>
              <w:jc w:val="both"/>
              <w:rPr>
                <w:rFonts w:ascii="Arial" w:hAnsi="Arial" w:cs="Arial"/>
                <w:color w:val="000000" w:themeColor="text1"/>
                <w:sz w:val="18"/>
                <w:szCs w:val="18"/>
              </w:rPr>
            </w:pPr>
          </w:p>
          <w:p w14:paraId="2F9F0DB6"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Grubość warstwy</w:t>
            </w:r>
          </w:p>
        </w:tc>
        <w:tc>
          <w:tcPr>
            <w:tcW w:w="2451" w:type="dxa"/>
            <w:tcBorders>
              <w:top w:val="single" w:sz="4" w:space="0" w:color="000000"/>
              <w:left w:val="single" w:sz="4" w:space="0" w:color="000000"/>
              <w:bottom w:val="single" w:sz="4" w:space="0" w:color="000000"/>
            </w:tcBorders>
            <w:tcMar>
              <w:top w:w="0" w:type="dxa"/>
              <w:left w:w="70" w:type="dxa"/>
              <w:bottom w:w="0" w:type="dxa"/>
              <w:right w:w="70" w:type="dxa"/>
            </w:tcMar>
          </w:tcPr>
          <w:p w14:paraId="03DDDCB5"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w 3 punktach na działce roboczej, lecz nie rzadziej niż raz na 500 m</w:t>
            </w:r>
            <w:r w:rsidRPr="007B192E">
              <w:rPr>
                <w:rFonts w:ascii="Arial" w:hAnsi="Arial" w:cs="Arial"/>
                <w:color w:val="000000" w:themeColor="text1"/>
                <w:sz w:val="18"/>
                <w:szCs w:val="18"/>
                <w:vertAlign w:val="superscript"/>
              </w:rPr>
              <w:t>2</w:t>
            </w:r>
          </w:p>
        </w:tc>
        <w:tc>
          <w:tcPr>
            <w:tcW w:w="2984"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168BA35"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 xml:space="preserve">Różnice od grubości projektowanej ±10%           </w:t>
            </w:r>
          </w:p>
          <w:p w14:paraId="59BC74C5" w14:textId="77777777" w:rsidR="00F45500" w:rsidRPr="007B192E" w:rsidRDefault="00F45500" w:rsidP="008F7A94">
            <w:pPr>
              <w:pStyle w:val="Standard"/>
              <w:jc w:val="both"/>
              <w:rPr>
                <w:rFonts w:ascii="Arial" w:hAnsi="Arial" w:cs="Arial"/>
                <w:color w:val="000000" w:themeColor="text1"/>
                <w:sz w:val="18"/>
                <w:szCs w:val="18"/>
              </w:rPr>
            </w:pPr>
          </w:p>
        </w:tc>
      </w:tr>
    </w:tbl>
    <w:p w14:paraId="6749F209"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Dodatkowe pomiary spadków poprzecznych i ukształtowania osi w planie należy wykonać w punktach głównych łuków poziomych.</w:t>
      </w:r>
    </w:p>
    <w:p w14:paraId="1AD73709" w14:textId="77777777" w:rsidR="00F45500" w:rsidRPr="007B192E" w:rsidRDefault="008E1092" w:rsidP="001D052E">
      <w:pPr>
        <w:pStyle w:val="Nagwek2"/>
        <w:rPr>
          <w:i w:val="0"/>
          <w:color w:val="000000" w:themeColor="text1"/>
        </w:rPr>
      </w:pPr>
      <w:bookmarkStart w:id="196" w:name="__RefHeading__25763_1880156434"/>
      <w:r w:rsidRPr="007B192E">
        <w:rPr>
          <w:i w:val="0"/>
          <w:color w:val="000000" w:themeColor="text1"/>
        </w:rPr>
        <w:lastRenderedPageBreak/>
        <w:t>7. OBMIAR ROBÓT</w:t>
      </w:r>
      <w:bookmarkEnd w:id="196"/>
    </w:p>
    <w:p w14:paraId="4D67201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7.1. Ogólne zasady obmiaru robót</w:t>
      </w:r>
    </w:p>
    <w:p w14:paraId="08473208"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2E57134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7.2. Jednostka obmiarowa</w:t>
      </w:r>
    </w:p>
    <w:p w14:paraId="5D8C6C3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wykonanej warstwy.</w:t>
      </w:r>
    </w:p>
    <w:p w14:paraId="6F20E58D" w14:textId="77777777" w:rsidR="00F45500" w:rsidRPr="007B192E" w:rsidRDefault="008E1092" w:rsidP="001D052E">
      <w:pPr>
        <w:pStyle w:val="Nagwek2"/>
        <w:rPr>
          <w:i w:val="0"/>
          <w:color w:val="000000" w:themeColor="text1"/>
        </w:rPr>
      </w:pPr>
      <w:bookmarkStart w:id="197" w:name="__RefHeading__25765_1880156434"/>
      <w:r w:rsidRPr="007B192E">
        <w:rPr>
          <w:i w:val="0"/>
          <w:color w:val="000000" w:themeColor="text1"/>
        </w:rPr>
        <w:t>8. ODBIÓR ROBÓT</w:t>
      </w:r>
      <w:bookmarkEnd w:id="197"/>
    </w:p>
    <w:p w14:paraId="5C13556C"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6CC0EC2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14:paraId="403128F4" w14:textId="77777777" w:rsidR="00F45500" w:rsidRPr="007B192E" w:rsidRDefault="008E1092" w:rsidP="001D052E">
      <w:pPr>
        <w:pStyle w:val="Nagwek2"/>
        <w:rPr>
          <w:i w:val="0"/>
          <w:color w:val="000000" w:themeColor="text1"/>
        </w:rPr>
      </w:pPr>
      <w:bookmarkStart w:id="198" w:name="__RefHeading__25767_1880156434"/>
      <w:r w:rsidRPr="007B192E">
        <w:rPr>
          <w:i w:val="0"/>
          <w:color w:val="000000" w:themeColor="text1"/>
        </w:rPr>
        <w:t>9. PODSTAWA PŁATNOŚCI</w:t>
      </w:r>
      <w:bookmarkEnd w:id="198"/>
    </w:p>
    <w:p w14:paraId="38FCF1E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9.1. Ogólne ustalenia dotyczące podstawy płatności</w:t>
      </w:r>
    </w:p>
    <w:p w14:paraId="5AD82B6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32056F5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jednostki obmiarowej</w:t>
      </w:r>
    </w:p>
    <w:p w14:paraId="158C8E62"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jednostki obmiarowej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obejmuje:</w:t>
      </w:r>
    </w:p>
    <w:p w14:paraId="4C3F072A"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2902ADA0"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66CBA505"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2D869F1D"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przygotowanie mieszanki z kruszywa, zgodnie z receptą,</w:t>
      </w:r>
    </w:p>
    <w:p w14:paraId="2092DD66"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dostarczenie mieszanki na miejsce wbudowania,</w:t>
      </w:r>
    </w:p>
    <w:p w14:paraId="3D445EEE"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rozłożenie mieszanki,</w:t>
      </w:r>
    </w:p>
    <w:p w14:paraId="02FAB83E"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zagęszczenie mieszanki,</w:t>
      </w:r>
    </w:p>
    <w:p w14:paraId="677AC596"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utrzymanie warstwy w czasie robót, ew. impregnacja warstwy,</w:t>
      </w:r>
    </w:p>
    <w:p w14:paraId="6BFB0BFF"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przeprowadzenie wymaganych  pomiarów i badań,</w:t>
      </w:r>
    </w:p>
    <w:p w14:paraId="190813D3"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uporządkowanie terenu robót i jego otoczenia,</w:t>
      </w:r>
    </w:p>
    <w:p w14:paraId="65ED4590"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5A92A331"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odwiezienie sprzętu.</w:t>
      </w:r>
    </w:p>
    <w:p w14:paraId="468B6EA2" w14:textId="77777777" w:rsidR="00F45500" w:rsidRPr="007B192E" w:rsidRDefault="00F45500" w:rsidP="00F45500">
      <w:pPr>
        <w:pStyle w:val="Standard"/>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Wszystkie roboty powinny być wykonane według wymagań dokumentacji projektowej, ST, specyfikacji technicznej i postanowień Inżyniera.</w:t>
      </w:r>
    </w:p>
    <w:p w14:paraId="6E2022E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61E7E0E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17AB771A"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2804E5FB" w14:textId="77777777" w:rsidR="00F45500" w:rsidRPr="007B192E" w:rsidRDefault="00F45500" w:rsidP="00F45500">
      <w:pPr>
        <w:pStyle w:val="Standard"/>
        <w:widowControl w:val="0"/>
        <w:numPr>
          <w:ilvl w:val="0"/>
          <w:numId w:val="97"/>
        </w:numPr>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5EF7973D" w14:textId="77777777" w:rsidR="00F45500" w:rsidRPr="007B192E" w:rsidRDefault="008E1092" w:rsidP="001D052E">
      <w:pPr>
        <w:pStyle w:val="Nagwek2"/>
        <w:rPr>
          <w:i w:val="0"/>
          <w:color w:val="000000" w:themeColor="text1"/>
        </w:rPr>
      </w:pPr>
      <w:bookmarkStart w:id="199" w:name="__RefHeading__25769_1880156434"/>
      <w:r w:rsidRPr="007B192E">
        <w:rPr>
          <w:i w:val="0"/>
          <w:color w:val="000000" w:themeColor="text1"/>
        </w:rPr>
        <w:t>10. PRZEPISY ZWIĄZANE</w:t>
      </w:r>
      <w:bookmarkEnd w:id="199"/>
    </w:p>
    <w:p w14:paraId="5B71DCD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Specyfikacje techniczne (ST)</w:t>
      </w:r>
    </w:p>
    <w:tbl>
      <w:tblPr>
        <w:tblW w:w="9201" w:type="dxa"/>
        <w:tblLayout w:type="fixed"/>
        <w:tblCellMar>
          <w:left w:w="10" w:type="dxa"/>
          <w:right w:w="10" w:type="dxa"/>
        </w:tblCellMar>
        <w:tblLook w:val="0000" w:firstRow="0" w:lastRow="0" w:firstColumn="0" w:lastColumn="0" w:noHBand="0" w:noVBand="0"/>
      </w:tblPr>
      <w:tblGrid>
        <w:gridCol w:w="636"/>
        <w:gridCol w:w="2073"/>
        <w:gridCol w:w="6492"/>
      </w:tblGrid>
      <w:tr w:rsidR="004D7D23" w:rsidRPr="007B192E" w14:paraId="08A05F85" w14:textId="77777777" w:rsidTr="008F7A94">
        <w:tc>
          <w:tcPr>
            <w:tcW w:w="636" w:type="dxa"/>
            <w:tcMar>
              <w:top w:w="0" w:type="dxa"/>
              <w:left w:w="70" w:type="dxa"/>
              <w:bottom w:w="0" w:type="dxa"/>
              <w:right w:w="70" w:type="dxa"/>
            </w:tcMar>
          </w:tcPr>
          <w:p w14:paraId="3A314014"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2073" w:type="dxa"/>
            <w:tcMar>
              <w:top w:w="0" w:type="dxa"/>
              <w:left w:w="70" w:type="dxa"/>
              <w:bottom w:w="0" w:type="dxa"/>
              <w:right w:w="70" w:type="dxa"/>
            </w:tcMar>
          </w:tcPr>
          <w:p w14:paraId="0E74064D"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 xml:space="preserve">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w:t>
            </w:r>
          </w:p>
        </w:tc>
        <w:tc>
          <w:tcPr>
            <w:tcW w:w="6492" w:type="dxa"/>
            <w:tcMar>
              <w:top w:w="0" w:type="dxa"/>
              <w:left w:w="70" w:type="dxa"/>
              <w:bottom w:w="0" w:type="dxa"/>
              <w:right w:w="70" w:type="dxa"/>
            </w:tcMar>
          </w:tcPr>
          <w:p w14:paraId="142272F2"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4B3E051D" w14:textId="77777777" w:rsidTr="008F7A94">
        <w:tc>
          <w:tcPr>
            <w:tcW w:w="636" w:type="dxa"/>
            <w:tcMar>
              <w:top w:w="0" w:type="dxa"/>
              <w:left w:w="70" w:type="dxa"/>
              <w:bottom w:w="0" w:type="dxa"/>
              <w:right w:w="70" w:type="dxa"/>
            </w:tcMar>
          </w:tcPr>
          <w:p w14:paraId="0B7D2E3D"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073" w:type="dxa"/>
            <w:tcMar>
              <w:top w:w="0" w:type="dxa"/>
              <w:left w:w="70" w:type="dxa"/>
              <w:bottom w:w="0" w:type="dxa"/>
              <w:right w:w="70" w:type="dxa"/>
            </w:tcMar>
          </w:tcPr>
          <w:p w14:paraId="5C63811F"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 xml:space="preserve"> D-01.00.00</w:t>
            </w:r>
          </w:p>
        </w:tc>
        <w:tc>
          <w:tcPr>
            <w:tcW w:w="6492" w:type="dxa"/>
            <w:tcMar>
              <w:top w:w="0" w:type="dxa"/>
              <w:left w:w="70" w:type="dxa"/>
              <w:bottom w:w="0" w:type="dxa"/>
              <w:right w:w="70" w:type="dxa"/>
            </w:tcMar>
          </w:tcPr>
          <w:p w14:paraId="705D6D7B"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r>
    </w:tbl>
    <w:p w14:paraId="2557061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10.2. Normy</w:t>
      </w:r>
    </w:p>
    <w:tbl>
      <w:tblPr>
        <w:tblW w:w="9230" w:type="dxa"/>
        <w:tblLayout w:type="fixed"/>
        <w:tblCellMar>
          <w:left w:w="10" w:type="dxa"/>
          <w:right w:w="10" w:type="dxa"/>
        </w:tblCellMar>
        <w:tblLook w:val="0000" w:firstRow="0" w:lastRow="0" w:firstColumn="0" w:lastColumn="0" w:noHBand="0" w:noVBand="0"/>
      </w:tblPr>
      <w:tblGrid>
        <w:gridCol w:w="675"/>
        <w:gridCol w:w="2073"/>
        <w:gridCol w:w="6482"/>
      </w:tblGrid>
      <w:tr w:rsidR="004D7D23" w:rsidRPr="007B192E" w14:paraId="2957F95C" w14:textId="77777777" w:rsidTr="008F7A94">
        <w:tc>
          <w:tcPr>
            <w:tcW w:w="675" w:type="dxa"/>
            <w:tcMar>
              <w:top w:w="0" w:type="dxa"/>
              <w:left w:w="108" w:type="dxa"/>
              <w:bottom w:w="0" w:type="dxa"/>
              <w:right w:w="108" w:type="dxa"/>
            </w:tcMar>
          </w:tcPr>
          <w:p w14:paraId="1690C6E5"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073" w:type="dxa"/>
            <w:tcMar>
              <w:top w:w="0" w:type="dxa"/>
              <w:left w:w="108" w:type="dxa"/>
              <w:bottom w:w="0" w:type="dxa"/>
              <w:right w:w="108" w:type="dxa"/>
            </w:tcMar>
          </w:tcPr>
          <w:p w14:paraId="4B2AF750"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PN-EN 933-1</w:t>
            </w:r>
          </w:p>
        </w:tc>
        <w:tc>
          <w:tcPr>
            <w:tcW w:w="6482" w:type="dxa"/>
            <w:tcMar>
              <w:top w:w="0" w:type="dxa"/>
              <w:left w:w="108" w:type="dxa"/>
              <w:bottom w:w="0" w:type="dxa"/>
              <w:right w:w="108" w:type="dxa"/>
            </w:tcMar>
          </w:tcPr>
          <w:p w14:paraId="4A5E93C6"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Oznaczanie składu ziarnowego – Metoda przesiewania</w:t>
            </w:r>
          </w:p>
        </w:tc>
      </w:tr>
      <w:tr w:rsidR="00F45500" w:rsidRPr="007B192E" w14:paraId="0E0D3486" w14:textId="77777777" w:rsidTr="008F7A94">
        <w:tc>
          <w:tcPr>
            <w:tcW w:w="675" w:type="dxa"/>
            <w:tcMar>
              <w:top w:w="0" w:type="dxa"/>
              <w:left w:w="108" w:type="dxa"/>
              <w:bottom w:w="0" w:type="dxa"/>
              <w:right w:w="108" w:type="dxa"/>
            </w:tcMar>
          </w:tcPr>
          <w:p w14:paraId="2F05FD83"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073" w:type="dxa"/>
            <w:tcMar>
              <w:top w:w="0" w:type="dxa"/>
              <w:left w:w="108" w:type="dxa"/>
              <w:bottom w:w="0" w:type="dxa"/>
              <w:right w:w="108" w:type="dxa"/>
            </w:tcMar>
          </w:tcPr>
          <w:p w14:paraId="13DB622F"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PN-EN 933-3</w:t>
            </w:r>
          </w:p>
        </w:tc>
        <w:tc>
          <w:tcPr>
            <w:tcW w:w="6482" w:type="dxa"/>
            <w:tcMar>
              <w:top w:w="0" w:type="dxa"/>
              <w:left w:w="108" w:type="dxa"/>
              <w:bottom w:w="0" w:type="dxa"/>
              <w:right w:w="108" w:type="dxa"/>
            </w:tcMar>
          </w:tcPr>
          <w:p w14:paraId="62526583" w14:textId="77777777" w:rsidR="00F45500" w:rsidRPr="007B192E" w:rsidRDefault="00F45500" w:rsidP="008F7A94">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Oznaczanie kształtu ziaren za pomocą wskaźnika płaskości</w:t>
            </w:r>
          </w:p>
        </w:tc>
      </w:tr>
    </w:tbl>
    <w:p w14:paraId="2BA4BBAB" w14:textId="77777777" w:rsidR="00F45500" w:rsidRPr="007B192E" w:rsidRDefault="00F45500" w:rsidP="00F45500">
      <w:pPr>
        <w:pStyle w:val="Standard"/>
        <w:spacing w:after="120"/>
        <w:jc w:val="both"/>
        <w:rPr>
          <w:rFonts w:ascii="Arial" w:hAnsi="Arial" w:cs="Arial"/>
          <w:b/>
          <w:color w:val="000000" w:themeColor="text1"/>
          <w:sz w:val="18"/>
          <w:szCs w:val="18"/>
        </w:rPr>
      </w:pPr>
    </w:p>
    <w:p w14:paraId="69C0516E" w14:textId="77777777" w:rsidR="00F45500" w:rsidRPr="007B192E" w:rsidRDefault="00F45500" w:rsidP="00F45500">
      <w:pPr>
        <w:rPr>
          <w:rFonts w:ascii="Arial" w:hAnsi="Arial" w:cs="Arial"/>
          <w:b/>
          <w:bCs/>
          <w:color w:val="000000" w:themeColor="text1"/>
          <w:sz w:val="18"/>
          <w:szCs w:val="18"/>
        </w:rPr>
      </w:pPr>
      <w:r w:rsidRPr="007B192E">
        <w:rPr>
          <w:rFonts w:ascii="Arial" w:hAnsi="Arial" w:cs="Arial"/>
          <w:b/>
          <w:bCs/>
          <w:color w:val="000000" w:themeColor="text1"/>
          <w:sz w:val="18"/>
          <w:szCs w:val="18"/>
        </w:rPr>
        <w:br w:type="page"/>
      </w:r>
    </w:p>
    <w:p w14:paraId="1200DFA7" w14:textId="77777777" w:rsidR="00F45500" w:rsidRPr="007B192E" w:rsidRDefault="00072856" w:rsidP="008E1092">
      <w:pPr>
        <w:pStyle w:val="Nagwek1"/>
        <w:jc w:val="center"/>
        <w:rPr>
          <w:color w:val="000000" w:themeColor="text1"/>
          <w:sz w:val="40"/>
        </w:rPr>
      </w:pPr>
      <w:bookmarkStart w:id="200" w:name="_Toc138757095"/>
      <w:bookmarkStart w:id="201" w:name="_Toc163481055"/>
      <w:r w:rsidRPr="007B192E">
        <w:rPr>
          <w:color w:val="000000" w:themeColor="text1"/>
          <w:sz w:val="40"/>
        </w:rPr>
        <w:lastRenderedPageBreak/>
        <w:t>D-</w:t>
      </w:r>
      <w:r w:rsidR="008E1092" w:rsidRPr="007B192E">
        <w:rPr>
          <w:color w:val="000000" w:themeColor="text1"/>
          <w:sz w:val="40"/>
        </w:rPr>
        <w:t xml:space="preserve">04.05.01a </w:t>
      </w:r>
      <w:r w:rsidR="00F45500" w:rsidRPr="007B192E">
        <w:rPr>
          <w:color w:val="000000" w:themeColor="text1"/>
          <w:sz w:val="40"/>
        </w:rPr>
        <w:t>PODBUDOWA Z MIESZANKI KRUSZYWA</w:t>
      </w:r>
      <w:r w:rsidR="008E1092" w:rsidRPr="007B192E">
        <w:rPr>
          <w:color w:val="000000" w:themeColor="text1"/>
          <w:sz w:val="40"/>
        </w:rPr>
        <w:t xml:space="preserve"> </w:t>
      </w:r>
      <w:r w:rsidR="00F45500" w:rsidRPr="007B192E">
        <w:rPr>
          <w:bCs/>
          <w:color w:val="000000" w:themeColor="text1"/>
          <w:sz w:val="40"/>
        </w:rPr>
        <w:t>ZWIĄZANEGO HYDRAULICZNIE CEMENTEM</w:t>
      </w:r>
      <w:bookmarkEnd w:id="200"/>
      <w:bookmarkEnd w:id="201"/>
    </w:p>
    <w:p w14:paraId="4690B25B" w14:textId="77777777" w:rsidR="00F45500" w:rsidRPr="007B192E" w:rsidRDefault="00F45500" w:rsidP="001D052E">
      <w:pPr>
        <w:pStyle w:val="Nagwek2"/>
        <w:rPr>
          <w:i w:val="0"/>
          <w:color w:val="000000" w:themeColor="text1"/>
        </w:rPr>
      </w:pPr>
      <w:r w:rsidRPr="007B192E">
        <w:rPr>
          <w:i w:val="0"/>
          <w:color w:val="000000" w:themeColor="text1"/>
        </w:rPr>
        <w:t>1. WSTĘP</w:t>
      </w:r>
    </w:p>
    <w:p w14:paraId="381718B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691CCFAB" w14:textId="77777777" w:rsidR="00F45500" w:rsidRPr="007B192E" w:rsidRDefault="00F45500" w:rsidP="00F45500">
      <w:pPr>
        <w:pStyle w:val="Standard"/>
        <w:tabs>
          <w:tab w:val="left" w:pos="63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wykonywaniem podbudowy z mieszanki kruszywa związanego hydraulicznie cementem.</w:t>
      </w:r>
    </w:p>
    <w:p w14:paraId="1157B821" w14:textId="77777777" w:rsidR="00F45500" w:rsidRPr="007B192E" w:rsidRDefault="00F45500" w:rsidP="00F45500">
      <w:pPr>
        <w:pStyle w:val="Nagwek2"/>
        <w:numPr>
          <w:ilvl w:val="1"/>
          <w:numId w:val="30"/>
        </w:numPr>
        <w:overflowPunct/>
        <w:autoSpaceDE/>
        <w:spacing w:before="119" w:after="119" w:line="216" w:lineRule="auto"/>
        <w:jc w:val="both"/>
        <w:textAlignment w:val="auto"/>
        <w:rPr>
          <w:color w:val="000000" w:themeColor="text1"/>
          <w:sz w:val="18"/>
          <w:szCs w:val="18"/>
        </w:rPr>
      </w:pPr>
      <w:r w:rsidRPr="007B192E">
        <w:rPr>
          <w:color w:val="000000" w:themeColor="text1"/>
          <w:sz w:val="18"/>
          <w:szCs w:val="18"/>
        </w:rPr>
        <w:t>1.2. Zakres stosowania ST</w:t>
      </w:r>
    </w:p>
    <w:p w14:paraId="6D3F77C4" w14:textId="77777777" w:rsidR="00F45500" w:rsidRPr="007B192E" w:rsidRDefault="00F45500" w:rsidP="00F45500">
      <w:pPr>
        <w:pStyle w:val="Standard"/>
        <w:tabs>
          <w:tab w:val="left" w:pos="63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36E299B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2E307AC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wykonaniem i odbiorem podłoża ulepszonego z mieszanki kruszywa, wody, cementu i ewentualnych dodatków oraz domieszek. Materiał ten wiąże i twardnieje w obecności wody, tworząc stabilne i trwałe struktury.</w:t>
      </w:r>
    </w:p>
    <w:p w14:paraId="14E2974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mieszance można stosować kruszywo naturalne, kruszywo z recyklingu oraz połączenia tych kruszyw. Do kruszyw mogą  należeć kruszywo kamienne, kruszywo żużlowe z żużla kawałkowego wielkopiecowego i kruszywo żużlowe z żużla stalowniczego, dla rodzajów mieszanek mineralnych 0/31,5 mm, 0/22,4 mm, 0/16 mm, 0/11,2 mm i 0/8 mm.</w:t>
      </w:r>
    </w:p>
    <w:p w14:paraId="53D1819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276543B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Mieszanka związana spoiwem hydraulicznym – mieszanka, w której następuje wiązanie i twardnienie na skutek reakcji hydraulicznych.</w:t>
      </w:r>
    </w:p>
    <w:p w14:paraId="72E29BDD"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 xml:space="preserve">Podłoże ulepszone z  mieszanki związanej spoiwem hydraulicznym – warstwa zawierająca kruszywo naturalne lub sztuczne albo z recyklingu lub ich mieszaninę i spoiwo hydrauliczne, zapewniająca umożliwienie ruchu technologicznego i właściwego wykonania nawierzchni. Do warstwy podłoża ulepszonego zalicza się także warstwę </w:t>
      </w:r>
      <w:proofErr w:type="spellStart"/>
      <w:r w:rsidRPr="007B192E">
        <w:rPr>
          <w:rFonts w:ascii="Arial" w:hAnsi="Arial" w:cs="Arial"/>
          <w:color w:val="000000" w:themeColor="text1"/>
          <w:sz w:val="18"/>
          <w:szCs w:val="18"/>
        </w:rPr>
        <w:t>mrozoochronną</w:t>
      </w:r>
      <w:proofErr w:type="spellEnd"/>
      <w:r w:rsidRPr="007B192E">
        <w:rPr>
          <w:rFonts w:ascii="Arial" w:hAnsi="Arial" w:cs="Arial"/>
          <w:color w:val="000000" w:themeColor="text1"/>
          <w:sz w:val="18"/>
          <w:szCs w:val="18"/>
        </w:rPr>
        <w:t>, odcinającą i wzmacniającą, które powinny spełniać dodatkowe wymagania.</w:t>
      </w:r>
    </w:p>
    <w:p w14:paraId="7A8260D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1.4.3. </w:t>
      </w:r>
      <w:r w:rsidRPr="007B192E">
        <w:rPr>
          <w:rFonts w:ascii="Arial" w:hAnsi="Arial" w:cs="Arial"/>
          <w:color w:val="000000" w:themeColor="text1"/>
          <w:sz w:val="18"/>
          <w:szCs w:val="18"/>
        </w:rPr>
        <w:t>Podbudowa pomocnicza z mieszanki związanej spoiwem hydraulicznym –  warstwa zawierająca kruszywo naturalne lub sztuczne a także z recyklingu lub ich mieszaninę i spoiwo hydrauliczne, zapewniająca przenoszenie obciążeń z warstwy podbudowy zasadniczej na warstwę podłoża.</w:t>
      </w:r>
    </w:p>
    <w:p w14:paraId="76C95C16"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1.4.4. </w:t>
      </w:r>
      <w:r w:rsidRPr="007B192E">
        <w:rPr>
          <w:rFonts w:ascii="Arial" w:hAnsi="Arial" w:cs="Arial"/>
          <w:color w:val="000000" w:themeColor="text1"/>
          <w:sz w:val="18"/>
          <w:szCs w:val="18"/>
        </w:rPr>
        <w:t>Podbudowa zasadnicza z mieszanki związanej spoiwem hydraulicznym –  warstwa zawierająca kruszywo naturalne lub sztuczne a także z recyklingu lub ich mieszaninę i spoiwo hydrauliczne, zapewniająca przenoszenie obciążeń z warstw jezdnych na warstwę podbudowy pomocniczej lub podłoże.</w:t>
      </w:r>
    </w:p>
    <w:p w14:paraId="25DEA551"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1.4.5. </w:t>
      </w:r>
      <w:r w:rsidRPr="007B192E">
        <w:rPr>
          <w:rFonts w:ascii="Arial" w:hAnsi="Arial" w:cs="Arial"/>
          <w:color w:val="000000" w:themeColor="text1"/>
          <w:sz w:val="18"/>
          <w:szCs w:val="18"/>
        </w:rPr>
        <w:t>Kruszywo – materiał ziarnisty stosowany w budownictwie, który może być naturalny, sztuczny lub z recyklingu.</w:t>
      </w:r>
    </w:p>
    <w:p w14:paraId="6978C880"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1.4.6. </w:t>
      </w:r>
      <w:r w:rsidRPr="007B192E">
        <w:rPr>
          <w:rFonts w:ascii="Arial" w:hAnsi="Arial" w:cs="Arial"/>
          <w:color w:val="000000" w:themeColor="text1"/>
          <w:sz w:val="18"/>
          <w:szCs w:val="18"/>
        </w:rPr>
        <w:t>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9B0B98E"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1.4.7. </w:t>
      </w:r>
      <w:r w:rsidRPr="007B192E">
        <w:rPr>
          <w:rFonts w:ascii="Arial" w:hAnsi="Arial" w:cs="Arial"/>
          <w:color w:val="000000" w:themeColor="text1"/>
          <w:sz w:val="18"/>
          <w:szCs w:val="18"/>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6BCB5B5E"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1.4.8. </w:t>
      </w:r>
      <w:r w:rsidRPr="007B192E">
        <w:rPr>
          <w:rFonts w:ascii="Arial" w:hAnsi="Arial" w:cs="Arial"/>
          <w:color w:val="000000" w:themeColor="text1"/>
          <w:sz w:val="18"/>
          <w:szCs w:val="18"/>
        </w:rPr>
        <w:t>Kruszywo z recyklingu – kruszywo powstałe w wyniku przeróbki materiału zastosowanego uprzednio w budownictwie.</w:t>
      </w:r>
    </w:p>
    <w:p w14:paraId="737D1CBB"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1.4.9. </w:t>
      </w:r>
      <w:r w:rsidRPr="007B192E">
        <w:rPr>
          <w:rFonts w:ascii="Arial" w:hAnsi="Arial" w:cs="Arial"/>
          <w:color w:val="000000" w:themeColor="text1"/>
          <w:sz w:val="18"/>
          <w:szCs w:val="18"/>
        </w:rPr>
        <w:t>Kruszywo kamienne – kruszywo z mineralnych surowców jak żwir kruszony, mechanicznie rozdrobnione skały, nadziarno żwirowe.</w:t>
      </w:r>
    </w:p>
    <w:p w14:paraId="21C42E3E"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1.4.10. </w:t>
      </w:r>
      <w:r w:rsidRPr="007B192E">
        <w:rPr>
          <w:rFonts w:ascii="Arial" w:hAnsi="Arial" w:cs="Arial"/>
          <w:color w:val="000000" w:themeColor="text1"/>
          <w:sz w:val="18"/>
          <w:szCs w:val="18"/>
        </w:rPr>
        <w:t>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E2EC12F"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1.4.11. </w:t>
      </w:r>
      <w:r w:rsidRPr="007B192E">
        <w:rPr>
          <w:rFonts w:ascii="Arial" w:hAnsi="Arial" w:cs="Arial"/>
          <w:color w:val="000000" w:themeColor="text1"/>
          <w:sz w:val="18"/>
          <w:szCs w:val="18"/>
        </w:rPr>
        <w:t xml:space="preserve">Kruszywo żużlowe z żużla stalowniczego – kruszywo składające się głównie ze skrystalizowanego krzemianu wapnia i ferrytu zawierającego </w:t>
      </w:r>
      <w:proofErr w:type="spellStart"/>
      <w:r w:rsidRPr="007B192E">
        <w:rPr>
          <w:rFonts w:ascii="Arial" w:hAnsi="Arial" w:cs="Arial"/>
          <w:color w:val="000000" w:themeColor="text1"/>
          <w:sz w:val="18"/>
          <w:szCs w:val="18"/>
        </w:rPr>
        <w:t>CaO</w:t>
      </w:r>
      <w:proofErr w:type="spellEnd"/>
      <w:r w:rsidRPr="007B192E">
        <w:rPr>
          <w:rFonts w:ascii="Arial" w:hAnsi="Arial" w:cs="Arial"/>
          <w:color w:val="000000" w:themeColor="text1"/>
          <w:sz w:val="18"/>
          <w:szCs w:val="18"/>
        </w:rPr>
        <w:t>, SiO</w:t>
      </w:r>
      <w:r w:rsidRPr="007B192E">
        <w:rPr>
          <w:rFonts w:ascii="Arial" w:hAnsi="Arial" w:cs="Arial"/>
          <w:color w:val="000000" w:themeColor="text1"/>
          <w:sz w:val="18"/>
          <w:szCs w:val="18"/>
          <w:vertAlign w:val="subscript"/>
        </w:rPr>
        <w:t>2</w:t>
      </w:r>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MgO</w:t>
      </w:r>
      <w:proofErr w:type="spellEnd"/>
      <w:r w:rsidRPr="007B192E">
        <w:rPr>
          <w:rFonts w:ascii="Arial" w:hAnsi="Arial" w:cs="Arial"/>
          <w:color w:val="000000" w:themeColor="text1"/>
          <w:sz w:val="18"/>
          <w:szCs w:val="18"/>
        </w:rPr>
        <w:t xml:space="preserve"> oraz tlenek żelaza. Kruszywo otrzymuje się przez powolne schładzanie powietrzem ciekłego żużla stalowniczego. Proces chłodzenia może odbywać się przy kontrolowanym dodawaniu wody.</w:t>
      </w:r>
    </w:p>
    <w:p w14:paraId="62B61EE9"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1.4.12. </w:t>
      </w:r>
      <w:r w:rsidRPr="007B192E">
        <w:rPr>
          <w:rFonts w:ascii="Arial" w:hAnsi="Arial" w:cs="Arial"/>
          <w:color w:val="000000" w:themeColor="text1"/>
          <w:sz w:val="18"/>
          <w:szCs w:val="18"/>
        </w:rPr>
        <w:t xml:space="preserve">Kategoria ruchu (KR1 – KR6) – obciążenie drogi ruchem samochodowym, wyrażone w osiach obliczeniowych (100 </w:t>
      </w:r>
      <w:proofErr w:type="spellStart"/>
      <w:r w:rsidRPr="007B192E">
        <w:rPr>
          <w:rFonts w:ascii="Arial" w:hAnsi="Arial" w:cs="Arial"/>
          <w:color w:val="000000" w:themeColor="text1"/>
          <w:sz w:val="18"/>
          <w:szCs w:val="18"/>
        </w:rPr>
        <w:t>kN</w:t>
      </w:r>
      <w:proofErr w:type="spellEnd"/>
      <w:r w:rsidRPr="007B192E">
        <w:rPr>
          <w:rFonts w:ascii="Arial" w:hAnsi="Arial" w:cs="Arial"/>
          <w:color w:val="000000" w:themeColor="text1"/>
          <w:sz w:val="18"/>
          <w:szCs w:val="18"/>
        </w:rPr>
        <w:t>) według „Katalogu typowych konstrukcji nawierzchni podatnych i półsztywnych”. Generalna Dyrekcja Dróg Publicznych – Instytut Badawczy Dróg i Mostów, Warszawa 1997 [27].</w:t>
      </w:r>
    </w:p>
    <w:p w14:paraId="7FCCADC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1.4.13. </w:t>
      </w:r>
      <w:r w:rsidRPr="007B192E">
        <w:rPr>
          <w:rFonts w:ascii="Arial" w:hAnsi="Arial" w:cs="Arial"/>
          <w:color w:val="000000" w:themeColor="text1"/>
          <w:sz w:val="18"/>
          <w:szCs w:val="18"/>
        </w:rPr>
        <w:t xml:space="preserve">Kruszywo grube (wg PN-EN 13242) – oznaczenie kruszywa o wymiarach ziaren </w:t>
      </w:r>
      <w:r w:rsidRPr="007B192E">
        <w:rPr>
          <w:rFonts w:ascii="Arial" w:hAnsi="Arial" w:cs="Arial"/>
          <w:i/>
          <w:color w:val="000000" w:themeColor="text1"/>
          <w:sz w:val="18"/>
          <w:szCs w:val="18"/>
        </w:rPr>
        <w:t>d</w:t>
      </w:r>
      <w:r w:rsidRPr="007B192E">
        <w:rPr>
          <w:rFonts w:ascii="Arial" w:hAnsi="Arial" w:cs="Arial"/>
          <w:color w:val="000000" w:themeColor="text1"/>
          <w:sz w:val="18"/>
          <w:szCs w:val="18"/>
        </w:rPr>
        <w:t xml:space="preserve"> (dolnego) równym lub większym niż 1 mm oraz </w:t>
      </w:r>
      <w:r w:rsidRPr="007B192E">
        <w:rPr>
          <w:rFonts w:ascii="Arial" w:hAnsi="Arial" w:cs="Arial"/>
          <w:i/>
          <w:color w:val="000000" w:themeColor="text1"/>
          <w:sz w:val="18"/>
          <w:szCs w:val="18"/>
        </w:rPr>
        <w:t xml:space="preserve">D </w:t>
      </w:r>
      <w:r w:rsidRPr="007B192E">
        <w:rPr>
          <w:rFonts w:ascii="Arial" w:hAnsi="Arial" w:cs="Arial"/>
          <w:color w:val="000000" w:themeColor="text1"/>
          <w:sz w:val="18"/>
          <w:szCs w:val="18"/>
        </w:rPr>
        <w:t>(górnego) większym niż 2 mm.</w:t>
      </w:r>
    </w:p>
    <w:p w14:paraId="6A33A30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lastRenderedPageBreak/>
        <w:t xml:space="preserve">1.4.14. </w:t>
      </w:r>
      <w:r w:rsidRPr="007B192E">
        <w:rPr>
          <w:rFonts w:ascii="Arial" w:hAnsi="Arial" w:cs="Arial"/>
          <w:color w:val="000000" w:themeColor="text1"/>
          <w:sz w:val="18"/>
          <w:szCs w:val="18"/>
        </w:rPr>
        <w:t xml:space="preserve">Kruszywo drobne (wg PN-EN 13242) – oznaczenie kruszywa o wymiarach ziaren </w:t>
      </w:r>
      <w:r w:rsidRPr="007B192E">
        <w:rPr>
          <w:rFonts w:ascii="Arial" w:hAnsi="Arial" w:cs="Arial"/>
          <w:i/>
          <w:color w:val="000000" w:themeColor="text1"/>
          <w:sz w:val="18"/>
          <w:szCs w:val="18"/>
        </w:rPr>
        <w:t>d</w:t>
      </w:r>
      <w:r w:rsidRPr="007B192E">
        <w:rPr>
          <w:rFonts w:ascii="Arial" w:hAnsi="Arial" w:cs="Arial"/>
          <w:color w:val="000000" w:themeColor="text1"/>
          <w:sz w:val="18"/>
          <w:szCs w:val="18"/>
        </w:rPr>
        <w:t xml:space="preserve"> równym 0 oraz </w:t>
      </w:r>
      <w:r w:rsidRPr="007B192E">
        <w:rPr>
          <w:rFonts w:ascii="Arial" w:hAnsi="Arial" w:cs="Arial"/>
          <w:i/>
          <w:color w:val="000000" w:themeColor="text1"/>
          <w:sz w:val="18"/>
          <w:szCs w:val="18"/>
        </w:rPr>
        <w:t xml:space="preserve">D </w:t>
      </w:r>
      <w:r w:rsidRPr="007B192E">
        <w:rPr>
          <w:rFonts w:ascii="Arial" w:hAnsi="Arial" w:cs="Arial"/>
          <w:color w:val="000000" w:themeColor="text1"/>
          <w:sz w:val="18"/>
          <w:szCs w:val="18"/>
        </w:rPr>
        <w:t>równym 6,3 mm lub mniejszym.</w:t>
      </w:r>
    </w:p>
    <w:p w14:paraId="5A02279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1.4.15. </w:t>
      </w:r>
      <w:r w:rsidRPr="007B192E">
        <w:rPr>
          <w:rFonts w:ascii="Arial" w:hAnsi="Arial" w:cs="Arial"/>
          <w:color w:val="000000" w:themeColor="text1"/>
          <w:sz w:val="18"/>
          <w:szCs w:val="18"/>
        </w:rPr>
        <w:t xml:space="preserve">Kruszywo o ciągłym uziarnieniu (wg PN-EN 13242) – kruszywo stanowiące mieszankę kruszyw grubych i drobnych, w której </w:t>
      </w:r>
      <w:r w:rsidRPr="007B192E">
        <w:rPr>
          <w:rFonts w:ascii="Arial" w:hAnsi="Arial" w:cs="Arial"/>
          <w:i/>
          <w:color w:val="000000" w:themeColor="text1"/>
          <w:sz w:val="18"/>
          <w:szCs w:val="18"/>
        </w:rPr>
        <w:t>D</w:t>
      </w:r>
      <w:r w:rsidRPr="007B192E">
        <w:rPr>
          <w:rFonts w:ascii="Arial" w:hAnsi="Arial" w:cs="Arial"/>
          <w:color w:val="000000" w:themeColor="text1"/>
          <w:sz w:val="18"/>
          <w:szCs w:val="18"/>
        </w:rPr>
        <w:t xml:space="preserve"> jest większe niż 6,3 mm.</w:t>
      </w:r>
    </w:p>
    <w:p w14:paraId="1FB4F8B0"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1.4.16. </w:t>
      </w:r>
      <w:r w:rsidRPr="007B192E">
        <w:rPr>
          <w:rFonts w:ascii="Arial" w:hAnsi="Arial" w:cs="Arial"/>
          <w:color w:val="000000" w:themeColor="text1"/>
          <w:sz w:val="18"/>
          <w:szCs w:val="18"/>
        </w:rPr>
        <w:t>Mieszanka związana cementem – mieszanka związana hydraulicznie, składająca się z kruszywa o kontrolowanym uziarnieniu i cementu, wymieszana w sposób zapewniający uzyskanie jednorodnej mieszanki.</w:t>
      </w:r>
    </w:p>
    <w:p w14:paraId="7CB539F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1.4.17. </w:t>
      </w:r>
      <w:r w:rsidRPr="007B192E">
        <w:rPr>
          <w:rFonts w:ascii="Arial" w:hAnsi="Arial" w:cs="Arial"/>
          <w:color w:val="000000" w:themeColor="text1"/>
          <w:sz w:val="18"/>
          <w:szCs w:val="18"/>
        </w:rPr>
        <w:t>Symbole i skróty dodatkowe</w:t>
      </w:r>
    </w:p>
    <w:p w14:paraId="4F7CFA1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m/m</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procent masy,</w:t>
      </w:r>
    </w:p>
    <w:p w14:paraId="089323E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NR</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brak konieczności badania danej cechy,</w:t>
      </w:r>
    </w:p>
    <w:p w14:paraId="0FD4AC0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CBGM</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mieszanka związana cementem,</w:t>
      </w:r>
    </w:p>
    <w:p w14:paraId="6CD79BD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CBR</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kalifornijski wskaźnik nośności, w procentach (%),</w:t>
      </w:r>
    </w:p>
    <w:p w14:paraId="2681B1F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d</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dolny wymiar sita (przy określaniu wielkości ziaren kruszywa),</w:t>
      </w:r>
    </w:p>
    <w:p w14:paraId="5896039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D</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górny wymiar sita (przy określaniu wielkości ziaren kruszywa),</w:t>
      </w:r>
    </w:p>
    <w:p w14:paraId="0E137E3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H/D</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stosunek wysokości do średnicy próbki.</w:t>
      </w:r>
    </w:p>
    <w:p w14:paraId="1CDCA6DF"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1.4.18.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1.4.</w:t>
      </w:r>
    </w:p>
    <w:p w14:paraId="57FA6BA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3D012A81"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70C87738" w14:textId="77777777" w:rsidR="00F45500" w:rsidRPr="007B192E" w:rsidRDefault="00F45500" w:rsidP="005E0E48">
      <w:pPr>
        <w:pStyle w:val="Nagwek2"/>
        <w:rPr>
          <w:i w:val="0"/>
          <w:color w:val="000000" w:themeColor="text1"/>
        </w:rPr>
      </w:pPr>
      <w:bookmarkStart w:id="202" w:name="_Toc431184075"/>
      <w:bookmarkStart w:id="203" w:name="_Toc208892382"/>
      <w:bookmarkStart w:id="204" w:name="_Toc210107778"/>
      <w:bookmarkStart w:id="205" w:name="_Toc236626156"/>
      <w:bookmarkStart w:id="206" w:name="_Toc332010312"/>
      <w:r w:rsidRPr="007B192E">
        <w:rPr>
          <w:i w:val="0"/>
          <w:color w:val="000000" w:themeColor="text1"/>
        </w:rPr>
        <w:t>2. MATERIAŁY</w:t>
      </w:r>
      <w:bookmarkEnd w:id="202"/>
      <w:bookmarkEnd w:id="203"/>
      <w:bookmarkEnd w:id="204"/>
      <w:bookmarkEnd w:id="205"/>
      <w:bookmarkEnd w:id="206"/>
    </w:p>
    <w:p w14:paraId="55928FC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72A3EAC3"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157230A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Materiały do wykonania robót</w:t>
      </w:r>
    </w:p>
    <w:p w14:paraId="58C058A5"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 xml:space="preserve"> Zgodność materiałów z dokumentacją projektową i aprobatą techniczną</w:t>
      </w:r>
    </w:p>
    <w:p w14:paraId="661588B5"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powinny być zgodne z ustaleniami dokumentacji projektowej lub ST względnie z wymaganiami europejskiej lub krajowej aprobaty technicznej.</w:t>
      </w:r>
    </w:p>
    <w:p w14:paraId="632A6EA1"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2.2.2. </w:t>
      </w:r>
      <w:r w:rsidRPr="007B192E">
        <w:rPr>
          <w:rFonts w:ascii="Arial" w:hAnsi="Arial" w:cs="Arial"/>
          <w:color w:val="000000" w:themeColor="text1"/>
          <w:sz w:val="18"/>
          <w:szCs w:val="18"/>
        </w:rPr>
        <w:t>Materiały wchodzące w skład mieszanki</w:t>
      </w:r>
    </w:p>
    <w:p w14:paraId="6DE2FF6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Materiałami stosowanymi do wytwarzania mieszanek związanych cementem są:</w:t>
      </w:r>
    </w:p>
    <w:p w14:paraId="386C5E32" w14:textId="77777777" w:rsidR="00F45500" w:rsidRPr="007B192E"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w:t>
      </w:r>
    </w:p>
    <w:p w14:paraId="306666ED" w14:textId="77777777" w:rsidR="00F45500" w:rsidRPr="007B192E"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cement,</w:t>
      </w:r>
    </w:p>
    <w:p w14:paraId="638765DE" w14:textId="77777777" w:rsidR="00F45500" w:rsidRPr="007B192E"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woda zarobowa,</w:t>
      </w:r>
    </w:p>
    <w:p w14:paraId="5C5BD255" w14:textId="77777777" w:rsidR="00F45500" w:rsidRPr="007B192E"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dodatki,</w:t>
      </w:r>
    </w:p>
    <w:p w14:paraId="49A0FB2B" w14:textId="77777777" w:rsidR="00F45500" w:rsidRPr="007B192E" w:rsidRDefault="00F45500" w:rsidP="00F45500">
      <w:pPr>
        <w:widowControl/>
        <w:numPr>
          <w:ilvl w:val="0"/>
          <w:numId w:val="19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domieszki.</w:t>
      </w:r>
    </w:p>
    <w:p w14:paraId="3FD076DD"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2.2.3. </w:t>
      </w:r>
      <w:r w:rsidRPr="007B192E">
        <w:rPr>
          <w:rFonts w:ascii="Arial" w:hAnsi="Arial" w:cs="Arial"/>
          <w:color w:val="000000" w:themeColor="text1"/>
          <w:sz w:val="18"/>
          <w:szCs w:val="18"/>
        </w:rPr>
        <w:t>Kruszywa</w:t>
      </w:r>
    </w:p>
    <w:p w14:paraId="3B6CD8B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 mieszanek można stosować następujące rodzaje kruszyw:</w:t>
      </w:r>
    </w:p>
    <w:p w14:paraId="59C3F6C5" w14:textId="77777777" w:rsidR="00F45500" w:rsidRPr="007B192E"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naturalne lub sztuczne,</w:t>
      </w:r>
    </w:p>
    <w:p w14:paraId="4DDEC62C" w14:textId="77777777" w:rsidR="00F45500" w:rsidRPr="007B192E"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z recyklingu,</w:t>
      </w:r>
    </w:p>
    <w:p w14:paraId="76656152" w14:textId="77777777" w:rsidR="00F45500" w:rsidRPr="007B192E" w:rsidRDefault="00F45500" w:rsidP="00F45500">
      <w:pPr>
        <w:widowControl/>
        <w:numPr>
          <w:ilvl w:val="0"/>
          <w:numId w:val="19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połączenie kruszyw wymienionych w punktach a) i b) z określeniem proporcji kruszyw z a) i b) z dokładnością ± 5% m/m.</w:t>
      </w:r>
    </w:p>
    <w:p w14:paraId="2A5370B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Wymagania wobec kruszywa do warstw podbudowy i podłoża ulepszonego przedstawia tablica 1.</w:t>
      </w:r>
    </w:p>
    <w:p w14:paraId="5E18D681" w14:textId="77777777" w:rsidR="00F45500" w:rsidRPr="007B192E" w:rsidRDefault="00F45500" w:rsidP="00F45500">
      <w:pPr>
        <w:rPr>
          <w:rFonts w:ascii="Arial" w:eastAsia="Calibri" w:hAnsi="Arial" w:cs="Arial"/>
          <w:color w:val="000000" w:themeColor="text1"/>
          <w:sz w:val="18"/>
          <w:szCs w:val="18"/>
        </w:rPr>
      </w:pPr>
      <w:r w:rsidRPr="007B192E">
        <w:rPr>
          <w:rFonts w:ascii="Arial" w:hAnsi="Arial" w:cs="Arial"/>
          <w:color w:val="000000" w:themeColor="text1"/>
          <w:sz w:val="18"/>
          <w:szCs w:val="18"/>
        </w:rPr>
        <w:t>Tablica 1. Wymagane właściwości kruszywa do warstw podbudowy i podłoża ulepszonego z mieszanek związanych cementem</w:t>
      </w:r>
    </w:p>
    <w:p w14:paraId="79E9F684" w14:textId="77777777" w:rsidR="00F45500" w:rsidRPr="007B192E" w:rsidRDefault="00F45500" w:rsidP="00F45500">
      <w:pPr>
        <w:pStyle w:val="Bezodstpw"/>
        <w:jc w:val="both"/>
        <w:rPr>
          <w:rFonts w:cs="Arial"/>
          <w:color w:val="000000" w:themeColor="text1"/>
          <w:sz w:val="18"/>
          <w:szCs w:val="18"/>
        </w:rPr>
      </w:pPr>
      <w:r w:rsidRPr="007B192E">
        <w:rPr>
          <w:rFonts w:cs="Arial"/>
          <w:color w:val="000000" w:themeColor="text1"/>
          <w:sz w:val="18"/>
          <w:szCs w:val="18"/>
        </w:rPr>
        <w:t xml:space="preserve">Skróty użyte w tablicy: Kat. – kategoria właściwości,  </w:t>
      </w:r>
      <w:proofErr w:type="spellStart"/>
      <w:r w:rsidRPr="007B192E">
        <w:rPr>
          <w:rFonts w:cs="Arial"/>
          <w:color w:val="000000" w:themeColor="text1"/>
          <w:sz w:val="18"/>
          <w:szCs w:val="18"/>
        </w:rPr>
        <w:t>Dekl</w:t>
      </w:r>
      <w:proofErr w:type="spellEnd"/>
      <w:r w:rsidRPr="007B192E">
        <w:rPr>
          <w:rFonts w:cs="Arial"/>
          <w:color w:val="000000" w:themeColor="text1"/>
          <w:sz w:val="18"/>
          <w:szCs w:val="18"/>
        </w:rPr>
        <w:t xml:space="preserve"> – deklarowana,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xml:space="preserve">. – wskaźnik, </w:t>
      </w:r>
      <w:proofErr w:type="spellStart"/>
      <w:r w:rsidRPr="007B192E">
        <w:rPr>
          <w:rFonts w:cs="Arial"/>
          <w:color w:val="000000" w:themeColor="text1"/>
          <w:sz w:val="18"/>
          <w:szCs w:val="18"/>
        </w:rPr>
        <w:t>wsp</w:t>
      </w:r>
      <w:proofErr w:type="spellEnd"/>
      <w:r w:rsidRPr="007B192E">
        <w:rPr>
          <w:rFonts w:cs="Arial"/>
          <w:color w:val="000000" w:themeColor="text1"/>
          <w:sz w:val="18"/>
          <w:szCs w:val="18"/>
        </w:rPr>
        <w:t xml:space="preserve">. – współczynnik,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-rozdział</w:t>
      </w:r>
    </w:p>
    <w:p w14:paraId="1FA31620" w14:textId="77777777" w:rsidR="00F45500" w:rsidRPr="007B192E" w:rsidRDefault="00F45500" w:rsidP="00F45500">
      <w:pPr>
        <w:pStyle w:val="Bezodstpw"/>
        <w:jc w:val="both"/>
        <w:rPr>
          <w:rFonts w:cs="Arial"/>
          <w:color w:val="000000" w:themeColor="text1"/>
          <w:sz w:val="18"/>
          <w:szCs w:val="18"/>
        </w:rPr>
      </w:pPr>
    </w:p>
    <w:tbl>
      <w:tblPr>
        <w:tblW w:w="92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1276"/>
        <w:gridCol w:w="709"/>
        <w:gridCol w:w="2213"/>
        <w:gridCol w:w="55"/>
        <w:gridCol w:w="157"/>
        <w:gridCol w:w="2426"/>
      </w:tblGrid>
      <w:tr w:rsidR="004D7D23" w:rsidRPr="007B192E" w14:paraId="052717C6" w14:textId="77777777" w:rsidTr="008F7A94">
        <w:trPr>
          <w:jc w:val="center"/>
        </w:trPr>
        <w:tc>
          <w:tcPr>
            <w:tcW w:w="2376" w:type="dxa"/>
            <w:vMerge w:val="restart"/>
            <w:vAlign w:val="center"/>
          </w:tcPr>
          <w:p w14:paraId="4E9479F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Właściwość</w:t>
            </w:r>
          </w:p>
          <w:p w14:paraId="3117658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kruszywa</w:t>
            </w:r>
          </w:p>
        </w:tc>
        <w:tc>
          <w:tcPr>
            <w:tcW w:w="1276" w:type="dxa"/>
            <w:vMerge w:val="restart"/>
            <w:vAlign w:val="center"/>
          </w:tcPr>
          <w:p w14:paraId="699F98E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Metoda</w:t>
            </w:r>
          </w:p>
          <w:p w14:paraId="2AB8D49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badania</w:t>
            </w:r>
          </w:p>
          <w:p w14:paraId="0FC0916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wg</w:t>
            </w:r>
          </w:p>
        </w:tc>
        <w:tc>
          <w:tcPr>
            <w:tcW w:w="5560" w:type="dxa"/>
            <w:gridSpan w:val="5"/>
          </w:tcPr>
          <w:p w14:paraId="6997E40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Wymagania wg WT-5, pkt 1.1.1 [ 25] i PN-EN 13242 [19]</w:t>
            </w:r>
          </w:p>
          <w:p w14:paraId="0312D94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dla ruchu kategorii KR1 ÷ KR6</w:t>
            </w:r>
          </w:p>
        </w:tc>
      </w:tr>
      <w:tr w:rsidR="004D7D23" w:rsidRPr="007B192E" w14:paraId="400EB06C" w14:textId="77777777" w:rsidTr="008F7A94">
        <w:trPr>
          <w:jc w:val="center"/>
        </w:trPr>
        <w:tc>
          <w:tcPr>
            <w:tcW w:w="2376" w:type="dxa"/>
            <w:vMerge/>
          </w:tcPr>
          <w:p w14:paraId="47C7AE45" w14:textId="77777777" w:rsidR="00F45500" w:rsidRPr="007B192E" w:rsidRDefault="00F45500" w:rsidP="008F7A94">
            <w:pPr>
              <w:pStyle w:val="Bezodstpw"/>
              <w:rPr>
                <w:rFonts w:cs="Arial"/>
                <w:color w:val="000000" w:themeColor="text1"/>
                <w:sz w:val="18"/>
                <w:szCs w:val="18"/>
              </w:rPr>
            </w:pPr>
          </w:p>
        </w:tc>
        <w:tc>
          <w:tcPr>
            <w:tcW w:w="1276" w:type="dxa"/>
            <w:vMerge/>
          </w:tcPr>
          <w:p w14:paraId="52756566" w14:textId="77777777" w:rsidR="00F45500" w:rsidRPr="007B192E" w:rsidRDefault="00F45500" w:rsidP="008F7A94">
            <w:pPr>
              <w:pStyle w:val="Bezodstpw"/>
              <w:rPr>
                <w:rFonts w:cs="Arial"/>
                <w:color w:val="000000" w:themeColor="text1"/>
                <w:sz w:val="18"/>
                <w:szCs w:val="18"/>
              </w:rPr>
            </w:pPr>
          </w:p>
        </w:tc>
        <w:tc>
          <w:tcPr>
            <w:tcW w:w="709" w:type="dxa"/>
            <w:vMerge w:val="restart"/>
            <w:vAlign w:val="center"/>
          </w:tcPr>
          <w:p w14:paraId="7CBFCA8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Punkt</w:t>
            </w:r>
          </w:p>
          <w:p w14:paraId="64C97A0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205B486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13242</w:t>
            </w:r>
          </w:p>
        </w:tc>
        <w:tc>
          <w:tcPr>
            <w:tcW w:w="4851" w:type="dxa"/>
            <w:gridSpan w:val="4"/>
          </w:tcPr>
          <w:p w14:paraId="68F5FD9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dla kruszywa związanego cementem w warstwie</w:t>
            </w:r>
          </w:p>
        </w:tc>
      </w:tr>
      <w:tr w:rsidR="004D7D23" w:rsidRPr="007B192E" w14:paraId="14B602CC" w14:textId="77777777" w:rsidTr="008F7A94">
        <w:trPr>
          <w:jc w:val="center"/>
        </w:trPr>
        <w:tc>
          <w:tcPr>
            <w:tcW w:w="2376" w:type="dxa"/>
            <w:vMerge/>
          </w:tcPr>
          <w:p w14:paraId="0E92F0E9" w14:textId="77777777" w:rsidR="00F45500" w:rsidRPr="007B192E" w:rsidRDefault="00F45500" w:rsidP="008F7A94">
            <w:pPr>
              <w:pStyle w:val="Bezodstpw"/>
              <w:rPr>
                <w:rFonts w:cs="Arial"/>
                <w:color w:val="000000" w:themeColor="text1"/>
                <w:sz w:val="18"/>
                <w:szCs w:val="18"/>
              </w:rPr>
            </w:pPr>
          </w:p>
        </w:tc>
        <w:tc>
          <w:tcPr>
            <w:tcW w:w="1276" w:type="dxa"/>
            <w:vMerge/>
          </w:tcPr>
          <w:p w14:paraId="3630CDAC" w14:textId="77777777" w:rsidR="00F45500" w:rsidRPr="007B192E" w:rsidRDefault="00F45500" w:rsidP="008F7A94">
            <w:pPr>
              <w:pStyle w:val="Bezodstpw"/>
              <w:rPr>
                <w:rFonts w:cs="Arial"/>
                <w:color w:val="000000" w:themeColor="text1"/>
                <w:sz w:val="18"/>
                <w:szCs w:val="18"/>
              </w:rPr>
            </w:pPr>
          </w:p>
        </w:tc>
        <w:tc>
          <w:tcPr>
            <w:tcW w:w="709" w:type="dxa"/>
            <w:vMerge/>
          </w:tcPr>
          <w:p w14:paraId="094F0DB7" w14:textId="77777777" w:rsidR="00F45500" w:rsidRPr="007B192E" w:rsidRDefault="00F45500" w:rsidP="008F7A94">
            <w:pPr>
              <w:pStyle w:val="Bezodstpw"/>
              <w:rPr>
                <w:rFonts w:cs="Arial"/>
                <w:color w:val="000000" w:themeColor="text1"/>
                <w:sz w:val="18"/>
                <w:szCs w:val="18"/>
              </w:rPr>
            </w:pPr>
          </w:p>
        </w:tc>
        <w:tc>
          <w:tcPr>
            <w:tcW w:w="2268" w:type="dxa"/>
            <w:gridSpan w:val="2"/>
          </w:tcPr>
          <w:p w14:paraId="38CDCAD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podłoża ulepszonego i podbudowy pomocniczej</w:t>
            </w:r>
          </w:p>
        </w:tc>
        <w:tc>
          <w:tcPr>
            <w:tcW w:w="2583" w:type="dxa"/>
            <w:gridSpan w:val="2"/>
            <w:vAlign w:val="center"/>
          </w:tcPr>
          <w:p w14:paraId="49EC98F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podbudowy zasadniczej</w:t>
            </w:r>
          </w:p>
        </w:tc>
      </w:tr>
      <w:tr w:rsidR="004D7D23" w:rsidRPr="007B192E" w14:paraId="0A832C85" w14:textId="77777777" w:rsidTr="008F7A94">
        <w:trPr>
          <w:jc w:val="center"/>
        </w:trPr>
        <w:tc>
          <w:tcPr>
            <w:tcW w:w="2376" w:type="dxa"/>
          </w:tcPr>
          <w:p w14:paraId="2595FA4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Frakcje/zestaw sit #</w:t>
            </w:r>
          </w:p>
        </w:tc>
        <w:tc>
          <w:tcPr>
            <w:tcW w:w="1276" w:type="dxa"/>
          </w:tcPr>
          <w:p w14:paraId="05AED85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t>
            </w:r>
          </w:p>
        </w:tc>
        <w:tc>
          <w:tcPr>
            <w:tcW w:w="709" w:type="dxa"/>
          </w:tcPr>
          <w:p w14:paraId="1FAE996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4.1</w:t>
            </w:r>
          </w:p>
        </w:tc>
        <w:tc>
          <w:tcPr>
            <w:tcW w:w="4851" w:type="dxa"/>
            <w:gridSpan w:val="4"/>
          </w:tcPr>
          <w:p w14:paraId="08402B2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Zestaw sit podstawowy plus zestaw 1.</w:t>
            </w:r>
          </w:p>
          <w:p w14:paraId="20C396F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Wszystkie frakcje dozwolone</w:t>
            </w:r>
          </w:p>
        </w:tc>
      </w:tr>
      <w:tr w:rsidR="004D7D23" w:rsidRPr="007B192E" w14:paraId="1FC8D236" w14:textId="77777777" w:rsidTr="008F7A94">
        <w:trPr>
          <w:jc w:val="center"/>
        </w:trPr>
        <w:tc>
          <w:tcPr>
            <w:tcW w:w="2376" w:type="dxa"/>
          </w:tcPr>
          <w:p w14:paraId="654F92E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Uziarnienie</w:t>
            </w:r>
          </w:p>
        </w:tc>
        <w:tc>
          <w:tcPr>
            <w:tcW w:w="1276" w:type="dxa"/>
          </w:tcPr>
          <w:p w14:paraId="38C4792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6469561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[6]</w:t>
            </w:r>
          </w:p>
          <w:p w14:paraId="38197B2A" w14:textId="77777777" w:rsidR="00F45500" w:rsidRPr="007B192E" w:rsidRDefault="00F45500" w:rsidP="008F7A94">
            <w:pPr>
              <w:pStyle w:val="Bezodstpw"/>
              <w:rPr>
                <w:rFonts w:cs="Arial"/>
                <w:color w:val="000000" w:themeColor="text1"/>
                <w:sz w:val="18"/>
                <w:szCs w:val="18"/>
              </w:rPr>
            </w:pPr>
          </w:p>
        </w:tc>
        <w:tc>
          <w:tcPr>
            <w:tcW w:w="709" w:type="dxa"/>
          </w:tcPr>
          <w:p w14:paraId="4496D1E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4.3.1</w:t>
            </w:r>
          </w:p>
        </w:tc>
        <w:tc>
          <w:tcPr>
            <w:tcW w:w="4851" w:type="dxa"/>
            <w:gridSpan w:val="4"/>
          </w:tcPr>
          <w:p w14:paraId="6900388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Kruszywo grube: kat. G</w:t>
            </w:r>
            <w:r w:rsidRPr="007B192E">
              <w:rPr>
                <w:rFonts w:cs="Arial"/>
                <w:color w:val="000000" w:themeColor="text1"/>
                <w:sz w:val="18"/>
                <w:szCs w:val="18"/>
                <w:vertAlign w:val="subscript"/>
              </w:rPr>
              <w:t>C</w:t>
            </w:r>
            <w:r w:rsidRPr="007B192E">
              <w:rPr>
                <w:rFonts w:cs="Arial"/>
                <w:color w:val="000000" w:themeColor="text1"/>
                <w:sz w:val="18"/>
                <w:szCs w:val="18"/>
              </w:rPr>
              <w:t>80/20,   kruszywo drobne: kat. G</w:t>
            </w:r>
            <w:r w:rsidRPr="007B192E">
              <w:rPr>
                <w:rFonts w:cs="Arial"/>
                <w:color w:val="000000" w:themeColor="text1"/>
                <w:sz w:val="18"/>
                <w:szCs w:val="18"/>
                <w:vertAlign w:val="subscript"/>
              </w:rPr>
              <w:t>F</w:t>
            </w:r>
            <w:r w:rsidRPr="007B192E">
              <w:rPr>
                <w:rFonts w:cs="Arial"/>
                <w:color w:val="000000" w:themeColor="text1"/>
                <w:sz w:val="18"/>
                <w:szCs w:val="18"/>
              </w:rPr>
              <w:t>80,   kruszywo o ciągłym uziarnieniu: kat. G</w:t>
            </w:r>
            <w:r w:rsidRPr="007B192E">
              <w:rPr>
                <w:rFonts w:cs="Arial"/>
                <w:color w:val="000000" w:themeColor="text1"/>
                <w:sz w:val="18"/>
                <w:szCs w:val="18"/>
                <w:vertAlign w:val="subscript"/>
              </w:rPr>
              <w:t>A</w:t>
            </w:r>
            <w:r w:rsidRPr="007B192E">
              <w:rPr>
                <w:rFonts w:cs="Arial"/>
                <w:color w:val="000000" w:themeColor="text1"/>
                <w:sz w:val="18"/>
                <w:szCs w:val="18"/>
              </w:rPr>
              <w:t>75.</w:t>
            </w:r>
          </w:p>
          <w:p w14:paraId="48848AA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Uziarnienie mieszanek kruszywa wg rysunków 1÷5</w:t>
            </w:r>
          </w:p>
        </w:tc>
      </w:tr>
      <w:tr w:rsidR="004D7D23" w:rsidRPr="007B192E" w14:paraId="10C8167D" w14:textId="77777777" w:rsidTr="008F7A94">
        <w:trPr>
          <w:jc w:val="center"/>
        </w:trPr>
        <w:tc>
          <w:tcPr>
            <w:tcW w:w="2376" w:type="dxa"/>
          </w:tcPr>
          <w:p w14:paraId="7635206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Ogólne granice i tolerancje uziarnienia kruszywa grube-</w:t>
            </w:r>
            <w:r w:rsidRPr="007B192E">
              <w:rPr>
                <w:rFonts w:cs="Arial"/>
                <w:color w:val="000000" w:themeColor="text1"/>
                <w:sz w:val="18"/>
                <w:szCs w:val="18"/>
              </w:rPr>
              <w:br/>
              <w:t>go na sitach pośrednich</w:t>
            </w:r>
          </w:p>
        </w:tc>
        <w:tc>
          <w:tcPr>
            <w:tcW w:w="1276" w:type="dxa"/>
          </w:tcPr>
          <w:p w14:paraId="6F2917D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16854A4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[6]</w:t>
            </w:r>
          </w:p>
          <w:p w14:paraId="127F93A3" w14:textId="77777777" w:rsidR="00F45500" w:rsidRPr="007B192E" w:rsidRDefault="00F45500" w:rsidP="008F7A94">
            <w:pPr>
              <w:pStyle w:val="Bezodstpw"/>
              <w:rPr>
                <w:rFonts w:cs="Arial"/>
                <w:color w:val="000000" w:themeColor="text1"/>
                <w:sz w:val="18"/>
                <w:szCs w:val="18"/>
              </w:rPr>
            </w:pPr>
          </w:p>
        </w:tc>
        <w:tc>
          <w:tcPr>
            <w:tcW w:w="709" w:type="dxa"/>
          </w:tcPr>
          <w:p w14:paraId="434F81C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4.3.2</w:t>
            </w:r>
          </w:p>
        </w:tc>
        <w:tc>
          <w:tcPr>
            <w:tcW w:w="4851" w:type="dxa"/>
            <w:gridSpan w:val="4"/>
          </w:tcPr>
          <w:p w14:paraId="5C324D3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GT</w:t>
            </w:r>
            <w:r w:rsidRPr="007B192E">
              <w:rPr>
                <w:rFonts w:cs="Arial"/>
                <w:color w:val="000000" w:themeColor="text1"/>
                <w:sz w:val="18"/>
                <w:szCs w:val="18"/>
                <w:vertAlign w:val="subscript"/>
              </w:rPr>
              <w:t>C</w:t>
            </w:r>
            <w:r w:rsidRPr="007B192E">
              <w:rPr>
                <w:rFonts w:cs="Arial"/>
                <w:color w:val="000000" w:themeColor="text1"/>
                <w:sz w:val="18"/>
                <w:szCs w:val="18"/>
              </w:rPr>
              <w:t>NR (tj. brak wymagania)</w:t>
            </w:r>
          </w:p>
        </w:tc>
      </w:tr>
      <w:tr w:rsidR="004D7D23" w:rsidRPr="007B192E" w14:paraId="395DA490" w14:textId="77777777" w:rsidTr="008F7A94">
        <w:trPr>
          <w:jc w:val="center"/>
        </w:trPr>
        <w:tc>
          <w:tcPr>
            <w:tcW w:w="2376" w:type="dxa"/>
          </w:tcPr>
          <w:p w14:paraId="67136A0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Tolerancje typowego </w:t>
            </w:r>
            <w:r w:rsidRPr="007B192E">
              <w:rPr>
                <w:rFonts w:cs="Arial"/>
                <w:color w:val="000000" w:themeColor="text1"/>
                <w:sz w:val="18"/>
                <w:szCs w:val="18"/>
              </w:rPr>
              <w:lastRenderedPageBreak/>
              <w:t>uziarnienia kruszywa drobnego i kruszywa o ciągłym uziarnieniu</w:t>
            </w:r>
          </w:p>
        </w:tc>
        <w:tc>
          <w:tcPr>
            <w:tcW w:w="1276" w:type="dxa"/>
          </w:tcPr>
          <w:p w14:paraId="6ED7D70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PN-EN</w:t>
            </w:r>
          </w:p>
          <w:p w14:paraId="6961EA4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933-1 [6]</w:t>
            </w:r>
          </w:p>
          <w:p w14:paraId="6C64CC67" w14:textId="77777777" w:rsidR="00F45500" w:rsidRPr="007B192E" w:rsidRDefault="00F45500" w:rsidP="008F7A94">
            <w:pPr>
              <w:pStyle w:val="Bezodstpw"/>
              <w:rPr>
                <w:rFonts w:cs="Arial"/>
                <w:color w:val="000000" w:themeColor="text1"/>
                <w:sz w:val="18"/>
                <w:szCs w:val="18"/>
              </w:rPr>
            </w:pPr>
          </w:p>
        </w:tc>
        <w:tc>
          <w:tcPr>
            <w:tcW w:w="709" w:type="dxa"/>
          </w:tcPr>
          <w:p w14:paraId="720270D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4.3.3</w:t>
            </w:r>
          </w:p>
        </w:tc>
        <w:tc>
          <w:tcPr>
            <w:tcW w:w="4851" w:type="dxa"/>
            <w:gridSpan w:val="4"/>
          </w:tcPr>
          <w:p w14:paraId="62B0F2C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Kruszywo drobne: kat. GT</w:t>
            </w:r>
            <w:r w:rsidRPr="007B192E">
              <w:rPr>
                <w:rFonts w:cs="Arial"/>
                <w:color w:val="000000" w:themeColor="text1"/>
                <w:sz w:val="18"/>
                <w:szCs w:val="18"/>
                <w:vertAlign w:val="subscript"/>
              </w:rPr>
              <w:t>F</w:t>
            </w:r>
            <w:r w:rsidRPr="007B192E">
              <w:rPr>
                <w:rFonts w:cs="Arial"/>
                <w:color w:val="000000" w:themeColor="text1"/>
                <w:sz w:val="18"/>
                <w:szCs w:val="18"/>
              </w:rPr>
              <w:t xml:space="preserve">NR (tj. brak wymagania), </w:t>
            </w:r>
            <w:r w:rsidRPr="007B192E">
              <w:rPr>
                <w:rFonts w:cs="Arial"/>
                <w:color w:val="000000" w:themeColor="text1"/>
                <w:sz w:val="18"/>
                <w:szCs w:val="18"/>
              </w:rPr>
              <w:lastRenderedPageBreak/>
              <w:t>kruszywo o ciągłym uziarnieniu: kat. GT</w:t>
            </w:r>
            <w:r w:rsidRPr="007B192E">
              <w:rPr>
                <w:rFonts w:cs="Arial"/>
                <w:color w:val="000000" w:themeColor="text1"/>
                <w:sz w:val="18"/>
                <w:szCs w:val="18"/>
                <w:vertAlign w:val="subscript"/>
              </w:rPr>
              <w:t>A</w:t>
            </w:r>
            <w:r w:rsidRPr="007B192E">
              <w:rPr>
                <w:rFonts w:cs="Arial"/>
                <w:color w:val="000000" w:themeColor="text1"/>
                <w:sz w:val="18"/>
                <w:szCs w:val="18"/>
              </w:rPr>
              <w:t>NR (tj. brak wymagania)</w:t>
            </w:r>
          </w:p>
        </w:tc>
      </w:tr>
      <w:tr w:rsidR="004D7D23" w:rsidRPr="007B192E" w14:paraId="749D3C1B" w14:textId="77777777" w:rsidTr="008F7A94">
        <w:trPr>
          <w:trHeight w:val="671"/>
          <w:jc w:val="center"/>
        </w:trPr>
        <w:tc>
          <w:tcPr>
            <w:tcW w:w="2376" w:type="dxa"/>
          </w:tcPr>
          <w:p w14:paraId="587F08F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Kształt kruszywa grubego – maksymalne warunki wskaźnika płaskości</w:t>
            </w:r>
          </w:p>
        </w:tc>
        <w:tc>
          <w:tcPr>
            <w:tcW w:w="1276" w:type="dxa"/>
          </w:tcPr>
          <w:p w14:paraId="1C87F81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2744AC8C" w14:textId="77777777" w:rsidR="00F45500" w:rsidRPr="007B192E" w:rsidRDefault="00F45500" w:rsidP="008F7A94">
            <w:pPr>
              <w:pStyle w:val="Bezodstpw"/>
              <w:rPr>
                <w:rFonts w:cs="Arial"/>
                <w:color w:val="000000" w:themeColor="text1"/>
                <w:sz w:val="18"/>
                <w:szCs w:val="18"/>
                <w:vertAlign w:val="superscript"/>
              </w:rPr>
            </w:pPr>
            <w:r w:rsidRPr="007B192E">
              <w:rPr>
                <w:rFonts w:cs="Arial"/>
                <w:color w:val="000000" w:themeColor="text1"/>
                <w:sz w:val="18"/>
                <w:szCs w:val="18"/>
              </w:rPr>
              <w:t>933-3</w:t>
            </w:r>
            <w:r w:rsidRPr="007B192E">
              <w:rPr>
                <w:rFonts w:cs="Arial"/>
                <w:color w:val="000000" w:themeColor="text1"/>
                <w:sz w:val="18"/>
                <w:szCs w:val="18"/>
                <w:vertAlign w:val="superscript"/>
              </w:rPr>
              <w:t>*)</w:t>
            </w:r>
            <w:r w:rsidRPr="007B192E">
              <w:rPr>
                <w:rFonts w:cs="Arial"/>
                <w:color w:val="000000" w:themeColor="text1"/>
                <w:sz w:val="18"/>
                <w:szCs w:val="18"/>
              </w:rPr>
              <w:t xml:space="preserve">  [7]</w:t>
            </w:r>
          </w:p>
        </w:tc>
        <w:tc>
          <w:tcPr>
            <w:tcW w:w="709" w:type="dxa"/>
          </w:tcPr>
          <w:p w14:paraId="109C40D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w:t>
            </w:r>
          </w:p>
        </w:tc>
        <w:tc>
          <w:tcPr>
            <w:tcW w:w="2268" w:type="dxa"/>
            <w:gridSpan w:val="2"/>
          </w:tcPr>
          <w:p w14:paraId="556F501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FI</w:t>
            </w:r>
            <w:r w:rsidRPr="007B192E">
              <w:rPr>
                <w:rFonts w:cs="Arial"/>
                <w:color w:val="000000" w:themeColor="text1"/>
                <w:sz w:val="18"/>
                <w:szCs w:val="18"/>
                <w:vertAlign w:val="subscript"/>
              </w:rPr>
              <w:t>Dekl</w:t>
            </w:r>
            <w:proofErr w:type="spellEnd"/>
            <w:r w:rsidRPr="007B192E">
              <w:rPr>
                <w:rFonts w:cs="Arial"/>
                <w:color w:val="000000" w:themeColor="text1"/>
                <w:sz w:val="18"/>
                <w:szCs w:val="18"/>
                <w:vertAlign w:val="subscript"/>
              </w:rPr>
              <w:t xml:space="preserve"> </w:t>
            </w:r>
            <w:r w:rsidRPr="007B192E">
              <w:rPr>
                <w:rFonts w:cs="Arial"/>
                <w:color w:val="000000" w:themeColor="text1"/>
                <w:sz w:val="18"/>
                <w:szCs w:val="18"/>
              </w:rPr>
              <w:t xml:space="preserve">(tj.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płasko-</w:t>
            </w:r>
            <w:r w:rsidRPr="007B192E">
              <w:rPr>
                <w:rFonts w:cs="Arial"/>
                <w:color w:val="000000" w:themeColor="text1"/>
                <w:sz w:val="18"/>
                <w:szCs w:val="18"/>
              </w:rPr>
              <w:br/>
            </w:r>
            <w:proofErr w:type="spellStart"/>
            <w:r w:rsidRPr="007B192E">
              <w:rPr>
                <w:rFonts w:cs="Arial"/>
                <w:color w:val="000000" w:themeColor="text1"/>
                <w:sz w:val="18"/>
                <w:szCs w:val="18"/>
              </w:rPr>
              <w:t>ści</w:t>
            </w:r>
            <w:proofErr w:type="spellEnd"/>
            <w:r w:rsidRPr="007B192E">
              <w:rPr>
                <w:rFonts w:cs="Arial"/>
                <w:color w:val="000000" w:themeColor="text1"/>
                <w:sz w:val="18"/>
                <w:szCs w:val="18"/>
              </w:rPr>
              <w:t xml:space="preserve"> &gt; 50)</w:t>
            </w:r>
          </w:p>
        </w:tc>
        <w:tc>
          <w:tcPr>
            <w:tcW w:w="2583" w:type="dxa"/>
            <w:gridSpan w:val="2"/>
          </w:tcPr>
          <w:p w14:paraId="2A615F9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FI</w:t>
            </w:r>
            <w:r w:rsidRPr="007B192E">
              <w:rPr>
                <w:rFonts w:cs="Arial"/>
                <w:color w:val="000000" w:themeColor="text1"/>
                <w:sz w:val="18"/>
                <w:szCs w:val="18"/>
                <w:vertAlign w:val="subscript"/>
              </w:rPr>
              <w:t>50</w:t>
            </w:r>
            <w:r w:rsidRPr="007B192E">
              <w:rPr>
                <w:rFonts w:cs="Arial"/>
                <w:color w:val="000000" w:themeColor="text1"/>
                <w:sz w:val="18"/>
                <w:szCs w:val="18"/>
              </w:rPr>
              <w:t xml:space="preserve"> (tj.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płaskości             ≤ 50)</w:t>
            </w:r>
          </w:p>
        </w:tc>
      </w:tr>
      <w:tr w:rsidR="004D7D23" w:rsidRPr="007B192E" w14:paraId="2CC944C0" w14:textId="77777777" w:rsidTr="008F7A94">
        <w:trPr>
          <w:jc w:val="center"/>
        </w:trPr>
        <w:tc>
          <w:tcPr>
            <w:tcW w:w="2376" w:type="dxa"/>
          </w:tcPr>
          <w:p w14:paraId="4F17DB9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Kształt kruszywa grubego – maksymalne wartości wskaźnika kształtu</w:t>
            </w:r>
          </w:p>
        </w:tc>
        <w:tc>
          <w:tcPr>
            <w:tcW w:w="1276" w:type="dxa"/>
          </w:tcPr>
          <w:p w14:paraId="6150B6A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707B18D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933-4</w:t>
            </w:r>
            <w:r w:rsidRPr="007B192E">
              <w:rPr>
                <w:rFonts w:cs="Arial"/>
                <w:color w:val="000000" w:themeColor="text1"/>
                <w:sz w:val="18"/>
                <w:szCs w:val="18"/>
                <w:vertAlign w:val="superscript"/>
              </w:rPr>
              <w:t>*)</w:t>
            </w:r>
            <w:r w:rsidRPr="007B192E">
              <w:rPr>
                <w:rFonts w:cs="Arial"/>
                <w:color w:val="000000" w:themeColor="text1"/>
                <w:sz w:val="18"/>
                <w:szCs w:val="18"/>
              </w:rPr>
              <w:t xml:space="preserve">  [8]</w:t>
            </w:r>
          </w:p>
        </w:tc>
        <w:tc>
          <w:tcPr>
            <w:tcW w:w="709" w:type="dxa"/>
          </w:tcPr>
          <w:p w14:paraId="3D753F4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4.4</w:t>
            </w:r>
          </w:p>
        </w:tc>
        <w:tc>
          <w:tcPr>
            <w:tcW w:w="2268" w:type="dxa"/>
            <w:gridSpan w:val="2"/>
          </w:tcPr>
          <w:p w14:paraId="5609902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SI</w:t>
            </w:r>
            <w:r w:rsidRPr="007B192E">
              <w:rPr>
                <w:rFonts w:cs="Arial"/>
                <w:color w:val="000000" w:themeColor="text1"/>
                <w:sz w:val="18"/>
                <w:szCs w:val="18"/>
                <w:vertAlign w:val="subscript"/>
              </w:rPr>
              <w:t>Dekl</w:t>
            </w:r>
            <w:proofErr w:type="spellEnd"/>
            <w:r w:rsidRPr="007B192E">
              <w:rPr>
                <w:rFonts w:cs="Arial"/>
                <w:color w:val="000000" w:themeColor="text1"/>
                <w:sz w:val="18"/>
                <w:szCs w:val="18"/>
                <w:vertAlign w:val="subscript"/>
              </w:rPr>
              <w:t xml:space="preserve"> </w:t>
            </w:r>
            <w:r w:rsidRPr="007B192E">
              <w:rPr>
                <w:rFonts w:cs="Arial"/>
                <w:color w:val="000000" w:themeColor="text1"/>
                <w:sz w:val="18"/>
                <w:szCs w:val="18"/>
              </w:rPr>
              <w:t xml:space="preserve">(tj.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kształtu &gt;55)</w:t>
            </w:r>
          </w:p>
        </w:tc>
        <w:tc>
          <w:tcPr>
            <w:tcW w:w="2583" w:type="dxa"/>
            <w:gridSpan w:val="2"/>
          </w:tcPr>
          <w:p w14:paraId="47EB668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SI</w:t>
            </w:r>
            <w:r w:rsidRPr="007B192E">
              <w:rPr>
                <w:rFonts w:cs="Arial"/>
                <w:color w:val="000000" w:themeColor="text1"/>
                <w:sz w:val="18"/>
                <w:szCs w:val="18"/>
                <w:vertAlign w:val="subscript"/>
              </w:rPr>
              <w:t>50</w:t>
            </w:r>
            <w:r w:rsidRPr="007B192E">
              <w:rPr>
                <w:rFonts w:cs="Arial"/>
                <w:color w:val="000000" w:themeColor="text1"/>
                <w:sz w:val="18"/>
                <w:szCs w:val="18"/>
              </w:rPr>
              <w:t xml:space="preserve"> (tj. </w:t>
            </w:r>
            <w:proofErr w:type="spellStart"/>
            <w:r w:rsidRPr="007B192E">
              <w:rPr>
                <w:rFonts w:cs="Arial"/>
                <w:color w:val="000000" w:themeColor="text1"/>
                <w:sz w:val="18"/>
                <w:szCs w:val="18"/>
              </w:rPr>
              <w:t>wsk</w:t>
            </w:r>
            <w:proofErr w:type="spellEnd"/>
            <w:r w:rsidRPr="007B192E">
              <w:rPr>
                <w:rFonts w:cs="Arial"/>
                <w:color w:val="000000" w:themeColor="text1"/>
                <w:sz w:val="18"/>
                <w:szCs w:val="18"/>
              </w:rPr>
              <w:t>. kształtu ≤ 55)</w:t>
            </w:r>
          </w:p>
        </w:tc>
      </w:tr>
      <w:tr w:rsidR="004D7D23" w:rsidRPr="007B192E" w14:paraId="7FDC5620" w14:textId="77777777" w:rsidTr="008F7A94">
        <w:trPr>
          <w:jc w:val="center"/>
        </w:trPr>
        <w:tc>
          <w:tcPr>
            <w:tcW w:w="2376" w:type="dxa"/>
          </w:tcPr>
          <w:p w14:paraId="405F4F5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Kategorie procentowych zawartości ziaren o powierzchniach </w:t>
            </w:r>
            <w:proofErr w:type="spellStart"/>
            <w:r w:rsidRPr="007B192E">
              <w:rPr>
                <w:rFonts w:cs="Arial"/>
                <w:color w:val="000000" w:themeColor="text1"/>
                <w:sz w:val="18"/>
                <w:szCs w:val="18"/>
              </w:rPr>
              <w:t>przekruszonych</w:t>
            </w:r>
            <w:proofErr w:type="spellEnd"/>
            <w:r w:rsidRPr="007B192E">
              <w:rPr>
                <w:rFonts w:cs="Arial"/>
                <w:color w:val="000000" w:themeColor="text1"/>
                <w:sz w:val="18"/>
                <w:szCs w:val="18"/>
              </w:rPr>
              <w:t xml:space="preserve"> lub łamanych oraz ziaren całkowicie zaokrąglonych w kruszywie grubym</w:t>
            </w:r>
          </w:p>
        </w:tc>
        <w:tc>
          <w:tcPr>
            <w:tcW w:w="1276" w:type="dxa"/>
          </w:tcPr>
          <w:p w14:paraId="2372C0E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045F15A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933-5    [9]</w:t>
            </w:r>
          </w:p>
        </w:tc>
        <w:tc>
          <w:tcPr>
            <w:tcW w:w="709" w:type="dxa"/>
          </w:tcPr>
          <w:p w14:paraId="4ECEF9F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4.5</w:t>
            </w:r>
          </w:p>
        </w:tc>
        <w:tc>
          <w:tcPr>
            <w:tcW w:w="4851" w:type="dxa"/>
            <w:gridSpan w:val="4"/>
          </w:tcPr>
          <w:p w14:paraId="755959F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C</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wymagania)</w:t>
            </w:r>
          </w:p>
        </w:tc>
      </w:tr>
      <w:tr w:rsidR="004D7D23" w:rsidRPr="007B192E" w14:paraId="55EC6C5D" w14:textId="77777777" w:rsidTr="008F7A94">
        <w:trPr>
          <w:jc w:val="center"/>
        </w:trPr>
        <w:tc>
          <w:tcPr>
            <w:tcW w:w="2376" w:type="dxa"/>
          </w:tcPr>
          <w:p w14:paraId="42E1194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Zawartość pyłów</w:t>
            </w:r>
            <w:r w:rsidRPr="007B192E">
              <w:rPr>
                <w:rFonts w:cs="Arial"/>
                <w:color w:val="000000" w:themeColor="text1"/>
                <w:sz w:val="18"/>
                <w:szCs w:val="18"/>
                <w:vertAlign w:val="superscript"/>
              </w:rPr>
              <w:t>**)</w:t>
            </w:r>
            <w:r w:rsidRPr="007B192E">
              <w:rPr>
                <w:rFonts w:cs="Arial"/>
                <w:color w:val="000000" w:themeColor="text1"/>
                <w:sz w:val="18"/>
                <w:szCs w:val="18"/>
              </w:rPr>
              <w:t xml:space="preserve"> w kruszywie grubym</w:t>
            </w:r>
          </w:p>
        </w:tc>
        <w:tc>
          <w:tcPr>
            <w:tcW w:w="1276" w:type="dxa"/>
          </w:tcPr>
          <w:p w14:paraId="5093011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329EDDA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[6]</w:t>
            </w:r>
          </w:p>
        </w:tc>
        <w:tc>
          <w:tcPr>
            <w:tcW w:w="709" w:type="dxa"/>
          </w:tcPr>
          <w:p w14:paraId="13AB006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4.6</w:t>
            </w:r>
          </w:p>
        </w:tc>
        <w:tc>
          <w:tcPr>
            <w:tcW w:w="4851" w:type="dxa"/>
            <w:gridSpan w:val="4"/>
          </w:tcPr>
          <w:p w14:paraId="223B3EF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w:t>
            </w:r>
            <w:r w:rsidRPr="007B192E">
              <w:rPr>
                <w:rFonts w:cs="Arial"/>
                <w:color w:val="000000" w:themeColor="text1"/>
                <w:sz w:val="18"/>
                <w:szCs w:val="18"/>
                <w:vertAlign w:val="subscript"/>
              </w:rPr>
              <w:t>Dekl</w:t>
            </w:r>
            <w:proofErr w:type="spellEnd"/>
            <w:r w:rsidRPr="007B192E">
              <w:rPr>
                <w:rFonts w:cs="Arial"/>
                <w:color w:val="000000" w:themeColor="text1"/>
                <w:sz w:val="18"/>
                <w:szCs w:val="18"/>
              </w:rPr>
              <w:t xml:space="preserve">  (tj. masa frakcji przechodzącej przez sito 0,063 mm jest &gt; 4)</w:t>
            </w:r>
          </w:p>
        </w:tc>
      </w:tr>
      <w:tr w:rsidR="004D7D23" w:rsidRPr="007B192E" w14:paraId="7C05035A" w14:textId="77777777" w:rsidTr="008F7A94">
        <w:trPr>
          <w:jc w:val="center"/>
        </w:trPr>
        <w:tc>
          <w:tcPr>
            <w:tcW w:w="2376" w:type="dxa"/>
          </w:tcPr>
          <w:p w14:paraId="6A0620A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Zawartość pyłów</w:t>
            </w:r>
            <w:r w:rsidRPr="007B192E">
              <w:rPr>
                <w:rFonts w:cs="Arial"/>
                <w:color w:val="000000" w:themeColor="text1"/>
                <w:sz w:val="18"/>
                <w:szCs w:val="18"/>
                <w:vertAlign w:val="superscript"/>
              </w:rPr>
              <w:t xml:space="preserve">**)  </w:t>
            </w:r>
            <w:r w:rsidRPr="007B192E">
              <w:rPr>
                <w:rFonts w:cs="Arial"/>
                <w:color w:val="000000" w:themeColor="text1"/>
                <w:sz w:val="18"/>
                <w:szCs w:val="18"/>
              </w:rPr>
              <w:t xml:space="preserve"> w  kruszywie drobnym</w:t>
            </w:r>
          </w:p>
        </w:tc>
        <w:tc>
          <w:tcPr>
            <w:tcW w:w="1276" w:type="dxa"/>
          </w:tcPr>
          <w:p w14:paraId="08204E1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5A616A0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933-1 [6]</w:t>
            </w:r>
          </w:p>
        </w:tc>
        <w:tc>
          <w:tcPr>
            <w:tcW w:w="709" w:type="dxa"/>
          </w:tcPr>
          <w:p w14:paraId="662D70E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4.6</w:t>
            </w:r>
          </w:p>
        </w:tc>
        <w:tc>
          <w:tcPr>
            <w:tcW w:w="4851" w:type="dxa"/>
            <w:gridSpan w:val="4"/>
          </w:tcPr>
          <w:p w14:paraId="7851FA8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Kat. </w:t>
            </w:r>
            <w:proofErr w:type="spellStart"/>
            <w:r w:rsidRPr="007B192E">
              <w:rPr>
                <w:rFonts w:cs="Arial"/>
                <w:color w:val="000000" w:themeColor="text1"/>
                <w:sz w:val="18"/>
                <w:szCs w:val="18"/>
              </w:rPr>
              <w:t>f</w:t>
            </w:r>
            <w:r w:rsidRPr="007B192E">
              <w:rPr>
                <w:rFonts w:cs="Arial"/>
                <w:color w:val="000000" w:themeColor="text1"/>
                <w:sz w:val="18"/>
                <w:szCs w:val="18"/>
                <w:vertAlign w:val="subscript"/>
              </w:rPr>
              <w:t>Dekl</w:t>
            </w:r>
            <w:proofErr w:type="spellEnd"/>
            <w:r w:rsidRPr="007B192E">
              <w:rPr>
                <w:rFonts w:cs="Arial"/>
                <w:color w:val="000000" w:themeColor="text1"/>
                <w:sz w:val="18"/>
                <w:szCs w:val="18"/>
              </w:rPr>
              <w:t xml:space="preserve">  (tj. masa frakcji przechodzącej przez sito 0,063 mm jest &gt; 22)</w:t>
            </w:r>
          </w:p>
        </w:tc>
      </w:tr>
      <w:tr w:rsidR="004D7D23" w:rsidRPr="007B192E" w14:paraId="18C82441" w14:textId="77777777" w:rsidTr="008F7A94">
        <w:trPr>
          <w:jc w:val="center"/>
        </w:trPr>
        <w:tc>
          <w:tcPr>
            <w:tcW w:w="2376" w:type="dxa"/>
          </w:tcPr>
          <w:p w14:paraId="675E8CB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Jakość pyłów</w:t>
            </w:r>
          </w:p>
        </w:tc>
        <w:tc>
          <w:tcPr>
            <w:tcW w:w="1276" w:type="dxa"/>
          </w:tcPr>
          <w:p w14:paraId="3148BCB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t>
            </w:r>
          </w:p>
        </w:tc>
        <w:tc>
          <w:tcPr>
            <w:tcW w:w="709" w:type="dxa"/>
          </w:tcPr>
          <w:p w14:paraId="4E7CA4D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4.7</w:t>
            </w:r>
          </w:p>
        </w:tc>
        <w:tc>
          <w:tcPr>
            <w:tcW w:w="4851" w:type="dxa"/>
            <w:gridSpan w:val="4"/>
          </w:tcPr>
          <w:p w14:paraId="1ECC258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wymagań</w:t>
            </w:r>
          </w:p>
        </w:tc>
      </w:tr>
      <w:tr w:rsidR="004D7D23" w:rsidRPr="007B192E" w14:paraId="59EAC04A" w14:textId="77777777" w:rsidTr="008F7A94">
        <w:trPr>
          <w:jc w:val="center"/>
        </w:trPr>
        <w:tc>
          <w:tcPr>
            <w:tcW w:w="2376" w:type="dxa"/>
          </w:tcPr>
          <w:p w14:paraId="5123894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Odporność na rozdrabnianie kruszywa grubego</w:t>
            </w:r>
          </w:p>
        </w:tc>
        <w:tc>
          <w:tcPr>
            <w:tcW w:w="1276" w:type="dxa"/>
          </w:tcPr>
          <w:p w14:paraId="5B568DC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228A30D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1097-2 [13]</w:t>
            </w:r>
          </w:p>
        </w:tc>
        <w:tc>
          <w:tcPr>
            <w:tcW w:w="709" w:type="dxa"/>
          </w:tcPr>
          <w:p w14:paraId="2A7F586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5.2</w:t>
            </w:r>
          </w:p>
        </w:tc>
        <w:tc>
          <w:tcPr>
            <w:tcW w:w="2213" w:type="dxa"/>
          </w:tcPr>
          <w:p w14:paraId="726F5423" w14:textId="77777777" w:rsidR="00F45500" w:rsidRPr="007B192E" w:rsidRDefault="00F45500" w:rsidP="008F7A94">
            <w:pPr>
              <w:pStyle w:val="Bezodstpw"/>
              <w:rPr>
                <w:rFonts w:cs="Arial"/>
                <w:color w:val="000000" w:themeColor="text1"/>
                <w:sz w:val="18"/>
                <w:szCs w:val="18"/>
                <w:lang w:val="en-US"/>
              </w:rPr>
            </w:pPr>
            <w:r w:rsidRPr="007B192E">
              <w:rPr>
                <w:rFonts w:cs="Arial"/>
                <w:color w:val="000000" w:themeColor="text1"/>
                <w:sz w:val="18"/>
                <w:szCs w:val="18"/>
                <w:lang w:val="en-US"/>
              </w:rPr>
              <w:t>Kat. LA</w:t>
            </w:r>
            <w:r w:rsidRPr="007B192E">
              <w:rPr>
                <w:rFonts w:cs="Arial"/>
                <w:color w:val="000000" w:themeColor="text1"/>
                <w:sz w:val="18"/>
                <w:szCs w:val="18"/>
                <w:vertAlign w:val="subscript"/>
                <w:lang w:val="en-US"/>
              </w:rPr>
              <w:t>60</w:t>
            </w:r>
            <w:r w:rsidRPr="007B192E">
              <w:rPr>
                <w:rFonts w:cs="Arial"/>
                <w:color w:val="000000" w:themeColor="text1"/>
                <w:sz w:val="18"/>
                <w:szCs w:val="18"/>
                <w:lang w:val="en-US"/>
              </w:rPr>
              <w:t xml:space="preserve"> (</w:t>
            </w:r>
            <w:proofErr w:type="spellStart"/>
            <w:r w:rsidRPr="007B192E">
              <w:rPr>
                <w:rFonts w:cs="Arial"/>
                <w:color w:val="000000" w:themeColor="text1"/>
                <w:sz w:val="18"/>
                <w:szCs w:val="18"/>
                <w:lang w:val="en-US"/>
              </w:rPr>
              <w:t>tj</w:t>
            </w:r>
            <w:proofErr w:type="spellEnd"/>
            <w:r w:rsidRPr="007B192E">
              <w:rPr>
                <w:rFonts w:cs="Arial"/>
                <w:color w:val="000000" w:themeColor="text1"/>
                <w:sz w:val="18"/>
                <w:szCs w:val="18"/>
                <w:lang w:val="en-US"/>
              </w:rPr>
              <w:t xml:space="preserve">. </w:t>
            </w:r>
            <w:proofErr w:type="spellStart"/>
            <w:r w:rsidRPr="007B192E">
              <w:rPr>
                <w:rFonts w:cs="Arial"/>
                <w:color w:val="000000" w:themeColor="text1"/>
                <w:sz w:val="18"/>
                <w:szCs w:val="18"/>
                <w:lang w:val="en-US"/>
              </w:rPr>
              <w:t>wsp</w:t>
            </w:r>
            <w:proofErr w:type="spellEnd"/>
            <w:r w:rsidRPr="007B192E">
              <w:rPr>
                <w:rFonts w:cs="Arial"/>
                <w:color w:val="000000" w:themeColor="text1"/>
                <w:sz w:val="18"/>
                <w:szCs w:val="18"/>
                <w:lang w:val="en-US"/>
              </w:rPr>
              <w:t>. Los Angeles jest ≤ 60)</w:t>
            </w:r>
          </w:p>
        </w:tc>
        <w:tc>
          <w:tcPr>
            <w:tcW w:w="2638" w:type="dxa"/>
            <w:gridSpan w:val="3"/>
          </w:tcPr>
          <w:p w14:paraId="33FBB20F" w14:textId="77777777" w:rsidR="00F45500" w:rsidRPr="007B192E" w:rsidRDefault="00F45500" w:rsidP="008F7A94">
            <w:pPr>
              <w:pStyle w:val="Bezodstpw"/>
              <w:rPr>
                <w:rFonts w:cs="Arial"/>
                <w:color w:val="000000" w:themeColor="text1"/>
                <w:sz w:val="18"/>
                <w:szCs w:val="18"/>
                <w:lang w:val="en-US"/>
              </w:rPr>
            </w:pPr>
            <w:r w:rsidRPr="007B192E">
              <w:rPr>
                <w:rFonts w:cs="Arial"/>
                <w:color w:val="000000" w:themeColor="text1"/>
                <w:sz w:val="18"/>
                <w:szCs w:val="18"/>
                <w:lang w:val="en-US"/>
              </w:rPr>
              <w:t>Kat. LA</w:t>
            </w:r>
            <w:r w:rsidRPr="007B192E">
              <w:rPr>
                <w:rFonts w:cs="Arial"/>
                <w:color w:val="000000" w:themeColor="text1"/>
                <w:sz w:val="18"/>
                <w:szCs w:val="18"/>
                <w:vertAlign w:val="subscript"/>
                <w:lang w:val="en-US"/>
              </w:rPr>
              <w:t>50</w:t>
            </w:r>
            <w:r w:rsidRPr="007B192E">
              <w:rPr>
                <w:rFonts w:cs="Arial"/>
                <w:color w:val="000000" w:themeColor="text1"/>
                <w:sz w:val="18"/>
                <w:szCs w:val="18"/>
                <w:lang w:val="en-US"/>
              </w:rPr>
              <w:t xml:space="preserve"> (</w:t>
            </w:r>
            <w:proofErr w:type="spellStart"/>
            <w:r w:rsidRPr="007B192E">
              <w:rPr>
                <w:rFonts w:cs="Arial"/>
                <w:color w:val="000000" w:themeColor="text1"/>
                <w:sz w:val="18"/>
                <w:szCs w:val="18"/>
                <w:lang w:val="en-US"/>
              </w:rPr>
              <w:t>tj</w:t>
            </w:r>
            <w:proofErr w:type="spellEnd"/>
            <w:r w:rsidRPr="007B192E">
              <w:rPr>
                <w:rFonts w:cs="Arial"/>
                <w:color w:val="000000" w:themeColor="text1"/>
                <w:sz w:val="18"/>
                <w:szCs w:val="18"/>
                <w:lang w:val="en-US"/>
              </w:rPr>
              <w:t xml:space="preserve">. </w:t>
            </w:r>
            <w:proofErr w:type="spellStart"/>
            <w:r w:rsidRPr="007B192E">
              <w:rPr>
                <w:rFonts w:cs="Arial"/>
                <w:color w:val="000000" w:themeColor="text1"/>
                <w:sz w:val="18"/>
                <w:szCs w:val="18"/>
                <w:lang w:val="en-US"/>
              </w:rPr>
              <w:t>wsp</w:t>
            </w:r>
            <w:proofErr w:type="spellEnd"/>
            <w:r w:rsidRPr="007B192E">
              <w:rPr>
                <w:rFonts w:cs="Arial"/>
                <w:color w:val="000000" w:themeColor="text1"/>
                <w:sz w:val="18"/>
                <w:szCs w:val="18"/>
                <w:lang w:val="en-US"/>
              </w:rPr>
              <w:t>. Los Angeles jest ≤ 50)</w:t>
            </w:r>
          </w:p>
        </w:tc>
      </w:tr>
      <w:tr w:rsidR="004D7D23" w:rsidRPr="007B192E" w14:paraId="64A03471" w14:textId="77777777" w:rsidTr="008F7A94">
        <w:trPr>
          <w:jc w:val="center"/>
        </w:trPr>
        <w:tc>
          <w:tcPr>
            <w:tcW w:w="2376" w:type="dxa"/>
          </w:tcPr>
          <w:p w14:paraId="1DDFC4B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Odporność na ścieranie</w:t>
            </w:r>
          </w:p>
        </w:tc>
        <w:tc>
          <w:tcPr>
            <w:tcW w:w="1276" w:type="dxa"/>
          </w:tcPr>
          <w:p w14:paraId="2C8AF85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6A6653E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1097-1 [12]</w:t>
            </w:r>
          </w:p>
        </w:tc>
        <w:tc>
          <w:tcPr>
            <w:tcW w:w="709" w:type="dxa"/>
          </w:tcPr>
          <w:p w14:paraId="72AEDD5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5.3</w:t>
            </w:r>
          </w:p>
        </w:tc>
        <w:tc>
          <w:tcPr>
            <w:tcW w:w="4851" w:type="dxa"/>
            <w:gridSpan w:val="4"/>
          </w:tcPr>
          <w:p w14:paraId="396EA44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M</w:t>
            </w:r>
            <w:r w:rsidRPr="007B192E">
              <w:rPr>
                <w:rFonts w:cs="Arial"/>
                <w:color w:val="000000" w:themeColor="text1"/>
                <w:sz w:val="18"/>
                <w:szCs w:val="18"/>
                <w:vertAlign w:val="subscript"/>
              </w:rPr>
              <w:t>DE</w:t>
            </w:r>
            <w:r w:rsidRPr="007B192E">
              <w:rPr>
                <w:rFonts w:cs="Arial"/>
                <w:color w:val="000000" w:themeColor="text1"/>
                <w:sz w:val="18"/>
                <w:szCs w:val="18"/>
              </w:rPr>
              <w:t>NR (tj. brak wymagania)</w:t>
            </w:r>
          </w:p>
        </w:tc>
      </w:tr>
      <w:tr w:rsidR="004D7D23" w:rsidRPr="007B192E" w14:paraId="009E05EF" w14:textId="77777777" w:rsidTr="008F7A94">
        <w:trPr>
          <w:jc w:val="center"/>
        </w:trPr>
        <w:tc>
          <w:tcPr>
            <w:tcW w:w="2376" w:type="dxa"/>
          </w:tcPr>
          <w:p w14:paraId="7108C34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Gęstość ziaren</w:t>
            </w:r>
          </w:p>
        </w:tc>
        <w:tc>
          <w:tcPr>
            <w:tcW w:w="1276" w:type="dxa"/>
          </w:tcPr>
          <w:p w14:paraId="7838F1D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1097-6,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7, 8 i 9  [14]</w:t>
            </w:r>
          </w:p>
        </w:tc>
        <w:tc>
          <w:tcPr>
            <w:tcW w:w="709" w:type="dxa"/>
          </w:tcPr>
          <w:p w14:paraId="3BA24D46"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5.4</w:t>
            </w:r>
          </w:p>
        </w:tc>
        <w:tc>
          <w:tcPr>
            <w:tcW w:w="4851" w:type="dxa"/>
            <w:gridSpan w:val="4"/>
          </w:tcPr>
          <w:p w14:paraId="5C7B48A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Deklarowana</w:t>
            </w:r>
          </w:p>
        </w:tc>
      </w:tr>
      <w:tr w:rsidR="004D7D23" w:rsidRPr="007B192E" w14:paraId="276C9FF9" w14:textId="77777777" w:rsidTr="008F7A94">
        <w:trPr>
          <w:jc w:val="center"/>
        </w:trPr>
        <w:tc>
          <w:tcPr>
            <w:tcW w:w="2376" w:type="dxa"/>
          </w:tcPr>
          <w:p w14:paraId="4956533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Nasiąkliwość</w:t>
            </w:r>
          </w:p>
        </w:tc>
        <w:tc>
          <w:tcPr>
            <w:tcW w:w="1276" w:type="dxa"/>
          </w:tcPr>
          <w:p w14:paraId="0FC2C04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1097-</w:t>
            </w:r>
          </w:p>
          <w:p w14:paraId="3D56D5D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7, 8 i 9</w:t>
            </w:r>
          </w:p>
          <w:p w14:paraId="475714A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[14]</w:t>
            </w:r>
          </w:p>
        </w:tc>
        <w:tc>
          <w:tcPr>
            <w:tcW w:w="709" w:type="dxa"/>
          </w:tcPr>
          <w:p w14:paraId="72BFA87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5.5</w:t>
            </w:r>
          </w:p>
        </w:tc>
        <w:tc>
          <w:tcPr>
            <w:tcW w:w="4851" w:type="dxa"/>
            <w:gridSpan w:val="4"/>
          </w:tcPr>
          <w:p w14:paraId="3DB016E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Deklarowana</w:t>
            </w:r>
          </w:p>
        </w:tc>
      </w:tr>
      <w:tr w:rsidR="004D7D23" w:rsidRPr="007B192E" w14:paraId="1812882A" w14:textId="77777777" w:rsidTr="008F7A94">
        <w:trPr>
          <w:jc w:val="center"/>
        </w:trPr>
        <w:tc>
          <w:tcPr>
            <w:tcW w:w="2376" w:type="dxa"/>
          </w:tcPr>
          <w:p w14:paraId="0D41E26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Siarczany rozpuszczalne w kwasie</w:t>
            </w:r>
          </w:p>
        </w:tc>
        <w:tc>
          <w:tcPr>
            <w:tcW w:w="1276" w:type="dxa"/>
          </w:tcPr>
          <w:p w14:paraId="3398810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7C9AFF6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1744-1 [17]</w:t>
            </w:r>
          </w:p>
        </w:tc>
        <w:tc>
          <w:tcPr>
            <w:tcW w:w="709" w:type="dxa"/>
          </w:tcPr>
          <w:p w14:paraId="6144D0A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6.2</w:t>
            </w:r>
          </w:p>
        </w:tc>
        <w:tc>
          <w:tcPr>
            <w:tcW w:w="4851" w:type="dxa"/>
            <w:gridSpan w:val="4"/>
          </w:tcPr>
          <w:p w14:paraId="2806A15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Kruszywo kamienne:  kat. AS</w:t>
            </w:r>
            <w:r w:rsidRPr="007B192E">
              <w:rPr>
                <w:rFonts w:cs="Arial"/>
                <w:color w:val="000000" w:themeColor="text1"/>
                <w:sz w:val="18"/>
                <w:szCs w:val="18"/>
                <w:vertAlign w:val="subscript"/>
              </w:rPr>
              <w:t xml:space="preserve">0,2   </w:t>
            </w:r>
            <w:r w:rsidRPr="007B192E">
              <w:rPr>
                <w:rFonts w:cs="Arial"/>
                <w:color w:val="000000" w:themeColor="text1"/>
                <w:sz w:val="18"/>
                <w:szCs w:val="18"/>
              </w:rPr>
              <w:t>(tj. zawartość siarczanów</w:t>
            </w:r>
          </w:p>
          <w:p w14:paraId="21676EC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0,2%), żużel kawałkowy wielkopiecowy: kat. AS</w:t>
            </w:r>
            <w:r w:rsidRPr="007B192E">
              <w:rPr>
                <w:rFonts w:cs="Arial"/>
                <w:color w:val="000000" w:themeColor="text1"/>
                <w:sz w:val="18"/>
                <w:szCs w:val="18"/>
                <w:vertAlign w:val="subscript"/>
              </w:rPr>
              <w:t>1,0</w:t>
            </w:r>
            <w:r w:rsidRPr="007B192E">
              <w:rPr>
                <w:rFonts w:cs="Arial"/>
                <w:color w:val="000000" w:themeColor="text1"/>
                <w:sz w:val="18"/>
                <w:szCs w:val="18"/>
              </w:rPr>
              <w:t xml:space="preserve"> (tj. zawartość siarczanów ≤ 1,0%)</w:t>
            </w:r>
          </w:p>
        </w:tc>
      </w:tr>
      <w:tr w:rsidR="004D7D23" w:rsidRPr="007B192E" w14:paraId="2FC9D7C0" w14:textId="77777777" w:rsidTr="008F7A94">
        <w:trPr>
          <w:jc w:val="center"/>
        </w:trPr>
        <w:tc>
          <w:tcPr>
            <w:tcW w:w="2376" w:type="dxa"/>
          </w:tcPr>
          <w:p w14:paraId="19FE76F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Całkowita zawartość siarki</w:t>
            </w:r>
          </w:p>
        </w:tc>
        <w:tc>
          <w:tcPr>
            <w:tcW w:w="1276" w:type="dxa"/>
          </w:tcPr>
          <w:p w14:paraId="5227CFE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5C5FC4C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1744-1 [17]</w:t>
            </w:r>
          </w:p>
        </w:tc>
        <w:tc>
          <w:tcPr>
            <w:tcW w:w="709" w:type="dxa"/>
          </w:tcPr>
          <w:p w14:paraId="610C194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6.3</w:t>
            </w:r>
          </w:p>
        </w:tc>
        <w:tc>
          <w:tcPr>
            <w:tcW w:w="4851" w:type="dxa"/>
            <w:gridSpan w:val="4"/>
          </w:tcPr>
          <w:p w14:paraId="2832614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Kruszywo kamienne: kat. S</w:t>
            </w:r>
            <w:r w:rsidRPr="007B192E">
              <w:rPr>
                <w:rFonts w:cs="Arial"/>
                <w:color w:val="000000" w:themeColor="text1"/>
                <w:sz w:val="18"/>
                <w:szCs w:val="18"/>
                <w:vertAlign w:val="subscript"/>
              </w:rPr>
              <w:t>NR</w:t>
            </w:r>
            <w:r w:rsidRPr="007B192E">
              <w:rPr>
                <w:rFonts w:cs="Arial"/>
                <w:color w:val="000000" w:themeColor="text1"/>
                <w:sz w:val="18"/>
                <w:szCs w:val="18"/>
              </w:rPr>
              <w:t xml:space="preserve"> (tj. brak wymagania), żużel kawałkowy wielkopiecowy: kat. S</w:t>
            </w:r>
            <w:r w:rsidRPr="007B192E">
              <w:rPr>
                <w:rFonts w:cs="Arial"/>
                <w:color w:val="000000" w:themeColor="text1"/>
                <w:sz w:val="18"/>
                <w:szCs w:val="18"/>
                <w:vertAlign w:val="subscript"/>
              </w:rPr>
              <w:t>2</w:t>
            </w:r>
            <w:r w:rsidRPr="007B192E">
              <w:rPr>
                <w:rFonts w:cs="Arial"/>
                <w:color w:val="000000" w:themeColor="text1"/>
                <w:sz w:val="18"/>
                <w:szCs w:val="18"/>
              </w:rPr>
              <w:t xml:space="preserve"> (tj. zawartość siarki całkowitej ≤ 2%)</w:t>
            </w:r>
          </w:p>
        </w:tc>
      </w:tr>
      <w:tr w:rsidR="004D7D23" w:rsidRPr="007B192E" w14:paraId="4E485E92" w14:textId="77777777" w:rsidTr="008F7A94">
        <w:trPr>
          <w:jc w:val="center"/>
        </w:trPr>
        <w:tc>
          <w:tcPr>
            <w:tcW w:w="2376" w:type="dxa"/>
          </w:tcPr>
          <w:p w14:paraId="6D66B21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Składniki wpływające na szybkość wiązania i twardnienia mieszanek  związanych   hydraulicznie</w:t>
            </w:r>
          </w:p>
        </w:tc>
        <w:tc>
          <w:tcPr>
            <w:tcW w:w="1276" w:type="dxa"/>
          </w:tcPr>
          <w:p w14:paraId="17CC332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w:t>
            </w:r>
          </w:p>
          <w:p w14:paraId="0FD2CAD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1744-1 [17]</w:t>
            </w:r>
          </w:p>
        </w:tc>
        <w:tc>
          <w:tcPr>
            <w:tcW w:w="709" w:type="dxa"/>
          </w:tcPr>
          <w:p w14:paraId="24BD518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6.4.1</w:t>
            </w:r>
          </w:p>
        </w:tc>
        <w:tc>
          <w:tcPr>
            <w:tcW w:w="4851" w:type="dxa"/>
            <w:gridSpan w:val="4"/>
          </w:tcPr>
          <w:p w14:paraId="0DECBE2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Deklarowana</w:t>
            </w:r>
          </w:p>
        </w:tc>
      </w:tr>
      <w:tr w:rsidR="004D7D23" w:rsidRPr="007B192E" w14:paraId="109037CD" w14:textId="77777777" w:rsidTr="008F7A94">
        <w:trPr>
          <w:jc w:val="center"/>
        </w:trPr>
        <w:tc>
          <w:tcPr>
            <w:tcW w:w="2376" w:type="dxa"/>
          </w:tcPr>
          <w:p w14:paraId="4960F6E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Stałość objętości żużla stalowniczego</w:t>
            </w:r>
          </w:p>
        </w:tc>
        <w:tc>
          <w:tcPr>
            <w:tcW w:w="1276" w:type="dxa"/>
          </w:tcPr>
          <w:p w14:paraId="27ED036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1744-1,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19.3 [17]</w:t>
            </w:r>
          </w:p>
        </w:tc>
        <w:tc>
          <w:tcPr>
            <w:tcW w:w="709" w:type="dxa"/>
          </w:tcPr>
          <w:p w14:paraId="4AA7D66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6.4.2.1</w:t>
            </w:r>
          </w:p>
        </w:tc>
        <w:tc>
          <w:tcPr>
            <w:tcW w:w="4851" w:type="dxa"/>
            <w:gridSpan w:val="4"/>
          </w:tcPr>
          <w:p w14:paraId="23D8839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V</w:t>
            </w:r>
            <w:r w:rsidRPr="007B192E">
              <w:rPr>
                <w:rFonts w:cs="Arial"/>
                <w:color w:val="000000" w:themeColor="text1"/>
                <w:sz w:val="18"/>
                <w:szCs w:val="18"/>
                <w:vertAlign w:val="subscript"/>
              </w:rPr>
              <w:t>5</w:t>
            </w:r>
            <w:r w:rsidRPr="007B192E">
              <w:rPr>
                <w:rFonts w:cs="Arial"/>
                <w:color w:val="000000" w:themeColor="text1"/>
                <w:sz w:val="18"/>
                <w:szCs w:val="18"/>
              </w:rPr>
              <w:t xml:space="preserve"> (tj. pęcznienie ≤ 5 % objętości). Dotyczy żużla z </w:t>
            </w:r>
            <w:proofErr w:type="spellStart"/>
            <w:r w:rsidRPr="007B192E">
              <w:rPr>
                <w:rFonts w:cs="Arial"/>
                <w:color w:val="000000" w:themeColor="text1"/>
                <w:sz w:val="18"/>
                <w:szCs w:val="18"/>
              </w:rPr>
              <w:t>kla</w:t>
            </w:r>
            <w:proofErr w:type="spellEnd"/>
            <w:r w:rsidRPr="007B192E">
              <w:rPr>
                <w:rFonts w:cs="Arial"/>
                <w:color w:val="000000" w:themeColor="text1"/>
                <w:sz w:val="18"/>
                <w:szCs w:val="18"/>
              </w:rPr>
              <w:t>-</w:t>
            </w:r>
          </w:p>
          <w:p w14:paraId="443DC3E0" w14:textId="77777777" w:rsidR="00F45500" w:rsidRPr="007B192E" w:rsidRDefault="00F45500" w:rsidP="008F7A94">
            <w:pPr>
              <w:pStyle w:val="Bezodstpw"/>
              <w:rPr>
                <w:rFonts w:cs="Arial"/>
                <w:color w:val="000000" w:themeColor="text1"/>
                <w:sz w:val="18"/>
                <w:szCs w:val="18"/>
              </w:rPr>
            </w:pPr>
            <w:proofErr w:type="spellStart"/>
            <w:r w:rsidRPr="007B192E">
              <w:rPr>
                <w:rFonts w:cs="Arial"/>
                <w:color w:val="000000" w:themeColor="text1"/>
                <w:sz w:val="18"/>
                <w:szCs w:val="18"/>
              </w:rPr>
              <w:t>sycznego</w:t>
            </w:r>
            <w:proofErr w:type="spellEnd"/>
            <w:r w:rsidRPr="007B192E">
              <w:rPr>
                <w:rFonts w:cs="Arial"/>
                <w:color w:val="000000" w:themeColor="text1"/>
                <w:sz w:val="18"/>
                <w:szCs w:val="18"/>
              </w:rPr>
              <w:t xml:space="preserve"> pieca tlenowego i elektrycznego pieca łukowego</w:t>
            </w:r>
          </w:p>
        </w:tc>
      </w:tr>
      <w:tr w:rsidR="004D7D23" w:rsidRPr="007B192E" w14:paraId="4C6831CC" w14:textId="77777777" w:rsidTr="008F7A94">
        <w:trPr>
          <w:jc w:val="center"/>
        </w:trPr>
        <w:tc>
          <w:tcPr>
            <w:tcW w:w="2376" w:type="dxa"/>
          </w:tcPr>
          <w:p w14:paraId="07B97BA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Rozpad krzemianowy w żużlu </w:t>
            </w:r>
            <w:proofErr w:type="spellStart"/>
            <w:r w:rsidRPr="007B192E">
              <w:rPr>
                <w:rFonts w:cs="Arial"/>
                <w:color w:val="000000" w:themeColor="text1"/>
                <w:sz w:val="18"/>
                <w:szCs w:val="18"/>
              </w:rPr>
              <w:t>wielkopiec</w:t>
            </w:r>
            <w:proofErr w:type="spellEnd"/>
            <w:r w:rsidRPr="007B192E">
              <w:rPr>
                <w:rFonts w:cs="Arial"/>
                <w:color w:val="000000" w:themeColor="text1"/>
                <w:sz w:val="18"/>
                <w:szCs w:val="18"/>
              </w:rPr>
              <w:t>. Kawałkowym</w:t>
            </w:r>
          </w:p>
        </w:tc>
        <w:tc>
          <w:tcPr>
            <w:tcW w:w="1276" w:type="dxa"/>
          </w:tcPr>
          <w:p w14:paraId="71C8A64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1744-1, p. 19.1 [17]</w:t>
            </w:r>
          </w:p>
        </w:tc>
        <w:tc>
          <w:tcPr>
            <w:tcW w:w="709" w:type="dxa"/>
          </w:tcPr>
          <w:p w14:paraId="399EF27E"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6.4.2.2</w:t>
            </w:r>
          </w:p>
        </w:tc>
        <w:tc>
          <w:tcPr>
            <w:tcW w:w="4851" w:type="dxa"/>
            <w:gridSpan w:val="4"/>
          </w:tcPr>
          <w:p w14:paraId="21C98E6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rozpadu</w:t>
            </w:r>
          </w:p>
        </w:tc>
      </w:tr>
      <w:tr w:rsidR="004D7D23" w:rsidRPr="007B192E" w14:paraId="6A8414B2" w14:textId="77777777" w:rsidTr="008F7A94">
        <w:trPr>
          <w:jc w:val="center"/>
        </w:trPr>
        <w:tc>
          <w:tcPr>
            <w:tcW w:w="2376" w:type="dxa"/>
          </w:tcPr>
          <w:p w14:paraId="544B440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Rozpad żelazawy w żużlu </w:t>
            </w:r>
            <w:proofErr w:type="spellStart"/>
            <w:r w:rsidRPr="007B192E">
              <w:rPr>
                <w:rFonts w:cs="Arial"/>
                <w:color w:val="000000" w:themeColor="text1"/>
                <w:sz w:val="18"/>
                <w:szCs w:val="18"/>
              </w:rPr>
              <w:t>wielkopiec</w:t>
            </w:r>
            <w:proofErr w:type="spellEnd"/>
            <w:r w:rsidRPr="007B192E">
              <w:rPr>
                <w:rFonts w:cs="Arial"/>
                <w:color w:val="000000" w:themeColor="text1"/>
                <w:sz w:val="18"/>
                <w:szCs w:val="18"/>
              </w:rPr>
              <w:t>. kawałkowym</w:t>
            </w:r>
          </w:p>
        </w:tc>
        <w:tc>
          <w:tcPr>
            <w:tcW w:w="1276" w:type="dxa"/>
          </w:tcPr>
          <w:p w14:paraId="667E00C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1744-1, p.19.2 [17]</w:t>
            </w:r>
          </w:p>
        </w:tc>
        <w:tc>
          <w:tcPr>
            <w:tcW w:w="709" w:type="dxa"/>
          </w:tcPr>
          <w:p w14:paraId="0AF1E27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6.4.2.3</w:t>
            </w:r>
          </w:p>
        </w:tc>
        <w:tc>
          <w:tcPr>
            <w:tcW w:w="4851" w:type="dxa"/>
            <w:gridSpan w:val="4"/>
          </w:tcPr>
          <w:p w14:paraId="7C8A8E5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rozpadu</w:t>
            </w:r>
          </w:p>
        </w:tc>
      </w:tr>
      <w:tr w:rsidR="004D7D23" w:rsidRPr="007B192E" w14:paraId="060D7910" w14:textId="77777777" w:rsidTr="008F7A94">
        <w:trPr>
          <w:jc w:val="center"/>
        </w:trPr>
        <w:tc>
          <w:tcPr>
            <w:tcW w:w="2376" w:type="dxa"/>
          </w:tcPr>
          <w:p w14:paraId="681AD03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Składniki rozpuszczalne w wodzie</w:t>
            </w:r>
          </w:p>
        </w:tc>
        <w:tc>
          <w:tcPr>
            <w:tcW w:w="1276" w:type="dxa"/>
          </w:tcPr>
          <w:p w14:paraId="67B1FEB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1744-3 [18]</w:t>
            </w:r>
          </w:p>
        </w:tc>
        <w:tc>
          <w:tcPr>
            <w:tcW w:w="709" w:type="dxa"/>
          </w:tcPr>
          <w:p w14:paraId="328538D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6.4.3</w:t>
            </w:r>
          </w:p>
        </w:tc>
        <w:tc>
          <w:tcPr>
            <w:tcW w:w="4851" w:type="dxa"/>
            <w:gridSpan w:val="4"/>
          </w:tcPr>
          <w:p w14:paraId="3BE2C78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substancji szkodliwych dla środowiska wg odrębnych przepisów</w:t>
            </w:r>
          </w:p>
        </w:tc>
      </w:tr>
      <w:tr w:rsidR="004D7D23" w:rsidRPr="007B192E" w14:paraId="5DFB81CB" w14:textId="77777777" w:rsidTr="008F7A94">
        <w:trPr>
          <w:jc w:val="center"/>
        </w:trPr>
        <w:tc>
          <w:tcPr>
            <w:tcW w:w="2376" w:type="dxa"/>
          </w:tcPr>
          <w:p w14:paraId="4DEA075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Zanieczyszczenia</w:t>
            </w:r>
          </w:p>
        </w:tc>
        <w:tc>
          <w:tcPr>
            <w:tcW w:w="1276" w:type="dxa"/>
          </w:tcPr>
          <w:p w14:paraId="2627AA95"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t>
            </w:r>
          </w:p>
        </w:tc>
        <w:tc>
          <w:tcPr>
            <w:tcW w:w="709" w:type="dxa"/>
          </w:tcPr>
          <w:p w14:paraId="5AC7EF24"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6.4.4</w:t>
            </w:r>
          </w:p>
        </w:tc>
        <w:tc>
          <w:tcPr>
            <w:tcW w:w="4851" w:type="dxa"/>
            <w:gridSpan w:val="4"/>
          </w:tcPr>
          <w:p w14:paraId="432E303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Brak ciał obcych takich jak drewno, szkło i plastik, mogących pogorszyć wyrób końcowy</w:t>
            </w:r>
          </w:p>
        </w:tc>
      </w:tr>
      <w:tr w:rsidR="004D7D23" w:rsidRPr="007B192E" w14:paraId="79B7F698" w14:textId="77777777" w:rsidTr="008F7A94">
        <w:trPr>
          <w:jc w:val="center"/>
        </w:trPr>
        <w:tc>
          <w:tcPr>
            <w:tcW w:w="2376" w:type="dxa"/>
          </w:tcPr>
          <w:p w14:paraId="14AF393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Zgorzel słoneczna bazaltu</w:t>
            </w:r>
          </w:p>
        </w:tc>
        <w:tc>
          <w:tcPr>
            <w:tcW w:w="1276" w:type="dxa"/>
          </w:tcPr>
          <w:p w14:paraId="2132BF1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PN-EN 1367-3[16] i PN-EN 1097-2 [13]</w:t>
            </w:r>
          </w:p>
        </w:tc>
        <w:tc>
          <w:tcPr>
            <w:tcW w:w="709" w:type="dxa"/>
          </w:tcPr>
          <w:p w14:paraId="32DA5DA1"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7.2</w:t>
            </w:r>
          </w:p>
        </w:tc>
        <w:tc>
          <w:tcPr>
            <w:tcW w:w="4851" w:type="dxa"/>
            <w:gridSpan w:val="4"/>
          </w:tcPr>
          <w:p w14:paraId="7E46B5C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SB</w:t>
            </w:r>
            <w:r w:rsidRPr="007B192E">
              <w:rPr>
                <w:rFonts w:cs="Arial"/>
                <w:color w:val="000000" w:themeColor="text1"/>
                <w:sz w:val="18"/>
                <w:szCs w:val="18"/>
                <w:vertAlign w:val="subscript"/>
              </w:rPr>
              <w:t>LA</w:t>
            </w:r>
            <w:r w:rsidRPr="007B192E">
              <w:rPr>
                <w:rFonts w:cs="Arial"/>
                <w:color w:val="000000" w:themeColor="text1"/>
                <w:sz w:val="18"/>
                <w:szCs w:val="18"/>
              </w:rPr>
              <w:t xml:space="preserve"> (tj. wzrost współczynnika Los Angeles po gotowaniu ≤ 8%)</w:t>
            </w:r>
          </w:p>
        </w:tc>
      </w:tr>
      <w:tr w:rsidR="004D7D23" w:rsidRPr="007B192E" w14:paraId="66F6F67D" w14:textId="77777777" w:rsidTr="008F7A94">
        <w:trPr>
          <w:jc w:val="center"/>
        </w:trPr>
        <w:tc>
          <w:tcPr>
            <w:tcW w:w="2376" w:type="dxa"/>
          </w:tcPr>
          <w:p w14:paraId="217C0FB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Nasiąkliwość</w:t>
            </w:r>
          </w:p>
          <w:p w14:paraId="2F72D77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(Jeśli kruszywo nie spełni warunku W</w:t>
            </w:r>
            <w:r w:rsidRPr="007B192E">
              <w:rPr>
                <w:rFonts w:cs="Arial"/>
                <w:color w:val="000000" w:themeColor="text1"/>
                <w:sz w:val="18"/>
                <w:szCs w:val="18"/>
                <w:vertAlign w:val="subscript"/>
              </w:rPr>
              <w:t>24</w:t>
            </w:r>
            <w:r w:rsidRPr="007B192E">
              <w:rPr>
                <w:rFonts w:cs="Arial"/>
                <w:color w:val="000000" w:themeColor="text1"/>
                <w:sz w:val="18"/>
                <w:szCs w:val="18"/>
              </w:rPr>
              <w:t xml:space="preserve">2, to należy </w:t>
            </w:r>
            <w:proofErr w:type="spellStart"/>
            <w:r w:rsidRPr="007B192E">
              <w:rPr>
                <w:rFonts w:cs="Arial"/>
                <w:color w:val="000000" w:themeColor="text1"/>
                <w:sz w:val="18"/>
                <w:szCs w:val="18"/>
              </w:rPr>
              <w:t>zba</w:t>
            </w:r>
            <w:proofErr w:type="spellEnd"/>
            <w:r w:rsidRPr="007B192E">
              <w:rPr>
                <w:rFonts w:cs="Arial"/>
                <w:color w:val="000000" w:themeColor="text1"/>
                <w:sz w:val="18"/>
                <w:szCs w:val="18"/>
              </w:rPr>
              <w:t>-</w:t>
            </w:r>
            <w:r w:rsidRPr="007B192E">
              <w:rPr>
                <w:rFonts w:cs="Arial"/>
                <w:color w:val="000000" w:themeColor="text1"/>
                <w:sz w:val="18"/>
                <w:szCs w:val="18"/>
              </w:rPr>
              <w:br/>
              <w:t>dać jego mrozoodporność wg p. 7.3.3 – wiersz poniżej)</w:t>
            </w:r>
          </w:p>
        </w:tc>
        <w:tc>
          <w:tcPr>
            <w:tcW w:w="1276" w:type="dxa"/>
          </w:tcPr>
          <w:p w14:paraId="63C1963F"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PN-EN 1097-6, </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 7 [14]</w:t>
            </w:r>
          </w:p>
        </w:tc>
        <w:tc>
          <w:tcPr>
            <w:tcW w:w="709" w:type="dxa"/>
          </w:tcPr>
          <w:p w14:paraId="14ADE5CD"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7.3.2</w:t>
            </w:r>
          </w:p>
        </w:tc>
        <w:tc>
          <w:tcPr>
            <w:tcW w:w="4851" w:type="dxa"/>
            <w:gridSpan w:val="4"/>
          </w:tcPr>
          <w:p w14:paraId="6E55A710"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Kat. W</w:t>
            </w:r>
            <w:r w:rsidRPr="007B192E">
              <w:rPr>
                <w:rFonts w:cs="Arial"/>
                <w:color w:val="000000" w:themeColor="text1"/>
                <w:sz w:val="18"/>
                <w:szCs w:val="18"/>
                <w:vertAlign w:val="subscript"/>
              </w:rPr>
              <w:t>24</w:t>
            </w:r>
            <w:r w:rsidRPr="007B192E">
              <w:rPr>
                <w:rFonts w:cs="Arial"/>
                <w:color w:val="000000" w:themeColor="text1"/>
                <w:sz w:val="18"/>
                <w:szCs w:val="18"/>
              </w:rPr>
              <w:t>2 (tj. maksymalna wartość nasiąkliwości ≤ 2% masy)</w:t>
            </w:r>
          </w:p>
        </w:tc>
      </w:tr>
      <w:tr w:rsidR="004D7D23" w:rsidRPr="007B192E" w14:paraId="1BA4CABB" w14:textId="77777777" w:rsidTr="008F7A94">
        <w:trPr>
          <w:jc w:val="center"/>
        </w:trPr>
        <w:tc>
          <w:tcPr>
            <w:tcW w:w="2376" w:type="dxa"/>
          </w:tcPr>
          <w:p w14:paraId="2B5B05F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Mrozoodporność na </w:t>
            </w:r>
            <w:r w:rsidRPr="007B192E">
              <w:rPr>
                <w:rFonts w:cs="Arial"/>
                <w:color w:val="000000" w:themeColor="text1"/>
                <w:sz w:val="18"/>
                <w:szCs w:val="18"/>
              </w:rPr>
              <w:lastRenderedPageBreak/>
              <w:t>kruszy-</w:t>
            </w:r>
            <w:r w:rsidRPr="007B192E">
              <w:rPr>
                <w:rFonts w:cs="Arial"/>
                <w:color w:val="000000" w:themeColor="text1"/>
                <w:sz w:val="18"/>
                <w:szCs w:val="18"/>
              </w:rPr>
              <w:br/>
            </w:r>
            <w:proofErr w:type="spellStart"/>
            <w:r w:rsidRPr="007B192E">
              <w:rPr>
                <w:rFonts w:cs="Arial"/>
                <w:color w:val="000000" w:themeColor="text1"/>
                <w:sz w:val="18"/>
                <w:szCs w:val="18"/>
              </w:rPr>
              <w:t>wa</w:t>
            </w:r>
            <w:proofErr w:type="spellEnd"/>
            <w:r w:rsidRPr="007B192E">
              <w:rPr>
                <w:rFonts w:cs="Arial"/>
                <w:color w:val="000000" w:themeColor="text1"/>
                <w:sz w:val="18"/>
                <w:szCs w:val="18"/>
              </w:rPr>
              <w:t xml:space="preserve"> frakcji 8/16 mm  (Badanie</w:t>
            </w:r>
            <w:r w:rsidRPr="007B192E">
              <w:rPr>
                <w:rFonts w:cs="Arial"/>
                <w:color w:val="000000" w:themeColor="text1"/>
                <w:sz w:val="18"/>
                <w:szCs w:val="18"/>
              </w:rPr>
              <w:br/>
              <w:t xml:space="preserve">wykonywane tylko w </w:t>
            </w:r>
            <w:proofErr w:type="spellStart"/>
            <w:r w:rsidRPr="007B192E">
              <w:rPr>
                <w:rFonts w:cs="Arial"/>
                <w:color w:val="000000" w:themeColor="text1"/>
                <w:sz w:val="18"/>
                <w:szCs w:val="18"/>
              </w:rPr>
              <w:t>przypa</w:t>
            </w:r>
            <w:proofErr w:type="spellEnd"/>
            <w:r w:rsidRPr="007B192E">
              <w:rPr>
                <w:rFonts w:cs="Arial"/>
                <w:color w:val="000000" w:themeColor="text1"/>
                <w:sz w:val="18"/>
                <w:szCs w:val="18"/>
              </w:rPr>
              <w:t>-</w:t>
            </w:r>
            <w:r w:rsidRPr="007B192E">
              <w:rPr>
                <w:rFonts w:cs="Arial"/>
                <w:color w:val="000000" w:themeColor="text1"/>
                <w:sz w:val="18"/>
                <w:szCs w:val="18"/>
              </w:rPr>
              <w:br/>
            </w:r>
            <w:proofErr w:type="spellStart"/>
            <w:r w:rsidRPr="007B192E">
              <w:rPr>
                <w:rFonts w:cs="Arial"/>
                <w:color w:val="000000" w:themeColor="text1"/>
                <w:sz w:val="18"/>
                <w:szCs w:val="18"/>
              </w:rPr>
              <w:t>dku</w:t>
            </w:r>
            <w:proofErr w:type="spellEnd"/>
            <w:r w:rsidRPr="007B192E">
              <w:rPr>
                <w:rFonts w:cs="Arial"/>
                <w:color w:val="000000" w:themeColor="text1"/>
                <w:sz w:val="18"/>
                <w:szCs w:val="18"/>
              </w:rPr>
              <w:t xml:space="preserve">, gdy nasiąkliwość </w:t>
            </w:r>
            <w:proofErr w:type="spellStart"/>
            <w:r w:rsidRPr="007B192E">
              <w:rPr>
                <w:rFonts w:cs="Arial"/>
                <w:color w:val="000000" w:themeColor="text1"/>
                <w:sz w:val="18"/>
                <w:szCs w:val="18"/>
              </w:rPr>
              <w:t>kru</w:t>
            </w:r>
            <w:proofErr w:type="spellEnd"/>
            <w:r w:rsidRPr="007B192E">
              <w:rPr>
                <w:rFonts w:cs="Arial"/>
                <w:color w:val="000000" w:themeColor="text1"/>
                <w:sz w:val="18"/>
                <w:szCs w:val="18"/>
              </w:rPr>
              <w:t>-</w:t>
            </w:r>
            <w:r w:rsidRPr="007B192E">
              <w:rPr>
                <w:rFonts w:cs="Arial"/>
                <w:color w:val="000000" w:themeColor="text1"/>
                <w:sz w:val="18"/>
                <w:szCs w:val="18"/>
              </w:rPr>
              <w:br/>
            </w:r>
            <w:proofErr w:type="spellStart"/>
            <w:r w:rsidRPr="007B192E">
              <w:rPr>
                <w:rFonts w:cs="Arial"/>
                <w:color w:val="000000" w:themeColor="text1"/>
                <w:sz w:val="18"/>
                <w:szCs w:val="18"/>
              </w:rPr>
              <w:t>szywa</w:t>
            </w:r>
            <w:proofErr w:type="spellEnd"/>
            <w:r w:rsidRPr="007B192E">
              <w:rPr>
                <w:rFonts w:cs="Arial"/>
                <w:color w:val="000000" w:themeColor="text1"/>
                <w:sz w:val="18"/>
                <w:szCs w:val="18"/>
              </w:rPr>
              <w:t xml:space="preserve"> przekracza WA</w:t>
            </w:r>
            <w:r w:rsidRPr="007B192E">
              <w:rPr>
                <w:rFonts w:cs="Arial"/>
                <w:color w:val="000000" w:themeColor="text1"/>
                <w:sz w:val="18"/>
                <w:szCs w:val="18"/>
                <w:vertAlign w:val="subscript"/>
              </w:rPr>
              <w:t>24</w:t>
            </w:r>
            <w:r w:rsidRPr="007B192E">
              <w:rPr>
                <w:rFonts w:cs="Arial"/>
                <w:color w:val="000000" w:themeColor="text1"/>
                <w:sz w:val="18"/>
                <w:szCs w:val="18"/>
              </w:rPr>
              <w:t>2)</w:t>
            </w:r>
          </w:p>
        </w:tc>
        <w:tc>
          <w:tcPr>
            <w:tcW w:w="1276" w:type="dxa"/>
          </w:tcPr>
          <w:p w14:paraId="5E014F9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 xml:space="preserve">PN-EN </w:t>
            </w:r>
            <w:r w:rsidRPr="007B192E">
              <w:rPr>
                <w:rFonts w:cs="Arial"/>
                <w:color w:val="000000" w:themeColor="text1"/>
                <w:sz w:val="18"/>
                <w:szCs w:val="18"/>
              </w:rPr>
              <w:lastRenderedPageBreak/>
              <w:t>1367-1 [15]</w:t>
            </w:r>
          </w:p>
        </w:tc>
        <w:tc>
          <w:tcPr>
            <w:tcW w:w="709" w:type="dxa"/>
          </w:tcPr>
          <w:p w14:paraId="735732C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7.3.3</w:t>
            </w:r>
          </w:p>
        </w:tc>
        <w:tc>
          <w:tcPr>
            <w:tcW w:w="2425" w:type="dxa"/>
            <w:gridSpan w:val="3"/>
          </w:tcPr>
          <w:p w14:paraId="73444E8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 xml:space="preserve">Skały magmowe i </w:t>
            </w:r>
            <w:proofErr w:type="spellStart"/>
            <w:r w:rsidRPr="007B192E">
              <w:rPr>
                <w:rFonts w:cs="Arial"/>
                <w:color w:val="000000" w:themeColor="text1"/>
                <w:sz w:val="18"/>
                <w:szCs w:val="18"/>
              </w:rPr>
              <w:lastRenderedPageBreak/>
              <w:t>przeobrażo</w:t>
            </w:r>
            <w:proofErr w:type="spellEnd"/>
            <w:r w:rsidRPr="007B192E">
              <w:rPr>
                <w:rFonts w:cs="Arial"/>
                <w:color w:val="000000" w:themeColor="text1"/>
                <w:sz w:val="18"/>
                <w:szCs w:val="18"/>
              </w:rPr>
              <w:t>-</w:t>
            </w:r>
          </w:p>
          <w:p w14:paraId="1E85F859" w14:textId="77777777" w:rsidR="00F45500" w:rsidRPr="007B192E" w:rsidRDefault="00F45500" w:rsidP="008F7A94">
            <w:pPr>
              <w:pStyle w:val="Bezodstpw"/>
              <w:rPr>
                <w:rFonts w:cs="Arial"/>
                <w:color w:val="000000" w:themeColor="text1"/>
                <w:sz w:val="18"/>
                <w:szCs w:val="18"/>
              </w:rPr>
            </w:pPr>
            <w:proofErr w:type="spellStart"/>
            <w:r w:rsidRPr="007B192E">
              <w:rPr>
                <w:rFonts w:cs="Arial"/>
                <w:color w:val="000000" w:themeColor="text1"/>
                <w:sz w:val="18"/>
                <w:szCs w:val="18"/>
              </w:rPr>
              <w:t>ne</w:t>
            </w:r>
            <w:proofErr w:type="spellEnd"/>
            <w:r w:rsidRPr="007B192E">
              <w:rPr>
                <w:rFonts w:cs="Arial"/>
                <w:color w:val="000000" w:themeColor="text1"/>
                <w:sz w:val="18"/>
                <w:szCs w:val="18"/>
              </w:rPr>
              <w:t>: kat. F</w:t>
            </w:r>
            <w:r w:rsidRPr="007B192E">
              <w:rPr>
                <w:rFonts w:cs="Arial"/>
                <w:color w:val="000000" w:themeColor="text1"/>
                <w:sz w:val="18"/>
                <w:szCs w:val="18"/>
                <w:vertAlign w:val="subscript"/>
              </w:rPr>
              <w:t>4</w:t>
            </w:r>
            <w:r w:rsidRPr="007B192E">
              <w:rPr>
                <w:rFonts w:cs="Arial"/>
                <w:color w:val="000000" w:themeColor="text1"/>
                <w:sz w:val="18"/>
                <w:szCs w:val="18"/>
              </w:rPr>
              <w:t xml:space="preserve"> (tj. zamrażanie-</w:t>
            </w:r>
            <w:proofErr w:type="spellStart"/>
            <w:r w:rsidRPr="007B192E">
              <w:rPr>
                <w:rFonts w:cs="Arial"/>
                <w:color w:val="000000" w:themeColor="text1"/>
                <w:sz w:val="18"/>
                <w:szCs w:val="18"/>
              </w:rPr>
              <w:t>roz</w:t>
            </w:r>
            <w:proofErr w:type="spellEnd"/>
            <w:r w:rsidRPr="007B192E">
              <w:rPr>
                <w:rFonts w:cs="Arial"/>
                <w:color w:val="000000" w:themeColor="text1"/>
                <w:sz w:val="18"/>
                <w:szCs w:val="18"/>
              </w:rPr>
              <w:t>-</w:t>
            </w:r>
          </w:p>
          <w:p w14:paraId="14953DAF" w14:textId="77777777" w:rsidR="00F45500" w:rsidRPr="007B192E" w:rsidRDefault="00F45500" w:rsidP="008F7A94">
            <w:pPr>
              <w:pStyle w:val="Bezodstpw"/>
              <w:rPr>
                <w:rFonts w:cs="Arial"/>
                <w:color w:val="000000" w:themeColor="text1"/>
                <w:sz w:val="18"/>
                <w:szCs w:val="18"/>
              </w:rPr>
            </w:pPr>
            <w:proofErr w:type="spellStart"/>
            <w:r w:rsidRPr="007B192E">
              <w:rPr>
                <w:rFonts w:cs="Arial"/>
                <w:color w:val="000000" w:themeColor="text1"/>
                <w:sz w:val="18"/>
                <w:szCs w:val="18"/>
              </w:rPr>
              <w:t>mrażanie</w:t>
            </w:r>
            <w:proofErr w:type="spellEnd"/>
            <w:r w:rsidRPr="007B192E">
              <w:rPr>
                <w:rFonts w:cs="Arial"/>
                <w:color w:val="000000" w:themeColor="text1"/>
                <w:sz w:val="18"/>
                <w:szCs w:val="18"/>
              </w:rPr>
              <w:t xml:space="preserve"> ≤ 4% masy), skały osadowe: kat. F</w:t>
            </w:r>
            <w:r w:rsidRPr="007B192E">
              <w:rPr>
                <w:rFonts w:cs="Arial"/>
                <w:color w:val="000000" w:themeColor="text1"/>
                <w:sz w:val="18"/>
                <w:szCs w:val="18"/>
                <w:vertAlign w:val="subscript"/>
              </w:rPr>
              <w:t>10</w:t>
            </w:r>
            <w:r w:rsidRPr="007B192E">
              <w:rPr>
                <w:rFonts w:cs="Arial"/>
                <w:color w:val="000000" w:themeColor="text1"/>
                <w:sz w:val="18"/>
                <w:szCs w:val="18"/>
              </w:rPr>
              <w:t>, kruszywa z recyklingu: kat. F</w:t>
            </w:r>
            <w:r w:rsidRPr="007B192E">
              <w:rPr>
                <w:rFonts w:cs="Arial"/>
                <w:color w:val="000000" w:themeColor="text1"/>
                <w:sz w:val="18"/>
                <w:szCs w:val="18"/>
                <w:vertAlign w:val="subscript"/>
              </w:rPr>
              <w:t>10</w:t>
            </w:r>
            <w:r w:rsidRPr="007B192E">
              <w:rPr>
                <w:rFonts w:cs="Arial"/>
                <w:color w:val="000000" w:themeColor="text1"/>
                <w:sz w:val="18"/>
                <w:szCs w:val="18"/>
              </w:rPr>
              <w:t xml:space="preserve"> (F</w:t>
            </w:r>
            <w:r w:rsidRPr="007B192E">
              <w:rPr>
                <w:rFonts w:cs="Arial"/>
                <w:color w:val="000000" w:themeColor="text1"/>
                <w:sz w:val="18"/>
                <w:szCs w:val="18"/>
                <w:vertAlign w:val="subscript"/>
              </w:rPr>
              <w:t>25</w:t>
            </w:r>
            <w:r w:rsidRPr="007B192E">
              <w:rPr>
                <w:rFonts w:cs="Arial"/>
                <w:color w:val="000000" w:themeColor="text1"/>
                <w:sz w:val="18"/>
                <w:szCs w:val="18"/>
              </w:rPr>
              <w:t>***)</w:t>
            </w:r>
          </w:p>
        </w:tc>
        <w:tc>
          <w:tcPr>
            <w:tcW w:w="2426" w:type="dxa"/>
          </w:tcPr>
          <w:p w14:paraId="3C6C23C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Kat. F</w:t>
            </w:r>
            <w:r w:rsidRPr="007B192E">
              <w:rPr>
                <w:rFonts w:cs="Arial"/>
                <w:color w:val="000000" w:themeColor="text1"/>
                <w:sz w:val="18"/>
                <w:szCs w:val="18"/>
                <w:vertAlign w:val="subscript"/>
              </w:rPr>
              <w:t>4</w:t>
            </w:r>
            <w:r w:rsidRPr="007B192E">
              <w:rPr>
                <w:rFonts w:cs="Arial"/>
                <w:color w:val="000000" w:themeColor="text1"/>
                <w:sz w:val="18"/>
                <w:szCs w:val="18"/>
              </w:rPr>
              <w:t xml:space="preserve"> (tj. zamrażanie-</w:t>
            </w:r>
            <w:r w:rsidRPr="007B192E">
              <w:rPr>
                <w:rFonts w:cs="Arial"/>
                <w:color w:val="000000" w:themeColor="text1"/>
                <w:sz w:val="18"/>
                <w:szCs w:val="18"/>
              </w:rPr>
              <w:lastRenderedPageBreak/>
              <w:t>rozmrażanie ≤ 4%)</w:t>
            </w:r>
          </w:p>
        </w:tc>
      </w:tr>
      <w:tr w:rsidR="004D7D23" w:rsidRPr="007B192E" w14:paraId="6D509C66" w14:textId="77777777" w:rsidTr="008F7A94">
        <w:trPr>
          <w:jc w:val="center"/>
        </w:trPr>
        <w:tc>
          <w:tcPr>
            <w:tcW w:w="2376" w:type="dxa"/>
          </w:tcPr>
          <w:p w14:paraId="1C022813"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lastRenderedPageBreak/>
              <w:t>Skład mineralogiczny</w:t>
            </w:r>
          </w:p>
        </w:tc>
        <w:tc>
          <w:tcPr>
            <w:tcW w:w="1276" w:type="dxa"/>
          </w:tcPr>
          <w:p w14:paraId="19C826F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t>
            </w:r>
          </w:p>
        </w:tc>
        <w:tc>
          <w:tcPr>
            <w:tcW w:w="709" w:type="dxa"/>
          </w:tcPr>
          <w:p w14:paraId="2E8B7ED7"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Zał. C</w:t>
            </w:r>
          </w:p>
          <w:p w14:paraId="388DBEEB"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p.C3.4</w:t>
            </w:r>
          </w:p>
        </w:tc>
        <w:tc>
          <w:tcPr>
            <w:tcW w:w="4851" w:type="dxa"/>
            <w:gridSpan w:val="4"/>
          </w:tcPr>
          <w:p w14:paraId="30E21BC8"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Deklarowany</w:t>
            </w:r>
          </w:p>
        </w:tc>
      </w:tr>
      <w:tr w:rsidR="00F45500" w:rsidRPr="007B192E" w14:paraId="6A8634DD" w14:textId="77777777" w:rsidTr="008F7A94">
        <w:trPr>
          <w:jc w:val="center"/>
        </w:trPr>
        <w:tc>
          <w:tcPr>
            <w:tcW w:w="2376" w:type="dxa"/>
          </w:tcPr>
          <w:p w14:paraId="488CDF9A"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Istotne cechy środowiskowe</w:t>
            </w:r>
          </w:p>
        </w:tc>
        <w:tc>
          <w:tcPr>
            <w:tcW w:w="1276" w:type="dxa"/>
          </w:tcPr>
          <w:p w14:paraId="5F6AFC2C"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t>
            </w:r>
          </w:p>
        </w:tc>
        <w:tc>
          <w:tcPr>
            <w:tcW w:w="709" w:type="dxa"/>
          </w:tcPr>
          <w:p w14:paraId="26590D0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Zał. C</w:t>
            </w:r>
          </w:p>
          <w:p w14:paraId="4155DF1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pkt</w:t>
            </w:r>
          </w:p>
          <w:p w14:paraId="165B9659"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C.3.4</w:t>
            </w:r>
          </w:p>
        </w:tc>
        <w:tc>
          <w:tcPr>
            <w:tcW w:w="4851" w:type="dxa"/>
            <w:gridSpan w:val="4"/>
          </w:tcPr>
          <w:p w14:paraId="52A3A1E2" w14:textId="77777777" w:rsidR="00F45500" w:rsidRPr="007B192E" w:rsidRDefault="00F45500" w:rsidP="008F7A94">
            <w:pPr>
              <w:pStyle w:val="Bezodstpw"/>
              <w:rPr>
                <w:rFonts w:cs="Arial"/>
                <w:color w:val="000000" w:themeColor="text1"/>
                <w:sz w:val="18"/>
                <w:szCs w:val="18"/>
              </w:rPr>
            </w:pPr>
            <w:r w:rsidRPr="007B192E">
              <w:rPr>
                <w:rFonts w:cs="Arial"/>
                <w:color w:val="000000" w:themeColor="text1"/>
                <w:sz w:val="18"/>
                <w:szCs w:val="18"/>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39A6F35A" w14:textId="77777777" w:rsidR="00F45500" w:rsidRPr="007B192E" w:rsidRDefault="00F45500" w:rsidP="00F45500">
      <w:pPr>
        <w:jc w:val="both"/>
        <w:rPr>
          <w:rFonts w:ascii="Arial" w:hAnsi="Arial" w:cs="Arial"/>
          <w:color w:val="000000" w:themeColor="text1"/>
          <w:sz w:val="18"/>
          <w:szCs w:val="18"/>
        </w:rPr>
      </w:pPr>
    </w:p>
    <w:tbl>
      <w:tblPr>
        <w:tblW w:w="76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621"/>
      </w:tblGrid>
      <w:tr w:rsidR="00F45500" w:rsidRPr="007B192E" w14:paraId="6EE3B135" w14:textId="77777777" w:rsidTr="005E0E48">
        <w:trPr>
          <w:jc w:val="center"/>
        </w:trPr>
        <w:tc>
          <w:tcPr>
            <w:tcW w:w="7621" w:type="dxa"/>
          </w:tcPr>
          <w:p w14:paraId="54D2A134"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Badaniem wzorcowym oznaczania kształtu kruszywa grubego jest badanie wskaźnika płaskości</w:t>
            </w:r>
          </w:p>
          <w:p w14:paraId="2F7F3C1B"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xml:space="preserve">**)    Łączna zawartość pyłów w mieszance powinna się mieścić w wybranych krzywych granicznych </w:t>
            </w:r>
          </w:p>
          <w:p w14:paraId="3F31A715" w14:textId="77777777" w:rsidR="00F45500" w:rsidRPr="007B192E" w:rsidRDefault="00F45500" w:rsidP="008F7A94">
            <w:pPr>
              <w:pStyle w:val="Bezodstpw"/>
              <w:jc w:val="both"/>
              <w:rPr>
                <w:rFonts w:cs="Arial"/>
                <w:color w:val="000000" w:themeColor="text1"/>
                <w:sz w:val="18"/>
                <w:szCs w:val="18"/>
              </w:rPr>
            </w:pPr>
            <w:r w:rsidRPr="007B192E">
              <w:rPr>
                <w:rFonts w:cs="Arial"/>
                <w:color w:val="000000" w:themeColor="text1"/>
                <w:sz w:val="18"/>
                <w:szCs w:val="18"/>
              </w:rPr>
              <w:t>***)  Pod warunkiem, gdy zawartość w mieszance nie przekracza 50% m/m</w:t>
            </w:r>
          </w:p>
        </w:tc>
      </w:tr>
    </w:tbl>
    <w:p w14:paraId="301243A1" w14:textId="77777777" w:rsidR="00F45500" w:rsidRPr="007B192E" w:rsidRDefault="00F45500" w:rsidP="00F45500">
      <w:pPr>
        <w:pStyle w:val="Bezodstpw"/>
        <w:jc w:val="both"/>
        <w:rPr>
          <w:rFonts w:cs="Arial"/>
          <w:b/>
          <w:color w:val="000000" w:themeColor="text1"/>
          <w:sz w:val="18"/>
          <w:szCs w:val="18"/>
        </w:rPr>
      </w:pPr>
    </w:p>
    <w:p w14:paraId="47B93741"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2.2.4. </w:t>
      </w:r>
      <w:r w:rsidRPr="007B192E">
        <w:rPr>
          <w:rFonts w:ascii="Arial" w:hAnsi="Arial" w:cs="Arial"/>
          <w:color w:val="000000" w:themeColor="text1"/>
          <w:sz w:val="18"/>
          <w:szCs w:val="18"/>
        </w:rPr>
        <w:t>Cement</w:t>
      </w:r>
    </w:p>
    <w:p w14:paraId="2789823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Należy stosować cement wg PN-EN 197-1 [5], np. CEM I, klasy 32,5 N, 42,5 N, 52,5 N.</w:t>
      </w:r>
    </w:p>
    <w:p w14:paraId="615479E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Przechowywanie cementu dostarczonego:</w:t>
      </w:r>
    </w:p>
    <w:p w14:paraId="00D46BAF" w14:textId="77777777" w:rsidR="00F45500" w:rsidRPr="007B192E" w:rsidRDefault="00F45500" w:rsidP="00F45500">
      <w:pPr>
        <w:widowControl/>
        <w:numPr>
          <w:ilvl w:val="0"/>
          <w:numId w:val="19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workach, co najmniej trzywarstwowych, o masie np. 50 kg – do 10 dni w miejscach zadaszonych na otwartym terenie o podłożu twardym i suchym oraz do terminu trwałości podanego przez producenta w pomieszczeniach o szczelnym dachu i ścianach oraz podłogach suchych i czystych. Cement na paletach magazynuje się z dopuszczalną wysokością 3 palet, cement </w:t>
      </w:r>
      <w:proofErr w:type="spellStart"/>
      <w:r w:rsidRPr="007B192E">
        <w:rPr>
          <w:rFonts w:ascii="Arial" w:hAnsi="Arial" w:cs="Arial"/>
          <w:color w:val="000000" w:themeColor="text1"/>
          <w:sz w:val="18"/>
          <w:szCs w:val="18"/>
        </w:rPr>
        <w:t>niespaletowany</w:t>
      </w:r>
      <w:proofErr w:type="spellEnd"/>
      <w:r w:rsidRPr="007B192E">
        <w:rPr>
          <w:rFonts w:ascii="Arial" w:hAnsi="Arial" w:cs="Arial"/>
          <w:color w:val="000000" w:themeColor="text1"/>
          <w:sz w:val="18"/>
          <w:szCs w:val="18"/>
        </w:rPr>
        <w:t xml:space="preserve"> układa się w stosy płaskie o liczbie 12 warstw (dla worków trzywarstwowych),</w:t>
      </w:r>
    </w:p>
    <w:p w14:paraId="7033BBDD" w14:textId="77777777" w:rsidR="00F45500" w:rsidRPr="007B192E" w:rsidRDefault="00F45500" w:rsidP="00F45500">
      <w:pPr>
        <w:widowControl/>
        <w:numPr>
          <w:ilvl w:val="0"/>
          <w:numId w:val="19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luzem – przechowuje się w magazynach specjalnych (zbiornikach stalowych, betonowych) przystosowanych do pneumatycznego załadowania i wyładowania.</w:t>
      </w:r>
    </w:p>
    <w:p w14:paraId="0BBAFC55"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2.2.5. </w:t>
      </w:r>
      <w:r w:rsidRPr="007B192E">
        <w:rPr>
          <w:rFonts w:ascii="Arial" w:hAnsi="Arial" w:cs="Arial"/>
          <w:color w:val="000000" w:themeColor="text1"/>
          <w:sz w:val="18"/>
          <w:szCs w:val="18"/>
        </w:rPr>
        <w:t>Woda zarobowa</w:t>
      </w:r>
    </w:p>
    <w:p w14:paraId="1F6F0F3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Woda zarobowa powinna być zgodna z PN-EN 1008 [11].</w:t>
      </w:r>
    </w:p>
    <w:p w14:paraId="02A86025"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2.2.6. </w:t>
      </w:r>
      <w:r w:rsidRPr="007B192E">
        <w:rPr>
          <w:rFonts w:ascii="Arial" w:hAnsi="Arial" w:cs="Arial"/>
          <w:color w:val="000000" w:themeColor="text1"/>
          <w:sz w:val="18"/>
          <w:szCs w:val="18"/>
        </w:rPr>
        <w:t>Dodatki</w:t>
      </w:r>
    </w:p>
    <w:p w14:paraId="107D1BC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przypadkach uzasadnionych mieszanka może zawierać dodatki, które powinny być uwzględnione w projekcie mieszanki.</w:t>
      </w:r>
    </w:p>
    <w:p w14:paraId="2A9F347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Dodatki powinny być o sprawdzonym działaniu jak np. mielony granulowany żużel wielkopiecowy lub popiół lotny pod warunkiem, że odpowiada ona wymaganiom europejskiej lub krajowej aprobaty technicznej.</w:t>
      </w:r>
    </w:p>
    <w:p w14:paraId="38AD09FB" w14:textId="77777777" w:rsidR="00F45500" w:rsidRPr="007B192E" w:rsidRDefault="00F45500" w:rsidP="00F45500">
      <w:pPr>
        <w:widowControl/>
        <w:numPr>
          <w:ilvl w:val="2"/>
          <w:numId w:val="200"/>
        </w:numPr>
        <w:suppressAutoHyphens w:val="0"/>
        <w:autoSpaceDN w:val="0"/>
        <w:adjustRightInd w:val="0"/>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Domieszki</w:t>
      </w:r>
    </w:p>
    <w:p w14:paraId="6164BDF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Domieszki powinny być zgodne z PN-EN 934-2 [10].</w:t>
      </w:r>
    </w:p>
    <w:p w14:paraId="70D8C07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w mieszance przewiduje się zastosowanie środków przyspieszających lub opóźniających wiązanie, należy to uwzględnić przy projektowaniu składu mieszanki.</w:t>
      </w:r>
    </w:p>
    <w:p w14:paraId="465D5CBE" w14:textId="77777777" w:rsidR="00F45500" w:rsidRPr="007B192E" w:rsidRDefault="008E1092" w:rsidP="005E0E48">
      <w:pPr>
        <w:pStyle w:val="Nagwek2"/>
        <w:rPr>
          <w:i w:val="0"/>
          <w:color w:val="000000" w:themeColor="text1"/>
        </w:rPr>
      </w:pPr>
      <w:bookmarkStart w:id="207" w:name="_Toc25373382"/>
      <w:bookmarkStart w:id="208" w:name="_Toc25379398"/>
      <w:bookmarkStart w:id="209" w:name="_Toc38338022"/>
      <w:bookmarkStart w:id="210" w:name="_Toc68660263"/>
      <w:bookmarkStart w:id="211" w:name="_Toc68921158"/>
      <w:bookmarkStart w:id="212" w:name="_Toc68929545"/>
      <w:bookmarkStart w:id="213" w:name="_Toc70745913"/>
      <w:bookmarkStart w:id="214" w:name="_Toc113338099"/>
      <w:bookmarkStart w:id="215" w:name="_Toc113935589"/>
      <w:bookmarkStart w:id="216" w:name="_Toc332010313"/>
      <w:r w:rsidRPr="007B192E">
        <w:rPr>
          <w:i w:val="0"/>
          <w:color w:val="000000" w:themeColor="text1"/>
        </w:rPr>
        <w:t>3. SPRZĘT</w:t>
      </w:r>
      <w:bookmarkEnd w:id="207"/>
      <w:bookmarkEnd w:id="208"/>
      <w:bookmarkEnd w:id="209"/>
      <w:bookmarkEnd w:id="210"/>
      <w:bookmarkEnd w:id="211"/>
      <w:bookmarkEnd w:id="212"/>
      <w:bookmarkEnd w:id="213"/>
      <w:bookmarkEnd w:id="214"/>
      <w:bookmarkEnd w:id="215"/>
      <w:bookmarkEnd w:id="216"/>
    </w:p>
    <w:p w14:paraId="06BBBD11"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3.1. Ogólne wymagania dotyczące sprzętu</w:t>
      </w:r>
    </w:p>
    <w:p w14:paraId="6B50F90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1C6FA40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01F4192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0C74BB24"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wytwórnia stacjonarna lub mobilna do wytwarzania mieszanki,</w:t>
      </w:r>
    </w:p>
    <w:p w14:paraId="753C17BD"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przewoźne zbiorniki na wodę,</w:t>
      </w:r>
    </w:p>
    <w:p w14:paraId="1D679F5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układarki do rozkładania mieszanki lub równiarki,</w:t>
      </w:r>
    </w:p>
    <w:p w14:paraId="2B57C61C"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walce wibracyjne, statyczne lub ogumione,</w:t>
      </w:r>
    </w:p>
    <w:p w14:paraId="6157F84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zagęszczarki płytowe, ubijaki mechaniczne lub małe walce wibracyjne do zagęszczania w miejscach trudno dostępnych.</w:t>
      </w:r>
    </w:p>
    <w:p w14:paraId="06DCF9B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Sprzęt powinien odpowiadać wymaganiom określonym w dokumentacji projektowej, ST, instrukcjach producentów lub propozycji Wykonawcy i powinien być zaakceptowany przez Inżyniera.</w:t>
      </w:r>
    </w:p>
    <w:p w14:paraId="66658CBE" w14:textId="77777777" w:rsidR="00F45500" w:rsidRPr="007B192E" w:rsidRDefault="00F45500" w:rsidP="005E0E48">
      <w:pPr>
        <w:pStyle w:val="Nagwek2"/>
        <w:rPr>
          <w:i w:val="0"/>
          <w:color w:val="000000" w:themeColor="text1"/>
        </w:rPr>
      </w:pPr>
      <w:bookmarkStart w:id="217" w:name="_Toc63568300"/>
      <w:bookmarkStart w:id="218" w:name="_Toc73770658"/>
      <w:bookmarkStart w:id="219" w:name="_Toc113935590"/>
      <w:bookmarkStart w:id="220" w:name="_Toc332010314"/>
      <w:r w:rsidRPr="007B192E">
        <w:rPr>
          <w:i w:val="0"/>
          <w:color w:val="000000" w:themeColor="text1"/>
        </w:rPr>
        <w:lastRenderedPageBreak/>
        <w:t>4. TRANSPORT</w:t>
      </w:r>
      <w:bookmarkEnd w:id="217"/>
      <w:bookmarkEnd w:id="218"/>
      <w:bookmarkEnd w:id="219"/>
      <w:bookmarkEnd w:id="220"/>
    </w:p>
    <w:p w14:paraId="60D540F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4.1. Ogólne wymagania dotyczące transportu </w:t>
      </w:r>
    </w:p>
    <w:p w14:paraId="702B46A8" w14:textId="77777777" w:rsidR="00F45500" w:rsidRPr="007B192E" w:rsidRDefault="00F45500" w:rsidP="00F45500">
      <w:pPr>
        <w:tabs>
          <w:tab w:val="left" w:pos="284"/>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p>
    <w:p w14:paraId="47429AE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4.2. Transport materiałów</w:t>
      </w:r>
    </w:p>
    <w:p w14:paraId="613E9F0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sypkie można przewozić dowolnymi środkami transportu, w warunkach zabezpieczających je przed  zanieczyszczeniem, zmieszaniem z innymi materiałami i nadmiernym zawilgoceniem.</w:t>
      </w:r>
    </w:p>
    <w:p w14:paraId="3A68F34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Cement w workach może być przewożony samochodami krytymi, wagonami towarowymi i innymi środkami transportu, w sposób nie powodujący uszkodzeń opakowania. Worki na paletach układa się po 5 warstw po 4 szt. w warstwie. Worki </w:t>
      </w:r>
      <w:proofErr w:type="spellStart"/>
      <w:r w:rsidRPr="007B192E">
        <w:rPr>
          <w:rFonts w:ascii="Arial" w:hAnsi="Arial" w:cs="Arial"/>
          <w:color w:val="000000" w:themeColor="text1"/>
          <w:sz w:val="18"/>
          <w:szCs w:val="18"/>
        </w:rPr>
        <w:t>niespaletowane</w:t>
      </w:r>
      <w:proofErr w:type="spellEnd"/>
      <w:r w:rsidRPr="007B192E">
        <w:rPr>
          <w:rFonts w:ascii="Arial" w:hAnsi="Arial" w:cs="Arial"/>
          <w:color w:val="000000" w:themeColor="text1"/>
          <w:sz w:val="18"/>
          <w:szCs w:val="18"/>
        </w:rPr>
        <w:t xml:space="preserve"> układa się na płask w wysokości do 10 warstw. Cement luzem przewozi się w zbiornikach (wagonach, samochodach), czystych i nie zanieczyszczanych podczas transportu. Środki transportu powinny być wyposażone we wsypy i urządzenia do wyładowania cementu.</w:t>
      </w:r>
    </w:p>
    <w:p w14:paraId="674A4CD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Woda może być dostarczana wodociągiem lub przewoźnymi zbiornikami wody.</w:t>
      </w:r>
    </w:p>
    <w:p w14:paraId="2873216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Inne materiały należy przewozić w sposób zalecony przez producentów i dostawców, nie powodując pogorszenia ich walorów użytkowych.</w:t>
      </w:r>
    </w:p>
    <w:p w14:paraId="63D5874B" w14:textId="77777777" w:rsidR="00F45500" w:rsidRPr="007B192E" w:rsidRDefault="00F45500" w:rsidP="005E0E48">
      <w:pPr>
        <w:pStyle w:val="Nagwek2"/>
        <w:rPr>
          <w:i w:val="0"/>
          <w:color w:val="000000" w:themeColor="text1"/>
        </w:rPr>
      </w:pPr>
      <w:bookmarkStart w:id="221" w:name="_Toc63568301"/>
      <w:bookmarkStart w:id="222" w:name="_Toc73770659"/>
      <w:bookmarkStart w:id="223" w:name="_Toc113935591"/>
      <w:bookmarkStart w:id="224" w:name="_Toc116360496"/>
      <w:bookmarkStart w:id="225" w:name="_Toc174333137"/>
      <w:bookmarkStart w:id="226" w:name="_Toc208892385"/>
      <w:bookmarkStart w:id="227" w:name="_Toc210107781"/>
      <w:bookmarkStart w:id="228" w:name="_Toc211316616"/>
      <w:bookmarkStart w:id="229" w:name="_Toc236626159"/>
      <w:bookmarkStart w:id="230" w:name="_Toc332010315"/>
      <w:r w:rsidRPr="007B192E">
        <w:rPr>
          <w:i w:val="0"/>
          <w:color w:val="000000" w:themeColor="text1"/>
        </w:rPr>
        <w:t>5. WYKONANIE ROBÓT</w:t>
      </w:r>
      <w:bookmarkEnd w:id="221"/>
      <w:bookmarkEnd w:id="222"/>
      <w:bookmarkEnd w:id="223"/>
      <w:bookmarkEnd w:id="224"/>
      <w:bookmarkEnd w:id="225"/>
      <w:bookmarkEnd w:id="226"/>
      <w:bookmarkEnd w:id="227"/>
      <w:bookmarkEnd w:id="228"/>
      <w:bookmarkEnd w:id="229"/>
      <w:bookmarkEnd w:id="230"/>
    </w:p>
    <w:p w14:paraId="11B4336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492479CA" w14:textId="77777777" w:rsidR="00F45500" w:rsidRPr="007B192E" w:rsidRDefault="00F45500" w:rsidP="00F45500">
      <w:pPr>
        <w:tabs>
          <w:tab w:val="left" w:pos="0"/>
          <w:tab w:val="left" w:pos="567"/>
          <w:tab w:val="left" w:pos="851"/>
          <w:tab w:val="right" w:leader="dot" w:pos="8505"/>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17611AE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Zasady wykonywania robót</w:t>
      </w:r>
    </w:p>
    <w:p w14:paraId="035174D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Sposób wykonania robót powinien być zgodny z dokumentacją projektową i ST. W przypadku braku wystarczających danych można korzystać z ustaleń podanych w niniejszej specyfikacji oraz z informacji podanych w załączniku.</w:t>
      </w:r>
    </w:p>
    <w:p w14:paraId="66FD52E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wykonaniu robót obejmują:</w:t>
      </w:r>
    </w:p>
    <w:p w14:paraId="1F620AC4"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roboty przygotowawcze, </w:t>
      </w:r>
    </w:p>
    <w:p w14:paraId="0F43B714"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projektowanie mieszanki,</w:t>
      </w:r>
    </w:p>
    <w:p w14:paraId="33D344BF"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odcinek próbny,</w:t>
      </w:r>
    </w:p>
    <w:p w14:paraId="4B011BFE"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wbudowanie mieszanki,</w:t>
      </w:r>
    </w:p>
    <w:p w14:paraId="049BB97E" w14:textId="77777777" w:rsidR="00F45500" w:rsidRPr="007B192E" w:rsidRDefault="00F45500" w:rsidP="00F45500">
      <w:pPr>
        <w:widowControl/>
        <w:numPr>
          <w:ilvl w:val="0"/>
          <w:numId w:val="201"/>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6527BE8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Roboty przygotowawcze</w:t>
      </w:r>
    </w:p>
    <w:p w14:paraId="40C65F1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należy, na podstawie dokumentacji projektowej,  ST lub wskazań Inżyniera:</w:t>
      </w:r>
    </w:p>
    <w:p w14:paraId="153B122F"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ustalić lokalizację robót,</w:t>
      </w:r>
    </w:p>
    <w:p w14:paraId="16354F39"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przeprowadzić obliczenia i pomiary niezbędne do szczegółowego wytyczenia robót oraz ustalenia danych wysokościowych,</w:t>
      </w:r>
    </w:p>
    <w:p w14:paraId="162CEF63"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usunąć przeszkody utrudniające wykonanie robót,</w:t>
      </w:r>
    </w:p>
    <w:p w14:paraId="54E86CD9"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wprowadzić oznakowanie drogi na okres robót,</w:t>
      </w:r>
    </w:p>
    <w:p w14:paraId="73A4B066" w14:textId="77777777" w:rsidR="00F45500" w:rsidRPr="007B192E" w:rsidRDefault="00F45500" w:rsidP="00F45500">
      <w:pPr>
        <w:widowControl/>
        <w:numPr>
          <w:ilvl w:val="0"/>
          <w:numId w:val="20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zgromadzić materiały i sprzęt potrzebne do rozpoczęcia robót.</w:t>
      </w:r>
    </w:p>
    <w:p w14:paraId="101024A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Można dodatkowo korzystać z ST D-01.00.00 [2] przy robotach przygotowawczych oraz z ST D-02.00.00 [3] przy występowaniu robót ziemnych. </w:t>
      </w:r>
    </w:p>
    <w:p w14:paraId="565AEE3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Projektowanie mieszanki związanej cementem</w:t>
      </w:r>
    </w:p>
    <w:p w14:paraId="79717BC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 terminie uzgodnionym z Inżynierem, Wykonawca dostarczy Inżynierowi do akceptacji projekt składu mieszanki związanej cementem oraz wyniki badań laboratoryjnych poszczególnych składników i próbki materiałów pobrane w obecności Inżyniera do wykonania badań kontrolnych przez Inżyniera.</w:t>
      </w:r>
    </w:p>
    <w:p w14:paraId="11A5C22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Projektowanie mieszanki polega na doborze kruszywa do mieszanki, ilości cementu, ilości wody. Procedura projektowa powinna być oparta na próbach laboratoryjnych i/lub polowych przeprowadzonych na tych samych składnikach, z tych samych źródeł i o takich samych właściwościach, jak te które będą stosowane do wykonania podbudowy lub podłoża ulepszonego.</w:t>
      </w:r>
    </w:p>
    <w:p w14:paraId="1F15412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Skład mieszanek projektuje się ze względu na wytrzymałość na ściskanie próbek (system I), zagęszczanych metodą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wg PN-EN 13286-50 [22] w formach walcowych H/D = 1. Klasy wytrzymałości przyjmuje się wg tablicy 2.</w:t>
      </w:r>
    </w:p>
    <w:p w14:paraId="0D726FB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Wytrzymałość na ściskanie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określonej mieszanki oznaczona zgodnie z PN-EN 13286-41 [21] powinna być równa lub większa od wytrzymałości na ściskanie wymaganej dla danej klasy wytrzymałości podanej w tablicy 2.</w:t>
      </w:r>
    </w:p>
    <w:p w14:paraId="7A343F1A"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2. Klasy wytrzymałości wg normy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2087"/>
        <w:gridCol w:w="2023"/>
        <w:gridCol w:w="1733"/>
      </w:tblGrid>
      <w:tr w:rsidR="004D7D23" w:rsidRPr="007B192E" w14:paraId="635969CE" w14:textId="77777777" w:rsidTr="008F7A94">
        <w:trPr>
          <w:jc w:val="center"/>
        </w:trPr>
        <w:tc>
          <w:tcPr>
            <w:tcW w:w="1668" w:type="dxa"/>
            <w:vMerge w:val="restart"/>
          </w:tcPr>
          <w:p w14:paraId="4165CC2B" w14:textId="77777777" w:rsidR="00F45500" w:rsidRPr="007B192E" w:rsidRDefault="00F45500" w:rsidP="008F7A94">
            <w:pPr>
              <w:jc w:val="both"/>
              <w:rPr>
                <w:rFonts w:ascii="Arial" w:hAnsi="Arial" w:cs="Arial"/>
                <w:color w:val="000000" w:themeColor="text1"/>
                <w:sz w:val="18"/>
                <w:szCs w:val="18"/>
              </w:rPr>
            </w:pPr>
          </w:p>
          <w:p w14:paraId="795674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4110" w:type="dxa"/>
            <w:gridSpan w:val="2"/>
          </w:tcPr>
          <w:p w14:paraId="04AED5D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Wytrzymałość charakterystyczna na ściskanie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 po 28 dniach, </w:t>
            </w:r>
            <w:proofErr w:type="spellStart"/>
            <w:r w:rsidRPr="007B192E">
              <w:rPr>
                <w:rFonts w:ascii="Arial" w:hAnsi="Arial" w:cs="Arial"/>
                <w:color w:val="000000" w:themeColor="text1"/>
                <w:sz w:val="18"/>
                <w:szCs w:val="18"/>
              </w:rPr>
              <w:t>MPa</w:t>
            </w:r>
            <w:proofErr w:type="spellEnd"/>
            <w:r w:rsidRPr="007B192E">
              <w:rPr>
                <w:rFonts w:ascii="Arial" w:hAnsi="Arial" w:cs="Arial"/>
                <w:color w:val="000000" w:themeColor="text1"/>
                <w:sz w:val="18"/>
                <w:szCs w:val="18"/>
              </w:rPr>
              <w:t xml:space="preserve"> dla próbek walcowych o</w:t>
            </w:r>
          </w:p>
        </w:tc>
        <w:tc>
          <w:tcPr>
            <w:tcW w:w="1733" w:type="dxa"/>
            <w:vMerge w:val="restart"/>
          </w:tcPr>
          <w:p w14:paraId="424D64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Klasa wytrzymałości</w:t>
            </w:r>
          </w:p>
          <w:p w14:paraId="2E0DD2B6" w14:textId="77777777" w:rsidR="00F45500" w:rsidRPr="007B192E" w:rsidRDefault="00F45500" w:rsidP="008F7A94">
            <w:pPr>
              <w:jc w:val="both"/>
              <w:rPr>
                <w:rFonts w:ascii="Arial" w:hAnsi="Arial" w:cs="Arial"/>
                <w:color w:val="000000" w:themeColor="text1"/>
                <w:sz w:val="18"/>
                <w:szCs w:val="18"/>
              </w:rPr>
            </w:pPr>
          </w:p>
        </w:tc>
      </w:tr>
      <w:tr w:rsidR="004D7D23" w:rsidRPr="007B192E" w14:paraId="17F2DD0D" w14:textId="77777777" w:rsidTr="008F7A94">
        <w:trPr>
          <w:jc w:val="center"/>
        </w:trPr>
        <w:tc>
          <w:tcPr>
            <w:tcW w:w="1668" w:type="dxa"/>
            <w:vMerge/>
          </w:tcPr>
          <w:p w14:paraId="783CEDEE" w14:textId="77777777" w:rsidR="00F45500" w:rsidRPr="007B192E" w:rsidRDefault="00F45500" w:rsidP="008F7A94">
            <w:pPr>
              <w:jc w:val="both"/>
              <w:rPr>
                <w:rFonts w:ascii="Arial" w:hAnsi="Arial" w:cs="Arial"/>
                <w:color w:val="000000" w:themeColor="text1"/>
                <w:sz w:val="18"/>
                <w:szCs w:val="18"/>
              </w:rPr>
            </w:pPr>
          </w:p>
        </w:tc>
        <w:tc>
          <w:tcPr>
            <w:tcW w:w="2087" w:type="dxa"/>
          </w:tcPr>
          <w:p w14:paraId="5480CB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H/D</w:t>
            </w:r>
            <w:r w:rsidRPr="007B192E">
              <w:rPr>
                <w:rFonts w:ascii="Arial" w:hAnsi="Arial" w:cs="Arial"/>
                <w:color w:val="000000" w:themeColor="text1"/>
                <w:sz w:val="18"/>
                <w:szCs w:val="18"/>
                <w:vertAlign w:val="superscript"/>
              </w:rPr>
              <w:t>a</w:t>
            </w:r>
            <w:r w:rsidRPr="007B192E">
              <w:rPr>
                <w:rFonts w:ascii="Arial" w:hAnsi="Arial" w:cs="Arial"/>
                <w:color w:val="000000" w:themeColor="text1"/>
                <w:sz w:val="18"/>
                <w:szCs w:val="18"/>
              </w:rPr>
              <w:t xml:space="preserve"> = 2,0</w:t>
            </w:r>
          </w:p>
        </w:tc>
        <w:tc>
          <w:tcPr>
            <w:tcW w:w="2023" w:type="dxa"/>
          </w:tcPr>
          <w:p w14:paraId="6C0A150D" w14:textId="77777777" w:rsidR="00F45500" w:rsidRPr="007B192E" w:rsidRDefault="00F45500" w:rsidP="008F7A94">
            <w:pPr>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H/D</w:t>
            </w:r>
            <w:r w:rsidRPr="007B192E">
              <w:rPr>
                <w:rFonts w:ascii="Arial" w:hAnsi="Arial" w:cs="Arial"/>
                <w:color w:val="000000" w:themeColor="text1"/>
                <w:sz w:val="18"/>
                <w:szCs w:val="18"/>
                <w:vertAlign w:val="superscript"/>
              </w:rPr>
              <w:t>a</w:t>
            </w:r>
            <w:r w:rsidRPr="007B192E">
              <w:rPr>
                <w:rFonts w:ascii="Arial" w:hAnsi="Arial" w:cs="Arial"/>
                <w:color w:val="000000" w:themeColor="text1"/>
                <w:sz w:val="18"/>
                <w:szCs w:val="18"/>
              </w:rPr>
              <w:t xml:space="preserve"> = 1,0</w:t>
            </w:r>
            <w:r w:rsidRPr="007B192E">
              <w:rPr>
                <w:rFonts w:ascii="Arial" w:hAnsi="Arial" w:cs="Arial"/>
                <w:color w:val="000000" w:themeColor="text1"/>
                <w:sz w:val="18"/>
                <w:szCs w:val="18"/>
                <w:vertAlign w:val="superscript"/>
              </w:rPr>
              <w:t>b</w:t>
            </w:r>
          </w:p>
        </w:tc>
        <w:tc>
          <w:tcPr>
            <w:tcW w:w="1733" w:type="dxa"/>
            <w:vMerge/>
          </w:tcPr>
          <w:p w14:paraId="59D693D9" w14:textId="77777777" w:rsidR="00F45500" w:rsidRPr="007B192E" w:rsidRDefault="00F45500" w:rsidP="008F7A94">
            <w:pPr>
              <w:jc w:val="both"/>
              <w:rPr>
                <w:rFonts w:ascii="Arial" w:hAnsi="Arial" w:cs="Arial"/>
                <w:color w:val="000000" w:themeColor="text1"/>
                <w:sz w:val="18"/>
                <w:szCs w:val="18"/>
              </w:rPr>
            </w:pPr>
          </w:p>
        </w:tc>
      </w:tr>
      <w:tr w:rsidR="004D7D23" w:rsidRPr="007B192E" w14:paraId="1A965F40" w14:textId="77777777" w:rsidTr="008F7A94">
        <w:trPr>
          <w:jc w:val="center"/>
        </w:trPr>
        <w:tc>
          <w:tcPr>
            <w:tcW w:w="1668" w:type="dxa"/>
          </w:tcPr>
          <w:p w14:paraId="5B1700C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4110" w:type="dxa"/>
            <w:gridSpan w:val="2"/>
          </w:tcPr>
          <w:p w14:paraId="1C86CA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c>
          <w:tcPr>
            <w:tcW w:w="1733" w:type="dxa"/>
          </w:tcPr>
          <w:p w14:paraId="7A1F3738"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0</w:t>
            </w:r>
          </w:p>
        </w:tc>
      </w:tr>
      <w:tr w:rsidR="004D7D23" w:rsidRPr="007B192E" w14:paraId="4AED055B" w14:textId="77777777" w:rsidTr="008F7A94">
        <w:trPr>
          <w:jc w:val="center"/>
        </w:trPr>
        <w:tc>
          <w:tcPr>
            <w:tcW w:w="1668" w:type="dxa"/>
          </w:tcPr>
          <w:p w14:paraId="15D0D0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087" w:type="dxa"/>
          </w:tcPr>
          <w:p w14:paraId="06CD261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2023" w:type="dxa"/>
          </w:tcPr>
          <w:p w14:paraId="073BA26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733" w:type="dxa"/>
          </w:tcPr>
          <w:p w14:paraId="15D296B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1,5/2,0</w:t>
            </w:r>
          </w:p>
        </w:tc>
      </w:tr>
      <w:tr w:rsidR="004D7D23" w:rsidRPr="007B192E" w14:paraId="5AA61FE0" w14:textId="77777777" w:rsidTr="008F7A94">
        <w:trPr>
          <w:jc w:val="center"/>
        </w:trPr>
        <w:tc>
          <w:tcPr>
            <w:tcW w:w="1668" w:type="dxa"/>
          </w:tcPr>
          <w:p w14:paraId="01F35F3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087" w:type="dxa"/>
          </w:tcPr>
          <w:p w14:paraId="7098445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2023" w:type="dxa"/>
          </w:tcPr>
          <w:p w14:paraId="1C83113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1733" w:type="dxa"/>
          </w:tcPr>
          <w:p w14:paraId="6B37E702"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3/4</w:t>
            </w:r>
          </w:p>
        </w:tc>
      </w:tr>
      <w:tr w:rsidR="004D7D23" w:rsidRPr="007B192E" w14:paraId="111C4E1D" w14:textId="77777777" w:rsidTr="008F7A94">
        <w:trPr>
          <w:jc w:val="center"/>
        </w:trPr>
        <w:tc>
          <w:tcPr>
            <w:tcW w:w="1668" w:type="dxa"/>
          </w:tcPr>
          <w:p w14:paraId="3221C0C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087" w:type="dxa"/>
          </w:tcPr>
          <w:p w14:paraId="53EE259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5,0</w:t>
            </w:r>
          </w:p>
        </w:tc>
        <w:tc>
          <w:tcPr>
            <w:tcW w:w="2023" w:type="dxa"/>
          </w:tcPr>
          <w:p w14:paraId="722485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6,0</w:t>
            </w:r>
          </w:p>
        </w:tc>
        <w:tc>
          <w:tcPr>
            <w:tcW w:w="1733" w:type="dxa"/>
          </w:tcPr>
          <w:p w14:paraId="7E334CF5"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5/6</w:t>
            </w:r>
          </w:p>
        </w:tc>
      </w:tr>
      <w:tr w:rsidR="004D7D23" w:rsidRPr="007B192E" w14:paraId="502D0657" w14:textId="77777777" w:rsidTr="008F7A94">
        <w:trPr>
          <w:jc w:val="center"/>
        </w:trPr>
        <w:tc>
          <w:tcPr>
            <w:tcW w:w="1668" w:type="dxa"/>
          </w:tcPr>
          <w:p w14:paraId="05ED72C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087" w:type="dxa"/>
          </w:tcPr>
          <w:p w14:paraId="0159C1C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8,0</w:t>
            </w:r>
          </w:p>
        </w:tc>
        <w:tc>
          <w:tcPr>
            <w:tcW w:w="2023" w:type="dxa"/>
          </w:tcPr>
          <w:p w14:paraId="6B6C5FB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1733" w:type="dxa"/>
          </w:tcPr>
          <w:p w14:paraId="37A1AB15"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8/10</w:t>
            </w:r>
          </w:p>
        </w:tc>
      </w:tr>
      <w:tr w:rsidR="004D7D23" w:rsidRPr="007B192E" w14:paraId="5676E1F7" w14:textId="77777777" w:rsidTr="008F7A94">
        <w:trPr>
          <w:jc w:val="center"/>
        </w:trPr>
        <w:tc>
          <w:tcPr>
            <w:tcW w:w="1668" w:type="dxa"/>
          </w:tcPr>
          <w:p w14:paraId="6A591CE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087" w:type="dxa"/>
          </w:tcPr>
          <w:p w14:paraId="77B6E04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2023" w:type="dxa"/>
          </w:tcPr>
          <w:p w14:paraId="3DC7B2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1733" w:type="dxa"/>
          </w:tcPr>
          <w:p w14:paraId="311D9200"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12/15</w:t>
            </w:r>
          </w:p>
        </w:tc>
      </w:tr>
      <w:tr w:rsidR="004D7D23" w:rsidRPr="007B192E" w14:paraId="19E71E56" w14:textId="77777777" w:rsidTr="008F7A94">
        <w:trPr>
          <w:jc w:val="center"/>
        </w:trPr>
        <w:tc>
          <w:tcPr>
            <w:tcW w:w="1668" w:type="dxa"/>
          </w:tcPr>
          <w:p w14:paraId="29C7A40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087" w:type="dxa"/>
          </w:tcPr>
          <w:p w14:paraId="6AEBD46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2023" w:type="dxa"/>
          </w:tcPr>
          <w:p w14:paraId="7440D1B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733" w:type="dxa"/>
          </w:tcPr>
          <w:p w14:paraId="75BACA12"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16/20</w:t>
            </w:r>
          </w:p>
        </w:tc>
      </w:tr>
      <w:tr w:rsidR="004D7D23" w:rsidRPr="007B192E" w14:paraId="1C6BFC4D" w14:textId="77777777" w:rsidTr="008F7A94">
        <w:trPr>
          <w:jc w:val="center"/>
        </w:trPr>
        <w:tc>
          <w:tcPr>
            <w:tcW w:w="1668" w:type="dxa"/>
          </w:tcPr>
          <w:p w14:paraId="52837E3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2087" w:type="dxa"/>
          </w:tcPr>
          <w:p w14:paraId="198DEDE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2023" w:type="dxa"/>
          </w:tcPr>
          <w:p w14:paraId="74ED97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1733" w:type="dxa"/>
          </w:tcPr>
          <w:p w14:paraId="59CCAF3F"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C</w:t>
            </w:r>
            <w:r w:rsidRPr="007B192E">
              <w:rPr>
                <w:rFonts w:ascii="Arial" w:hAnsi="Arial" w:cs="Arial"/>
                <w:color w:val="000000" w:themeColor="text1"/>
                <w:sz w:val="18"/>
                <w:szCs w:val="18"/>
                <w:vertAlign w:val="subscript"/>
              </w:rPr>
              <w:t>20/25</w:t>
            </w:r>
          </w:p>
        </w:tc>
      </w:tr>
      <w:tr w:rsidR="004D7D23" w:rsidRPr="007B192E" w14:paraId="636FB309" w14:textId="77777777" w:rsidTr="008F7A94">
        <w:trPr>
          <w:jc w:val="center"/>
        </w:trPr>
        <w:tc>
          <w:tcPr>
            <w:tcW w:w="7511" w:type="dxa"/>
            <w:gridSpan w:val="4"/>
          </w:tcPr>
          <w:p w14:paraId="75BAC5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a</w:t>
            </w:r>
            <w:r w:rsidRPr="007B192E">
              <w:rPr>
                <w:rFonts w:ascii="Arial" w:hAnsi="Arial" w:cs="Arial"/>
                <w:color w:val="000000" w:themeColor="text1"/>
                <w:sz w:val="18"/>
                <w:szCs w:val="18"/>
              </w:rPr>
              <w:t xml:space="preserve"> H/D = stosunek wysokości do średnicy próbki</w:t>
            </w:r>
          </w:p>
          <w:p w14:paraId="1936B9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lastRenderedPageBreak/>
              <w:t>b</w:t>
            </w:r>
            <w:r w:rsidRPr="007B192E">
              <w:rPr>
                <w:rFonts w:ascii="Arial" w:hAnsi="Arial" w:cs="Arial"/>
                <w:color w:val="000000" w:themeColor="text1"/>
                <w:sz w:val="18"/>
                <w:szCs w:val="18"/>
              </w:rPr>
              <w:t xml:space="preserve"> H/D = 0,8 d0 1,21</w:t>
            </w:r>
          </w:p>
        </w:tc>
      </w:tr>
    </w:tbl>
    <w:p w14:paraId="4F3447F8"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 xml:space="preserve">Dopuszcza się podawanie wytrzymałości na ściskanie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z dodatkowym indeksem informującym o czasie pielęgnacji, np. R</w:t>
      </w:r>
      <w:r w:rsidRPr="007B192E">
        <w:rPr>
          <w:rFonts w:ascii="Arial" w:hAnsi="Arial" w:cs="Arial"/>
          <w:color w:val="000000" w:themeColor="text1"/>
          <w:sz w:val="18"/>
          <w:szCs w:val="18"/>
          <w:vertAlign w:val="subscript"/>
        </w:rPr>
        <w:t>c7</w:t>
      </w:r>
      <w:r w:rsidRPr="007B192E">
        <w:rPr>
          <w:rFonts w:ascii="Arial" w:hAnsi="Arial" w:cs="Arial"/>
          <w:color w:val="000000" w:themeColor="text1"/>
          <w:sz w:val="18"/>
          <w:szCs w:val="18"/>
        </w:rPr>
        <w:t>, R</w:t>
      </w:r>
      <w:r w:rsidRPr="007B192E">
        <w:rPr>
          <w:rFonts w:ascii="Arial" w:hAnsi="Arial" w:cs="Arial"/>
          <w:color w:val="000000" w:themeColor="text1"/>
          <w:sz w:val="18"/>
          <w:szCs w:val="18"/>
          <w:vertAlign w:val="subscript"/>
        </w:rPr>
        <w:t>c14</w:t>
      </w:r>
      <w:r w:rsidRPr="007B192E">
        <w:rPr>
          <w:rFonts w:ascii="Arial" w:hAnsi="Arial" w:cs="Arial"/>
          <w:color w:val="000000" w:themeColor="text1"/>
          <w:sz w:val="18"/>
          <w:szCs w:val="18"/>
        </w:rPr>
        <w:t>, R</w:t>
      </w:r>
      <w:r w:rsidRPr="007B192E">
        <w:rPr>
          <w:rFonts w:ascii="Arial" w:hAnsi="Arial" w:cs="Arial"/>
          <w:color w:val="000000" w:themeColor="text1"/>
          <w:sz w:val="18"/>
          <w:szCs w:val="18"/>
          <w:vertAlign w:val="subscript"/>
        </w:rPr>
        <w:t>c28</w:t>
      </w:r>
      <w:r w:rsidRPr="007B192E">
        <w:rPr>
          <w:rFonts w:ascii="Arial" w:hAnsi="Arial" w:cs="Arial"/>
          <w:color w:val="000000" w:themeColor="text1"/>
          <w:sz w:val="18"/>
          <w:szCs w:val="18"/>
        </w:rPr>
        <w:t>.</w:t>
      </w:r>
    </w:p>
    <w:p w14:paraId="23B9DDE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Określone w badaniu progowe ilości wody powinny uwzględniać właściwe zagęszczenie i oczekiwane parametry mechaniczne mieszanki. Należy określić procentowy udział składników w stosunku do całkowitej masy mieszanki w stanie suchym oraz uziarnienie i gęstość objętościową. Proporcję należy określić laboratoryjnie lub/i na podstawie praktycznych doświadczeń z mieszankami wykonywanymi z tych samych składników i w tych samych warunkach, spełniające wymagania niniejszej specyfikacji.</w:t>
      </w:r>
    </w:p>
    <w:p w14:paraId="2C835EA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Sprawdzenie uziarnienia mieszanki mineralnej należy wykonać zgodnie z metodą wg PN-EN 933-1 [6]. Do analizy stosuje się zestaw sit podstawowy + 1, składający się z następujących sit o oczkach kwadratowych w mm: 0,063; 0,50; 1,0; 2,0; 4,0; 5,6; 8,0; 11,2; 16,0; 22,4; 31,5; 45,0.</w:t>
      </w:r>
    </w:p>
    <w:p w14:paraId="46D233A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Krzywa uziarnienia mieszanki powinna zawierać się w obszarze między krzywymi granicznymi uziarnienia przedstawionych na rys. 1÷5, odpowiednio dla każdego rodzaju mieszanki.</w:t>
      </w:r>
    </w:p>
    <w:p w14:paraId="0914A6D3" w14:textId="77777777" w:rsidR="00F45500" w:rsidRPr="007B192E" w:rsidRDefault="00F45500" w:rsidP="00F45500">
      <w:pPr>
        <w:jc w:val="both"/>
        <w:rPr>
          <w:rFonts w:ascii="Arial" w:hAnsi="Arial" w:cs="Arial"/>
          <w:color w:val="000000" w:themeColor="text1"/>
          <w:sz w:val="18"/>
          <w:szCs w:val="18"/>
        </w:rPr>
      </w:pPr>
    </w:p>
    <w:p w14:paraId="7850AA9D" w14:textId="77777777" w:rsidR="00F45500" w:rsidRPr="007B192E" w:rsidRDefault="00F45500" w:rsidP="00F45500">
      <w:pPr>
        <w:jc w:val="both"/>
        <w:rPr>
          <w:rFonts w:ascii="Arial" w:hAnsi="Arial" w:cs="Arial"/>
          <w:color w:val="000000" w:themeColor="text1"/>
          <w:sz w:val="18"/>
          <w:szCs w:val="18"/>
        </w:rPr>
      </w:pPr>
    </w:p>
    <w:p w14:paraId="49AE518E" w14:textId="77777777" w:rsidR="00F45500" w:rsidRPr="007B192E" w:rsidRDefault="00F45500" w:rsidP="00F45500">
      <w:pPr>
        <w:jc w:val="both"/>
        <w:rPr>
          <w:rFonts w:ascii="Arial" w:hAnsi="Arial" w:cs="Arial"/>
          <w:color w:val="000000" w:themeColor="text1"/>
          <w:sz w:val="18"/>
          <w:szCs w:val="18"/>
        </w:rPr>
      </w:pPr>
    </w:p>
    <w:p w14:paraId="3F7B8CA1" w14:textId="77777777" w:rsidR="00F45500" w:rsidRPr="007B192E" w:rsidRDefault="00F45500" w:rsidP="00F45500">
      <w:pPr>
        <w:jc w:val="both"/>
        <w:rPr>
          <w:rFonts w:ascii="Arial" w:hAnsi="Arial" w:cs="Arial"/>
          <w:color w:val="000000" w:themeColor="text1"/>
          <w:sz w:val="18"/>
          <w:szCs w:val="18"/>
        </w:rPr>
      </w:pPr>
    </w:p>
    <w:p w14:paraId="01CEC061" w14:textId="77777777" w:rsidR="00F45500" w:rsidRPr="007B192E" w:rsidRDefault="00F45500" w:rsidP="00F45500">
      <w:pPr>
        <w:jc w:val="both"/>
        <w:rPr>
          <w:rFonts w:ascii="Arial" w:hAnsi="Arial" w:cs="Arial"/>
          <w:color w:val="000000" w:themeColor="text1"/>
          <w:sz w:val="18"/>
          <w:szCs w:val="18"/>
        </w:rPr>
      </w:pPr>
    </w:p>
    <w:p w14:paraId="73B6EC14"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drawing>
          <wp:inline distT="0" distB="0" distL="0" distR="0" wp14:anchorId="12941223" wp14:editId="5588870E">
            <wp:extent cx="4162425" cy="3038475"/>
            <wp:effectExtent l="0" t="0" r="9525" b="9525"/>
            <wp:docPr id="32" name="Obraz 32"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ys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62425" cy="3038475"/>
                    </a:xfrm>
                    <a:prstGeom prst="rect">
                      <a:avLst/>
                    </a:prstGeom>
                    <a:noFill/>
                    <a:ln>
                      <a:noFill/>
                    </a:ln>
                  </pic:spPr>
                </pic:pic>
              </a:graphicData>
            </a:graphic>
          </wp:inline>
        </w:drawing>
      </w:r>
    </w:p>
    <w:p w14:paraId="4B8BA6DD"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color w:val="000000" w:themeColor="text1"/>
          <w:sz w:val="18"/>
          <w:szCs w:val="18"/>
        </w:rPr>
        <w:t>Rys. 1. Krzywe graniczne uziarnienia mieszanki mineralnej 0/31,5 mm</w:t>
      </w:r>
    </w:p>
    <w:p w14:paraId="478D56E8" w14:textId="77777777" w:rsidR="00F45500" w:rsidRPr="007B192E" w:rsidRDefault="00F45500" w:rsidP="00F45500">
      <w:pPr>
        <w:jc w:val="center"/>
        <w:rPr>
          <w:rFonts w:ascii="Arial" w:hAnsi="Arial" w:cs="Arial"/>
          <w:color w:val="000000" w:themeColor="text1"/>
          <w:sz w:val="18"/>
          <w:szCs w:val="18"/>
        </w:rPr>
      </w:pPr>
    </w:p>
    <w:p w14:paraId="144BEE55"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drawing>
          <wp:inline distT="0" distB="0" distL="0" distR="0" wp14:anchorId="71B202B8" wp14:editId="551F367E">
            <wp:extent cx="4200525" cy="3067050"/>
            <wp:effectExtent l="0" t="0" r="9525" b="0"/>
            <wp:docPr id="33" name="Obraz 33"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ys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00525" cy="3067050"/>
                    </a:xfrm>
                    <a:prstGeom prst="rect">
                      <a:avLst/>
                    </a:prstGeom>
                    <a:noFill/>
                    <a:ln>
                      <a:noFill/>
                    </a:ln>
                  </pic:spPr>
                </pic:pic>
              </a:graphicData>
            </a:graphic>
          </wp:inline>
        </w:drawing>
      </w:r>
    </w:p>
    <w:p w14:paraId="4002E382"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color w:val="000000" w:themeColor="text1"/>
          <w:sz w:val="18"/>
          <w:szCs w:val="18"/>
        </w:rPr>
        <w:t>Rys. 2. Krzywe graniczne uziarnienia mieszanki mineralnej 0/22,4 mm</w:t>
      </w:r>
    </w:p>
    <w:p w14:paraId="49DEC7A5"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lastRenderedPageBreak/>
        <w:drawing>
          <wp:inline distT="0" distB="0" distL="0" distR="0" wp14:anchorId="297A5E1C" wp14:editId="567925F2">
            <wp:extent cx="4095750" cy="3133725"/>
            <wp:effectExtent l="0" t="0" r="0" b="9525"/>
            <wp:docPr id="21" name="Obraz 21" descr="rys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rys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095750" cy="3133725"/>
                    </a:xfrm>
                    <a:prstGeom prst="rect">
                      <a:avLst/>
                    </a:prstGeom>
                    <a:noFill/>
                    <a:ln>
                      <a:noFill/>
                    </a:ln>
                  </pic:spPr>
                </pic:pic>
              </a:graphicData>
            </a:graphic>
          </wp:inline>
        </w:drawing>
      </w:r>
    </w:p>
    <w:p w14:paraId="029DE17B"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color w:val="000000" w:themeColor="text1"/>
          <w:sz w:val="18"/>
          <w:szCs w:val="18"/>
        </w:rPr>
        <w:t>Rys. 3. Krzywe graniczne uziarnienia mieszanki mineralnej 0/16 mm</w:t>
      </w:r>
    </w:p>
    <w:p w14:paraId="7DDFEBAB" w14:textId="77777777" w:rsidR="00F45500" w:rsidRPr="007B192E" w:rsidRDefault="00F45500" w:rsidP="00F45500">
      <w:pPr>
        <w:jc w:val="both"/>
        <w:rPr>
          <w:rFonts w:ascii="Arial" w:hAnsi="Arial" w:cs="Arial"/>
          <w:color w:val="000000" w:themeColor="text1"/>
          <w:sz w:val="18"/>
          <w:szCs w:val="18"/>
        </w:rPr>
      </w:pPr>
    </w:p>
    <w:p w14:paraId="126103F9"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drawing>
          <wp:inline distT="0" distB="0" distL="0" distR="0" wp14:anchorId="00B1A396" wp14:editId="39DD6FD5">
            <wp:extent cx="4171950" cy="3095625"/>
            <wp:effectExtent l="0" t="0" r="0" b="9525"/>
            <wp:docPr id="20" name="Obraz 20" descr="rys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ys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71950" cy="3095625"/>
                    </a:xfrm>
                    <a:prstGeom prst="rect">
                      <a:avLst/>
                    </a:prstGeom>
                    <a:noFill/>
                    <a:ln>
                      <a:noFill/>
                    </a:ln>
                  </pic:spPr>
                </pic:pic>
              </a:graphicData>
            </a:graphic>
          </wp:inline>
        </w:drawing>
      </w:r>
    </w:p>
    <w:p w14:paraId="2EE233CF"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color w:val="000000" w:themeColor="text1"/>
          <w:sz w:val="18"/>
          <w:szCs w:val="18"/>
        </w:rPr>
        <w:t>Rys. 4. Krzywe graniczne uziarnienia mieszanki mineralnej 0/11,2 mm</w:t>
      </w:r>
    </w:p>
    <w:p w14:paraId="36EA6990"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lastRenderedPageBreak/>
        <w:drawing>
          <wp:inline distT="0" distB="0" distL="0" distR="0" wp14:anchorId="7F181D03" wp14:editId="5B1DF134">
            <wp:extent cx="4200525" cy="3095625"/>
            <wp:effectExtent l="0" t="0" r="9525" b="9525"/>
            <wp:docPr id="19" name="Obraz 19" descr="rys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ys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00525" cy="3095625"/>
                    </a:xfrm>
                    <a:prstGeom prst="rect">
                      <a:avLst/>
                    </a:prstGeom>
                    <a:noFill/>
                    <a:ln>
                      <a:noFill/>
                    </a:ln>
                  </pic:spPr>
                </pic:pic>
              </a:graphicData>
            </a:graphic>
          </wp:inline>
        </w:drawing>
      </w:r>
    </w:p>
    <w:p w14:paraId="59E0793A" w14:textId="77777777" w:rsidR="00F45500" w:rsidRPr="007B192E" w:rsidRDefault="00F45500" w:rsidP="00F45500">
      <w:pPr>
        <w:jc w:val="center"/>
        <w:rPr>
          <w:rFonts w:ascii="Arial" w:hAnsi="Arial" w:cs="Arial"/>
          <w:color w:val="000000" w:themeColor="text1"/>
          <w:sz w:val="18"/>
          <w:szCs w:val="18"/>
        </w:rPr>
      </w:pPr>
      <w:r w:rsidRPr="007B192E">
        <w:rPr>
          <w:rFonts w:ascii="Arial" w:hAnsi="Arial" w:cs="Arial"/>
          <w:color w:val="000000" w:themeColor="text1"/>
          <w:sz w:val="18"/>
          <w:szCs w:val="18"/>
        </w:rPr>
        <w:t>Rys.5. Krzywe graniczne uziarnienia mieszanki mineralnej 0/8 mm</w:t>
      </w:r>
    </w:p>
    <w:p w14:paraId="13977D97" w14:textId="77777777" w:rsidR="00F45500" w:rsidRPr="007B192E" w:rsidRDefault="00F45500" w:rsidP="00F45500">
      <w:pPr>
        <w:jc w:val="both"/>
        <w:rPr>
          <w:rFonts w:ascii="Arial" w:hAnsi="Arial" w:cs="Arial"/>
          <w:color w:val="000000" w:themeColor="text1"/>
          <w:sz w:val="18"/>
          <w:szCs w:val="18"/>
        </w:rPr>
      </w:pPr>
    </w:p>
    <w:p w14:paraId="35B9C35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Zawartość spoiwa (cementu) w mieszance powinna być określona na podstawie procedury projektowej i/lub doświadczenia z mieszankami wyprodukowanymi przy użyciu proponowanych składników. Zawartość spoiwa nie powinna być mniejsza od minimalnych wartości przedstawionych w tablicy 3.</w:t>
      </w:r>
    </w:p>
    <w:p w14:paraId="32872D35"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3. Minimalna zawartość spoiwa (cementu) w mieszance wg PN-EN 14227-1 [23]</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7"/>
        <w:gridCol w:w="3434"/>
      </w:tblGrid>
      <w:tr w:rsidR="004D7D23" w:rsidRPr="007B192E" w14:paraId="1788619D" w14:textId="77777777" w:rsidTr="008F7A94">
        <w:trPr>
          <w:jc w:val="center"/>
        </w:trPr>
        <w:tc>
          <w:tcPr>
            <w:tcW w:w="4077" w:type="dxa"/>
          </w:tcPr>
          <w:p w14:paraId="06DE0CDE"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Maksymalny nominalny wymiar kruszywa, mm</w:t>
            </w:r>
          </w:p>
        </w:tc>
        <w:tc>
          <w:tcPr>
            <w:tcW w:w="3434" w:type="dxa"/>
          </w:tcPr>
          <w:p w14:paraId="0FA0667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Minimalna zawartość spoiwa, % m/m</w:t>
            </w:r>
          </w:p>
        </w:tc>
      </w:tr>
      <w:tr w:rsidR="004D7D23" w:rsidRPr="007B192E" w14:paraId="4FFFFA3A" w14:textId="77777777" w:rsidTr="008F7A94">
        <w:trPr>
          <w:jc w:val="center"/>
        </w:trPr>
        <w:tc>
          <w:tcPr>
            <w:tcW w:w="4077" w:type="dxa"/>
          </w:tcPr>
          <w:p w14:paraId="6615913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&gt; 8,0 do 31,5</w:t>
            </w:r>
          </w:p>
        </w:tc>
        <w:tc>
          <w:tcPr>
            <w:tcW w:w="3434" w:type="dxa"/>
          </w:tcPr>
          <w:p w14:paraId="6470A1E7"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3</w:t>
            </w:r>
          </w:p>
        </w:tc>
      </w:tr>
      <w:tr w:rsidR="004D7D23" w:rsidRPr="007B192E" w14:paraId="220D7231" w14:textId="77777777" w:rsidTr="008F7A94">
        <w:trPr>
          <w:jc w:val="center"/>
        </w:trPr>
        <w:tc>
          <w:tcPr>
            <w:tcW w:w="4077" w:type="dxa"/>
          </w:tcPr>
          <w:p w14:paraId="2A2F5EB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2,0 do 8,0</w:t>
            </w:r>
          </w:p>
        </w:tc>
        <w:tc>
          <w:tcPr>
            <w:tcW w:w="3434" w:type="dxa"/>
          </w:tcPr>
          <w:p w14:paraId="7651253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4</w:t>
            </w:r>
          </w:p>
        </w:tc>
      </w:tr>
      <w:tr w:rsidR="00F45500" w:rsidRPr="007B192E" w14:paraId="3AAAC45C" w14:textId="77777777" w:rsidTr="008F7A94">
        <w:trPr>
          <w:jc w:val="center"/>
        </w:trPr>
        <w:tc>
          <w:tcPr>
            <w:tcW w:w="4077" w:type="dxa"/>
          </w:tcPr>
          <w:p w14:paraId="78E29917"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&lt; 2,0</w:t>
            </w:r>
          </w:p>
        </w:tc>
        <w:tc>
          <w:tcPr>
            <w:tcW w:w="3434" w:type="dxa"/>
          </w:tcPr>
          <w:p w14:paraId="2817F8A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5</w:t>
            </w:r>
          </w:p>
        </w:tc>
      </w:tr>
    </w:tbl>
    <w:p w14:paraId="443BBEE9" w14:textId="77777777" w:rsidR="00F45500" w:rsidRPr="007B192E" w:rsidRDefault="00F45500" w:rsidP="00F45500">
      <w:pPr>
        <w:jc w:val="both"/>
        <w:rPr>
          <w:rFonts w:ascii="Arial" w:hAnsi="Arial" w:cs="Arial"/>
          <w:color w:val="000000" w:themeColor="text1"/>
          <w:sz w:val="18"/>
          <w:szCs w:val="18"/>
        </w:rPr>
      </w:pPr>
    </w:p>
    <w:p w14:paraId="4317C10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Dopuszczalne jest zastosowanie mniejszej ilości spoiwa niż podano w tablicy 3, jeśli podczas procesu produkcyjnego stwierdzone zostanie, że zachowana jest zgodność z wymaganiami tablic 4÷6 niniejszej specyfikacji.</w:t>
      </w:r>
    </w:p>
    <w:p w14:paraId="0155990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Zawartość wody w mieszance powinna być określona na podstawie procedury projektowej wg metody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i/lub doświadczenia z mieszankami wyprodukowanymi przy użyciu proponowanych składników. Zawartość wody należy określić zgodnie z PN-EN 13286-2 [20].</w:t>
      </w:r>
    </w:p>
    <w:p w14:paraId="4BDBF60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Próbki walcowe zagęszczane ubijakiem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powinny być przygotowane zgodnie z PN-EN 13286-50 [22]. Próbki należy przechowywać przez 14 dni w temperaturze pokojowej z zabezpieczeniem przed wysychaniem (w komorze o wilgotności powyżej 95% - 100% lub w wilgotnym piasku) i następnie zanurzyć na 14 dni do wody o temperaturze pokojowej. Nasycanie próbek wodą odbywa się pod ciśnieniem normalnym i przy całkowitym ich zanurzeniu w wodzie.</w:t>
      </w:r>
    </w:p>
    <w:p w14:paraId="5079967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Badanie wytrzymałości na ściskanie (system I) należy przeprowadzić na próbkach walcowych przygotowanych metodą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zgodnie z PN-EN 13286-50 [22], przy wykorzystaniu metody badawczej zgodniej z PN-EN 13286-41 [21]. Wytrzymałość na ściskanie określonej mieszanki powinna być oznaczana zgodnie z PN-EN 13286-41 [21], po 28 dniach pielęgnacji. Dopuszcza się w praktyce wykonawczej stosowanie dodatkowo wytrzymałości na ściskanie określonej po innym okresie pielęgnacji, np. po 7 lub 14 dniach. Wymagane właściwości po 28 dniach pielęgnacji pozostają bez zmian.</w:t>
      </w:r>
    </w:p>
    <w:p w14:paraId="638E8CE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Wskaźnik mrozoodporności mieszanki związanej cementem określany jest stosunkiem wytrzymałości na ściskanie </w:t>
      </w:r>
      <w:r w:rsidRPr="007B192E">
        <w:rPr>
          <w:rFonts w:ascii="Arial" w:hAnsi="Arial" w:cs="Arial"/>
          <w:color w:val="000000" w:themeColor="text1"/>
          <w:position w:val="-10"/>
          <w:sz w:val="18"/>
          <w:szCs w:val="18"/>
        </w:rPr>
        <w:object w:dxaOrig="480" w:dyaOrig="340" w14:anchorId="26BB2E2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3pt;height:17.6pt" o:ole="">
            <v:imagedata r:id="rId22" o:title=""/>
          </v:shape>
          <o:OLEObject Type="Embed" ProgID="Equation.3" ShapeID="_x0000_i1025" DrawAspect="Content" ObjectID="_1776762936" r:id="rId23"/>
        </w:object>
      </w:r>
      <w:r w:rsidRPr="007B192E">
        <w:rPr>
          <w:rFonts w:ascii="Arial" w:hAnsi="Arial" w:cs="Arial"/>
          <w:color w:val="000000" w:themeColor="text1"/>
          <w:sz w:val="18"/>
          <w:szCs w:val="18"/>
        </w:rPr>
        <w:t xml:space="preserve"> próbki po 28 dniach pielęgnacji i po 14 cyklach zamrażania i odmrażania do wytrzymałości na ściskanie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próbki po 28 dniach pielęgnacji.</w:t>
      </w:r>
    </w:p>
    <w:p w14:paraId="6EC057C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Wskaźnik mrozoodporności </w:t>
      </w:r>
      <w:r w:rsidRPr="007B192E">
        <w:rPr>
          <w:rFonts w:ascii="Arial" w:hAnsi="Arial" w:cs="Arial"/>
          <w:color w:val="000000" w:themeColor="text1"/>
          <w:position w:val="-26"/>
          <w:sz w:val="18"/>
          <w:szCs w:val="18"/>
        </w:rPr>
        <w:object w:dxaOrig="680" w:dyaOrig="639" w14:anchorId="75E5AACF">
          <v:shape id="_x0000_i1026" type="#_x0000_t75" style="width:32.65pt;height:32.65pt" o:ole="">
            <v:imagedata r:id="rId24" o:title=""/>
          </v:shape>
          <o:OLEObject Type="Embed" ProgID="Equation.3" ShapeID="_x0000_i1026" DrawAspect="Content" ObjectID="_1776762937" r:id="rId25"/>
        </w:object>
      </w:r>
      <w:r w:rsidRPr="007B192E">
        <w:rPr>
          <w:rFonts w:ascii="Arial" w:hAnsi="Arial" w:cs="Arial"/>
          <w:color w:val="000000" w:themeColor="text1"/>
          <w:sz w:val="18"/>
          <w:szCs w:val="18"/>
        </w:rPr>
        <w:t xml:space="preserve">. </w:t>
      </w:r>
    </w:p>
    <w:p w14:paraId="63F5442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Próbki do oznaczenia wskaźnika mrozoodporności należy przechowywać przez 28 dni w temperaturze pokojowej z zabezpieczeniem przed wysychaniem (w komorze o wilgotności 95% ÷ 100% lub w wilgotnym piasku). Następnie należy je całkowicie zanurzyć na 1 dobę w wodzie, a następnie w ciągu kolejnych 14 dni poddać cyklom zamrażania i odmrażania. Jeden cykl zamrażania i odmrażania polega na zamrażaniu próbki w temperaturze -23 ±2</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przez  8 godzin i odmrażania w wodzie o temperaturze +18 ±2</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 xml:space="preserve">C przez 16 godzin. Oznaczenie wskaźnika mrozoodporności należy przeprowadzać na 3 próbkach i do obliczeń przyjmować średnią. Wynik badania różniący się od średniej o więcej niż 20% należy odrzucić, a jako miarodajną wartość wytrzymałości na ściskanie </w:t>
      </w:r>
      <w:r w:rsidRPr="007B192E">
        <w:rPr>
          <w:rFonts w:ascii="Arial" w:hAnsi="Arial" w:cs="Arial"/>
          <w:color w:val="000000" w:themeColor="text1"/>
          <w:position w:val="-10"/>
          <w:sz w:val="18"/>
          <w:szCs w:val="18"/>
        </w:rPr>
        <w:object w:dxaOrig="480" w:dyaOrig="340" w14:anchorId="06D6CCF3">
          <v:shape id="_x0000_i1027" type="#_x0000_t75" style="width:24.3pt;height:17.6pt" o:ole="">
            <v:imagedata r:id="rId26" o:title=""/>
          </v:shape>
          <o:OLEObject Type="Embed" ProgID="Equation.3" ShapeID="_x0000_i1027" DrawAspect="Content" ObjectID="_1776762938" r:id="rId27"/>
        </w:object>
      </w:r>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należy przyjąć średnią obliczoną z pozostałych dwóch wyników, z dokładnością 0,1. </w:t>
      </w:r>
    </w:p>
    <w:p w14:paraId="5344E04A" w14:textId="77777777" w:rsidR="00F45500" w:rsidRPr="007B192E" w:rsidRDefault="00F45500" w:rsidP="00F45500">
      <w:pPr>
        <w:jc w:val="both"/>
        <w:rPr>
          <w:rFonts w:ascii="Arial" w:hAnsi="Arial" w:cs="Arial"/>
          <w:color w:val="000000" w:themeColor="text1"/>
          <w:sz w:val="18"/>
          <w:szCs w:val="18"/>
          <w:u w:val="single"/>
        </w:rPr>
      </w:pPr>
      <w:r w:rsidRPr="007B192E">
        <w:rPr>
          <w:rFonts w:ascii="Arial" w:hAnsi="Arial" w:cs="Arial"/>
          <w:color w:val="000000" w:themeColor="text1"/>
          <w:sz w:val="18"/>
          <w:szCs w:val="18"/>
          <w:u w:val="single"/>
        </w:rPr>
        <w:t>Wymagania wobec mieszanek</w:t>
      </w:r>
    </w:p>
    <w:p w14:paraId="145D595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 xml:space="preserve">Mieszanki związane cementem klasyfikuje się pod względem właściwości wytrzymałościowych mieszanki przez wytrzymałość charakterystyczną na ściskanie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próbek zgodnie z przyjętym systemem I.</w:t>
      </w:r>
    </w:p>
    <w:p w14:paraId="5C392C0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tablicy 4 przedstawia się zbiorcze zestawienia wymagań wobec mieszanek wraz z wymaganymi wytrzymałościami na ściskanie.</w:t>
      </w:r>
    </w:p>
    <w:p w14:paraId="185A148F" w14:textId="77777777" w:rsidR="00F45500" w:rsidRPr="007B192E" w:rsidRDefault="00F45500" w:rsidP="00F45500">
      <w:pPr>
        <w:spacing w:before="120" w:after="120"/>
        <w:ind w:left="992" w:hanging="992"/>
        <w:jc w:val="both"/>
        <w:rPr>
          <w:rFonts w:ascii="Arial" w:hAnsi="Arial" w:cs="Arial"/>
          <w:color w:val="000000" w:themeColor="text1"/>
          <w:sz w:val="18"/>
          <w:szCs w:val="18"/>
        </w:rPr>
      </w:pPr>
      <w:r w:rsidRPr="007B192E">
        <w:rPr>
          <w:rFonts w:ascii="Arial" w:hAnsi="Arial" w:cs="Arial"/>
          <w:color w:val="000000" w:themeColor="text1"/>
          <w:sz w:val="18"/>
          <w:szCs w:val="18"/>
        </w:rPr>
        <w:t>Tablica 4. Wymagania wobec mieszanek związanych cementem do warstwy podłoża ulepszonego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4190"/>
        <w:gridCol w:w="2504"/>
      </w:tblGrid>
      <w:tr w:rsidR="004D7D23" w:rsidRPr="007B192E" w14:paraId="070B91BE" w14:textId="77777777" w:rsidTr="008F7A94">
        <w:trPr>
          <w:jc w:val="center"/>
        </w:trPr>
        <w:tc>
          <w:tcPr>
            <w:tcW w:w="817" w:type="dxa"/>
          </w:tcPr>
          <w:p w14:paraId="52D35E88"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4190" w:type="dxa"/>
          </w:tcPr>
          <w:p w14:paraId="11DE642C"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504" w:type="dxa"/>
          </w:tcPr>
          <w:p w14:paraId="1BB59A84"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Wymagania dla ruchu </w:t>
            </w:r>
          </w:p>
          <w:p w14:paraId="20F58C14"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KR1 ÷ KR6</w:t>
            </w:r>
          </w:p>
        </w:tc>
      </w:tr>
      <w:tr w:rsidR="004D7D23" w:rsidRPr="007B192E" w14:paraId="1713F094" w14:textId="77777777" w:rsidTr="008F7A94">
        <w:trPr>
          <w:jc w:val="center"/>
        </w:trPr>
        <w:tc>
          <w:tcPr>
            <w:tcW w:w="817" w:type="dxa"/>
          </w:tcPr>
          <w:p w14:paraId="61E2DB85"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4190" w:type="dxa"/>
          </w:tcPr>
          <w:p w14:paraId="570C71AE"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Składniki</w:t>
            </w:r>
          </w:p>
        </w:tc>
        <w:tc>
          <w:tcPr>
            <w:tcW w:w="2504" w:type="dxa"/>
          </w:tcPr>
          <w:p w14:paraId="1371FD6D" w14:textId="77777777" w:rsidR="00F45500" w:rsidRPr="007B192E" w:rsidRDefault="00F45500" w:rsidP="008F7A94">
            <w:pPr>
              <w:spacing w:before="60" w:after="60"/>
              <w:rPr>
                <w:rFonts w:ascii="Arial" w:hAnsi="Arial" w:cs="Arial"/>
                <w:color w:val="000000" w:themeColor="text1"/>
                <w:sz w:val="18"/>
                <w:szCs w:val="18"/>
              </w:rPr>
            </w:pPr>
          </w:p>
        </w:tc>
      </w:tr>
      <w:tr w:rsidR="004D7D23" w:rsidRPr="007B192E" w14:paraId="0D54A1B4" w14:textId="77777777" w:rsidTr="008F7A94">
        <w:trPr>
          <w:jc w:val="center"/>
        </w:trPr>
        <w:tc>
          <w:tcPr>
            <w:tcW w:w="817" w:type="dxa"/>
          </w:tcPr>
          <w:p w14:paraId="73011728"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4190" w:type="dxa"/>
          </w:tcPr>
          <w:p w14:paraId="0BE25EFB"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Cement</w:t>
            </w:r>
          </w:p>
        </w:tc>
        <w:tc>
          <w:tcPr>
            <w:tcW w:w="2504" w:type="dxa"/>
          </w:tcPr>
          <w:p w14:paraId="066289FF"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wg p. 2.2.4</w:t>
            </w:r>
          </w:p>
        </w:tc>
      </w:tr>
      <w:tr w:rsidR="004D7D23" w:rsidRPr="007B192E" w14:paraId="1C957054" w14:textId="77777777" w:rsidTr="008F7A94">
        <w:trPr>
          <w:jc w:val="center"/>
        </w:trPr>
        <w:tc>
          <w:tcPr>
            <w:tcW w:w="817" w:type="dxa"/>
          </w:tcPr>
          <w:p w14:paraId="02CC345C"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4190" w:type="dxa"/>
          </w:tcPr>
          <w:p w14:paraId="6F016936"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Kruszywo</w:t>
            </w:r>
          </w:p>
        </w:tc>
        <w:tc>
          <w:tcPr>
            <w:tcW w:w="2504" w:type="dxa"/>
          </w:tcPr>
          <w:p w14:paraId="242E3AE0"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wg tablicy 1</w:t>
            </w:r>
          </w:p>
        </w:tc>
      </w:tr>
      <w:tr w:rsidR="004D7D23" w:rsidRPr="007B192E" w14:paraId="120FF623" w14:textId="77777777" w:rsidTr="008F7A94">
        <w:trPr>
          <w:jc w:val="center"/>
        </w:trPr>
        <w:tc>
          <w:tcPr>
            <w:tcW w:w="817" w:type="dxa"/>
          </w:tcPr>
          <w:p w14:paraId="2C030EE6"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4190" w:type="dxa"/>
          </w:tcPr>
          <w:p w14:paraId="0C5F52DE"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Woda zarobowa</w:t>
            </w:r>
          </w:p>
        </w:tc>
        <w:tc>
          <w:tcPr>
            <w:tcW w:w="2504" w:type="dxa"/>
          </w:tcPr>
          <w:p w14:paraId="3FFAC2CD"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wg p. 2.2.5</w:t>
            </w:r>
          </w:p>
        </w:tc>
      </w:tr>
      <w:tr w:rsidR="004D7D23" w:rsidRPr="007B192E" w14:paraId="5C6986C9" w14:textId="77777777" w:rsidTr="008F7A94">
        <w:trPr>
          <w:jc w:val="center"/>
        </w:trPr>
        <w:tc>
          <w:tcPr>
            <w:tcW w:w="817" w:type="dxa"/>
          </w:tcPr>
          <w:p w14:paraId="09625105"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4190" w:type="dxa"/>
          </w:tcPr>
          <w:p w14:paraId="1BCAD80D"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Dodatki</w:t>
            </w:r>
          </w:p>
        </w:tc>
        <w:tc>
          <w:tcPr>
            <w:tcW w:w="2504" w:type="dxa"/>
          </w:tcPr>
          <w:p w14:paraId="4FCF3D25"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wg p. 2.2.6</w:t>
            </w:r>
          </w:p>
        </w:tc>
      </w:tr>
      <w:tr w:rsidR="004D7D23" w:rsidRPr="007B192E" w14:paraId="20EC4E95" w14:textId="77777777" w:rsidTr="008F7A94">
        <w:trPr>
          <w:jc w:val="center"/>
        </w:trPr>
        <w:tc>
          <w:tcPr>
            <w:tcW w:w="817" w:type="dxa"/>
          </w:tcPr>
          <w:p w14:paraId="5764BEC2"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4190" w:type="dxa"/>
          </w:tcPr>
          <w:p w14:paraId="4EF70E57"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Mieszanka</w:t>
            </w:r>
          </w:p>
        </w:tc>
        <w:tc>
          <w:tcPr>
            <w:tcW w:w="2504" w:type="dxa"/>
          </w:tcPr>
          <w:p w14:paraId="76EDEEBA" w14:textId="77777777" w:rsidR="00F45500" w:rsidRPr="007B192E" w:rsidRDefault="00F45500" w:rsidP="008F7A94">
            <w:pPr>
              <w:spacing w:before="60" w:after="60"/>
              <w:rPr>
                <w:rFonts w:ascii="Arial" w:hAnsi="Arial" w:cs="Arial"/>
                <w:color w:val="000000" w:themeColor="text1"/>
                <w:sz w:val="18"/>
                <w:szCs w:val="18"/>
              </w:rPr>
            </w:pPr>
          </w:p>
        </w:tc>
      </w:tr>
      <w:tr w:rsidR="004D7D23" w:rsidRPr="007B192E" w14:paraId="4A848C20" w14:textId="77777777" w:rsidTr="008F7A94">
        <w:trPr>
          <w:jc w:val="center"/>
        </w:trPr>
        <w:tc>
          <w:tcPr>
            <w:tcW w:w="817" w:type="dxa"/>
          </w:tcPr>
          <w:p w14:paraId="248F6B18"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2.1</w:t>
            </w:r>
          </w:p>
        </w:tc>
        <w:tc>
          <w:tcPr>
            <w:tcW w:w="4190" w:type="dxa"/>
          </w:tcPr>
          <w:p w14:paraId="2D0C3DB4"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Uziarnienie:</w:t>
            </w:r>
          </w:p>
        </w:tc>
        <w:tc>
          <w:tcPr>
            <w:tcW w:w="2504" w:type="dxa"/>
          </w:tcPr>
          <w:p w14:paraId="49A7EEE4"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krzywe graniczne</w:t>
            </w:r>
          </w:p>
        </w:tc>
      </w:tr>
      <w:tr w:rsidR="004D7D23" w:rsidRPr="007B192E" w14:paraId="7F1B4647" w14:textId="77777777" w:rsidTr="008F7A94">
        <w:trPr>
          <w:jc w:val="center"/>
        </w:trPr>
        <w:tc>
          <w:tcPr>
            <w:tcW w:w="817" w:type="dxa"/>
          </w:tcPr>
          <w:p w14:paraId="5A0085A9" w14:textId="77777777" w:rsidR="00F45500" w:rsidRPr="007B192E" w:rsidRDefault="00F45500" w:rsidP="008F7A94">
            <w:pPr>
              <w:rPr>
                <w:rFonts w:ascii="Arial" w:hAnsi="Arial" w:cs="Arial"/>
                <w:color w:val="000000" w:themeColor="text1"/>
                <w:sz w:val="18"/>
                <w:szCs w:val="18"/>
              </w:rPr>
            </w:pPr>
          </w:p>
        </w:tc>
        <w:tc>
          <w:tcPr>
            <w:tcW w:w="4190" w:type="dxa"/>
          </w:tcPr>
          <w:p w14:paraId="61147CA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mieszanka 0/8 mm</w:t>
            </w:r>
          </w:p>
        </w:tc>
        <w:tc>
          <w:tcPr>
            <w:tcW w:w="2504" w:type="dxa"/>
          </w:tcPr>
          <w:p w14:paraId="69FF382F" w14:textId="77777777" w:rsidR="00F45500" w:rsidRPr="007B192E" w:rsidRDefault="00F45500" w:rsidP="008F7A94">
            <w:pPr>
              <w:rPr>
                <w:rFonts w:ascii="Arial" w:hAnsi="Arial" w:cs="Arial"/>
                <w:color w:val="000000" w:themeColor="text1"/>
                <w:sz w:val="18"/>
                <w:szCs w:val="18"/>
                <w:vertAlign w:val="superscript"/>
              </w:rPr>
            </w:pPr>
            <w:r w:rsidRPr="007B192E">
              <w:rPr>
                <w:rFonts w:ascii="Arial" w:hAnsi="Arial" w:cs="Arial"/>
                <w:color w:val="000000" w:themeColor="text1"/>
                <w:sz w:val="18"/>
                <w:szCs w:val="18"/>
              </w:rPr>
              <w:t>wg rys. 5</w:t>
            </w:r>
            <w:r w:rsidRPr="007B192E">
              <w:rPr>
                <w:rFonts w:ascii="Arial" w:hAnsi="Arial" w:cs="Arial"/>
                <w:color w:val="000000" w:themeColor="text1"/>
                <w:sz w:val="18"/>
                <w:szCs w:val="18"/>
                <w:vertAlign w:val="superscript"/>
              </w:rPr>
              <w:t>*)</w:t>
            </w:r>
          </w:p>
        </w:tc>
      </w:tr>
      <w:tr w:rsidR="004D7D23" w:rsidRPr="007B192E" w14:paraId="0822C2C1" w14:textId="77777777" w:rsidTr="008F7A94">
        <w:trPr>
          <w:jc w:val="center"/>
        </w:trPr>
        <w:tc>
          <w:tcPr>
            <w:tcW w:w="817" w:type="dxa"/>
          </w:tcPr>
          <w:p w14:paraId="5463FE83" w14:textId="77777777" w:rsidR="00F45500" w:rsidRPr="007B192E" w:rsidRDefault="00F45500" w:rsidP="008F7A94">
            <w:pPr>
              <w:rPr>
                <w:rFonts w:ascii="Arial" w:hAnsi="Arial" w:cs="Arial"/>
                <w:color w:val="000000" w:themeColor="text1"/>
                <w:sz w:val="18"/>
                <w:szCs w:val="18"/>
              </w:rPr>
            </w:pPr>
          </w:p>
        </w:tc>
        <w:tc>
          <w:tcPr>
            <w:tcW w:w="4190" w:type="dxa"/>
          </w:tcPr>
          <w:p w14:paraId="1B27D70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mieszanka 0/11,2 mm</w:t>
            </w:r>
          </w:p>
        </w:tc>
        <w:tc>
          <w:tcPr>
            <w:tcW w:w="2504" w:type="dxa"/>
          </w:tcPr>
          <w:p w14:paraId="6270456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rys. 4</w:t>
            </w:r>
          </w:p>
        </w:tc>
      </w:tr>
      <w:tr w:rsidR="004D7D23" w:rsidRPr="007B192E" w14:paraId="3D5C789F" w14:textId="77777777" w:rsidTr="008F7A94">
        <w:trPr>
          <w:jc w:val="center"/>
        </w:trPr>
        <w:tc>
          <w:tcPr>
            <w:tcW w:w="817" w:type="dxa"/>
          </w:tcPr>
          <w:p w14:paraId="38962D25" w14:textId="77777777" w:rsidR="00F45500" w:rsidRPr="007B192E" w:rsidRDefault="00F45500" w:rsidP="008F7A94">
            <w:pPr>
              <w:rPr>
                <w:rFonts w:ascii="Arial" w:hAnsi="Arial" w:cs="Arial"/>
                <w:color w:val="000000" w:themeColor="text1"/>
                <w:sz w:val="18"/>
                <w:szCs w:val="18"/>
              </w:rPr>
            </w:pPr>
          </w:p>
        </w:tc>
        <w:tc>
          <w:tcPr>
            <w:tcW w:w="4190" w:type="dxa"/>
          </w:tcPr>
          <w:p w14:paraId="744EC5C5"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mieszanka 0/16 mm</w:t>
            </w:r>
          </w:p>
        </w:tc>
        <w:tc>
          <w:tcPr>
            <w:tcW w:w="2504" w:type="dxa"/>
          </w:tcPr>
          <w:p w14:paraId="0D0614E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rys. 3</w:t>
            </w:r>
          </w:p>
        </w:tc>
      </w:tr>
      <w:tr w:rsidR="004D7D23" w:rsidRPr="007B192E" w14:paraId="5EE2DB75" w14:textId="77777777" w:rsidTr="008F7A94">
        <w:trPr>
          <w:jc w:val="center"/>
        </w:trPr>
        <w:tc>
          <w:tcPr>
            <w:tcW w:w="817" w:type="dxa"/>
          </w:tcPr>
          <w:p w14:paraId="1F8C4707" w14:textId="77777777" w:rsidR="00F45500" w:rsidRPr="007B192E" w:rsidRDefault="00F45500" w:rsidP="008F7A94">
            <w:pPr>
              <w:rPr>
                <w:rFonts w:ascii="Arial" w:hAnsi="Arial" w:cs="Arial"/>
                <w:color w:val="000000" w:themeColor="text1"/>
                <w:sz w:val="18"/>
                <w:szCs w:val="18"/>
              </w:rPr>
            </w:pPr>
          </w:p>
        </w:tc>
        <w:tc>
          <w:tcPr>
            <w:tcW w:w="4190" w:type="dxa"/>
          </w:tcPr>
          <w:p w14:paraId="638D942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mieszanka 0/22,4 mm</w:t>
            </w:r>
          </w:p>
        </w:tc>
        <w:tc>
          <w:tcPr>
            <w:tcW w:w="2504" w:type="dxa"/>
          </w:tcPr>
          <w:p w14:paraId="4979C0B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rys. 2</w:t>
            </w:r>
          </w:p>
        </w:tc>
      </w:tr>
      <w:tr w:rsidR="004D7D23" w:rsidRPr="007B192E" w14:paraId="43163E94" w14:textId="77777777" w:rsidTr="008F7A94">
        <w:trPr>
          <w:jc w:val="center"/>
        </w:trPr>
        <w:tc>
          <w:tcPr>
            <w:tcW w:w="817" w:type="dxa"/>
          </w:tcPr>
          <w:p w14:paraId="400A1370" w14:textId="77777777" w:rsidR="00F45500" w:rsidRPr="007B192E" w:rsidRDefault="00F45500" w:rsidP="008F7A94">
            <w:pPr>
              <w:rPr>
                <w:rFonts w:ascii="Arial" w:hAnsi="Arial" w:cs="Arial"/>
                <w:color w:val="000000" w:themeColor="text1"/>
                <w:sz w:val="18"/>
                <w:szCs w:val="18"/>
              </w:rPr>
            </w:pPr>
          </w:p>
        </w:tc>
        <w:tc>
          <w:tcPr>
            <w:tcW w:w="4190" w:type="dxa"/>
          </w:tcPr>
          <w:p w14:paraId="5D9873CC"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mieszanka 0/31,5 mm</w:t>
            </w:r>
          </w:p>
        </w:tc>
        <w:tc>
          <w:tcPr>
            <w:tcW w:w="2504" w:type="dxa"/>
          </w:tcPr>
          <w:p w14:paraId="3C9F373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rys. 1</w:t>
            </w:r>
          </w:p>
        </w:tc>
      </w:tr>
      <w:tr w:rsidR="004D7D23" w:rsidRPr="007B192E" w14:paraId="591779A3" w14:textId="77777777" w:rsidTr="008F7A94">
        <w:trPr>
          <w:jc w:val="center"/>
        </w:trPr>
        <w:tc>
          <w:tcPr>
            <w:tcW w:w="817" w:type="dxa"/>
          </w:tcPr>
          <w:p w14:paraId="476B886F"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2.2</w:t>
            </w:r>
          </w:p>
        </w:tc>
        <w:tc>
          <w:tcPr>
            <w:tcW w:w="4190" w:type="dxa"/>
          </w:tcPr>
          <w:p w14:paraId="035DEDE8"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Minimalna zawartość cementu</w:t>
            </w:r>
          </w:p>
        </w:tc>
        <w:tc>
          <w:tcPr>
            <w:tcW w:w="2504" w:type="dxa"/>
          </w:tcPr>
          <w:p w14:paraId="457CA01E"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wg tablicy 3</w:t>
            </w:r>
          </w:p>
        </w:tc>
      </w:tr>
      <w:tr w:rsidR="004D7D23" w:rsidRPr="007B192E" w14:paraId="4BBEE44C" w14:textId="77777777" w:rsidTr="008F7A94">
        <w:trPr>
          <w:jc w:val="center"/>
        </w:trPr>
        <w:tc>
          <w:tcPr>
            <w:tcW w:w="817" w:type="dxa"/>
          </w:tcPr>
          <w:p w14:paraId="74A23AC7"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2.3</w:t>
            </w:r>
          </w:p>
        </w:tc>
        <w:tc>
          <w:tcPr>
            <w:tcW w:w="4190" w:type="dxa"/>
          </w:tcPr>
          <w:p w14:paraId="0EB5D8F6"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Zawartość wody</w:t>
            </w:r>
          </w:p>
        </w:tc>
        <w:tc>
          <w:tcPr>
            <w:tcW w:w="2504" w:type="dxa"/>
          </w:tcPr>
          <w:p w14:paraId="715101CC" w14:textId="77777777" w:rsidR="00F45500" w:rsidRPr="007B192E" w:rsidRDefault="00F45500" w:rsidP="008F7A94">
            <w:pPr>
              <w:spacing w:before="60" w:after="60"/>
              <w:rPr>
                <w:rFonts w:ascii="Arial" w:hAnsi="Arial" w:cs="Arial"/>
                <w:color w:val="000000" w:themeColor="text1"/>
                <w:sz w:val="18"/>
                <w:szCs w:val="18"/>
              </w:rPr>
            </w:pPr>
            <w:r w:rsidRPr="007B192E">
              <w:rPr>
                <w:rFonts w:ascii="Arial" w:hAnsi="Arial" w:cs="Arial"/>
                <w:color w:val="000000" w:themeColor="text1"/>
                <w:sz w:val="18"/>
                <w:szCs w:val="18"/>
              </w:rPr>
              <w:t>wg projektu mieszanki</w:t>
            </w:r>
          </w:p>
        </w:tc>
      </w:tr>
      <w:tr w:rsidR="004D7D23" w:rsidRPr="007B192E" w14:paraId="0D28F383" w14:textId="77777777" w:rsidTr="008F7A94">
        <w:trPr>
          <w:jc w:val="center"/>
        </w:trPr>
        <w:tc>
          <w:tcPr>
            <w:tcW w:w="817" w:type="dxa"/>
          </w:tcPr>
          <w:p w14:paraId="754914BE"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4190" w:type="dxa"/>
          </w:tcPr>
          <w:p w14:paraId="0FADB4C3"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Wytrzymałość na ściskanie (system I) – klasa wytrzymałości </w:t>
            </w:r>
            <w:proofErr w:type="spellStart"/>
            <w:r w:rsidRPr="007B192E">
              <w:rPr>
                <w:rFonts w:ascii="Arial" w:hAnsi="Arial" w:cs="Arial"/>
                <w:color w:val="000000" w:themeColor="text1"/>
                <w:sz w:val="18"/>
                <w:szCs w:val="18"/>
              </w:rPr>
              <w:t>R</w:t>
            </w:r>
            <w:r w:rsidRPr="007B192E">
              <w:rPr>
                <w:rFonts w:ascii="Arial" w:hAnsi="Arial" w:cs="Arial"/>
                <w:color w:val="000000" w:themeColor="text1"/>
                <w:sz w:val="18"/>
                <w:szCs w:val="18"/>
                <w:vertAlign w:val="subscript"/>
              </w:rPr>
              <w:t>c</w:t>
            </w:r>
            <w:proofErr w:type="spellEnd"/>
            <w:r w:rsidRPr="007B192E">
              <w:rPr>
                <w:rFonts w:ascii="Arial" w:hAnsi="Arial" w:cs="Arial"/>
                <w:color w:val="000000" w:themeColor="text1"/>
                <w:sz w:val="18"/>
                <w:szCs w:val="18"/>
              </w:rPr>
              <w:t xml:space="preserve"> wg tablicy 2</w:t>
            </w:r>
          </w:p>
        </w:tc>
        <w:tc>
          <w:tcPr>
            <w:tcW w:w="2504" w:type="dxa"/>
          </w:tcPr>
          <w:p w14:paraId="15FC5A82"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klasa C 1,5/2,0</w:t>
            </w:r>
          </w:p>
        </w:tc>
      </w:tr>
    </w:tbl>
    <w:p w14:paraId="7712AA99"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 xml:space="preserve"> Mieszankę 0/8 mm można stosować tylko dla ruchu KR1 i KR2</w:t>
      </w:r>
    </w:p>
    <w:p w14:paraId="2227B0C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5.5. Odcinek próbny</w:t>
      </w:r>
    </w:p>
    <w:p w14:paraId="67B4E20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wykonać odcinek próbny w celu:</w:t>
      </w:r>
    </w:p>
    <w:p w14:paraId="214F5745" w14:textId="77777777" w:rsidR="00F45500" w:rsidRPr="007B192E"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stwierdzenia czy sprzęt do produkcji mieszanki oraz jej rozkładania i zagęszczania jest właściwy,</w:t>
      </w:r>
    </w:p>
    <w:p w14:paraId="7BD3C529" w14:textId="77777777" w:rsidR="00F45500" w:rsidRPr="007B192E"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określenia grubości warstwy wbudowanej mieszanki przed zagęszczeniem, koniecznej do uzyskania wymaganej grubości warstwy zagęszczonej,</w:t>
      </w:r>
    </w:p>
    <w:p w14:paraId="063FA099" w14:textId="77777777" w:rsidR="00F45500" w:rsidRPr="007B192E" w:rsidRDefault="00F45500" w:rsidP="00F45500">
      <w:pPr>
        <w:widowControl/>
        <w:numPr>
          <w:ilvl w:val="0"/>
          <w:numId w:val="203"/>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określenia liczby przejść walców do uzyskania wymaganego wskaźnika zagęszczenia warstwy.</w:t>
      </w:r>
    </w:p>
    <w:p w14:paraId="5200B3D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odcinku próbnym Wykonawca powinien użyć materiałów oraz sprzętu takich, jakie będą stosowane do wykonania podbudowy lub podłoża ulepszonego.</w:t>
      </w:r>
    </w:p>
    <w:p w14:paraId="000144E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Powierzchnia odcinka próbnego powinna wynosić od 400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do 800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a długość nie powinna być mniejsza niż 200 m.</w:t>
      </w:r>
    </w:p>
    <w:p w14:paraId="4BBC67E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Odcinek próbny powinien być zlokalizowany w miejscu wskazanym przez Inżyniera.</w:t>
      </w:r>
    </w:p>
    <w:p w14:paraId="15EA953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może przystąpić do wykonywania podbudowy lub podłoża ulepszonego po zaakceptowaniu odcinka próbnego przez Inżyniera.</w:t>
      </w:r>
    </w:p>
    <w:p w14:paraId="636AF1D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5.6. Warunki przystąpienia do robót i przygotowanie podłoża</w:t>
      </w:r>
    </w:p>
    <w:p w14:paraId="18CD7C6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Podbudowa lub podłoże ulepszone z mieszanek związanych cementem nie powinny być wykonywane, gdy temperatura powietrza jest niższa od +5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oraz gdy podłoże jest zamarznięte.</w:t>
      </w:r>
    </w:p>
    <w:p w14:paraId="1E2B7D4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Podłoże pod mieszankę powinno być przygotowane zgodnie z wymaganiami określonymi w dokumentacji projektowej i ST. Zaleca się do korzystania z ustaleń podanych w ST D-04.01.01 „Koryto wraz z profilowaniem i zagęszczeniem podłoża” [4] i ST D-02.00.00 „Roboty ziemne” [3].</w:t>
      </w:r>
    </w:p>
    <w:p w14:paraId="0572B7B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Jeśli warstwa mieszanki kruszywa ma być układana w prowadnicach, to należy je ustawić na podłożu tak aby wyznaczały ściśle linie krawędzi układanej warstwy według dokumentacji projektowej. Wysokość prowadnic powinna odpowiadać grubości warstwy mieszanki kruszywa w stanie niezagęszczonym. Prowadnice powinny być ustawione stabilnie, w sposób wykluczający ich przesuwanie się pod wpływem oddziaływania maszyn użytych do wykonania warstwy. Od użycia prowadnic można odstąpić przy zastosowaniu technologii gwarantującej odpowiednią równość warstwy, po uzyskaniu zgody Inżyniera.</w:t>
      </w:r>
    </w:p>
    <w:p w14:paraId="1CFD7DB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5.7. Wytwarzanie i wbudowanie mieszanki</w:t>
      </w:r>
    </w:p>
    <w:p w14:paraId="43CC470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kruszywa związanego cementem o ściśle określonym składzie zawartym w recepcie laboratoryjnej należy wytwarzać w  wytwórniach (mieszarkach) stacjonarnych lub mobilnych zapewniających ciągłość produkcji i gwarantujących otrzymanie jednorodnej mieszanki. Mieszarka powinna być wyposażona w urządzenia do wagowego dozowania kruszywa i cementu oraz objętościowego dozowania wody.</w:t>
      </w:r>
    </w:p>
    <w:p w14:paraId="0ECD627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produkcji mieszanek należy prowadzić kontrolę produkcji zgodnie z WT-5 [25] część 5.</w:t>
      </w:r>
    </w:p>
    <w:p w14:paraId="7847F67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Mieszanka po wyprodukowaniu powinna być od razu transportowana na miejsce wbudowania, w sposób zabezpieczony przed segregacją i nadmiernym wysychaniem.</w:t>
      </w:r>
    </w:p>
    <w:p w14:paraId="7BC69DF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Mieszanka dowieziona z wytwórni powinna być układana przy pomocy układarek lub równiarek. Grubość układania mieszanki powinna zapewniać uzyskanie wymaganej grubości warstwy po zagęszczeniu. Warstwę można wykonać o grubości np. 20 cm po zagęszczeniu. Gdy wymagana jest większa grubość, to do układania drugiej warstwy można przystąpić po odbiorze pierwszej warstwy przez Inżyniera. Przy układaniu mieszanki za pomocą równiarek konieczne jest stosowanie prowadnic.</w:t>
      </w:r>
    </w:p>
    <w:p w14:paraId="0DA65D0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 xml:space="preserve">Przed zagęszczeniem warstwa powinna być wyprofilowana do wymaganych rzędnych, spadków podłużnych i poprzecznych. Natychmiast po wyprofilowaniu mieszanki należy rozpocząć jej zagęszczanie, które należy kontynuować do osiągnięcia wskaźnika zagęszczenia nie mniejszego od 0,98 maksymalnego zagęszczenia określonego według normalnej próby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Zagęszczenie powinno być zakończone przed rozpoczęciem czasu wiązania cementu. Specjalną uwagę należy poświęcić zagęszczeniu mieszanki w sąsiedztwie spoin roboczych podłużnych i poprzecznych oraz wszelkich urządzeń obcych. Zaleca się aby Wykonawca organizował roboty w sposób unikający podłużnych spoin roboczych.  Jeśli jednak w dolnej warstwie podbudowy występują spoiny robocze, to spoiny w górnej warstwie podbudowy powinny być względem nich przesunięte o co najmniej 30 cm dla spoiny podłużnej i 1 m dla spoiny poprzecznej.</w:t>
      </w:r>
    </w:p>
    <w:p w14:paraId="424AAE3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5.8. Pielęgnacja warstwy kruszywa związanego cementem</w:t>
      </w:r>
    </w:p>
    <w:p w14:paraId="460AD01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Warstwa kruszywa związanego cementem powinna być natychmiast po zagęszczeniu poddana pielęgnacji według jednego z następujących sposobów:</w:t>
      </w:r>
    </w:p>
    <w:p w14:paraId="27DF0211" w14:textId="77777777" w:rsidR="00F45500" w:rsidRPr="007B192E"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skropieniem preparatem pielęgnacyjnym, posiadającym aprobatę techniczną,</w:t>
      </w:r>
    </w:p>
    <w:p w14:paraId="315F009F" w14:textId="77777777" w:rsidR="00F45500" w:rsidRPr="007B192E"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przykryciem na okres 7 do 10 dni nieprzepuszczalną folią z tworzywa sztucznego, ułożoną na zakład co najmniej 30 cm i zabezpieczoną przed zerwaniem przez wiatr,</w:t>
      </w:r>
    </w:p>
    <w:p w14:paraId="24A7A151" w14:textId="77777777" w:rsidR="00F45500" w:rsidRPr="007B192E"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przykryciem matami lub włókninami i spryskanie wodą przez okres 7÷10 dni,</w:t>
      </w:r>
    </w:p>
    <w:p w14:paraId="4DE453D3" w14:textId="77777777" w:rsidR="00F45500" w:rsidRPr="007B192E"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przykryciem warstwą piasku i utrzymanie jej w stanie wilgotnym przez okres 7÷10 dni,</w:t>
      </w:r>
    </w:p>
    <w:p w14:paraId="4B70B6B8" w14:textId="77777777" w:rsidR="00F45500" w:rsidRPr="007B192E" w:rsidRDefault="00F45500" w:rsidP="00F45500">
      <w:pPr>
        <w:widowControl/>
        <w:numPr>
          <w:ilvl w:val="0"/>
          <w:numId w:val="20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innymi środkami zaakceptowanymi przez Inżyniera.</w:t>
      </w:r>
    </w:p>
    <w:p w14:paraId="3E1E8E5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Nie należy dopuszczać ruchu pojazdów i maszyn po warstwie kruszywa związanej cementem w okresie od 7 do 10 dni pielęgnacji, a po tym okresie ruch technologiczny może odbywać się wyłącznie za zgodą Inżyniera.</w:t>
      </w:r>
    </w:p>
    <w:p w14:paraId="354806E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5.9. Roboty wykończeniowe</w:t>
      </w:r>
    </w:p>
    <w:p w14:paraId="273DE7E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 zgodne z dokumentacją projektową, ST, dokumentacją wiaty i wskazaniami Inżyniera dotyczą prac związanych z dostosowaniem wykonanych  robót do istniejących warunków terenowych, takie jak:</w:t>
      </w:r>
    </w:p>
    <w:p w14:paraId="0CF702F5" w14:textId="77777777" w:rsidR="00F45500" w:rsidRPr="007B192E" w:rsidRDefault="00F45500" w:rsidP="00F45500">
      <w:pPr>
        <w:widowControl/>
        <w:numPr>
          <w:ilvl w:val="0"/>
          <w:numId w:val="206"/>
        </w:numPr>
        <w:tabs>
          <w:tab w:val="clear" w:pos="397"/>
          <w:tab w:val="num" w:pos="284"/>
        </w:tabs>
        <w:suppressAutoHyphens w:val="0"/>
        <w:autoSpaceDN w:val="0"/>
        <w:adjustRightInd w:val="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odtworzenie przeszkód czasowo usuniętych,</w:t>
      </w:r>
    </w:p>
    <w:p w14:paraId="7B3929A5" w14:textId="77777777" w:rsidR="00F45500" w:rsidRPr="007B192E" w:rsidRDefault="00F45500" w:rsidP="00F45500">
      <w:pPr>
        <w:widowControl/>
        <w:numPr>
          <w:ilvl w:val="0"/>
          <w:numId w:val="20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uzupełnienie zniszczonych w czasie robót istniejących elementów drogowych lub terenowych,</w:t>
      </w:r>
    </w:p>
    <w:p w14:paraId="5AFFAB6E"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porządkujące otoczenie terenu robót,</w:t>
      </w:r>
    </w:p>
    <w:p w14:paraId="1D608AF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usunięcie oznakowania drogi wprowadzonego na okres robót.</w:t>
      </w:r>
    </w:p>
    <w:p w14:paraId="1BC087DE" w14:textId="77777777" w:rsidR="00F45500" w:rsidRPr="007B192E" w:rsidRDefault="00F45500" w:rsidP="005E0E48">
      <w:pPr>
        <w:pStyle w:val="Nagwek2"/>
        <w:rPr>
          <w:i w:val="0"/>
          <w:color w:val="000000" w:themeColor="text1"/>
        </w:rPr>
      </w:pPr>
      <w:bookmarkStart w:id="231" w:name="_Toc421940501"/>
      <w:bookmarkStart w:id="232" w:name="_Toc24955913"/>
      <w:bookmarkStart w:id="233" w:name="_Toc25128887"/>
      <w:bookmarkStart w:id="234" w:name="_Toc25373385"/>
      <w:bookmarkStart w:id="235" w:name="_Toc25379401"/>
      <w:bookmarkStart w:id="236" w:name="_Toc174333138"/>
      <w:bookmarkStart w:id="237" w:name="_Toc179183771"/>
      <w:bookmarkStart w:id="238" w:name="_Toc198436140"/>
      <w:bookmarkStart w:id="239" w:name="_Toc199904824"/>
      <w:bookmarkStart w:id="240" w:name="_Toc216843088"/>
      <w:bookmarkStart w:id="241" w:name="_Toc257193991"/>
      <w:bookmarkStart w:id="242" w:name="_Toc284409958"/>
      <w:bookmarkStart w:id="243" w:name="_Toc295205110"/>
      <w:bookmarkStart w:id="244" w:name="_Toc332010316"/>
      <w:r w:rsidRPr="007B192E">
        <w:rPr>
          <w:i w:val="0"/>
          <w:color w:val="000000" w:themeColor="text1"/>
        </w:rPr>
        <w:t xml:space="preserve">6. </w:t>
      </w:r>
      <w:bookmarkEnd w:id="231"/>
      <w:bookmarkEnd w:id="232"/>
      <w:bookmarkEnd w:id="233"/>
      <w:bookmarkEnd w:id="234"/>
      <w:bookmarkEnd w:id="235"/>
      <w:bookmarkEnd w:id="236"/>
      <w:bookmarkEnd w:id="237"/>
      <w:bookmarkEnd w:id="238"/>
      <w:bookmarkEnd w:id="239"/>
      <w:bookmarkEnd w:id="240"/>
      <w:bookmarkEnd w:id="241"/>
      <w:bookmarkEnd w:id="242"/>
      <w:bookmarkEnd w:id="243"/>
      <w:r w:rsidRPr="007B192E">
        <w:rPr>
          <w:i w:val="0"/>
          <w:color w:val="000000" w:themeColor="text1"/>
        </w:rPr>
        <w:t>KONTROLA JAKOŚCI ROBÓT</w:t>
      </w:r>
      <w:bookmarkEnd w:id="244"/>
    </w:p>
    <w:p w14:paraId="44290A78"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6.1. Ogólne zasady kontroli jakości robót</w:t>
      </w:r>
    </w:p>
    <w:p w14:paraId="7583679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4D2B2A4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6.2. Badania przed przystąpieniem do robót</w:t>
      </w:r>
    </w:p>
    <w:p w14:paraId="0C01FF2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43A70DD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ACB605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wykonać własne badania właściwości materiałów przeznaczonych do wykonania robót, określone przez Inżyniera.</w:t>
      </w:r>
    </w:p>
    <w:p w14:paraId="673C35B5"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0BE558DE"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6.3. Badania w czasie robót</w:t>
      </w:r>
    </w:p>
    <w:p w14:paraId="788EF6A4"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Częstotliwość oraz zakres badań i pomiarów, które należy wykonać w czasie robót podaje tablica 6. </w:t>
      </w:r>
    </w:p>
    <w:p w14:paraId="1F98E20C"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br w:type="page"/>
      </w:r>
    </w:p>
    <w:p w14:paraId="4724B290" w14:textId="77777777" w:rsidR="00F45500" w:rsidRPr="007B192E" w:rsidRDefault="00F45500" w:rsidP="00F45500">
      <w:pPr>
        <w:numPr>
          <w:ilvl w:val="12"/>
          <w:numId w:val="0"/>
        </w:num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Tablica 6. Częstotliwość oraz zakres badań i pomiarów w czasie robót</w:t>
      </w:r>
    </w:p>
    <w:tbl>
      <w:tblPr>
        <w:tblW w:w="758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118"/>
        <w:gridCol w:w="1276"/>
        <w:gridCol w:w="2693"/>
      </w:tblGrid>
      <w:tr w:rsidR="004D7D23" w:rsidRPr="007B192E" w14:paraId="547DC73F" w14:textId="77777777" w:rsidTr="008F7A94">
        <w:trPr>
          <w:jc w:val="center"/>
        </w:trPr>
        <w:tc>
          <w:tcPr>
            <w:tcW w:w="496" w:type="dxa"/>
            <w:tcBorders>
              <w:bottom w:val="single" w:sz="4" w:space="0" w:color="auto"/>
            </w:tcBorders>
          </w:tcPr>
          <w:p w14:paraId="65E30DBC" w14:textId="77777777" w:rsidR="00F45500" w:rsidRPr="007B192E" w:rsidRDefault="00F45500" w:rsidP="008F7A94">
            <w:pPr>
              <w:numPr>
                <w:ilvl w:val="12"/>
                <w:numId w:val="0"/>
              </w:numPr>
              <w:spacing w:before="180" w:after="60"/>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118" w:type="dxa"/>
            <w:tcBorders>
              <w:bottom w:val="single" w:sz="4" w:space="0" w:color="auto"/>
            </w:tcBorders>
          </w:tcPr>
          <w:p w14:paraId="5292D3D1" w14:textId="77777777" w:rsidR="00F45500" w:rsidRPr="007B192E" w:rsidRDefault="00F45500" w:rsidP="008F7A94">
            <w:pPr>
              <w:numPr>
                <w:ilvl w:val="12"/>
                <w:numId w:val="0"/>
              </w:numPr>
              <w:spacing w:before="180" w:after="60"/>
              <w:rPr>
                <w:rFonts w:ascii="Arial" w:hAnsi="Arial" w:cs="Arial"/>
                <w:color w:val="000000" w:themeColor="text1"/>
                <w:sz w:val="18"/>
                <w:szCs w:val="18"/>
              </w:rPr>
            </w:pPr>
            <w:r w:rsidRPr="007B192E">
              <w:rPr>
                <w:rFonts w:ascii="Arial" w:hAnsi="Arial" w:cs="Arial"/>
                <w:color w:val="000000" w:themeColor="text1"/>
                <w:sz w:val="18"/>
                <w:szCs w:val="18"/>
              </w:rPr>
              <w:t>Wyszczególnienie robót</w:t>
            </w:r>
          </w:p>
        </w:tc>
        <w:tc>
          <w:tcPr>
            <w:tcW w:w="1276" w:type="dxa"/>
            <w:tcBorders>
              <w:bottom w:val="single" w:sz="4" w:space="0" w:color="auto"/>
            </w:tcBorders>
          </w:tcPr>
          <w:p w14:paraId="65D4CFB1"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Częstotliwość badań</w:t>
            </w:r>
          </w:p>
        </w:tc>
        <w:tc>
          <w:tcPr>
            <w:tcW w:w="2693" w:type="dxa"/>
            <w:tcBorders>
              <w:bottom w:val="single" w:sz="4" w:space="0" w:color="auto"/>
            </w:tcBorders>
          </w:tcPr>
          <w:p w14:paraId="3030A02E" w14:textId="77777777" w:rsidR="00F45500" w:rsidRPr="007B192E" w:rsidRDefault="00F45500" w:rsidP="008F7A94">
            <w:pPr>
              <w:numPr>
                <w:ilvl w:val="12"/>
                <w:numId w:val="0"/>
              </w:numPr>
              <w:spacing w:before="180" w:after="60"/>
              <w:rPr>
                <w:rFonts w:ascii="Arial" w:hAnsi="Arial" w:cs="Arial"/>
                <w:color w:val="000000" w:themeColor="text1"/>
                <w:sz w:val="18"/>
                <w:szCs w:val="18"/>
              </w:rPr>
            </w:pPr>
            <w:r w:rsidRPr="007B192E">
              <w:rPr>
                <w:rFonts w:ascii="Arial" w:hAnsi="Arial" w:cs="Arial"/>
                <w:color w:val="000000" w:themeColor="text1"/>
                <w:sz w:val="18"/>
                <w:szCs w:val="18"/>
              </w:rPr>
              <w:t>Wartości dopuszczalne</w:t>
            </w:r>
          </w:p>
        </w:tc>
      </w:tr>
      <w:tr w:rsidR="004D7D23" w:rsidRPr="007B192E" w14:paraId="1ADAEE48" w14:textId="77777777" w:rsidTr="008F7A94">
        <w:trPr>
          <w:jc w:val="center"/>
        </w:trPr>
        <w:tc>
          <w:tcPr>
            <w:tcW w:w="496" w:type="dxa"/>
            <w:tcBorders>
              <w:top w:val="single" w:sz="4" w:space="0" w:color="auto"/>
            </w:tcBorders>
            <w:vAlign w:val="center"/>
          </w:tcPr>
          <w:p w14:paraId="7851A11D"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118" w:type="dxa"/>
            <w:tcBorders>
              <w:top w:val="single" w:sz="4" w:space="0" w:color="auto"/>
            </w:tcBorders>
            <w:vAlign w:val="center"/>
          </w:tcPr>
          <w:p w14:paraId="6E9EBE95"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Lokalizacja i zgodność granic terenu robót z dokumentacją projektową</w:t>
            </w:r>
          </w:p>
        </w:tc>
        <w:tc>
          <w:tcPr>
            <w:tcW w:w="1276" w:type="dxa"/>
            <w:tcBorders>
              <w:top w:val="single" w:sz="4" w:space="0" w:color="auto"/>
            </w:tcBorders>
            <w:vAlign w:val="center"/>
          </w:tcPr>
          <w:p w14:paraId="5B024D71"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1 raz</w:t>
            </w:r>
          </w:p>
        </w:tc>
        <w:tc>
          <w:tcPr>
            <w:tcW w:w="2693" w:type="dxa"/>
            <w:tcBorders>
              <w:top w:val="single" w:sz="4" w:space="0" w:color="auto"/>
            </w:tcBorders>
            <w:vAlign w:val="center"/>
          </w:tcPr>
          <w:p w14:paraId="0261D6E0"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 </w:t>
            </w:r>
          </w:p>
          <w:p w14:paraId="7E7CF549"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 xml:space="preserve">i dokumentacji projektowej </w:t>
            </w:r>
          </w:p>
        </w:tc>
      </w:tr>
      <w:tr w:rsidR="004D7D23" w:rsidRPr="007B192E" w14:paraId="38D1D9DC" w14:textId="77777777" w:rsidTr="008F7A94">
        <w:trPr>
          <w:jc w:val="center"/>
        </w:trPr>
        <w:tc>
          <w:tcPr>
            <w:tcW w:w="496" w:type="dxa"/>
            <w:vAlign w:val="center"/>
          </w:tcPr>
          <w:p w14:paraId="5BF3F4D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118" w:type="dxa"/>
            <w:vAlign w:val="center"/>
          </w:tcPr>
          <w:p w14:paraId="39045D7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c>
          <w:tcPr>
            <w:tcW w:w="1276" w:type="dxa"/>
            <w:vAlign w:val="center"/>
          </w:tcPr>
          <w:p w14:paraId="77820F51"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693" w:type="dxa"/>
            <w:vAlign w:val="center"/>
          </w:tcPr>
          <w:p w14:paraId="5392910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 xml:space="preserve">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5.3</w:t>
            </w:r>
          </w:p>
        </w:tc>
      </w:tr>
      <w:tr w:rsidR="004D7D23" w:rsidRPr="007B192E" w14:paraId="6E174262" w14:textId="77777777" w:rsidTr="008F7A94">
        <w:trPr>
          <w:jc w:val="center"/>
        </w:trPr>
        <w:tc>
          <w:tcPr>
            <w:tcW w:w="496" w:type="dxa"/>
            <w:vAlign w:val="center"/>
          </w:tcPr>
          <w:p w14:paraId="659FA87B"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118" w:type="dxa"/>
            <w:vAlign w:val="center"/>
          </w:tcPr>
          <w:p w14:paraId="390F758A"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1276" w:type="dxa"/>
            <w:vAlign w:val="center"/>
          </w:tcPr>
          <w:p w14:paraId="211CF677"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Dla każdej partii kruszywa i przy każdej zmianie kruszywa</w:t>
            </w:r>
          </w:p>
        </w:tc>
        <w:tc>
          <w:tcPr>
            <w:tcW w:w="2693" w:type="dxa"/>
            <w:vAlign w:val="center"/>
          </w:tcPr>
          <w:p w14:paraId="6F280A1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Tablica 1</w:t>
            </w:r>
          </w:p>
        </w:tc>
      </w:tr>
      <w:tr w:rsidR="004D7D23" w:rsidRPr="007B192E" w14:paraId="0904E7C5" w14:textId="77777777" w:rsidTr="008F7A94">
        <w:trPr>
          <w:jc w:val="center"/>
        </w:trPr>
        <w:tc>
          <w:tcPr>
            <w:tcW w:w="496" w:type="dxa"/>
            <w:vAlign w:val="center"/>
          </w:tcPr>
          <w:p w14:paraId="0D5A8E89"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118" w:type="dxa"/>
            <w:vAlign w:val="center"/>
          </w:tcPr>
          <w:p w14:paraId="661AC4A8"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Właściwości wody</w:t>
            </w:r>
          </w:p>
        </w:tc>
        <w:tc>
          <w:tcPr>
            <w:tcW w:w="1276" w:type="dxa"/>
            <w:vAlign w:val="center"/>
          </w:tcPr>
          <w:p w14:paraId="2BF74549"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Dla każdego wątpliwego źródła</w:t>
            </w:r>
          </w:p>
        </w:tc>
        <w:tc>
          <w:tcPr>
            <w:tcW w:w="2693" w:type="dxa"/>
            <w:vAlign w:val="center"/>
          </w:tcPr>
          <w:p w14:paraId="4829DCB5" w14:textId="77777777" w:rsidR="00F45500" w:rsidRPr="007B192E" w:rsidRDefault="00F45500" w:rsidP="008F7A94">
            <w:pPr>
              <w:numPr>
                <w:ilvl w:val="12"/>
                <w:numId w:val="0"/>
              </w:numPr>
              <w:rPr>
                <w:rFonts w:ascii="Arial" w:hAnsi="Arial" w:cs="Arial"/>
                <w:color w:val="000000" w:themeColor="text1"/>
                <w:sz w:val="18"/>
                <w:szCs w:val="18"/>
              </w:rPr>
            </w:pPr>
            <w:r w:rsidRPr="007B192E">
              <w:rPr>
                <w:rFonts w:ascii="Arial" w:hAnsi="Arial" w:cs="Arial"/>
                <w:color w:val="000000" w:themeColor="text1"/>
                <w:sz w:val="18"/>
                <w:szCs w:val="18"/>
              </w:rPr>
              <w:t>PN-EN 1008 [11]</w:t>
            </w:r>
          </w:p>
        </w:tc>
      </w:tr>
      <w:tr w:rsidR="004D7D23" w:rsidRPr="007B192E" w14:paraId="2865B703" w14:textId="77777777" w:rsidTr="008F7A94">
        <w:trPr>
          <w:jc w:val="center"/>
        </w:trPr>
        <w:tc>
          <w:tcPr>
            <w:tcW w:w="496" w:type="dxa"/>
            <w:vAlign w:val="center"/>
          </w:tcPr>
          <w:p w14:paraId="1C3C2625"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118" w:type="dxa"/>
            <w:vAlign w:val="center"/>
          </w:tcPr>
          <w:p w14:paraId="4A90080C"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Właściwości cementu</w:t>
            </w:r>
          </w:p>
        </w:tc>
        <w:tc>
          <w:tcPr>
            <w:tcW w:w="1276" w:type="dxa"/>
            <w:vAlign w:val="center"/>
          </w:tcPr>
          <w:p w14:paraId="12918D7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Dla każdej partii</w:t>
            </w:r>
          </w:p>
        </w:tc>
        <w:tc>
          <w:tcPr>
            <w:tcW w:w="2693" w:type="dxa"/>
            <w:vAlign w:val="center"/>
          </w:tcPr>
          <w:p w14:paraId="74EC4D7D"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PN-EN 197-1 [5]</w:t>
            </w:r>
          </w:p>
        </w:tc>
      </w:tr>
      <w:tr w:rsidR="004D7D23" w:rsidRPr="007B192E" w14:paraId="2746AABB" w14:textId="77777777" w:rsidTr="008F7A94">
        <w:trPr>
          <w:jc w:val="center"/>
        </w:trPr>
        <w:tc>
          <w:tcPr>
            <w:tcW w:w="496" w:type="dxa"/>
            <w:vAlign w:val="center"/>
          </w:tcPr>
          <w:p w14:paraId="612AB8A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118" w:type="dxa"/>
            <w:vAlign w:val="center"/>
          </w:tcPr>
          <w:p w14:paraId="3EFA618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Uziarnienie mieszanki</w:t>
            </w:r>
          </w:p>
        </w:tc>
        <w:tc>
          <w:tcPr>
            <w:tcW w:w="1276" w:type="dxa"/>
            <w:vAlign w:val="center"/>
          </w:tcPr>
          <w:p w14:paraId="267BDB0C"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2 razy dziennie</w:t>
            </w:r>
          </w:p>
        </w:tc>
        <w:tc>
          <w:tcPr>
            <w:tcW w:w="2693" w:type="dxa"/>
            <w:vAlign w:val="center"/>
          </w:tcPr>
          <w:p w14:paraId="788F29E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Rys. 1 ÷ 5</w:t>
            </w:r>
          </w:p>
        </w:tc>
      </w:tr>
      <w:tr w:rsidR="004D7D23" w:rsidRPr="007B192E" w14:paraId="01EB2A47" w14:textId="77777777" w:rsidTr="008F7A94">
        <w:trPr>
          <w:jc w:val="center"/>
        </w:trPr>
        <w:tc>
          <w:tcPr>
            <w:tcW w:w="496" w:type="dxa"/>
            <w:vAlign w:val="center"/>
          </w:tcPr>
          <w:p w14:paraId="5D108380"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118" w:type="dxa"/>
            <w:vAlign w:val="center"/>
          </w:tcPr>
          <w:p w14:paraId="5D91AED9"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Wilgotność mieszanki</w:t>
            </w:r>
          </w:p>
        </w:tc>
        <w:tc>
          <w:tcPr>
            <w:tcW w:w="1276" w:type="dxa"/>
            <w:vAlign w:val="center"/>
          </w:tcPr>
          <w:p w14:paraId="38EDA38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0FA6828E"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Wilgotność optymalna z tolerancją +10%, -20%</w:t>
            </w:r>
          </w:p>
        </w:tc>
      </w:tr>
      <w:tr w:rsidR="004D7D23" w:rsidRPr="007B192E" w14:paraId="04DF2EBA" w14:textId="77777777" w:rsidTr="008F7A94">
        <w:trPr>
          <w:jc w:val="center"/>
        </w:trPr>
        <w:tc>
          <w:tcPr>
            <w:tcW w:w="496" w:type="dxa"/>
            <w:vAlign w:val="center"/>
          </w:tcPr>
          <w:p w14:paraId="35C18B1C"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118" w:type="dxa"/>
            <w:vAlign w:val="center"/>
          </w:tcPr>
          <w:p w14:paraId="5D02762F"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Grubość warstwy podbudowy</w:t>
            </w:r>
          </w:p>
        </w:tc>
        <w:tc>
          <w:tcPr>
            <w:tcW w:w="1276" w:type="dxa"/>
            <w:vAlign w:val="center"/>
          </w:tcPr>
          <w:p w14:paraId="427CBEB8"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46AD63EC"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Tolerancja ± 1 cm</w:t>
            </w:r>
          </w:p>
        </w:tc>
      </w:tr>
      <w:tr w:rsidR="004D7D23" w:rsidRPr="007B192E" w14:paraId="539C591F" w14:textId="77777777" w:rsidTr="008F7A94">
        <w:trPr>
          <w:jc w:val="center"/>
        </w:trPr>
        <w:tc>
          <w:tcPr>
            <w:tcW w:w="496" w:type="dxa"/>
            <w:vAlign w:val="center"/>
          </w:tcPr>
          <w:p w14:paraId="01104ED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9</w:t>
            </w:r>
          </w:p>
        </w:tc>
        <w:tc>
          <w:tcPr>
            <w:tcW w:w="3118" w:type="dxa"/>
            <w:vAlign w:val="center"/>
          </w:tcPr>
          <w:p w14:paraId="69AC791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Zagęszczenie warstwy mieszanki</w:t>
            </w:r>
          </w:p>
        </w:tc>
        <w:tc>
          <w:tcPr>
            <w:tcW w:w="1276" w:type="dxa"/>
            <w:vAlign w:val="center"/>
          </w:tcPr>
          <w:p w14:paraId="18AD9CE1"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Jw.</w:t>
            </w:r>
          </w:p>
        </w:tc>
        <w:tc>
          <w:tcPr>
            <w:tcW w:w="2693" w:type="dxa"/>
            <w:vAlign w:val="center"/>
          </w:tcPr>
          <w:p w14:paraId="576833E9"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 xml:space="preserve">0,98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(p. 5.7)</w:t>
            </w:r>
          </w:p>
        </w:tc>
      </w:tr>
      <w:tr w:rsidR="004D7D23" w:rsidRPr="007B192E" w14:paraId="4F788EC7" w14:textId="77777777" w:rsidTr="008F7A94">
        <w:trPr>
          <w:jc w:val="center"/>
        </w:trPr>
        <w:tc>
          <w:tcPr>
            <w:tcW w:w="496" w:type="dxa"/>
            <w:vAlign w:val="center"/>
          </w:tcPr>
          <w:p w14:paraId="3013CE2F"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3118" w:type="dxa"/>
            <w:vAlign w:val="center"/>
          </w:tcPr>
          <w:p w14:paraId="02D9A557"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Oznaczenie wytrzymałości na ściskanie</w:t>
            </w:r>
          </w:p>
        </w:tc>
        <w:tc>
          <w:tcPr>
            <w:tcW w:w="1276" w:type="dxa"/>
            <w:vAlign w:val="center"/>
          </w:tcPr>
          <w:p w14:paraId="72A899EC"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3 próbki dziennie</w:t>
            </w:r>
          </w:p>
        </w:tc>
        <w:tc>
          <w:tcPr>
            <w:tcW w:w="2693" w:type="dxa"/>
            <w:vAlign w:val="center"/>
          </w:tcPr>
          <w:p w14:paraId="4925F017"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PN-EN 13286-41 [21]</w:t>
            </w:r>
          </w:p>
        </w:tc>
      </w:tr>
      <w:tr w:rsidR="004D7D23" w:rsidRPr="007B192E" w14:paraId="2A28782B" w14:textId="77777777" w:rsidTr="008F7A94">
        <w:trPr>
          <w:jc w:val="center"/>
        </w:trPr>
        <w:tc>
          <w:tcPr>
            <w:tcW w:w="496" w:type="dxa"/>
            <w:vAlign w:val="center"/>
          </w:tcPr>
          <w:p w14:paraId="5F0A3BC3"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3118" w:type="dxa"/>
            <w:vAlign w:val="center"/>
          </w:tcPr>
          <w:p w14:paraId="26A38F05"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Oznaczenie mrozoodporności</w:t>
            </w:r>
          </w:p>
        </w:tc>
        <w:tc>
          <w:tcPr>
            <w:tcW w:w="1276" w:type="dxa"/>
            <w:vAlign w:val="center"/>
          </w:tcPr>
          <w:p w14:paraId="6BB26ADC"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Na zlecenie Inżyniera</w:t>
            </w:r>
          </w:p>
        </w:tc>
        <w:tc>
          <w:tcPr>
            <w:tcW w:w="2693" w:type="dxa"/>
            <w:vAlign w:val="center"/>
          </w:tcPr>
          <w:p w14:paraId="36BA7508"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p. 5.4</w:t>
            </w:r>
          </w:p>
        </w:tc>
      </w:tr>
      <w:tr w:rsidR="004D7D23" w:rsidRPr="007B192E" w14:paraId="7F0C97A9" w14:textId="77777777" w:rsidTr="008F7A94">
        <w:trPr>
          <w:jc w:val="center"/>
        </w:trPr>
        <w:tc>
          <w:tcPr>
            <w:tcW w:w="496" w:type="dxa"/>
            <w:vAlign w:val="center"/>
          </w:tcPr>
          <w:p w14:paraId="6D96CF4D"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3118" w:type="dxa"/>
            <w:vAlign w:val="center"/>
          </w:tcPr>
          <w:p w14:paraId="4D9BBA54"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Wykonanie robót wykończeniowych</w:t>
            </w:r>
          </w:p>
        </w:tc>
        <w:tc>
          <w:tcPr>
            <w:tcW w:w="1276" w:type="dxa"/>
            <w:vAlign w:val="center"/>
          </w:tcPr>
          <w:p w14:paraId="6A47FE02"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Ocena ciągła</w:t>
            </w:r>
          </w:p>
        </w:tc>
        <w:tc>
          <w:tcPr>
            <w:tcW w:w="2693" w:type="dxa"/>
            <w:vAlign w:val="center"/>
          </w:tcPr>
          <w:p w14:paraId="66E8763B" w14:textId="77777777" w:rsidR="00F45500" w:rsidRPr="007B192E" w:rsidRDefault="00F45500" w:rsidP="008F7A94">
            <w:pPr>
              <w:numPr>
                <w:ilvl w:val="12"/>
                <w:numId w:val="0"/>
              </w:numPr>
              <w:spacing w:before="60" w:after="60"/>
              <w:rPr>
                <w:rFonts w:ascii="Arial" w:hAnsi="Arial" w:cs="Arial"/>
                <w:color w:val="000000" w:themeColor="text1"/>
                <w:sz w:val="18"/>
                <w:szCs w:val="18"/>
              </w:rPr>
            </w:pPr>
            <w:r w:rsidRPr="007B192E">
              <w:rPr>
                <w:rFonts w:ascii="Arial" w:hAnsi="Arial" w:cs="Arial"/>
                <w:color w:val="000000" w:themeColor="text1"/>
                <w:sz w:val="18"/>
                <w:szCs w:val="18"/>
              </w:rPr>
              <w:t>Według punktu 5.9</w:t>
            </w:r>
          </w:p>
        </w:tc>
      </w:tr>
    </w:tbl>
    <w:p w14:paraId="2123339F" w14:textId="77777777" w:rsidR="00F45500" w:rsidRPr="007B192E" w:rsidRDefault="00F45500" w:rsidP="00F45500">
      <w:pPr>
        <w:pStyle w:val="Nagwek2"/>
        <w:numPr>
          <w:ilvl w:val="1"/>
          <w:numId w:val="30"/>
        </w:numPr>
        <w:overflowPunct/>
        <w:autoSpaceDE/>
        <w:spacing w:before="60"/>
        <w:ind w:left="426" w:hanging="426"/>
        <w:jc w:val="both"/>
        <w:textAlignment w:val="auto"/>
        <w:rPr>
          <w:color w:val="000000" w:themeColor="text1"/>
          <w:sz w:val="18"/>
          <w:szCs w:val="18"/>
        </w:rPr>
      </w:pPr>
      <w:bookmarkStart w:id="245" w:name="_Toc421940502"/>
      <w:bookmarkStart w:id="246" w:name="_Toc24955914"/>
      <w:bookmarkStart w:id="247" w:name="_Toc25128888"/>
      <w:bookmarkStart w:id="248" w:name="_Toc25373386"/>
      <w:bookmarkStart w:id="249" w:name="_Toc25379402"/>
      <w:bookmarkStart w:id="250" w:name="_Toc174333139"/>
      <w:bookmarkStart w:id="251" w:name="_Toc179183772"/>
      <w:bookmarkStart w:id="252" w:name="_Toc198436141"/>
      <w:bookmarkStart w:id="253" w:name="_Toc199904825"/>
      <w:bookmarkStart w:id="254" w:name="_Toc216843089"/>
      <w:bookmarkStart w:id="255" w:name="_Toc257193992"/>
      <w:bookmarkStart w:id="256" w:name="_Toc284409959"/>
      <w:bookmarkStart w:id="257" w:name="_Toc295205111"/>
      <w:r w:rsidRPr="007B192E">
        <w:rPr>
          <w:color w:val="000000" w:themeColor="text1"/>
          <w:sz w:val="18"/>
          <w:szCs w:val="18"/>
        </w:rPr>
        <w:t>6.4. Wymagania dotyczące cech geometrycznych i wytrzymałościowych podbudowy</w:t>
      </w:r>
    </w:p>
    <w:p w14:paraId="5E800CB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Częstotliwość oraz zakres badań i pomiarów dotyczących cech geometrycznych podaje tablica 7.</w:t>
      </w:r>
    </w:p>
    <w:p w14:paraId="71758E6A" w14:textId="77777777" w:rsidR="00F45500" w:rsidRPr="007B192E" w:rsidRDefault="00F45500" w:rsidP="00F45500">
      <w:pPr>
        <w:keepNext/>
        <w:spacing w:before="6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7. Częstotliwość oraz zakres badań i pomiarów warstwy odsączającej i odcinającej</w:t>
      </w:r>
    </w:p>
    <w:tbl>
      <w:tblPr>
        <w:tblW w:w="786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2144"/>
        <w:gridCol w:w="2392"/>
        <w:gridCol w:w="2835"/>
      </w:tblGrid>
      <w:tr w:rsidR="004D7D23" w:rsidRPr="007B192E" w14:paraId="59444951" w14:textId="77777777" w:rsidTr="008F7A94">
        <w:trPr>
          <w:jc w:val="center"/>
        </w:trPr>
        <w:tc>
          <w:tcPr>
            <w:tcW w:w="496" w:type="dxa"/>
            <w:tcBorders>
              <w:top w:val="single" w:sz="4" w:space="0" w:color="auto"/>
              <w:left w:val="single" w:sz="4" w:space="0" w:color="auto"/>
              <w:bottom w:val="single" w:sz="4" w:space="0" w:color="auto"/>
            </w:tcBorders>
          </w:tcPr>
          <w:p w14:paraId="45E57DF4"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2144" w:type="dxa"/>
            <w:tcBorders>
              <w:top w:val="single" w:sz="4" w:space="0" w:color="auto"/>
              <w:bottom w:val="single" w:sz="4" w:space="0" w:color="auto"/>
              <w:right w:val="single" w:sz="4" w:space="0" w:color="auto"/>
            </w:tcBorders>
          </w:tcPr>
          <w:p w14:paraId="101DE6D0" w14:textId="77777777" w:rsidR="00F45500" w:rsidRPr="007B192E" w:rsidRDefault="00F45500" w:rsidP="008F7A94">
            <w:pPr>
              <w:ind w:left="215" w:right="312"/>
              <w:rPr>
                <w:rFonts w:ascii="Arial" w:hAnsi="Arial" w:cs="Arial"/>
                <w:color w:val="000000" w:themeColor="text1"/>
                <w:sz w:val="18"/>
                <w:szCs w:val="18"/>
              </w:rPr>
            </w:pPr>
            <w:r w:rsidRPr="007B192E">
              <w:rPr>
                <w:rFonts w:ascii="Arial" w:hAnsi="Arial" w:cs="Arial"/>
                <w:color w:val="000000" w:themeColor="text1"/>
                <w:sz w:val="18"/>
                <w:szCs w:val="18"/>
              </w:rPr>
              <w:t>Wyszczególnienie badań i pomiarów</w:t>
            </w:r>
          </w:p>
        </w:tc>
        <w:tc>
          <w:tcPr>
            <w:tcW w:w="2392" w:type="dxa"/>
            <w:tcBorders>
              <w:left w:val="single" w:sz="4" w:space="0" w:color="auto"/>
            </w:tcBorders>
            <w:shd w:val="clear" w:color="auto" w:fill="auto"/>
          </w:tcPr>
          <w:p w14:paraId="662C85F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Minimalna częstotliwość badań i pomiarów</w:t>
            </w:r>
          </w:p>
        </w:tc>
        <w:tc>
          <w:tcPr>
            <w:tcW w:w="2835" w:type="dxa"/>
            <w:shd w:val="clear" w:color="auto" w:fill="auto"/>
          </w:tcPr>
          <w:p w14:paraId="551D1F3D" w14:textId="77777777" w:rsidR="00F45500" w:rsidRPr="007B192E" w:rsidRDefault="00F45500" w:rsidP="008F7A94">
            <w:pPr>
              <w:spacing w:before="120"/>
              <w:rPr>
                <w:rFonts w:ascii="Arial" w:hAnsi="Arial" w:cs="Arial"/>
                <w:color w:val="000000" w:themeColor="text1"/>
                <w:sz w:val="18"/>
                <w:szCs w:val="18"/>
              </w:rPr>
            </w:pPr>
            <w:r w:rsidRPr="007B192E">
              <w:rPr>
                <w:rFonts w:ascii="Arial" w:hAnsi="Arial" w:cs="Arial"/>
                <w:color w:val="000000" w:themeColor="text1"/>
                <w:sz w:val="18"/>
                <w:szCs w:val="18"/>
              </w:rPr>
              <w:t>Dopuszczalne odchyłki</w:t>
            </w:r>
          </w:p>
        </w:tc>
      </w:tr>
      <w:tr w:rsidR="004D7D23" w:rsidRPr="007B192E" w14:paraId="339F249F" w14:textId="77777777" w:rsidTr="008F7A94">
        <w:trPr>
          <w:jc w:val="center"/>
        </w:trPr>
        <w:tc>
          <w:tcPr>
            <w:tcW w:w="496" w:type="dxa"/>
            <w:tcBorders>
              <w:top w:val="single" w:sz="4" w:space="0" w:color="auto"/>
            </w:tcBorders>
          </w:tcPr>
          <w:p w14:paraId="2BBD805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2144" w:type="dxa"/>
            <w:tcBorders>
              <w:top w:val="single" w:sz="4" w:space="0" w:color="auto"/>
            </w:tcBorders>
          </w:tcPr>
          <w:p w14:paraId="1FF07FB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Szerokość </w:t>
            </w:r>
          </w:p>
        </w:tc>
        <w:tc>
          <w:tcPr>
            <w:tcW w:w="2392" w:type="dxa"/>
            <w:shd w:val="clear" w:color="auto" w:fill="auto"/>
          </w:tcPr>
          <w:p w14:paraId="6861471B"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10 razy na 1 km</w:t>
            </w:r>
          </w:p>
        </w:tc>
        <w:tc>
          <w:tcPr>
            <w:tcW w:w="2835" w:type="dxa"/>
            <w:shd w:val="clear" w:color="auto" w:fill="auto"/>
          </w:tcPr>
          <w:p w14:paraId="76F1C1A7"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+10 cm, -5 cm: różnice od szerokości projektowanej</w:t>
            </w:r>
          </w:p>
        </w:tc>
      </w:tr>
      <w:tr w:rsidR="004D7D23" w:rsidRPr="007B192E" w14:paraId="613962E3" w14:textId="77777777" w:rsidTr="008F7A94">
        <w:trPr>
          <w:jc w:val="center"/>
        </w:trPr>
        <w:tc>
          <w:tcPr>
            <w:tcW w:w="496" w:type="dxa"/>
          </w:tcPr>
          <w:p w14:paraId="7B4CB27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144" w:type="dxa"/>
          </w:tcPr>
          <w:p w14:paraId="48675CBE"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Równość podłużna</w:t>
            </w:r>
          </w:p>
        </w:tc>
        <w:tc>
          <w:tcPr>
            <w:tcW w:w="2392" w:type="dxa"/>
            <w:shd w:val="clear" w:color="auto" w:fill="auto"/>
          </w:tcPr>
          <w:p w14:paraId="405DB2E0"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[26]</w:t>
            </w:r>
          </w:p>
        </w:tc>
        <w:tc>
          <w:tcPr>
            <w:tcW w:w="2835" w:type="dxa"/>
            <w:shd w:val="clear" w:color="auto" w:fill="auto"/>
          </w:tcPr>
          <w:p w14:paraId="65A40AA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[26]</w:t>
            </w:r>
          </w:p>
        </w:tc>
      </w:tr>
      <w:tr w:rsidR="004D7D23" w:rsidRPr="007B192E" w14:paraId="67815EBA" w14:textId="77777777" w:rsidTr="008F7A94">
        <w:trPr>
          <w:jc w:val="center"/>
        </w:trPr>
        <w:tc>
          <w:tcPr>
            <w:tcW w:w="496" w:type="dxa"/>
          </w:tcPr>
          <w:p w14:paraId="71937D7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144" w:type="dxa"/>
          </w:tcPr>
          <w:p w14:paraId="42417116"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Równość poprzeczna</w:t>
            </w:r>
          </w:p>
        </w:tc>
        <w:tc>
          <w:tcPr>
            <w:tcW w:w="2392" w:type="dxa"/>
            <w:shd w:val="clear" w:color="auto" w:fill="auto"/>
          </w:tcPr>
          <w:p w14:paraId="639C22A5"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[26]</w:t>
            </w:r>
          </w:p>
        </w:tc>
        <w:tc>
          <w:tcPr>
            <w:tcW w:w="2835" w:type="dxa"/>
            <w:shd w:val="clear" w:color="auto" w:fill="auto"/>
          </w:tcPr>
          <w:p w14:paraId="77EA02FB"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[26]</w:t>
            </w:r>
          </w:p>
        </w:tc>
      </w:tr>
      <w:tr w:rsidR="004D7D23" w:rsidRPr="007B192E" w14:paraId="7259E3BA" w14:textId="77777777" w:rsidTr="008F7A94">
        <w:trPr>
          <w:jc w:val="center"/>
        </w:trPr>
        <w:tc>
          <w:tcPr>
            <w:tcW w:w="496" w:type="dxa"/>
          </w:tcPr>
          <w:p w14:paraId="691BF609"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144" w:type="dxa"/>
          </w:tcPr>
          <w:p w14:paraId="70BAA9C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Spadki poprzeczne </w:t>
            </w:r>
            <w:r w:rsidRPr="007B192E">
              <w:rPr>
                <w:rFonts w:ascii="Arial" w:hAnsi="Arial" w:cs="Arial"/>
                <w:color w:val="000000" w:themeColor="text1"/>
                <w:sz w:val="18"/>
                <w:szCs w:val="18"/>
                <w:vertAlign w:val="superscript"/>
              </w:rPr>
              <w:t>*)</w:t>
            </w:r>
          </w:p>
        </w:tc>
        <w:tc>
          <w:tcPr>
            <w:tcW w:w="2392" w:type="dxa"/>
            <w:shd w:val="clear" w:color="auto" w:fill="auto"/>
          </w:tcPr>
          <w:p w14:paraId="440F664C"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10 razy na 1 km</w:t>
            </w:r>
          </w:p>
        </w:tc>
        <w:tc>
          <w:tcPr>
            <w:tcW w:w="2835" w:type="dxa"/>
            <w:shd w:val="clear" w:color="auto" w:fill="auto"/>
          </w:tcPr>
          <w:p w14:paraId="1DD43DF7"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0,5% dopuszczalna tolerancja od dokumentacji projektowej</w:t>
            </w:r>
          </w:p>
        </w:tc>
      </w:tr>
      <w:tr w:rsidR="004D7D23" w:rsidRPr="007B192E" w14:paraId="509674C4" w14:textId="77777777" w:rsidTr="008F7A94">
        <w:trPr>
          <w:jc w:val="center"/>
        </w:trPr>
        <w:tc>
          <w:tcPr>
            <w:tcW w:w="496" w:type="dxa"/>
          </w:tcPr>
          <w:p w14:paraId="7D823CD8"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144" w:type="dxa"/>
          </w:tcPr>
          <w:p w14:paraId="0865286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Rzędne wysokościowe</w:t>
            </w:r>
          </w:p>
        </w:tc>
        <w:tc>
          <w:tcPr>
            <w:tcW w:w="2392" w:type="dxa"/>
            <w:shd w:val="clear" w:color="auto" w:fill="auto"/>
          </w:tcPr>
          <w:p w14:paraId="2BCC9E1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[26]</w:t>
            </w:r>
          </w:p>
        </w:tc>
        <w:tc>
          <w:tcPr>
            <w:tcW w:w="2835" w:type="dxa"/>
            <w:shd w:val="clear" w:color="auto" w:fill="auto"/>
          </w:tcPr>
          <w:p w14:paraId="63DA811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wg [26]</w:t>
            </w:r>
          </w:p>
        </w:tc>
      </w:tr>
      <w:tr w:rsidR="004D7D23" w:rsidRPr="007B192E" w14:paraId="2BA47996" w14:textId="77777777" w:rsidTr="008F7A94">
        <w:trPr>
          <w:jc w:val="center"/>
        </w:trPr>
        <w:tc>
          <w:tcPr>
            <w:tcW w:w="496" w:type="dxa"/>
          </w:tcPr>
          <w:p w14:paraId="370A6C4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144" w:type="dxa"/>
          </w:tcPr>
          <w:p w14:paraId="25E7C66B"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Ukształtowanie osi w planie </w:t>
            </w:r>
            <w:r w:rsidRPr="007B192E">
              <w:rPr>
                <w:rFonts w:ascii="Arial" w:hAnsi="Arial" w:cs="Arial"/>
                <w:color w:val="000000" w:themeColor="text1"/>
                <w:sz w:val="18"/>
                <w:szCs w:val="18"/>
                <w:vertAlign w:val="superscript"/>
              </w:rPr>
              <w:t>*)</w:t>
            </w:r>
          </w:p>
        </w:tc>
        <w:tc>
          <w:tcPr>
            <w:tcW w:w="2392" w:type="dxa"/>
            <w:shd w:val="clear" w:color="auto" w:fill="auto"/>
          </w:tcPr>
          <w:p w14:paraId="47B3B151"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co 100 m</w:t>
            </w:r>
          </w:p>
        </w:tc>
        <w:tc>
          <w:tcPr>
            <w:tcW w:w="2835" w:type="dxa"/>
            <w:shd w:val="clear" w:color="auto" w:fill="auto"/>
          </w:tcPr>
          <w:p w14:paraId="53A63DFA"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Przesunięcie od osi projektowanej ± 5 cm</w:t>
            </w:r>
          </w:p>
        </w:tc>
      </w:tr>
      <w:tr w:rsidR="004D7D23" w:rsidRPr="007B192E" w14:paraId="4A69A259" w14:textId="77777777" w:rsidTr="008F7A94">
        <w:trPr>
          <w:jc w:val="center"/>
        </w:trPr>
        <w:tc>
          <w:tcPr>
            <w:tcW w:w="496" w:type="dxa"/>
          </w:tcPr>
          <w:p w14:paraId="5FD93A3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144" w:type="dxa"/>
          </w:tcPr>
          <w:p w14:paraId="2B9A6DA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Grubość podbudowy</w:t>
            </w:r>
          </w:p>
        </w:tc>
        <w:tc>
          <w:tcPr>
            <w:tcW w:w="2392" w:type="dxa"/>
            <w:shd w:val="clear" w:color="auto" w:fill="auto"/>
          </w:tcPr>
          <w:p w14:paraId="5E6E53B2"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w 3 punktach, lecz nie rzadziej niż raz na 2000 m</w:t>
            </w:r>
            <w:r w:rsidRPr="007B192E">
              <w:rPr>
                <w:rFonts w:ascii="Arial" w:hAnsi="Arial" w:cs="Arial"/>
                <w:color w:val="000000" w:themeColor="text1"/>
                <w:sz w:val="18"/>
                <w:szCs w:val="18"/>
                <w:vertAlign w:val="superscript"/>
              </w:rPr>
              <w:t>2</w:t>
            </w:r>
          </w:p>
        </w:tc>
        <w:tc>
          <w:tcPr>
            <w:tcW w:w="2835" w:type="dxa"/>
            <w:shd w:val="clear" w:color="auto" w:fill="auto"/>
          </w:tcPr>
          <w:p w14:paraId="498DC94D" w14:textId="77777777" w:rsidR="00F45500" w:rsidRPr="007B192E" w:rsidRDefault="00F45500" w:rsidP="008F7A94">
            <w:pPr>
              <w:rPr>
                <w:rFonts w:ascii="Arial" w:hAnsi="Arial" w:cs="Arial"/>
                <w:color w:val="000000" w:themeColor="text1"/>
                <w:sz w:val="18"/>
                <w:szCs w:val="18"/>
              </w:rPr>
            </w:pPr>
            <w:r w:rsidRPr="007B192E">
              <w:rPr>
                <w:rFonts w:ascii="Arial" w:hAnsi="Arial" w:cs="Arial"/>
                <w:color w:val="000000" w:themeColor="text1"/>
                <w:sz w:val="18"/>
                <w:szCs w:val="18"/>
              </w:rPr>
              <w:t xml:space="preserve">Różnice od grubości </w:t>
            </w:r>
            <w:proofErr w:type="spellStart"/>
            <w:r w:rsidRPr="007B192E">
              <w:rPr>
                <w:rFonts w:ascii="Arial" w:hAnsi="Arial" w:cs="Arial"/>
                <w:color w:val="000000" w:themeColor="text1"/>
                <w:sz w:val="18"/>
                <w:szCs w:val="18"/>
              </w:rPr>
              <w:t>projekto-wanej</w:t>
            </w:r>
            <w:proofErr w:type="spellEnd"/>
            <w:r w:rsidRPr="007B192E">
              <w:rPr>
                <w:rFonts w:ascii="Arial" w:hAnsi="Arial" w:cs="Arial"/>
                <w:color w:val="000000" w:themeColor="text1"/>
                <w:sz w:val="18"/>
                <w:szCs w:val="18"/>
              </w:rPr>
              <w:t xml:space="preserve"> dla:</w:t>
            </w:r>
          </w:p>
          <w:p w14:paraId="5F706F8E" w14:textId="77777777" w:rsidR="00F45500" w:rsidRPr="007B192E" w:rsidRDefault="00F45500" w:rsidP="00F45500">
            <w:pPr>
              <w:widowControl/>
              <w:numPr>
                <w:ilvl w:val="0"/>
                <w:numId w:val="207"/>
              </w:numPr>
              <w:suppressAutoHyphens w:val="0"/>
              <w:autoSpaceDN w:val="0"/>
              <w:adjustRightInd w:val="0"/>
              <w:rPr>
                <w:rFonts w:ascii="Arial" w:hAnsi="Arial" w:cs="Arial"/>
                <w:color w:val="000000" w:themeColor="text1"/>
                <w:sz w:val="18"/>
                <w:szCs w:val="18"/>
              </w:rPr>
            </w:pPr>
            <w:r w:rsidRPr="007B192E">
              <w:rPr>
                <w:rFonts w:ascii="Arial" w:hAnsi="Arial" w:cs="Arial"/>
                <w:color w:val="000000" w:themeColor="text1"/>
                <w:sz w:val="18"/>
                <w:szCs w:val="18"/>
              </w:rPr>
              <w:t>podbudowy zasadniczej ±10%</w:t>
            </w:r>
          </w:p>
          <w:p w14:paraId="77747998" w14:textId="77777777" w:rsidR="00F45500" w:rsidRPr="007B192E" w:rsidRDefault="00F45500" w:rsidP="00F45500">
            <w:pPr>
              <w:widowControl/>
              <w:numPr>
                <w:ilvl w:val="0"/>
                <w:numId w:val="207"/>
              </w:numPr>
              <w:suppressAutoHyphens w:val="0"/>
              <w:autoSpaceDN w:val="0"/>
              <w:adjustRightInd w:val="0"/>
              <w:rPr>
                <w:rFonts w:ascii="Arial" w:hAnsi="Arial" w:cs="Arial"/>
                <w:color w:val="000000" w:themeColor="text1"/>
                <w:sz w:val="18"/>
                <w:szCs w:val="18"/>
              </w:rPr>
            </w:pPr>
            <w:r w:rsidRPr="007B192E">
              <w:rPr>
                <w:rFonts w:ascii="Arial" w:hAnsi="Arial" w:cs="Arial"/>
                <w:color w:val="000000" w:themeColor="text1"/>
                <w:sz w:val="18"/>
                <w:szCs w:val="18"/>
              </w:rPr>
              <w:t>podbudowy pomocniczej        i podłoża ulepszonego +10%, -15%</w:t>
            </w:r>
          </w:p>
        </w:tc>
      </w:tr>
    </w:tbl>
    <w:p w14:paraId="5185F9FC"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Dodatkowe pomiary spadków poprzecznych i ukształtowania osi w planie należy wykonać w punktach głównych łuków poziomych.</w:t>
      </w:r>
    </w:p>
    <w:p w14:paraId="1BD42798" w14:textId="77777777" w:rsidR="00F45500" w:rsidRPr="007B192E" w:rsidRDefault="00F45500" w:rsidP="005E0E48">
      <w:pPr>
        <w:pStyle w:val="Nagwek2"/>
        <w:rPr>
          <w:i w:val="0"/>
          <w:color w:val="000000" w:themeColor="text1"/>
        </w:rPr>
      </w:pPr>
      <w:bookmarkStart w:id="258" w:name="_Toc332010317"/>
      <w:r w:rsidRPr="007B192E">
        <w:rPr>
          <w:i w:val="0"/>
          <w:color w:val="000000" w:themeColor="text1"/>
        </w:rPr>
        <w:t xml:space="preserve">7. </w:t>
      </w:r>
      <w:bookmarkEnd w:id="245"/>
      <w:bookmarkEnd w:id="246"/>
      <w:bookmarkEnd w:id="247"/>
      <w:bookmarkEnd w:id="248"/>
      <w:bookmarkEnd w:id="249"/>
      <w:bookmarkEnd w:id="250"/>
      <w:bookmarkEnd w:id="251"/>
      <w:bookmarkEnd w:id="252"/>
      <w:bookmarkEnd w:id="253"/>
      <w:bookmarkEnd w:id="254"/>
      <w:bookmarkEnd w:id="255"/>
      <w:bookmarkEnd w:id="256"/>
      <w:bookmarkEnd w:id="257"/>
      <w:r w:rsidRPr="007B192E">
        <w:rPr>
          <w:i w:val="0"/>
          <w:color w:val="000000" w:themeColor="text1"/>
        </w:rPr>
        <w:t>OBMIAR ROBOT</w:t>
      </w:r>
      <w:bookmarkEnd w:id="258"/>
    </w:p>
    <w:p w14:paraId="34FFAD0A"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7.1. Ogólne zasady obmiaru robót</w:t>
      </w:r>
    </w:p>
    <w:p w14:paraId="4F9E22A9"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00A498EC"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7.2. Jednostka obmiarowa</w:t>
      </w:r>
    </w:p>
    <w:p w14:paraId="458B3BF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wykonanej podbudowy i podłoża ulepszonego.</w:t>
      </w:r>
    </w:p>
    <w:p w14:paraId="0987A52F" w14:textId="77777777" w:rsidR="00F45500" w:rsidRPr="007B192E" w:rsidRDefault="00F45500" w:rsidP="005E0E48">
      <w:pPr>
        <w:pStyle w:val="Nagwek2"/>
        <w:rPr>
          <w:i w:val="0"/>
          <w:color w:val="000000" w:themeColor="text1"/>
        </w:rPr>
      </w:pPr>
      <w:bookmarkStart w:id="259" w:name="_Toc421940503"/>
      <w:bookmarkStart w:id="260" w:name="_Toc24955915"/>
      <w:bookmarkStart w:id="261" w:name="_Toc25128889"/>
      <w:bookmarkStart w:id="262" w:name="_Toc25373387"/>
      <w:bookmarkStart w:id="263" w:name="_Toc25379403"/>
      <w:bookmarkStart w:id="264" w:name="_Toc174333140"/>
      <w:bookmarkStart w:id="265" w:name="_Toc179183773"/>
      <w:bookmarkStart w:id="266" w:name="_Toc198436142"/>
      <w:bookmarkStart w:id="267" w:name="_Toc199904826"/>
      <w:bookmarkStart w:id="268" w:name="_Toc216843090"/>
      <w:bookmarkStart w:id="269" w:name="_Toc257193993"/>
      <w:bookmarkStart w:id="270" w:name="_Toc284409960"/>
      <w:bookmarkStart w:id="271" w:name="_Toc295205112"/>
      <w:bookmarkStart w:id="272" w:name="_Toc332010318"/>
      <w:r w:rsidRPr="007B192E">
        <w:rPr>
          <w:i w:val="0"/>
          <w:color w:val="000000" w:themeColor="text1"/>
        </w:rPr>
        <w:lastRenderedPageBreak/>
        <w:t xml:space="preserve">8. </w:t>
      </w:r>
      <w:bookmarkEnd w:id="259"/>
      <w:bookmarkEnd w:id="260"/>
      <w:bookmarkEnd w:id="261"/>
      <w:bookmarkEnd w:id="262"/>
      <w:bookmarkEnd w:id="263"/>
      <w:bookmarkEnd w:id="264"/>
      <w:bookmarkEnd w:id="265"/>
      <w:bookmarkEnd w:id="266"/>
      <w:bookmarkEnd w:id="267"/>
      <w:bookmarkEnd w:id="268"/>
      <w:bookmarkEnd w:id="269"/>
      <w:bookmarkEnd w:id="270"/>
      <w:bookmarkEnd w:id="271"/>
      <w:r w:rsidRPr="007B192E">
        <w:rPr>
          <w:i w:val="0"/>
          <w:color w:val="000000" w:themeColor="text1"/>
        </w:rPr>
        <w:t>ODBIÓR ROBÓT</w:t>
      </w:r>
      <w:bookmarkEnd w:id="272"/>
    </w:p>
    <w:p w14:paraId="33D8BB1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1C8E31FB"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ST i wymaganiami Inżyniera, jeżeli wszystkie pomiary i badania z zachowaniem tolerancji według punktu 6 dały wyniki pozytywne.</w:t>
      </w:r>
    </w:p>
    <w:p w14:paraId="16202EBF" w14:textId="77777777" w:rsidR="00F45500" w:rsidRPr="007B192E" w:rsidRDefault="00F45500" w:rsidP="005E0E48">
      <w:pPr>
        <w:pStyle w:val="Nagwek2"/>
        <w:rPr>
          <w:i w:val="0"/>
          <w:color w:val="000000" w:themeColor="text1"/>
        </w:rPr>
      </w:pPr>
      <w:bookmarkStart w:id="273" w:name="_Toc421686551"/>
      <w:bookmarkStart w:id="274" w:name="_Toc421940504"/>
      <w:bookmarkStart w:id="275" w:name="_Toc24955916"/>
      <w:bookmarkStart w:id="276" w:name="_Toc25128890"/>
      <w:bookmarkStart w:id="277" w:name="_Toc25373388"/>
      <w:bookmarkStart w:id="278" w:name="_Toc25379404"/>
      <w:bookmarkStart w:id="279" w:name="_Toc174333141"/>
      <w:bookmarkStart w:id="280" w:name="_Toc179183774"/>
      <w:bookmarkStart w:id="281" w:name="_Toc198436143"/>
      <w:bookmarkStart w:id="282" w:name="_Toc199904827"/>
      <w:bookmarkStart w:id="283" w:name="_Toc216843091"/>
      <w:bookmarkStart w:id="284" w:name="_Toc257193994"/>
      <w:bookmarkStart w:id="285" w:name="_Toc284409961"/>
      <w:bookmarkStart w:id="286" w:name="_Toc295205113"/>
      <w:bookmarkStart w:id="287" w:name="_Toc332010319"/>
      <w:r w:rsidRPr="007B192E">
        <w:rPr>
          <w:i w:val="0"/>
          <w:color w:val="000000" w:themeColor="text1"/>
        </w:rPr>
        <w:t xml:space="preserve">9. </w:t>
      </w:r>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7B192E">
        <w:rPr>
          <w:i w:val="0"/>
          <w:color w:val="000000" w:themeColor="text1"/>
        </w:rPr>
        <w:t>PODSTAWA PŁATNOŚCI</w:t>
      </w:r>
      <w:bookmarkEnd w:id="287"/>
    </w:p>
    <w:p w14:paraId="6BAE1094"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9.1. Ogólne ustalenia dotyczące podstawy płatności</w:t>
      </w:r>
    </w:p>
    <w:p w14:paraId="0FBEEAA4"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2A3C4635"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9.2. Cena jednostki obmiarowej</w:t>
      </w:r>
    </w:p>
    <w:p w14:paraId="655E34AC"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jednostki obmiarowej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obejmuje:</w:t>
      </w:r>
    </w:p>
    <w:p w14:paraId="6A178705"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23A3B12C"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59D09D1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3327F086"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wyprodukowanie mieszanki i jej transport na miejsce wbudowania,</w:t>
      </w:r>
    </w:p>
    <w:p w14:paraId="1E4304BF"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ustawienie, rozebranie i odwiezienie prowadnic oraz innych materiałów i urządzeń pomocniczych,</w:t>
      </w:r>
    </w:p>
    <w:p w14:paraId="0C19D27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rozłożenie i zagęszczenie mieszanki,</w:t>
      </w:r>
    </w:p>
    <w:p w14:paraId="55AC69E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ew. nacięcie szczelin i wykonanie technologii </w:t>
      </w:r>
      <w:proofErr w:type="spellStart"/>
      <w:r w:rsidRPr="007B192E">
        <w:rPr>
          <w:rFonts w:ascii="Arial" w:hAnsi="Arial" w:cs="Arial"/>
          <w:color w:val="000000" w:themeColor="text1"/>
          <w:sz w:val="18"/>
          <w:szCs w:val="18"/>
        </w:rPr>
        <w:t>przeciwspękaniowych</w:t>
      </w:r>
      <w:proofErr w:type="spellEnd"/>
      <w:r w:rsidRPr="007B192E">
        <w:rPr>
          <w:rFonts w:ascii="Arial" w:hAnsi="Arial" w:cs="Arial"/>
          <w:color w:val="000000" w:themeColor="text1"/>
          <w:sz w:val="18"/>
          <w:szCs w:val="18"/>
        </w:rPr>
        <w:t>,</w:t>
      </w:r>
    </w:p>
    <w:p w14:paraId="5267F67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pielęgnacja wykonanej warstwy,</w:t>
      </w:r>
    </w:p>
    <w:p w14:paraId="79665558"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przeprowadzenie wymaganych  pomiarów i badań,</w:t>
      </w:r>
    </w:p>
    <w:p w14:paraId="65E4FA51"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uporządkowanie terenu robót i jego otoczenia,</w:t>
      </w:r>
    </w:p>
    <w:p w14:paraId="1C63DE41"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3E521B83" w14:textId="77777777" w:rsidR="00F45500" w:rsidRPr="007B192E"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7B192E">
        <w:rPr>
          <w:rFonts w:ascii="Arial" w:hAnsi="Arial" w:cs="Arial"/>
          <w:color w:val="000000" w:themeColor="text1"/>
          <w:sz w:val="18"/>
          <w:szCs w:val="18"/>
        </w:rPr>
        <w:t>odwiezienie sprzętu.</w:t>
      </w:r>
    </w:p>
    <w:p w14:paraId="6EF6376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Wszystkie roboty powinny być wykonane według wymagań dokumentacji projektowej, ST, specyfikacji technicznej i postanowień Inżyniera.</w:t>
      </w:r>
    </w:p>
    <w:p w14:paraId="76B8107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0E5D230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26150C53"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108684A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139BAC80" w14:textId="77777777" w:rsidR="00F45500" w:rsidRPr="007B192E" w:rsidRDefault="00F45500" w:rsidP="005E0E48">
      <w:pPr>
        <w:pStyle w:val="Nagwek2"/>
        <w:rPr>
          <w:i w:val="0"/>
          <w:color w:val="000000" w:themeColor="text1"/>
        </w:rPr>
      </w:pPr>
      <w:bookmarkStart w:id="288" w:name="_Toc24955917"/>
      <w:bookmarkStart w:id="289" w:name="_Toc25041751"/>
      <w:bookmarkStart w:id="290" w:name="_Toc25128891"/>
      <w:bookmarkStart w:id="291" w:name="_Toc25373389"/>
      <w:bookmarkStart w:id="292" w:name="_Toc25379405"/>
      <w:bookmarkStart w:id="293" w:name="_Toc174333142"/>
      <w:bookmarkStart w:id="294" w:name="_Toc179183775"/>
      <w:bookmarkStart w:id="295" w:name="_Toc198436144"/>
      <w:bookmarkStart w:id="296" w:name="_Toc199904828"/>
      <w:bookmarkStart w:id="297" w:name="_Toc216843092"/>
      <w:bookmarkStart w:id="298" w:name="_Toc257193995"/>
      <w:bookmarkStart w:id="299" w:name="_Toc284409962"/>
      <w:bookmarkStart w:id="300" w:name="_Toc295205114"/>
      <w:bookmarkStart w:id="301" w:name="_Toc332010320"/>
      <w:r w:rsidRPr="007B192E">
        <w:rPr>
          <w:i w:val="0"/>
          <w:color w:val="000000" w:themeColor="text1"/>
        </w:rPr>
        <w:t xml:space="preserve">10. </w:t>
      </w:r>
      <w:bookmarkEnd w:id="288"/>
      <w:bookmarkEnd w:id="289"/>
      <w:bookmarkEnd w:id="290"/>
      <w:bookmarkEnd w:id="291"/>
      <w:bookmarkEnd w:id="292"/>
      <w:bookmarkEnd w:id="293"/>
      <w:bookmarkEnd w:id="294"/>
      <w:bookmarkEnd w:id="295"/>
      <w:bookmarkEnd w:id="296"/>
      <w:bookmarkEnd w:id="297"/>
      <w:bookmarkEnd w:id="298"/>
      <w:bookmarkEnd w:id="299"/>
      <w:bookmarkEnd w:id="300"/>
      <w:r w:rsidRPr="007B192E">
        <w:rPr>
          <w:i w:val="0"/>
          <w:color w:val="000000" w:themeColor="text1"/>
        </w:rPr>
        <w:t>PRZEPISY ZWIĄZANE</w:t>
      </w:r>
      <w:bookmarkEnd w:id="301"/>
    </w:p>
    <w:p w14:paraId="563555F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Specyfikacje techniczne (SST)</w:t>
      </w:r>
    </w:p>
    <w:tbl>
      <w:tblPr>
        <w:tblW w:w="0" w:type="auto"/>
        <w:tblLayout w:type="fixed"/>
        <w:tblCellMar>
          <w:left w:w="70" w:type="dxa"/>
          <w:right w:w="70" w:type="dxa"/>
        </w:tblCellMar>
        <w:tblLook w:val="0000" w:firstRow="0" w:lastRow="0" w:firstColumn="0" w:lastColumn="0" w:noHBand="0" w:noVBand="0"/>
      </w:tblPr>
      <w:tblGrid>
        <w:gridCol w:w="637"/>
        <w:gridCol w:w="1701"/>
        <w:gridCol w:w="5172"/>
      </w:tblGrid>
      <w:tr w:rsidR="004D7D23" w:rsidRPr="007B192E" w14:paraId="61BB9951" w14:textId="77777777" w:rsidTr="008F7A94">
        <w:tc>
          <w:tcPr>
            <w:tcW w:w="637" w:type="dxa"/>
          </w:tcPr>
          <w:p w14:paraId="572F7F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701" w:type="dxa"/>
          </w:tcPr>
          <w:p w14:paraId="5434A5D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w:t>
            </w:r>
          </w:p>
        </w:tc>
        <w:tc>
          <w:tcPr>
            <w:tcW w:w="5172" w:type="dxa"/>
          </w:tcPr>
          <w:p w14:paraId="02CBDB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2E6F9E97" w14:textId="77777777" w:rsidTr="008F7A94">
        <w:tc>
          <w:tcPr>
            <w:tcW w:w="637" w:type="dxa"/>
          </w:tcPr>
          <w:p w14:paraId="74F5967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701" w:type="dxa"/>
          </w:tcPr>
          <w:p w14:paraId="0C9A1C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D-01.00.00</w:t>
            </w:r>
          </w:p>
        </w:tc>
        <w:tc>
          <w:tcPr>
            <w:tcW w:w="5172" w:type="dxa"/>
          </w:tcPr>
          <w:p w14:paraId="0F363A8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Roboty przygotowawcze</w:t>
            </w:r>
          </w:p>
        </w:tc>
      </w:tr>
      <w:tr w:rsidR="004D7D23" w:rsidRPr="007B192E" w14:paraId="0DEEAF15" w14:textId="77777777" w:rsidTr="008F7A94">
        <w:tc>
          <w:tcPr>
            <w:tcW w:w="637" w:type="dxa"/>
          </w:tcPr>
          <w:p w14:paraId="0B23C90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701" w:type="dxa"/>
          </w:tcPr>
          <w:p w14:paraId="76E3873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D-02.00.00</w:t>
            </w:r>
          </w:p>
        </w:tc>
        <w:tc>
          <w:tcPr>
            <w:tcW w:w="5172" w:type="dxa"/>
          </w:tcPr>
          <w:p w14:paraId="11C6AD2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Roboty ziemne</w:t>
            </w:r>
          </w:p>
        </w:tc>
      </w:tr>
      <w:tr w:rsidR="004D7D23" w:rsidRPr="007B192E" w14:paraId="107FEDAE" w14:textId="77777777" w:rsidTr="008F7A94">
        <w:tc>
          <w:tcPr>
            <w:tcW w:w="637" w:type="dxa"/>
          </w:tcPr>
          <w:p w14:paraId="18BF654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701" w:type="dxa"/>
          </w:tcPr>
          <w:p w14:paraId="019D85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D-04.01.01</w:t>
            </w:r>
          </w:p>
        </w:tc>
        <w:tc>
          <w:tcPr>
            <w:tcW w:w="5172" w:type="dxa"/>
          </w:tcPr>
          <w:p w14:paraId="130DB90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Koryto wraz z profilowaniem i zagęszczeniem podłoża</w:t>
            </w:r>
          </w:p>
        </w:tc>
      </w:tr>
    </w:tbl>
    <w:p w14:paraId="16CDEAA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10.2. Normy</w:t>
      </w:r>
    </w:p>
    <w:tbl>
      <w:tblPr>
        <w:tblW w:w="0" w:type="auto"/>
        <w:tblLook w:val="01E0" w:firstRow="1" w:lastRow="1" w:firstColumn="1" w:lastColumn="1" w:noHBand="0" w:noVBand="0"/>
      </w:tblPr>
      <w:tblGrid>
        <w:gridCol w:w="675"/>
        <w:gridCol w:w="1701"/>
        <w:gridCol w:w="5135"/>
      </w:tblGrid>
      <w:tr w:rsidR="004D7D23" w:rsidRPr="007B192E" w14:paraId="2C746CE1" w14:textId="77777777" w:rsidTr="008F7A94">
        <w:tc>
          <w:tcPr>
            <w:tcW w:w="675" w:type="dxa"/>
          </w:tcPr>
          <w:p w14:paraId="74B051A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701" w:type="dxa"/>
          </w:tcPr>
          <w:p w14:paraId="2B39B70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197-1</w:t>
            </w:r>
          </w:p>
        </w:tc>
        <w:tc>
          <w:tcPr>
            <w:tcW w:w="5135" w:type="dxa"/>
          </w:tcPr>
          <w:p w14:paraId="602FFFC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Cement – Część 1: Skład, wymagania i kryteria zgodności dotyczące cementów powszechnego użytku</w:t>
            </w:r>
          </w:p>
        </w:tc>
      </w:tr>
      <w:tr w:rsidR="004D7D23" w:rsidRPr="007B192E" w14:paraId="23CD94F3" w14:textId="77777777" w:rsidTr="008F7A94">
        <w:tc>
          <w:tcPr>
            <w:tcW w:w="675" w:type="dxa"/>
          </w:tcPr>
          <w:p w14:paraId="0981C9A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701" w:type="dxa"/>
          </w:tcPr>
          <w:p w14:paraId="5322FF2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933-1</w:t>
            </w:r>
          </w:p>
        </w:tc>
        <w:tc>
          <w:tcPr>
            <w:tcW w:w="5135" w:type="dxa"/>
          </w:tcPr>
          <w:p w14:paraId="00A3B7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Oznaczanie składu ziarnowego – Metoda przesiewania</w:t>
            </w:r>
          </w:p>
        </w:tc>
      </w:tr>
      <w:tr w:rsidR="004D7D23" w:rsidRPr="007B192E" w14:paraId="0E1014C4" w14:textId="77777777" w:rsidTr="008F7A94">
        <w:tc>
          <w:tcPr>
            <w:tcW w:w="675" w:type="dxa"/>
          </w:tcPr>
          <w:p w14:paraId="20D7F15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1701" w:type="dxa"/>
          </w:tcPr>
          <w:p w14:paraId="17526B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933-3</w:t>
            </w:r>
          </w:p>
        </w:tc>
        <w:tc>
          <w:tcPr>
            <w:tcW w:w="5135" w:type="dxa"/>
          </w:tcPr>
          <w:p w14:paraId="4FEE8FD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Oznaczanie kształtu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za pomocą wskaźnika płaskości</w:t>
            </w:r>
          </w:p>
        </w:tc>
      </w:tr>
      <w:tr w:rsidR="004D7D23" w:rsidRPr="007B192E" w14:paraId="7BD7D0D9" w14:textId="77777777" w:rsidTr="008F7A94">
        <w:tc>
          <w:tcPr>
            <w:tcW w:w="675" w:type="dxa"/>
          </w:tcPr>
          <w:p w14:paraId="19F9581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701" w:type="dxa"/>
          </w:tcPr>
          <w:p w14:paraId="0DB5C0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933-4</w:t>
            </w:r>
          </w:p>
        </w:tc>
        <w:tc>
          <w:tcPr>
            <w:tcW w:w="5135" w:type="dxa"/>
          </w:tcPr>
          <w:p w14:paraId="10A3ED6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Oznaczanie kształtu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 Wskaźnik kształtu</w:t>
            </w:r>
          </w:p>
        </w:tc>
      </w:tr>
      <w:tr w:rsidR="004D7D23" w:rsidRPr="007B192E" w14:paraId="10DAA527" w14:textId="77777777" w:rsidTr="008F7A94">
        <w:tc>
          <w:tcPr>
            <w:tcW w:w="675" w:type="dxa"/>
          </w:tcPr>
          <w:p w14:paraId="217410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1701" w:type="dxa"/>
          </w:tcPr>
          <w:p w14:paraId="7CB3F37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933-5</w:t>
            </w:r>
          </w:p>
        </w:tc>
        <w:tc>
          <w:tcPr>
            <w:tcW w:w="5135" w:type="dxa"/>
          </w:tcPr>
          <w:p w14:paraId="1E8FE1E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Oznaczanie procentowej zawartości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o powierzchniach powstałych w wyniku </w:t>
            </w:r>
            <w:proofErr w:type="spellStart"/>
            <w:r w:rsidRPr="007B192E">
              <w:rPr>
                <w:rFonts w:ascii="Arial" w:hAnsi="Arial" w:cs="Arial"/>
                <w:color w:val="000000" w:themeColor="text1"/>
                <w:sz w:val="18"/>
                <w:szCs w:val="18"/>
              </w:rPr>
              <w:t>przekruszenia</w:t>
            </w:r>
            <w:proofErr w:type="spellEnd"/>
            <w:r w:rsidRPr="007B192E">
              <w:rPr>
                <w:rFonts w:ascii="Arial" w:hAnsi="Arial" w:cs="Arial"/>
                <w:color w:val="000000" w:themeColor="text1"/>
                <w:sz w:val="18"/>
                <w:szCs w:val="18"/>
              </w:rPr>
              <w:t xml:space="preserve"> lub łamania kruszyw grubych</w:t>
            </w:r>
          </w:p>
        </w:tc>
      </w:tr>
      <w:tr w:rsidR="004D7D23" w:rsidRPr="007B192E" w14:paraId="2D615C93" w14:textId="77777777" w:rsidTr="008F7A94">
        <w:tc>
          <w:tcPr>
            <w:tcW w:w="675" w:type="dxa"/>
          </w:tcPr>
          <w:p w14:paraId="2EFE862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701" w:type="dxa"/>
          </w:tcPr>
          <w:p w14:paraId="756DA73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934-2</w:t>
            </w:r>
          </w:p>
        </w:tc>
        <w:tc>
          <w:tcPr>
            <w:tcW w:w="5135" w:type="dxa"/>
          </w:tcPr>
          <w:p w14:paraId="0AB3C38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Domieszki do betonu, zaprawy i zaczynu – Domieszki do betonu – Definicje i wymagania</w:t>
            </w:r>
          </w:p>
        </w:tc>
      </w:tr>
      <w:tr w:rsidR="004D7D23" w:rsidRPr="007B192E" w14:paraId="398E1B2D" w14:textId="77777777" w:rsidTr="008F7A94">
        <w:tc>
          <w:tcPr>
            <w:tcW w:w="675" w:type="dxa"/>
          </w:tcPr>
          <w:p w14:paraId="0B294C4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1701" w:type="dxa"/>
          </w:tcPr>
          <w:p w14:paraId="4A5FB6E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1008</w:t>
            </w:r>
          </w:p>
        </w:tc>
        <w:tc>
          <w:tcPr>
            <w:tcW w:w="5135" w:type="dxa"/>
          </w:tcPr>
          <w:p w14:paraId="54F797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Woda zarobowa do betonu – Specyfikacja pobierania próbek, badanie i ocena przydatności wody zarobowej do betonu, w tym wody odzyskanej z procesów produkcji betonu</w:t>
            </w:r>
          </w:p>
        </w:tc>
      </w:tr>
      <w:tr w:rsidR="004D7D23" w:rsidRPr="007B192E" w14:paraId="405DDD7E" w14:textId="77777777" w:rsidTr="008F7A94">
        <w:tc>
          <w:tcPr>
            <w:tcW w:w="675" w:type="dxa"/>
          </w:tcPr>
          <w:p w14:paraId="1BB5608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701" w:type="dxa"/>
          </w:tcPr>
          <w:p w14:paraId="1844999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1097-1</w:t>
            </w:r>
          </w:p>
        </w:tc>
        <w:tc>
          <w:tcPr>
            <w:tcW w:w="5135" w:type="dxa"/>
          </w:tcPr>
          <w:p w14:paraId="1AC6314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Oznaczanie odporności na ścieranie (mikro-</w:t>
            </w:r>
            <w:proofErr w:type="spellStart"/>
            <w:r w:rsidRPr="007B192E">
              <w:rPr>
                <w:rFonts w:ascii="Arial" w:hAnsi="Arial" w:cs="Arial"/>
                <w:color w:val="000000" w:themeColor="text1"/>
                <w:sz w:val="18"/>
                <w:szCs w:val="18"/>
              </w:rPr>
              <w:t>Deval</w:t>
            </w:r>
            <w:proofErr w:type="spellEnd"/>
            <w:r w:rsidRPr="007B192E">
              <w:rPr>
                <w:rFonts w:ascii="Arial" w:hAnsi="Arial" w:cs="Arial"/>
                <w:color w:val="000000" w:themeColor="text1"/>
                <w:sz w:val="18"/>
                <w:szCs w:val="18"/>
              </w:rPr>
              <w:t>)</w:t>
            </w:r>
          </w:p>
        </w:tc>
      </w:tr>
      <w:tr w:rsidR="004D7D23" w:rsidRPr="007B192E" w14:paraId="4A39360F" w14:textId="77777777" w:rsidTr="008F7A94">
        <w:tc>
          <w:tcPr>
            <w:tcW w:w="675" w:type="dxa"/>
          </w:tcPr>
          <w:p w14:paraId="6C06FD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1701" w:type="dxa"/>
          </w:tcPr>
          <w:p w14:paraId="632679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1097-2</w:t>
            </w:r>
          </w:p>
        </w:tc>
        <w:tc>
          <w:tcPr>
            <w:tcW w:w="5135" w:type="dxa"/>
          </w:tcPr>
          <w:p w14:paraId="561A4E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Metody oznaczania odporności na rozdrabnianie</w:t>
            </w:r>
          </w:p>
        </w:tc>
      </w:tr>
      <w:tr w:rsidR="004D7D23" w:rsidRPr="007B192E" w14:paraId="7FA70B07" w14:textId="77777777" w:rsidTr="008F7A94">
        <w:tc>
          <w:tcPr>
            <w:tcW w:w="675" w:type="dxa"/>
          </w:tcPr>
          <w:p w14:paraId="0FDBAF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1701" w:type="dxa"/>
          </w:tcPr>
          <w:p w14:paraId="79E8710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1097-6</w:t>
            </w:r>
          </w:p>
        </w:tc>
        <w:tc>
          <w:tcPr>
            <w:tcW w:w="5135" w:type="dxa"/>
          </w:tcPr>
          <w:p w14:paraId="6544135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mechanicznych i fizycznych właściwości kruszyw – Część 6: Oznaczanie gęstości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i nasiąkliwości</w:t>
            </w:r>
          </w:p>
        </w:tc>
      </w:tr>
      <w:tr w:rsidR="004D7D23" w:rsidRPr="007B192E" w14:paraId="7BC8A3D7" w14:textId="77777777" w:rsidTr="008F7A94">
        <w:tc>
          <w:tcPr>
            <w:tcW w:w="675" w:type="dxa"/>
          </w:tcPr>
          <w:p w14:paraId="465F19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1701" w:type="dxa"/>
          </w:tcPr>
          <w:p w14:paraId="4966382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1367-1</w:t>
            </w:r>
          </w:p>
        </w:tc>
        <w:tc>
          <w:tcPr>
            <w:tcW w:w="5135" w:type="dxa"/>
          </w:tcPr>
          <w:p w14:paraId="71844E9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1: Oznaczanie mrozoodporności</w:t>
            </w:r>
          </w:p>
        </w:tc>
      </w:tr>
      <w:tr w:rsidR="004D7D23" w:rsidRPr="007B192E" w14:paraId="1AC2C5F2" w14:textId="77777777" w:rsidTr="008F7A94">
        <w:tc>
          <w:tcPr>
            <w:tcW w:w="675" w:type="dxa"/>
          </w:tcPr>
          <w:p w14:paraId="5B4261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1701" w:type="dxa"/>
          </w:tcPr>
          <w:p w14:paraId="1CB552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1367-3</w:t>
            </w:r>
          </w:p>
        </w:tc>
        <w:tc>
          <w:tcPr>
            <w:tcW w:w="5135" w:type="dxa"/>
          </w:tcPr>
          <w:p w14:paraId="732984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właściwości cieplnych i odporności kruszyw na </w:t>
            </w:r>
            <w:r w:rsidRPr="007B192E">
              <w:rPr>
                <w:rFonts w:ascii="Arial" w:hAnsi="Arial" w:cs="Arial"/>
                <w:color w:val="000000" w:themeColor="text1"/>
                <w:sz w:val="18"/>
                <w:szCs w:val="18"/>
              </w:rPr>
              <w:lastRenderedPageBreak/>
              <w:t>działanie czynników atmosferycznych – Część 3: Badanie bazaltowej zgorzeli słonecznej metodą gotowania</w:t>
            </w:r>
          </w:p>
        </w:tc>
      </w:tr>
      <w:tr w:rsidR="004D7D23" w:rsidRPr="007B192E" w14:paraId="72B783EE" w14:textId="77777777" w:rsidTr="008F7A94">
        <w:tc>
          <w:tcPr>
            <w:tcW w:w="675" w:type="dxa"/>
          </w:tcPr>
          <w:p w14:paraId="3D3087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17.</w:t>
            </w:r>
          </w:p>
        </w:tc>
        <w:tc>
          <w:tcPr>
            <w:tcW w:w="1701" w:type="dxa"/>
          </w:tcPr>
          <w:p w14:paraId="09D6370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1744-1</w:t>
            </w:r>
          </w:p>
        </w:tc>
        <w:tc>
          <w:tcPr>
            <w:tcW w:w="5135" w:type="dxa"/>
          </w:tcPr>
          <w:p w14:paraId="7A0A28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chemicznych właściwości kruszyw – Analiza chemiczna</w:t>
            </w:r>
          </w:p>
        </w:tc>
      </w:tr>
      <w:tr w:rsidR="004D7D23" w:rsidRPr="007B192E" w14:paraId="24CB3C44" w14:textId="77777777" w:rsidTr="008F7A94">
        <w:tc>
          <w:tcPr>
            <w:tcW w:w="675" w:type="dxa"/>
          </w:tcPr>
          <w:p w14:paraId="054D29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18.</w:t>
            </w:r>
          </w:p>
        </w:tc>
        <w:tc>
          <w:tcPr>
            <w:tcW w:w="1701" w:type="dxa"/>
          </w:tcPr>
          <w:p w14:paraId="7C39926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1744-3</w:t>
            </w:r>
          </w:p>
        </w:tc>
        <w:tc>
          <w:tcPr>
            <w:tcW w:w="5135" w:type="dxa"/>
          </w:tcPr>
          <w:p w14:paraId="47B278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chemicznych właściwości kruszyw – Część 3: Przygotowanie wyciągów przez wymywanie kruszyw</w:t>
            </w:r>
          </w:p>
        </w:tc>
      </w:tr>
      <w:tr w:rsidR="004D7D23" w:rsidRPr="007B192E" w14:paraId="38099A29" w14:textId="77777777" w:rsidTr="008F7A94">
        <w:tc>
          <w:tcPr>
            <w:tcW w:w="675" w:type="dxa"/>
          </w:tcPr>
          <w:p w14:paraId="23D3CCE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19.</w:t>
            </w:r>
          </w:p>
        </w:tc>
        <w:tc>
          <w:tcPr>
            <w:tcW w:w="1701" w:type="dxa"/>
          </w:tcPr>
          <w:p w14:paraId="0F6794D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13242</w:t>
            </w:r>
          </w:p>
        </w:tc>
        <w:tc>
          <w:tcPr>
            <w:tcW w:w="5135" w:type="dxa"/>
          </w:tcPr>
          <w:p w14:paraId="13C6431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Kruszywa do niezwiązanych i związanych hydraulicznie materiałów stosowanych w obiektach budowlanych i budownictwie drogowym</w:t>
            </w:r>
          </w:p>
        </w:tc>
      </w:tr>
      <w:tr w:rsidR="004D7D23" w:rsidRPr="007B192E" w14:paraId="5F1F88BA" w14:textId="77777777" w:rsidTr="008F7A94">
        <w:tc>
          <w:tcPr>
            <w:tcW w:w="675" w:type="dxa"/>
          </w:tcPr>
          <w:p w14:paraId="636BDC9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701" w:type="dxa"/>
          </w:tcPr>
          <w:p w14:paraId="3BF9F0C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13286-2</w:t>
            </w:r>
          </w:p>
        </w:tc>
        <w:tc>
          <w:tcPr>
            <w:tcW w:w="5135" w:type="dxa"/>
          </w:tcPr>
          <w:p w14:paraId="7E9617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niezwiązane i związane spoiwem hydraulicznym – Część 2: Metody określania gęstości i zawartości wody – Zagęszczanie metodą </w:t>
            </w:r>
            <w:proofErr w:type="spellStart"/>
            <w:r w:rsidRPr="007B192E">
              <w:rPr>
                <w:rFonts w:ascii="Arial" w:hAnsi="Arial" w:cs="Arial"/>
                <w:color w:val="000000" w:themeColor="text1"/>
                <w:sz w:val="18"/>
                <w:szCs w:val="18"/>
              </w:rPr>
              <w:t>Proctora</w:t>
            </w:r>
            <w:proofErr w:type="spellEnd"/>
          </w:p>
        </w:tc>
      </w:tr>
      <w:tr w:rsidR="004D7D23" w:rsidRPr="007B192E" w14:paraId="6EE88CCA" w14:textId="77777777" w:rsidTr="008F7A94">
        <w:tc>
          <w:tcPr>
            <w:tcW w:w="675" w:type="dxa"/>
          </w:tcPr>
          <w:p w14:paraId="57CD2DF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21.</w:t>
            </w:r>
          </w:p>
        </w:tc>
        <w:tc>
          <w:tcPr>
            <w:tcW w:w="1701" w:type="dxa"/>
          </w:tcPr>
          <w:p w14:paraId="756A751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13286-41</w:t>
            </w:r>
          </w:p>
        </w:tc>
        <w:tc>
          <w:tcPr>
            <w:tcW w:w="5135" w:type="dxa"/>
          </w:tcPr>
          <w:p w14:paraId="101ACAF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niezwiązane i związane spoiwem hydraulicznym – Część 41: Metoda oznaczania wytrzymałości na ściskanie mieszanek związanych spoiwem hydraulicznym</w:t>
            </w:r>
          </w:p>
        </w:tc>
      </w:tr>
      <w:tr w:rsidR="004D7D23" w:rsidRPr="007B192E" w14:paraId="297DA479" w14:textId="77777777" w:rsidTr="008F7A94">
        <w:tc>
          <w:tcPr>
            <w:tcW w:w="675" w:type="dxa"/>
          </w:tcPr>
          <w:p w14:paraId="6A6E0A4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22.</w:t>
            </w:r>
          </w:p>
        </w:tc>
        <w:tc>
          <w:tcPr>
            <w:tcW w:w="1701" w:type="dxa"/>
          </w:tcPr>
          <w:p w14:paraId="1A8D516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13286-50</w:t>
            </w:r>
          </w:p>
        </w:tc>
        <w:tc>
          <w:tcPr>
            <w:tcW w:w="5135" w:type="dxa"/>
          </w:tcPr>
          <w:p w14:paraId="3A7805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niezwiązane i związane spoiwem hydraulicznym – Część 50: Metoda sporządzania próbek związanych hydraulicznie za pomocą aparatu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 xml:space="preserve"> lub zagęszczania na stole wibracyjnym</w:t>
            </w:r>
          </w:p>
        </w:tc>
      </w:tr>
      <w:tr w:rsidR="004D7D23" w:rsidRPr="007B192E" w14:paraId="324B25A0" w14:textId="77777777" w:rsidTr="008F7A94">
        <w:tc>
          <w:tcPr>
            <w:tcW w:w="675" w:type="dxa"/>
          </w:tcPr>
          <w:p w14:paraId="541B706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23.</w:t>
            </w:r>
          </w:p>
        </w:tc>
        <w:tc>
          <w:tcPr>
            <w:tcW w:w="1701" w:type="dxa"/>
          </w:tcPr>
          <w:p w14:paraId="3BB3EC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14227-1</w:t>
            </w:r>
          </w:p>
        </w:tc>
        <w:tc>
          <w:tcPr>
            <w:tcW w:w="5135" w:type="dxa"/>
          </w:tcPr>
          <w:p w14:paraId="0096BFD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związane spoiwem hydraulicznym – Wymagania – Część 1: Mieszanki związane cementem</w:t>
            </w:r>
          </w:p>
        </w:tc>
      </w:tr>
      <w:tr w:rsidR="004D7D23" w:rsidRPr="007B192E" w14:paraId="18236495" w14:textId="77777777" w:rsidTr="008F7A94">
        <w:tc>
          <w:tcPr>
            <w:tcW w:w="675" w:type="dxa"/>
          </w:tcPr>
          <w:p w14:paraId="07EF48A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701" w:type="dxa"/>
          </w:tcPr>
          <w:p w14:paraId="01C26E9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14227-10</w:t>
            </w:r>
          </w:p>
        </w:tc>
        <w:tc>
          <w:tcPr>
            <w:tcW w:w="5135" w:type="dxa"/>
          </w:tcPr>
          <w:p w14:paraId="1B188E9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związane spoiwem hydraulicznym – Specyfikacja – Część 10: Grunty stabilizowane cementem</w:t>
            </w:r>
          </w:p>
        </w:tc>
      </w:tr>
    </w:tbl>
    <w:p w14:paraId="20D6649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10.3. Inne dokumenty</w:t>
      </w:r>
    </w:p>
    <w:p w14:paraId="5BDC9B86" w14:textId="77777777" w:rsidR="00F45500" w:rsidRPr="007B192E" w:rsidRDefault="00F45500" w:rsidP="00BA5651">
      <w:pPr>
        <w:pStyle w:val="Akapitzlist"/>
        <w:widowControl/>
        <w:numPr>
          <w:ilvl w:val="0"/>
          <w:numId w:val="276"/>
        </w:numPr>
        <w:suppressAutoHyphens w:val="0"/>
        <w:autoSpaceDN w:val="0"/>
        <w:adjustRightInd w:val="0"/>
        <w:ind w:left="142" w:hanging="153"/>
        <w:jc w:val="both"/>
        <w:rPr>
          <w:rFonts w:ascii="Arial" w:hAnsi="Arial" w:cs="Arial"/>
          <w:color w:val="000000" w:themeColor="text1"/>
          <w:sz w:val="18"/>
          <w:szCs w:val="18"/>
        </w:rPr>
      </w:pPr>
      <w:r w:rsidRPr="007B192E">
        <w:rPr>
          <w:rFonts w:ascii="Arial" w:hAnsi="Arial" w:cs="Arial"/>
          <w:color w:val="000000" w:themeColor="text1"/>
          <w:sz w:val="18"/>
          <w:szCs w:val="18"/>
        </w:rPr>
        <w:t>Mieszanki związane spoiwem hydraulicznym do dróg krajowych – WT-5 2010 Wymagania techniczne (zalecone do stosowania w specyfikacji technicznej na roboty budowlane na drogach krajowych wg zarządzenia nr 102 GDDKiA z dnia 19.11.2010 r.)</w:t>
      </w:r>
    </w:p>
    <w:p w14:paraId="39475682" w14:textId="77777777" w:rsidR="00F45500" w:rsidRPr="007B192E" w:rsidRDefault="00F45500" w:rsidP="00BA5651">
      <w:pPr>
        <w:pStyle w:val="Akapitzlist"/>
        <w:widowControl/>
        <w:numPr>
          <w:ilvl w:val="0"/>
          <w:numId w:val="276"/>
        </w:numPr>
        <w:suppressAutoHyphens w:val="0"/>
        <w:autoSpaceDN w:val="0"/>
        <w:adjustRightInd w:val="0"/>
        <w:ind w:left="142" w:hanging="153"/>
        <w:jc w:val="both"/>
        <w:rPr>
          <w:rFonts w:ascii="Arial" w:hAnsi="Arial" w:cs="Arial"/>
          <w:color w:val="000000" w:themeColor="text1"/>
          <w:sz w:val="18"/>
          <w:szCs w:val="18"/>
        </w:rPr>
      </w:pPr>
      <w:r w:rsidRPr="007B192E">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(Dz.U. nr 43, poz. 430)</w:t>
      </w:r>
    </w:p>
    <w:p w14:paraId="00CE8DE6" w14:textId="77777777" w:rsidR="00F45500" w:rsidRPr="007B192E" w:rsidRDefault="00F45500" w:rsidP="00BA5651">
      <w:pPr>
        <w:pStyle w:val="Akapitzlist"/>
        <w:widowControl/>
        <w:numPr>
          <w:ilvl w:val="0"/>
          <w:numId w:val="276"/>
        </w:numPr>
        <w:suppressAutoHyphens w:val="0"/>
        <w:autoSpaceDN w:val="0"/>
        <w:adjustRightInd w:val="0"/>
        <w:ind w:left="142" w:hanging="153"/>
        <w:jc w:val="both"/>
        <w:rPr>
          <w:rFonts w:ascii="Arial" w:hAnsi="Arial" w:cs="Arial"/>
          <w:color w:val="000000" w:themeColor="text1"/>
          <w:sz w:val="18"/>
          <w:szCs w:val="18"/>
        </w:rPr>
      </w:pPr>
      <w:r w:rsidRPr="007B192E">
        <w:rPr>
          <w:rFonts w:ascii="Arial" w:hAnsi="Arial" w:cs="Arial"/>
          <w:color w:val="000000" w:themeColor="text1"/>
          <w:sz w:val="18"/>
          <w:szCs w:val="18"/>
        </w:rPr>
        <w:t>Katalog typowych konstrukcji nawierzchni podatnych i półsztywnych. Generalna Dyrekcja Dróg Publicznych – Instytut Badawczy Dróg i Mostów, Warszawa 1997</w:t>
      </w:r>
    </w:p>
    <w:p w14:paraId="0F266DC6" w14:textId="77777777" w:rsidR="00F45500" w:rsidRPr="007B192E" w:rsidRDefault="00F45500" w:rsidP="00F45500">
      <w:pPr>
        <w:widowControl/>
        <w:suppressAutoHyphens w:val="0"/>
        <w:adjustRightInd w:val="0"/>
        <w:jc w:val="both"/>
        <w:rPr>
          <w:rFonts w:ascii="Arial" w:hAnsi="Arial" w:cs="Arial"/>
          <w:color w:val="000000" w:themeColor="text1"/>
          <w:sz w:val="18"/>
          <w:szCs w:val="18"/>
        </w:rPr>
      </w:pPr>
    </w:p>
    <w:p w14:paraId="504E07C4"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br w:type="page"/>
      </w:r>
    </w:p>
    <w:p w14:paraId="5C8CD071" w14:textId="77777777" w:rsidR="00F45500" w:rsidRPr="007B192E" w:rsidRDefault="00072856" w:rsidP="002562DC">
      <w:pPr>
        <w:pStyle w:val="Nagwek1"/>
        <w:jc w:val="center"/>
        <w:rPr>
          <w:color w:val="000000" w:themeColor="text1"/>
          <w:sz w:val="40"/>
        </w:rPr>
      </w:pPr>
      <w:bookmarkStart w:id="302" w:name="_Toc138757096"/>
      <w:bookmarkStart w:id="303" w:name="_Toc163481056"/>
      <w:r w:rsidRPr="007B192E">
        <w:rPr>
          <w:color w:val="000000" w:themeColor="text1"/>
          <w:sz w:val="40"/>
        </w:rPr>
        <w:lastRenderedPageBreak/>
        <w:t>D-</w:t>
      </w:r>
      <w:r w:rsidR="002562DC" w:rsidRPr="007B192E">
        <w:rPr>
          <w:color w:val="000000" w:themeColor="text1"/>
          <w:sz w:val="40"/>
        </w:rPr>
        <w:t xml:space="preserve">04.07.01a </w:t>
      </w:r>
      <w:r w:rsidR="00F45500" w:rsidRPr="007B192E">
        <w:rPr>
          <w:color w:val="000000" w:themeColor="text1"/>
          <w:sz w:val="40"/>
        </w:rPr>
        <w:t>PODBUDOWA Z BETONU ASFALTOWEGO</w:t>
      </w:r>
      <w:bookmarkEnd w:id="302"/>
      <w:bookmarkEnd w:id="303"/>
    </w:p>
    <w:p w14:paraId="2125664E" w14:textId="77777777" w:rsidR="00F45500" w:rsidRPr="007B192E" w:rsidRDefault="00F45500" w:rsidP="005E0E48">
      <w:pPr>
        <w:pStyle w:val="Nagwek2"/>
        <w:rPr>
          <w:i w:val="0"/>
          <w:color w:val="000000" w:themeColor="text1"/>
        </w:rPr>
      </w:pPr>
      <w:r w:rsidRPr="007B192E">
        <w:rPr>
          <w:i w:val="0"/>
          <w:color w:val="000000" w:themeColor="text1"/>
        </w:rPr>
        <w:t>1. WSTĘP</w:t>
      </w:r>
    </w:p>
    <w:p w14:paraId="32D27D5A"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1.1. Przedmiot ST</w:t>
      </w:r>
    </w:p>
    <w:p w14:paraId="501FB651" w14:textId="77777777" w:rsidR="00F45500" w:rsidRPr="007B192E" w:rsidRDefault="00F45500" w:rsidP="00F45500">
      <w:pPr>
        <w:pStyle w:val="Standardowytekst"/>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wykonywaniem podbudowy z betonu asfaltowego AC 22 P.</w:t>
      </w:r>
    </w:p>
    <w:p w14:paraId="6BA22C59"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1.2. Zakres stosowania ST</w:t>
      </w:r>
    </w:p>
    <w:p w14:paraId="478C33E3" w14:textId="77777777" w:rsidR="00F45500" w:rsidRPr="007B192E" w:rsidRDefault="00F45500" w:rsidP="00F45500">
      <w:pPr>
        <w:pStyle w:val="Standard"/>
        <w:jc w:val="both"/>
        <w:rPr>
          <w:rFonts w:ascii="Arial" w:hAnsi="Arial" w:cs="Arial"/>
          <w:color w:val="000000" w:themeColor="text1"/>
          <w:spacing w:val="-3"/>
          <w:sz w:val="18"/>
          <w:szCs w:val="18"/>
        </w:rPr>
      </w:pPr>
      <w:r w:rsidRPr="007B192E">
        <w:rPr>
          <w:rFonts w:ascii="Arial" w:hAnsi="Arial" w:cs="Arial"/>
          <w:color w:val="000000" w:themeColor="text1"/>
          <w:spacing w:val="-3"/>
          <w:sz w:val="18"/>
          <w:szCs w:val="18"/>
        </w:rPr>
        <w:tab/>
        <w:t>Specyfikacja techniczna stanowi dokument przetargowy i kontraktowy stosowany przy zlecaniu i realizacji robót budowlanych wymienionych w punkcie 1.1.</w:t>
      </w:r>
    </w:p>
    <w:p w14:paraId="68AF787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2EAE11E7" w14:textId="77777777" w:rsidR="00F45500" w:rsidRPr="007B192E" w:rsidRDefault="00F45500" w:rsidP="00F45500">
      <w:pPr>
        <w:pStyle w:val="Standard"/>
        <w:jc w:val="both"/>
        <w:rPr>
          <w:rFonts w:ascii="Arial" w:hAnsi="Arial" w:cs="Arial"/>
          <w:color w:val="000000" w:themeColor="text1"/>
          <w:spacing w:val="-3"/>
          <w:sz w:val="18"/>
          <w:szCs w:val="18"/>
        </w:rPr>
      </w:pPr>
      <w:r w:rsidRPr="007B192E">
        <w:rPr>
          <w:rFonts w:ascii="Arial" w:hAnsi="Arial" w:cs="Arial"/>
          <w:color w:val="000000" w:themeColor="text1"/>
          <w:spacing w:val="-3"/>
          <w:sz w:val="18"/>
          <w:szCs w:val="18"/>
        </w:rPr>
        <w:tab/>
        <w:t>Ustalenia zawarte w niniejszej specyfikacji dotyczą zasad prowadzenia robót związanych z wykonaniem i odbiorem warstwy podbudowy z betonu asfaltowego wg PN-EN 13108-1 [51] i WT-2 [82] [83] z mieszanki mineralno-asfaltowej dostarczonej od producenta. W przypadku produkcji mieszanki mineralno-asfaltowej przez Wykonawcę dla potrzeb budowy, Wykonawca zobowiązany jest prowadzić zakładową kontrolę produkcji (ZKP) zgodnie z WT-2 [82] [83] wg PN-EN 13108-21 [55].</w:t>
      </w:r>
    </w:p>
    <w:p w14:paraId="66F1912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5C595A08"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Nawierzchnia – konstrukcja składająca się z jednej lub kilku warstw służących do przejmowania i rozkładania obciążeń od ruchu pojazdów na podłoże.</w:t>
      </w:r>
    </w:p>
    <w:p w14:paraId="6ADFC3D7"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Podbudowa – główny element konstrukcyjny nawierzchni, który może być ułożony w jednej lub kilku warstwach.</w:t>
      </w:r>
    </w:p>
    <w:p w14:paraId="2568EE44"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1.4.3. </w:t>
      </w:r>
      <w:r w:rsidRPr="007B192E">
        <w:rPr>
          <w:rFonts w:ascii="Arial" w:hAnsi="Arial" w:cs="Arial"/>
          <w:color w:val="000000" w:themeColor="text1"/>
          <w:sz w:val="18"/>
          <w:szCs w:val="18"/>
        </w:rPr>
        <w:t>Mieszanka mineralno-asfaltowa (MMA) – mieszanka kruszyw i lepiszcza asfaltowego.</w:t>
      </w:r>
    </w:p>
    <w:p w14:paraId="4589748E"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1.4.4. </w:t>
      </w:r>
      <w:r w:rsidRPr="007B192E">
        <w:rPr>
          <w:rFonts w:ascii="Arial" w:hAnsi="Arial" w:cs="Arial"/>
          <w:color w:val="000000" w:themeColor="text1"/>
          <w:sz w:val="18"/>
          <w:szCs w:val="18"/>
        </w:rPr>
        <w:t>Wymiar mieszanki mineralno-asfaltowej – określenie mieszanki mineralno-asfaltowej ze względu na największy wymiar kruszywa D, np. wymiar 16, 22 lub 32.</w:t>
      </w:r>
    </w:p>
    <w:p w14:paraId="45493ADC"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1.4.5. </w:t>
      </w:r>
      <w:r w:rsidRPr="007B192E">
        <w:rPr>
          <w:rFonts w:ascii="Arial" w:hAnsi="Arial" w:cs="Arial"/>
          <w:color w:val="000000" w:themeColor="text1"/>
          <w:sz w:val="18"/>
          <w:szCs w:val="18"/>
        </w:rPr>
        <w:t>Beton asfaltowy – mieszanka mineralno-asfaltowa, w której kruszywo o uziarnieniu ciągłym lub nieciągłym tworzy strukturę wzajemnie klinującą się.</w:t>
      </w:r>
    </w:p>
    <w:p w14:paraId="2563EA82"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1.4.6. </w:t>
      </w:r>
      <w:r w:rsidRPr="007B192E">
        <w:rPr>
          <w:rFonts w:ascii="Arial" w:hAnsi="Arial" w:cs="Arial"/>
          <w:color w:val="000000" w:themeColor="text1"/>
          <w:sz w:val="18"/>
          <w:szCs w:val="18"/>
        </w:rPr>
        <w:t>Uziarnienie – skład ziarnowy kruszywa, wyrażony w procentach masy ziaren przechodzących przez określony zestaw sit.</w:t>
      </w:r>
    </w:p>
    <w:p w14:paraId="052835E0"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1.4.7. </w:t>
      </w:r>
      <w:r w:rsidRPr="007B192E">
        <w:rPr>
          <w:rFonts w:ascii="Arial" w:hAnsi="Arial" w:cs="Arial"/>
          <w:color w:val="000000" w:themeColor="text1"/>
          <w:sz w:val="18"/>
          <w:szCs w:val="18"/>
        </w:rPr>
        <w:t xml:space="preserve">Kategoria ruchu – obciążenie drogi ruchem samochodowym, wyrażone w osiach obliczeniowych (100 </w:t>
      </w:r>
      <w:proofErr w:type="spellStart"/>
      <w:r w:rsidRPr="007B192E">
        <w:rPr>
          <w:rFonts w:ascii="Arial" w:hAnsi="Arial" w:cs="Arial"/>
          <w:color w:val="000000" w:themeColor="text1"/>
          <w:sz w:val="18"/>
          <w:szCs w:val="18"/>
        </w:rPr>
        <w:t>kN</w:t>
      </w:r>
      <w:proofErr w:type="spellEnd"/>
      <w:r w:rsidRPr="007B192E">
        <w:rPr>
          <w:rFonts w:ascii="Arial" w:hAnsi="Arial" w:cs="Arial"/>
          <w:color w:val="000000" w:themeColor="text1"/>
          <w:sz w:val="18"/>
          <w:szCs w:val="18"/>
        </w:rPr>
        <w:t>) wg „Katalogu typowych konstrukcji nawierzchni podatnych i półsztywnych” GDDKiA [84].</w:t>
      </w:r>
    </w:p>
    <w:p w14:paraId="72A79223"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1.4.8. </w:t>
      </w:r>
      <w:r w:rsidRPr="007B192E">
        <w:rPr>
          <w:rFonts w:ascii="Arial" w:hAnsi="Arial" w:cs="Arial"/>
          <w:color w:val="000000" w:themeColor="text1"/>
          <w:sz w:val="18"/>
          <w:szCs w:val="18"/>
        </w:rPr>
        <w:t>Wymiar kruszywa – wielkość ziaren kruszywa, określona przez dolny (d) i górny (D) wymiar sita.</w:t>
      </w:r>
    </w:p>
    <w:p w14:paraId="219E38A9"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1.4.9. </w:t>
      </w:r>
      <w:r w:rsidRPr="007B192E">
        <w:rPr>
          <w:rFonts w:ascii="Arial" w:hAnsi="Arial" w:cs="Arial"/>
          <w:color w:val="000000" w:themeColor="text1"/>
          <w:sz w:val="18"/>
          <w:szCs w:val="18"/>
        </w:rPr>
        <w:t>Kruszywo grube – kruszywo z ziaren o wymiarze: D ≤ 45 mm oraz d &gt; 2 mm.</w:t>
      </w:r>
    </w:p>
    <w:p w14:paraId="4DF06D42"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1.4.10. </w:t>
      </w:r>
      <w:r w:rsidRPr="007B192E">
        <w:rPr>
          <w:rFonts w:ascii="Arial" w:hAnsi="Arial" w:cs="Arial"/>
          <w:color w:val="000000" w:themeColor="text1"/>
          <w:sz w:val="18"/>
          <w:szCs w:val="18"/>
        </w:rPr>
        <w:t>Kruszywo drobne – kruszywo z ziaren o wymiarze: D ≤ 2 mm, którego większa część pozostaje na sicie 0,063 mm.</w:t>
      </w:r>
    </w:p>
    <w:p w14:paraId="1B9C49DB"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1.4.11. </w:t>
      </w:r>
      <w:r w:rsidRPr="007B192E">
        <w:rPr>
          <w:rFonts w:ascii="Arial" w:hAnsi="Arial" w:cs="Arial"/>
          <w:color w:val="000000" w:themeColor="text1"/>
          <w:sz w:val="18"/>
          <w:szCs w:val="18"/>
        </w:rPr>
        <w:t>Pył – kruszywo z ziaren przechodzących przez sito 0,063 mm.</w:t>
      </w:r>
    </w:p>
    <w:p w14:paraId="55CA17F8"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1.4.12. </w:t>
      </w:r>
      <w:r w:rsidRPr="007B192E">
        <w:rPr>
          <w:rFonts w:ascii="Arial" w:hAnsi="Arial" w:cs="Arial"/>
          <w:color w:val="000000" w:themeColor="text1"/>
          <w:sz w:val="18"/>
          <w:szCs w:val="18"/>
        </w:rPr>
        <w:t>Wypełniacz – kruszywo, którego większa część przechodzi przez sito 0,063 mm. (Wypełniacz mieszany – kruszywo, które składa się z wypełniacza pochodzenia mineralnego i wodorotlenku wapnia. Wypełniacz dodany – wypełniacz pochodzenia mineralnego, wyprodukowany oddzielnie).</w:t>
      </w:r>
    </w:p>
    <w:p w14:paraId="450674E3"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1.4.13.</w:t>
      </w:r>
      <w:r w:rsidRPr="007B192E">
        <w:rPr>
          <w:rFonts w:ascii="Arial" w:hAnsi="Arial" w:cs="Arial"/>
          <w:color w:val="000000" w:themeColor="text1"/>
          <w:sz w:val="18"/>
          <w:szCs w:val="18"/>
        </w:rPr>
        <w:t xml:space="preserve"> Granulat asfaltowy – jest to przetworzony destrukt asfaltowy o udokumentowanej jakości jako materiał składowy w produkcji mieszanek mineralno-asfaltowych w technologii na gorąco.</w:t>
      </w:r>
    </w:p>
    <w:p w14:paraId="23BF029B"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1.4.14. </w:t>
      </w:r>
      <w:r w:rsidRPr="007B192E">
        <w:rPr>
          <w:rFonts w:ascii="Arial" w:hAnsi="Arial" w:cs="Arial"/>
          <w:color w:val="000000" w:themeColor="text1"/>
          <w:sz w:val="18"/>
          <w:szCs w:val="18"/>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71D3BB7D"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1.4.15. </w:t>
      </w:r>
      <w:r w:rsidRPr="007B192E">
        <w:rPr>
          <w:rFonts w:ascii="Arial" w:hAnsi="Arial" w:cs="Arial"/>
          <w:color w:val="000000" w:themeColor="text1"/>
          <w:sz w:val="18"/>
          <w:szCs w:val="18"/>
        </w:rPr>
        <w:t>Kationowa emulsja asfaltowa – emulsja, w której emulgator nadaje dodatnie ładunki cząstkom zdyspergowanego asfaltu.</w:t>
      </w:r>
    </w:p>
    <w:p w14:paraId="62CC99AD"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bCs/>
          <w:color w:val="000000" w:themeColor="text1"/>
          <w:sz w:val="18"/>
          <w:szCs w:val="18"/>
        </w:rPr>
        <w:t>1.4.16. </w:t>
      </w:r>
      <w:r w:rsidRPr="007B192E">
        <w:rPr>
          <w:rFonts w:ascii="Arial" w:hAnsi="Arial" w:cs="Arial"/>
          <w:bCs/>
          <w:color w:val="000000" w:themeColor="text1"/>
          <w:sz w:val="18"/>
          <w:szCs w:val="18"/>
        </w:rPr>
        <w:t xml:space="preserve">Połączenia technologiczne </w:t>
      </w:r>
      <w:r w:rsidRPr="007B192E">
        <w:rPr>
          <w:rFonts w:ascii="Arial" w:hAnsi="Arial" w:cs="Arial"/>
          <w:b/>
          <w:bCs/>
          <w:color w:val="000000" w:themeColor="text1"/>
          <w:sz w:val="18"/>
          <w:szCs w:val="18"/>
        </w:rPr>
        <w:t xml:space="preserve">– </w:t>
      </w:r>
      <w:r w:rsidRPr="007B192E">
        <w:rPr>
          <w:rFonts w:ascii="Arial" w:hAnsi="Arial" w:cs="Arial"/>
          <w:color w:val="000000" w:themeColor="text1"/>
          <w:sz w:val="18"/>
          <w:szCs w:val="18"/>
        </w:rPr>
        <w:t xml:space="preserve">połączenia rożnych warstw ze sobą lub tych samych warstw wykonywanych w rożnym czasie niebędących połączeniem </w:t>
      </w:r>
      <w:proofErr w:type="spellStart"/>
      <w:r w:rsidRPr="007B192E">
        <w:rPr>
          <w:rFonts w:ascii="Arial" w:hAnsi="Arial" w:cs="Arial"/>
          <w:color w:val="000000" w:themeColor="text1"/>
          <w:sz w:val="18"/>
          <w:szCs w:val="18"/>
        </w:rPr>
        <w:t>międzywarstwowym</w:t>
      </w:r>
      <w:proofErr w:type="spellEnd"/>
      <w:r w:rsidRPr="007B192E">
        <w:rPr>
          <w:rFonts w:ascii="Arial" w:hAnsi="Arial" w:cs="Arial"/>
          <w:color w:val="000000" w:themeColor="text1"/>
          <w:sz w:val="18"/>
          <w:szCs w:val="18"/>
        </w:rPr>
        <w:t>.</w:t>
      </w:r>
    </w:p>
    <w:p w14:paraId="5E30780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bCs/>
          <w:color w:val="000000" w:themeColor="text1"/>
          <w:sz w:val="18"/>
          <w:szCs w:val="18"/>
        </w:rPr>
        <w:t>1.4.17. </w:t>
      </w:r>
      <w:r w:rsidRPr="007B192E">
        <w:rPr>
          <w:rFonts w:ascii="Arial" w:hAnsi="Arial" w:cs="Arial"/>
          <w:bCs/>
          <w:color w:val="000000" w:themeColor="text1"/>
          <w:sz w:val="18"/>
          <w:szCs w:val="18"/>
        </w:rPr>
        <w:t>Złącza podłużne i poprzeczne</w:t>
      </w:r>
      <w:r w:rsidRPr="007B192E">
        <w:rPr>
          <w:rFonts w:ascii="Arial" w:hAnsi="Arial" w:cs="Arial"/>
          <w:b/>
          <w:bCs/>
          <w:color w:val="000000" w:themeColor="text1"/>
          <w:sz w:val="18"/>
          <w:szCs w:val="18"/>
        </w:rPr>
        <w:t xml:space="preserve"> </w:t>
      </w:r>
      <w:r w:rsidRPr="007B192E">
        <w:rPr>
          <w:rFonts w:ascii="Arial" w:hAnsi="Arial" w:cs="Arial"/>
          <w:color w:val="000000" w:themeColor="text1"/>
          <w:sz w:val="18"/>
          <w:szCs w:val="18"/>
        </w:rPr>
        <w:t>– połączenia tego samego materiału wbudowywanego w rożnym czasie.</w:t>
      </w:r>
    </w:p>
    <w:p w14:paraId="0478CFBA" w14:textId="77777777" w:rsidR="00F45500" w:rsidRPr="007B192E" w:rsidRDefault="00F45500" w:rsidP="00F45500">
      <w:pPr>
        <w:spacing w:before="120"/>
        <w:jc w:val="both"/>
        <w:rPr>
          <w:rFonts w:ascii="Arial" w:hAnsi="Arial" w:cs="Arial"/>
          <w:b/>
          <w:color w:val="000000" w:themeColor="text1"/>
          <w:sz w:val="18"/>
          <w:szCs w:val="18"/>
        </w:rPr>
      </w:pPr>
      <w:r w:rsidRPr="007B192E">
        <w:rPr>
          <w:rFonts w:ascii="Arial" w:hAnsi="Arial" w:cs="Arial"/>
          <w:b/>
          <w:bCs/>
          <w:color w:val="000000" w:themeColor="text1"/>
          <w:sz w:val="18"/>
          <w:szCs w:val="18"/>
        </w:rPr>
        <w:t>1.4.18. </w:t>
      </w:r>
      <w:r w:rsidRPr="007B192E">
        <w:rPr>
          <w:rFonts w:ascii="Arial" w:hAnsi="Arial" w:cs="Arial"/>
          <w:bCs/>
          <w:color w:val="000000" w:themeColor="text1"/>
          <w:sz w:val="18"/>
          <w:szCs w:val="18"/>
        </w:rPr>
        <w:t xml:space="preserve">Spoiny </w:t>
      </w:r>
      <w:r w:rsidRPr="007B192E">
        <w:rPr>
          <w:rFonts w:ascii="Arial" w:hAnsi="Arial" w:cs="Arial"/>
          <w:color w:val="000000" w:themeColor="text1"/>
          <w:sz w:val="18"/>
          <w:szCs w:val="18"/>
        </w:rPr>
        <w:t>– połączenia rożnych materiałów, np. asfaltu lanego i betonu asfaltowego oraz warstwy asfaltowej z urządzeniami obcymi w nawierzchni lub ją ograniczającymi.</w:t>
      </w:r>
    </w:p>
    <w:p w14:paraId="29C5D4BC" w14:textId="77777777" w:rsidR="00F45500" w:rsidRPr="007B192E" w:rsidRDefault="00F45500" w:rsidP="00F45500">
      <w:pPr>
        <w:pStyle w:val="StylIwony"/>
        <w:spacing w:after="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1.4.19.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257EF2AF" w14:textId="77777777" w:rsidR="00F45500" w:rsidRPr="007B192E" w:rsidRDefault="00F45500" w:rsidP="00F45500">
      <w:pPr>
        <w:pStyle w:val="StylIwony"/>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1.4.17. </w:t>
      </w:r>
      <w:r w:rsidRPr="007B192E">
        <w:rPr>
          <w:rFonts w:ascii="Arial" w:hAnsi="Arial" w:cs="Arial"/>
          <w:color w:val="000000" w:themeColor="text1"/>
          <w:sz w:val="18"/>
          <w:szCs w:val="18"/>
        </w:rPr>
        <w:t>Symbole i skróty dodatkowe</w:t>
      </w:r>
    </w:p>
    <w:tbl>
      <w:tblPr>
        <w:tblW w:w="8868" w:type="dxa"/>
        <w:tblLook w:val="04A0" w:firstRow="1" w:lastRow="0" w:firstColumn="1" w:lastColumn="0" w:noHBand="0" w:noVBand="1"/>
      </w:tblPr>
      <w:tblGrid>
        <w:gridCol w:w="817"/>
        <w:gridCol w:w="8051"/>
      </w:tblGrid>
      <w:tr w:rsidR="004D7D23" w:rsidRPr="007B192E" w14:paraId="481EB6D1" w14:textId="77777777" w:rsidTr="008F7A94">
        <w:tc>
          <w:tcPr>
            <w:tcW w:w="817" w:type="dxa"/>
          </w:tcPr>
          <w:p w14:paraId="1230FADE"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AC_P   </w:t>
            </w:r>
          </w:p>
        </w:tc>
        <w:tc>
          <w:tcPr>
            <w:tcW w:w="8051" w:type="dxa"/>
          </w:tcPr>
          <w:p w14:paraId="7C14E193"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beton asfaltowy do warstwy podbudowy,</w:t>
            </w:r>
          </w:p>
        </w:tc>
      </w:tr>
      <w:tr w:rsidR="004D7D23" w:rsidRPr="007B192E" w14:paraId="278DEF36" w14:textId="77777777" w:rsidTr="008F7A94">
        <w:tc>
          <w:tcPr>
            <w:tcW w:w="817" w:type="dxa"/>
          </w:tcPr>
          <w:p w14:paraId="5D5857DA"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PMB   </w:t>
            </w:r>
          </w:p>
        </w:tc>
        <w:tc>
          <w:tcPr>
            <w:tcW w:w="8051" w:type="dxa"/>
          </w:tcPr>
          <w:p w14:paraId="212F1D90"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lang w:val="en-US"/>
              </w:rPr>
            </w:pPr>
            <w:proofErr w:type="spellStart"/>
            <w:r w:rsidRPr="007B192E">
              <w:rPr>
                <w:rFonts w:ascii="Arial" w:hAnsi="Arial" w:cs="Arial"/>
                <w:color w:val="000000" w:themeColor="text1"/>
                <w:sz w:val="18"/>
                <w:szCs w:val="18"/>
                <w:lang w:val="en-US"/>
              </w:rPr>
              <w:t>polimeroasfalt</w:t>
            </w:r>
            <w:proofErr w:type="spellEnd"/>
            <w:r w:rsidRPr="007B192E">
              <w:rPr>
                <w:rFonts w:ascii="Arial" w:hAnsi="Arial" w:cs="Arial"/>
                <w:color w:val="000000" w:themeColor="text1"/>
                <w:sz w:val="18"/>
                <w:szCs w:val="18"/>
                <w:lang w:val="en-US"/>
              </w:rPr>
              <w:t xml:space="preserve"> (ang. polymer modified bitumen),</w:t>
            </w:r>
          </w:p>
        </w:tc>
      </w:tr>
      <w:tr w:rsidR="004D7D23" w:rsidRPr="007B192E" w14:paraId="309551DF" w14:textId="77777777" w:rsidTr="008F7A94">
        <w:tc>
          <w:tcPr>
            <w:tcW w:w="817" w:type="dxa"/>
          </w:tcPr>
          <w:p w14:paraId="0B1EB28D"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MG</w:t>
            </w:r>
          </w:p>
        </w:tc>
        <w:tc>
          <w:tcPr>
            <w:tcW w:w="8051" w:type="dxa"/>
          </w:tcPr>
          <w:p w14:paraId="33B48D16"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asfalt wielorodzajowy (ang. </w:t>
            </w:r>
            <w:proofErr w:type="spellStart"/>
            <w:r w:rsidRPr="007B192E">
              <w:rPr>
                <w:rFonts w:ascii="Arial" w:hAnsi="Arial" w:cs="Arial"/>
                <w:color w:val="000000" w:themeColor="text1"/>
                <w:sz w:val="18"/>
                <w:szCs w:val="18"/>
              </w:rPr>
              <w:t>multigrade</w:t>
            </w:r>
            <w:proofErr w:type="spellEnd"/>
            <w:r w:rsidRPr="007B192E">
              <w:rPr>
                <w:rFonts w:ascii="Arial" w:hAnsi="Arial" w:cs="Arial"/>
                <w:color w:val="000000" w:themeColor="text1"/>
                <w:sz w:val="18"/>
                <w:szCs w:val="18"/>
              </w:rPr>
              <w:t>)</w:t>
            </w:r>
          </w:p>
        </w:tc>
      </w:tr>
      <w:tr w:rsidR="004D7D23" w:rsidRPr="007B192E" w14:paraId="662B4AAE" w14:textId="77777777" w:rsidTr="008F7A94">
        <w:tc>
          <w:tcPr>
            <w:tcW w:w="817" w:type="dxa"/>
          </w:tcPr>
          <w:p w14:paraId="6B72996C"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         </w:t>
            </w:r>
          </w:p>
        </w:tc>
        <w:tc>
          <w:tcPr>
            <w:tcW w:w="8051" w:type="dxa"/>
          </w:tcPr>
          <w:p w14:paraId="2674B407"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górny wymiar sita (przy określaniu wielkości ziaren kruszywa),</w:t>
            </w:r>
          </w:p>
        </w:tc>
      </w:tr>
      <w:tr w:rsidR="004D7D23" w:rsidRPr="007B192E" w14:paraId="1B198054" w14:textId="77777777" w:rsidTr="008F7A94">
        <w:tc>
          <w:tcPr>
            <w:tcW w:w="817" w:type="dxa"/>
          </w:tcPr>
          <w:p w14:paraId="25DCE2C2"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         </w:t>
            </w:r>
          </w:p>
        </w:tc>
        <w:tc>
          <w:tcPr>
            <w:tcW w:w="8051" w:type="dxa"/>
          </w:tcPr>
          <w:p w14:paraId="25F3F562"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dolny wymiar sita (przy określaniu wielkości ziaren kruszywa),</w:t>
            </w:r>
          </w:p>
        </w:tc>
      </w:tr>
      <w:tr w:rsidR="004D7D23" w:rsidRPr="007B192E" w14:paraId="7BB9EC6E" w14:textId="77777777" w:rsidTr="008F7A94">
        <w:tc>
          <w:tcPr>
            <w:tcW w:w="817" w:type="dxa"/>
          </w:tcPr>
          <w:p w14:paraId="3C5CD42F"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C         </w:t>
            </w:r>
          </w:p>
        </w:tc>
        <w:tc>
          <w:tcPr>
            <w:tcW w:w="8051" w:type="dxa"/>
          </w:tcPr>
          <w:p w14:paraId="5044D55B"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kationowa emulsja asfaltowa,</w:t>
            </w:r>
          </w:p>
        </w:tc>
      </w:tr>
      <w:tr w:rsidR="004D7D23" w:rsidRPr="007B192E" w14:paraId="2291086E" w14:textId="77777777" w:rsidTr="008F7A94">
        <w:tc>
          <w:tcPr>
            <w:tcW w:w="817" w:type="dxa"/>
          </w:tcPr>
          <w:p w14:paraId="26B03924"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NPD   </w:t>
            </w:r>
          </w:p>
        </w:tc>
        <w:tc>
          <w:tcPr>
            <w:tcW w:w="8051" w:type="dxa"/>
          </w:tcPr>
          <w:p w14:paraId="518CD33F"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właściwość użytkowa nie określana (ang. No Performance </w:t>
            </w:r>
            <w:proofErr w:type="spellStart"/>
            <w:r w:rsidRPr="007B192E">
              <w:rPr>
                <w:rFonts w:ascii="Arial" w:hAnsi="Arial" w:cs="Arial"/>
                <w:color w:val="000000" w:themeColor="text1"/>
                <w:sz w:val="18"/>
                <w:szCs w:val="18"/>
              </w:rPr>
              <w:t>Determined</w:t>
            </w:r>
            <w:proofErr w:type="spellEnd"/>
            <w:r w:rsidRPr="007B192E">
              <w:rPr>
                <w:rFonts w:ascii="Arial" w:hAnsi="Arial" w:cs="Arial"/>
                <w:color w:val="000000" w:themeColor="text1"/>
                <w:sz w:val="18"/>
                <w:szCs w:val="18"/>
              </w:rPr>
              <w:t>; producent może jej nie określać),</w:t>
            </w:r>
          </w:p>
        </w:tc>
      </w:tr>
      <w:tr w:rsidR="004D7D23" w:rsidRPr="007B192E" w14:paraId="1B7C31AC" w14:textId="77777777" w:rsidTr="008F7A94">
        <w:tc>
          <w:tcPr>
            <w:tcW w:w="817" w:type="dxa"/>
          </w:tcPr>
          <w:p w14:paraId="30FD370F"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TBR    </w:t>
            </w:r>
          </w:p>
        </w:tc>
        <w:tc>
          <w:tcPr>
            <w:tcW w:w="8051" w:type="dxa"/>
          </w:tcPr>
          <w:p w14:paraId="7D35FEC8"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do zadeklarowania (ang. To Be </w:t>
            </w:r>
            <w:proofErr w:type="spellStart"/>
            <w:r w:rsidRPr="007B192E">
              <w:rPr>
                <w:rFonts w:ascii="Arial" w:hAnsi="Arial" w:cs="Arial"/>
                <w:color w:val="000000" w:themeColor="text1"/>
                <w:sz w:val="18"/>
                <w:szCs w:val="18"/>
              </w:rPr>
              <w:t>Reported</w:t>
            </w:r>
            <w:proofErr w:type="spellEnd"/>
            <w:r w:rsidRPr="007B192E">
              <w:rPr>
                <w:rFonts w:ascii="Arial" w:hAnsi="Arial" w:cs="Arial"/>
                <w:color w:val="000000" w:themeColor="text1"/>
                <w:sz w:val="18"/>
                <w:szCs w:val="18"/>
              </w:rPr>
              <w:t>; producent może dostarczyć odpowiednie informacje, jednak nie jest do tego zobowiązany),</w:t>
            </w:r>
          </w:p>
        </w:tc>
      </w:tr>
      <w:tr w:rsidR="004D7D23" w:rsidRPr="007B192E" w14:paraId="39D99C1A" w14:textId="77777777" w:rsidTr="008F7A94">
        <w:tc>
          <w:tcPr>
            <w:tcW w:w="817" w:type="dxa"/>
          </w:tcPr>
          <w:p w14:paraId="068A666F"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IRI      </w:t>
            </w:r>
          </w:p>
        </w:tc>
        <w:tc>
          <w:tcPr>
            <w:tcW w:w="8051" w:type="dxa"/>
          </w:tcPr>
          <w:p w14:paraId="068866BA"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międzynarodowy wskaźnik równości (ang. International </w:t>
            </w:r>
            <w:proofErr w:type="spellStart"/>
            <w:r w:rsidRPr="007B192E">
              <w:rPr>
                <w:rFonts w:ascii="Arial" w:hAnsi="Arial" w:cs="Arial"/>
                <w:color w:val="000000" w:themeColor="text1"/>
                <w:sz w:val="18"/>
                <w:szCs w:val="18"/>
              </w:rPr>
              <w:t>Roughness</w:t>
            </w:r>
            <w:proofErr w:type="spellEnd"/>
            <w:r w:rsidRPr="007B192E">
              <w:rPr>
                <w:rFonts w:ascii="Arial" w:hAnsi="Arial" w:cs="Arial"/>
                <w:color w:val="000000" w:themeColor="text1"/>
                <w:sz w:val="18"/>
                <w:szCs w:val="18"/>
              </w:rPr>
              <w:t xml:space="preserve"> Index),</w:t>
            </w:r>
          </w:p>
        </w:tc>
      </w:tr>
      <w:tr w:rsidR="004D7D23" w:rsidRPr="007B192E" w14:paraId="70761386" w14:textId="77777777" w:rsidTr="008F7A94">
        <w:tc>
          <w:tcPr>
            <w:tcW w:w="817" w:type="dxa"/>
          </w:tcPr>
          <w:p w14:paraId="6C466390"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MOP  </w:t>
            </w:r>
          </w:p>
        </w:tc>
        <w:tc>
          <w:tcPr>
            <w:tcW w:w="8051" w:type="dxa"/>
          </w:tcPr>
          <w:p w14:paraId="63668E83" w14:textId="77777777" w:rsidR="00F45500" w:rsidRPr="007B192E" w:rsidRDefault="00F45500" w:rsidP="00F45500">
            <w:pPr>
              <w:pStyle w:val="StylIwony"/>
              <w:widowControl/>
              <w:numPr>
                <w:ilvl w:val="0"/>
                <w:numId w:val="210"/>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miejsce obsługi podróżnych,</w:t>
            </w:r>
          </w:p>
        </w:tc>
      </w:tr>
      <w:tr w:rsidR="00F45500" w:rsidRPr="007B192E" w14:paraId="2822083E" w14:textId="77777777" w:rsidTr="008F7A94">
        <w:tc>
          <w:tcPr>
            <w:tcW w:w="817" w:type="dxa"/>
          </w:tcPr>
          <w:p w14:paraId="7CD7F702" w14:textId="77777777" w:rsidR="00F45500" w:rsidRPr="007B192E" w:rsidRDefault="00F45500" w:rsidP="008F7A94">
            <w:pPr>
              <w:pStyle w:val="StylIwony"/>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ZKP</w:t>
            </w:r>
          </w:p>
        </w:tc>
        <w:tc>
          <w:tcPr>
            <w:tcW w:w="8051" w:type="dxa"/>
          </w:tcPr>
          <w:p w14:paraId="042C0755" w14:textId="77777777" w:rsidR="00F45500" w:rsidRPr="007B192E" w:rsidRDefault="00F45500" w:rsidP="00C12426">
            <w:pPr>
              <w:pStyle w:val="StylIwony"/>
              <w:widowControl/>
              <w:numPr>
                <w:ilvl w:val="0"/>
                <w:numId w:val="213"/>
              </w:numPr>
              <w:suppressAutoHyphens w:val="0"/>
              <w:overflowPunct w:val="0"/>
              <w:autoSpaceDE w:val="0"/>
              <w:autoSpaceDN w:val="0"/>
              <w:adjustRightInd w:val="0"/>
              <w:spacing w:before="0" w:after="0"/>
              <w:ind w:left="459"/>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zakładowa kontrola produkcji</w:t>
            </w:r>
          </w:p>
        </w:tc>
      </w:tr>
    </w:tbl>
    <w:p w14:paraId="3CA30D7D" w14:textId="77777777" w:rsidR="00F45500" w:rsidRPr="007B192E" w:rsidRDefault="00F45500" w:rsidP="00F45500">
      <w:pPr>
        <w:pStyle w:val="Standard"/>
        <w:jc w:val="both"/>
        <w:rPr>
          <w:rFonts w:ascii="Arial" w:hAnsi="Arial" w:cs="Arial"/>
          <w:color w:val="000000" w:themeColor="text1"/>
          <w:sz w:val="18"/>
          <w:szCs w:val="18"/>
        </w:rPr>
      </w:pPr>
    </w:p>
    <w:p w14:paraId="56493B84"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1.5. Ogólne wymagania dotyczące robót</w:t>
      </w:r>
    </w:p>
    <w:p w14:paraId="527D1F41" w14:textId="77777777" w:rsidR="00F45500" w:rsidRPr="007B192E" w:rsidRDefault="00F45500" w:rsidP="00F45500">
      <w:pPr>
        <w:pStyle w:val="StylIwony"/>
        <w:spacing w:before="0" w:after="0"/>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2524D476" w14:textId="77777777" w:rsidR="00F45500" w:rsidRPr="007B192E" w:rsidRDefault="005E0E48" w:rsidP="005E0E48">
      <w:pPr>
        <w:pStyle w:val="Nagwek2"/>
        <w:rPr>
          <w:i w:val="0"/>
          <w:color w:val="000000" w:themeColor="text1"/>
        </w:rPr>
      </w:pPr>
      <w:bookmarkStart w:id="304" w:name="_Toc413234104"/>
      <w:r w:rsidRPr="007B192E">
        <w:rPr>
          <w:i w:val="0"/>
          <w:color w:val="000000" w:themeColor="text1"/>
        </w:rPr>
        <w:t>2. MATERIAŁY</w:t>
      </w:r>
      <w:bookmarkEnd w:id="304"/>
    </w:p>
    <w:p w14:paraId="10F7702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7F969EB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50530FA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1D8C05E2" w14:textId="77777777" w:rsidR="00F45500" w:rsidRPr="007B192E" w:rsidRDefault="00F45500" w:rsidP="00F45500">
      <w:pPr>
        <w:pStyle w:val="StylIwony"/>
        <w:spacing w:before="0" w:after="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Wbudowywana mieszanka mineralno-asfaltowa może pochodzić z kilku wytwórni pod warunkiem, że jest produkowana z tych samych materiałów (o ustalonej przydatności ) i w oparciu o takie samo badanie typu.</w:t>
      </w:r>
    </w:p>
    <w:p w14:paraId="1FCA79E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Materiały stosowane do betonu asfaltowego do warstwy podbudowy</w:t>
      </w:r>
    </w:p>
    <w:p w14:paraId="35B2913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Rodzaje stosowanych materiałów do betonu asfaltowego do warstwy podbudowy w zależności od kategorii ruchu podano w tablicy 2.</w:t>
      </w:r>
    </w:p>
    <w:p w14:paraId="1E79DB13" w14:textId="77777777" w:rsidR="00F45500" w:rsidRPr="007B192E" w:rsidRDefault="00F45500" w:rsidP="00F45500">
      <w:pPr>
        <w:spacing w:before="60" w:after="60"/>
        <w:ind w:left="900" w:hanging="900"/>
        <w:jc w:val="both"/>
        <w:rPr>
          <w:rFonts w:ascii="Arial" w:hAnsi="Arial" w:cs="Arial"/>
          <w:color w:val="000000" w:themeColor="text1"/>
          <w:sz w:val="18"/>
          <w:szCs w:val="18"/>
        </w:rPr>
      </w:pPr>
      <w:r w:rsidRPr="007B192E">
        <w:rPr>
          <w:rFonts w:ascii="Arial" w:hAnsi="Arial" w:cs="Arial"/>
          <w:color w:val="000000" w:themeColor="text1"/>
          <w:sz w:val="18"/>
          <w:szCs w:val="18"/>
        </w:rPr>
        <w:t>Tablica 2. Materiały  do warstwy podbudowy  z betonu asfaltowego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19"/>
        <w:gridCol w:w="4400"/>
      </w:tblGrid>
      <w:tr w:rsidR="004D7D23" w:rsidRPr="007B192E" w14:paraId="74F12FEC" w14:textId="77777777" w:rsidTr="008F7A94">
        <w:trPr>
          <w:trHeight w:val="830"/>
          <w:jc w:val="center"/>
        </w:trPr>
        <w:tc>
          <w:tcPr>
            <w:tcW w:w="4119" w:type="dxa"/>
            <w:vAlign w:val="center"/>
          </w:tcPr>
          <w:p w14:paraId="43D6378D"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Materiał</w:t>
            </w:r>
          </w:p>
        </w:tc>
        <w:tc>
          <w:tcPr>
            <w:tcW w:w="4400" w:type="dxa"/>
            <w:vAlign w:val="center"/>
          </w:tcPr>
          <w:p w14:paraId="0C1DF949"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Kategoria ruchu KR3÷4</w:t>
            </w:r>
          </w:p>
        </w:tc>
      </w:tr>
      <w:tr w:rsidR="004D7D23" w:rsidRPr="007B192E" w14:paraId="79CECEA0" w14:textId="77777777" w:rsidTr="008F7A94">
        <w:trPr>
          <w:jc w:val="center"/>
        </w:trPr>
        <w:tc>
          <w:tcPr>
            <w:tcW w:w="4119" w:type="dxa"/>
          </w:tcPr>
          <w:p w14:paraId="63C858B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Mieszanka mineralno-asfaltowa o wymiarze D, [mm]</w:t>
            </w:r>
          </w:p>
        </w:tc>
        <w:tc>
          <w:tcPr>
            <w:tcW w:w="4400" w:type="dxa"/>
            <w:vAlign w:val="center"/>
          </w:tcPr>
          <w:p w14:paraId="180102A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22</w:t>
            </w:r>
          </w:p>
        </w:tc>
      </w:tr>
      <w:tr w:rsidR="004D7D23" w:rsidRPr="007B192E" w14:paraId="4AF93848" w14:textId="77777777" w:rsidTr="008F7A94">
        <w:trPr>
          <w:jc w:val="center"/>
        </w:trPr>
        <w:tc>
          <w:tcPr>
            <w:tcW w:w="4119" w:type="dxa"/>
          </w:tcPr>
          <w:p w14:paraId="0DD9BEC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Granulat asfaltowy GRA o wymiarze U, [mm]</w:t>
            </w:r>
          </w:p>
        </w:tc>
        <w:tc>
          <w:tcPr>
            <w:tcW w:w="4400" w:type="dxa"/>
          </w:tcPr>
          <w:p w14:paraId="75795686"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31,5</w:t>
            </w:r>
          </w:p>
        </w:tc>
      </w:tr>
      <w:tr w:rsidR="004D7D23" w:rsidRPr="007B192E" w14:paraId="6B3F3208" w14:textId="77777777" w:rsidTr="008F7A94">
        <w:trPr>
          <w:jc w:val="center"/>
        </w:trPr>
        <w:tc>
          <w:tcPr>
            <w:tcW w:w="4119" w:type="dxa"/>
          </w:tcPr>
          <w:p w14:paraId="55F107A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Lepiszcze asfaltowe</w:t>
            </w:r>
          </w:p>
        </w:tc>
        <w:tc>
          <w:tcPr>
            <w:tcW w:w="4400" w:type="dxa"/>
          </w:tcPr>
          <w:p w14:paraId="1AC0A32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35/50, 50/70</w:t>
            </w:r>
          </w:p>
        </w:tc>
      </w:tr>
      <w:tr w:rsidR="004D7D23" w:rsidRPr="007B192E" w14:paraId="0B274990" w14:textId="77777777" w:rsidTr="008F7A94">
        <w:trPr>
          <w:jc w:val="center"/>
        </w:trPr>
        <w:tc>
          <w:tcPr>
            <w:tcW w:w="4119" w:type="dxa"/>
          </w:tcPr>
          <w:p w14:paraId="726F3F36"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Kruszywa mineralne</w:t>
            </w:r>
          </w:p>
        </w:tc>
        <w:tc>
          <w:tcPr>
            <w:tcW w:w="4400" w:type="dxa"/>
          </w:tcPr>
          <w:p w14:paraId="30D8E072" w14:textId="77777777" w:rsidR="00F45500" w:rsidRPr="007B192E" w:rsidRDefault="00F45500" w:rsidP="008F7A94">
            <w:pPr>
              <w:spacing w:before="120" w:after="120"/>
              <w:jc w:val="both"/>
              <w:rPr>
                <w:rFonts w:ascii="Arial" w:hAnsi="Arial" w:cs="Arial"/>
                <w:color w:val="000000" w:themeColor="text1"/>
                <w:sz w:val="18"/>
                <w:szCs w:val="18"/>
                <w:lang w:val="en-US"/>
              </w:rPr>
            </w:pPr>
            <w:proofErr w:type="spellStart"/>
            <w:r w:rsidRPr="007B192E">
              <w:rPr>
                <w:rFonts w:ascii="Arial" w:hAnsi="Arial" w:cs="Arial"/>
                <w:color w:val="000000" w:themeColor="text1"/>
                <w:sz w:val="18"/>
                <w:szCs w:val="18"/>
                <w:lang w:val="en-US"/>
              </w:rPr>
              <w:t>Tabele</w:t>
            </w:r>
            <w:proofErr w:type="spellEnd"/>
            <w:r w:rsidRPr="007B192E">
              <w:rPr>
                <w:rFonts w:ascii="Arial" w:hAnsi="Arial" w:cs="Arial"/>
                <w:color w:val="000000" w:themeColor="text1"/>
                <w:sz w:val="18"/>
                <w:szCs w:val="18"/>
                <w:lang w:val="en-US"/>
              </w:rPr>
              <w:t xml:space="preserve"> 4-7 </w:t>
            </w:r>
            <w:proofErr w:type="spellStart"/>
            <w:r w:rsidRPr="007B192E">
              <w:rPr>
                <w:rFonts w:ascii="Arial" w:hAnsi="Arial" w:cs="Arial"/>
                <w:color w:val="000000" w:themeColor="text1"/>
                <w:sz w:val="18"/>
                <w:szCs w:val="18"/>
                <w:lang w:val="en-US"/>
              </w:rPr>
              <w:t>wg</w:t>
            </w:r>
            <w:proofErr w:type="spellEnd"/>
            <w:r w:rsidRPr="007B192E">
              <w:rPr>
                <w:rFonts w:ascii="Arial" w:hAnsi="Arial" w:cs="Arial"/>
                <w:color w:val="000000" w:themeColor="text1"/>
                <w:sz w:val="18"/>
                <w:szCs w:val="18"/>
                <w:lang w:val="en-US"/>
              </w:rPr>
              <w:t xml:space="preserve"> WT-1-2014 [81] (</w:t>
            </w:r>
            <w:proofErr w:type="spellStart"/>
            <w:r w:rsidRPr="007B192E">
              <w:rPr>
                <w:rFonts w:ascii="Arial" w:hAnsi="Arial" w:cs="Arial"/>
                <w:color w:val="000000" w:themeColor="text1"/>
                <w:sz w:val="18"/>
                <w:szCs w:val="18"/>
                <w:lang w:val="en-US"/>
              </w:rPr>
              <w:t>tablice</w:t>
            </w:r>
            <w:proofErr w:type="spellEnd"/>
            <w:r w:rsidRPr="007B192E">
              <w:rPr>
                <w:rFonts w:ascii="Arial" w:hAnsi="Arial" w:cs="Arial"/>
                <w:color w:val="000000" w:themeColor="text1"/>
                <w:sz w:val="18"/>
                <w:szCs w:val="18"/>
                <w:lang w:val="en-US"/>
              </w:rPr>
              <w:t xml:space="preserve"> 6-10 </w:t>
            </w:r>
            <w:proofErr w:type="spellStart"/>
            <w:r w:rsidRPr="007B192E">
              <w:rPr>
                <w:rFonts w:ascii="Arial" w:hAnsi="Arial" w:cs="Arial"/>
                <w:color w:val="000000" w:themeColor="text1"/>
                <w:sz w:val="18"/>
                <w:szCs w:val="18"/>
                <w:lang w:val="en-US"/>
              </w:rPr>
              <w:t>wg</w:t>
            </w:r>
            <w:proofErr w:type="spellEnd"/>
            <w:r w:rsidRPr="007B192E">
              <w:rPr>
                <w:rFonts w:ascii="Arial" w:hAnsi="Arial" w:cs="Arial"/>
                <w:color w:val="000000" w:themeColor="text1"/>
                <w:sz w:val="18"/>
                <w:szCs w:val="18"/>
                <w:lang w:val="en-US"/>
              </w:rPr>
              <w:t xml:space="preserve"> ST)</w:t>
            </w:r>
          </w:p>
        </w:tc>
      </w:tr>
    </w:tbl>
    <w:p w14:paraId="7D3DCC1C" w14:textId="77777777" w:rsidR="00F45500" w:rsidRPr="007B192E" w:rsidRDefault="00F45500" w:rsidP="00F45500">
      <w:pPr>
        <w:pStyle w:val="Nagwek2"/>
        <w:numPr>
          <w:ilvl w:val="1"/>
          <w:numId w:val="30"/>
        </w:numPr>
        <w:overflowPunct/>
        <w:autoSpaceDE/>
        <w:jc w:val="both"/>
        <w:textAlignment w:val="auto"/>
        <w:rPr>
          <w:color w:val="000000" w:themeColor="text1"/>
          <w:sz w:val="18"/>
          <w:szCs w:val="18"/>
        </w:rPr>
      </w:pPr>
      <w:r w:rsidRPr="007B192E">
        <w:rPr>
          <w:color w:val="000000" w:themeColor="text1"/>
          <w:sz w:val="18"/>
          <w:szCs w:val="18"/>
        </w:rPr>
        <w:t>2.3. Lepiszcza asfaltowe</w:t>
      </w:r>
    </w:p>
    <w:p w14:paraId="46CC5438" w14:textId="77777777" w:rsidR="00F45500" w:rsidRPr="007B192E" w:rsidRDefault="00F45500" w:rsidP="00F45500">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ab/>
        <w:t xml:space="preserve">Należy stosować asfalty drogowe wg PN-EN 12591 [24],  </w:t>
      </w:r>
      <w:proofErr w:type="spellStart"/>
      <w:r w:rsidRPr="007B192E">
        <w:rPr>
          <w:rFonts w:ascii="Arial" w:hAnsi="Arial" w:cs="Arial"/>
          <w:color w:val="000000" w:themeColor="text1"/>
          <w:sz w:val="18"/>
          <w:szCs w:val="18"/>
        </w:rPr>
        <w:t>polimeroasfalty</w:t>
      </w:r>
      <w:proofErr w:type="spellEnd"/>
      <w:r w:rsidRPr="007B192E">
        <w:rPr>
          <w:rFonts w:ascii="Arial" w:hAnsi="Arial" w:cs="Arial"/>
          <w:color w:val="000000" w:themeColor="text1"/>
          <w:sz w:val="18"/>
          <w:szCs w:val="18"/>
        </w:rPr>
        <w:t xml:space="preserve"> wg PN-EN 14023 [66] [66a] lub asfalty wielorodzajowe wg PN-EN 13924-2[65] [65a].</w:t>
      </w:r>
    </w:p>
    <w:p w14:paraId="27C7C089"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 xml:space="preserve">Oprócz </w:t>
      </w:r>
      <w:proofErr w:type="spellStart"/>
      <w:r w:rsidRPr="007B192E">
        <w:rPr>
          <w:rFonts w:ascii="Arial" w:hAnsi="Arial" w:cs="Arial"/>
          <w:color w:val="000000" w:themeColor="text1"/>
          <w:sz w:val="18"/>
          <w:szCs w:val="18"/>
        </w:rPr>
        <w:t>lepiszcz</w:t>
      </w:r>
      <w:proofErr w:type="spellEnd"/>
      <w:r w:rsidRPr="007B192E">
        <w:rPr>
          <w:rFonts w:ascii="Arial" w:hAnsi="Arial" w:cs="Arial"/>
          <w:color w:val="000000" w:themeColor="text1"/>
          <w:sz w:val="18"/>
          <w:szCs w:val="18"/>
        </w:rPr>
        <w:t xml:space="preserve"> wymienionych w tablicy 2 można stosować inne lepiszcza nienormowe według aprobat technicznych. </w:t>
      </w:r>
    </w:p>
    <w:p w14:paraId="35321998"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drogowe powinny spełniać wymagania podane w tablicy 3. </w:t>
      </w:r>
    </w:p>
    <w:p w14:paraId="5E0C9D2E" w14:textId="77777777" w:rsidR="00F45500" w:rsidRPr="007B192E" w:rsidRDefault="00F45500" w:rsidP="00F45500">
      <w:pPr>
        <w:ind w:firstLine="708"/>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Polimeroasfalty</w:t>
      </w:r>
      <w:proofErr w:type="spellEnd"/>
      <w:r w:rsidRPr="007B192E">
        <w:rPr>
          <w:rFonts w:ascii="Arial" w:hAnsi="Arial" w:cs="Arial"/>
          <w:color w:val="000000" w:themeColor="text1"/>
          <w:sz w:val="18"/>
          <w:szCs w:val="18"/>
        </w:rPr>
        <w:t xml:space="preserve">  powinny spełniać wymagania podane  w tablicy 4.</w:t>
      </w:r>
    </w:p>
    <w:p w14:paraId="24F6DA0F"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Asfalty wielorodzajowe powinny spełniać wymagania podane w tablicy 5.</w:t>
      </w:r>
    </w:p>
    <w:p w14:paraId="2D183DF4"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3. Wymagania wobec asfaltów drogowych wg PN-EN 12591 [24]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2775"/>
        <w:gridCol w:w="30"/>
        <w:gridCol w:w="960"/>
        <w:gridCol w:w="2160"/>
        <w:gridCol w:w="1150"/>
        <w:gridCol w:w="1150"/>
      </w:tblGrid>
      <w:tr w:rsidR="004D7D23" w:rsidRPr="007B192E" w14:paraId="488A5E0E" w14:textId="77777777" w:rsidTr="008F7A94">
        <w:trPr>
          <w:jc w:val="center"/>
        </w:trPr>
        <w:tc>
          <w:tcPr>
            <w:tcW w:w="543" w:type="dxa"/>
            <w:vMerge w:val="restart"/>
            <w:vAlign w:val="center"/>
          </w:tcPr>
          <w:p w14:paraId="160D7E9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2775" w:type="dxa"/>
            <w:vMerge w:val="restart"/>
            <w:vAlign w:val="center"/>
          </w:tcPr>
          <w:p w14:paraId="1EBDAB7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w:t>
            </w:r>
          </w:p>
        </w:tc>
        <w:tc>
          <w:tcPr>
            <w:tcW w:w="990" w:type="dxa"/>
            <w:gridSpan w:val="2"/>
            <w:vMerge w:val="restart"/>
            <w:vAlign w:val="center"/>
          </w:tcPr>
          <w:p w14:paraId="6D66BFF3"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Jed-nostka</w:t>
            </w:r>
            <w:proofErr w:type="spellEnd"/>
          </w:p>
        </w:tc>
        <w:tc>
          <w:tcPr>
            <w:tcW w:w="2160" w:type="dxa"/>
            <w:vMerge w:val="restart"/>
            <w:vAlign w:val="center"/>
          </w:tcPr>
          <w:p w14:paraId="19DECC6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Metoda</w:t>
            </w:r>
          </w:p>
          <w:p w14:paraId="13557B3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w:t>
            </w:r>
          </w:p>
        </w:tc>
        <w:tc>
          <w:tcPr>
            <w:tcW w:w="2300" w:type="dxa"/>
            <w:gridSpan w:val="2"/>
          </w:tcPr>
          <w:p w14:paraId="5165C6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Rodzaj asfaltu</w:t>
            </w:r>
          </w:p>
        </w:tc>
      </w:tr>
      <w:tr w:rsidR="004D7D23" w:rsidRPr="007B192E" w14:paraId="69C7190B" w14:textId="77777777" w:rsidTr="008F7A94">
        <w:trPr>
          <w:jc w:val="center"/>
        </w:trPr>
        <w:tc>
          <w:tcPr>
            <w:tcW w:w="543" w:type="dxa"/>
            <w:vMerge/>
          </w:tcPr>
          <w:p w14:paraId="7F471626" w14:textId="77777777" w:rsidR="00F45500" w:rsidRPr="007B192E" w:rsidRDefault="00F45500" w:rsidP="008F7A94">
            <w:pPr>
              <w:jc w:val="both"/>
              <w:rPr>
                <w:rFonts w:ascii="Arial" w:hAnsi="Arial" w:cs="Arial"/>
                <w:color w:val="000000" w:themeColor="text1"/>
                <w:sz w:val="18"/>
                <w:szCs w:val="18"/>
              </w:rPr>
            </w:pPr>
          </w:p>
        </w:tc>
        <w:tc>
          <w:tcPr>
            <w:tcW w:w="2775" w:type="dxa"/>
            <w:vMerge/>
          </w:tcPr>
          <w:p w14:paraId="6529B28D" w14:textId="77777777" w:rsidR="00F45500" w:rsidRPr="007B192E" w:rsidRDefault="00F45500" w:rsidP="008F7A94">
            <w:pPr>
              <w:jc w:val="both"/>
              <w:rPr>
                <w:rFonts w:ascii="Arial" w:hAnsi="Arial" w:cs="Arial"/>
                <w:color w:val="000000" w:themeColor="text1"/>
                <w:sz w:val="18"/>
                <w:szCs w:val="18"/>
              </w:rPr>
            </w:pPr>
          </w:p>
        </w:tc>
        <w:tc>
          <w:tcPr>
            <w:tcW w:w="990" w:type="dxa"/>
            <w:gridSpan w:val="2"/>
            <w:vMerge/>
          </w:tcPr>
          <w:p w14:paraId="0BB3CA14" w14:textId="77777777" w:rsidR="00F45500" w:rsidRPr="007B192E" w:rsidRDefault="00F45500" w:rsidP="008F7A94">
            <w:pPr>
              <w:jc w:val="both"/>
              <w:rPr>
                <w:rFonts w:ascii="Arial" w:hAnsi="Arial" w:cs="Arial"/>
                <w:color w:val="000000" w:themeColor="text1"/>
                <w:sz w:val="18"/>
                <w:szCs w:val="18"/>
              </w:rPr>
            </w:pPr>
          </w:p>
        </w:tc>
        <w:tc>
          <w:tcPr>
            <w:tcW w:w="2160" w:type="dxa"/>
            <w:vMerge/>
          </w:tcPr>
          <w:p w14:paraId="0B5C289A" w14:textId="77777777" w:rsidR="00F45500" w:rsidRPr="007B192E" w:rsidRDefault="00F45500" w:rsidP="008F7A94">
            <w:pPr>
              <w:jc w:val="both"/>
              <w:rPr>
                <w:rFonts w:ascii="Arial" w:hAnsi="Arial" w:cs="Arial"/>
                <w:color w:val="000000" w:themeColor="text1"/>
                <w:sz w:val="18"/>
                <w:szCs w:val="18"/>
              </w:rPr>
            </w:pPr>
          </w:p>
        </w:tc>
        <w:tc>
          <w:tcPr>
            <w:tcW w:w="1150" w:type="dxa"/>
          </w:tcPr>
          <w:p w14:paraId="698E4C6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35/50</w:t>
            </w:r>
          </w:p>
        </w:tc>
        <w:tc>
          <w:tcPr>
            <w:tcW w:w="1150" w:type="dxa"/>
          </w:tcPr>
          <w:p w14:paraId="1316B9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50/70</w:t>
            </w:r>
          </w:p>
        </w:tc>
      </w:tr>
      <w:tr w:rsidR="004D7D23" w:rsidRPr="007B192E" w14:paraId="49D5F31C" w14:textId="77777777" w:rsidTr="008F7A94">
        <w:trPr>
          <w:jc w:val="center"/>
        </w:trPr>
        <w:tc>
          <w:tcPr>
            <w:tcW w:w="8768" w:type="dxa"/>
            <w:gridSpan w:val="7"/>
          </w:tcPr>
          <w:p w14:paraId="1618A09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OBLIGATORYJNE</w:t>
            </w:r>
          </w:p>
        </w:tc>
      </w:tr>
      <w:tr w:rsidR="004D7D23" w:rsidRPr="007B192E" w14:paraId="2A73DD45" w14:textId="77777777" w:rsidTr="008F7A94">
        <w:trPr>
          <w:jc w:val="center"/>
        </w:trPr>
        <w:tc>
          <w:tcPr>
            <w:tcW w:w="543" w:type="dxa"/>
          </w:tcPr>
          <w:p w14:paraId="2FDC57BC"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2805" w:type="dxa"/>
            <w:gridSpan w:val="2"/>
          </w:tcPr>
          <w:p w14:paraId="331E839E"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Penetracja w 25°C</w:t>
            </w:r>
          </w:p>
        </w:tc>
        <w:tc>
          <w:tcPr>
            <w:tcW w:w="960" w:type="dxa"/>
          </w:tcPr>
          <w:p w14:paraId="34AC0058"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0,1 mm</w:t>
            </w:r>
          </w:p>
        </w:tc>
        <w:tc>
          <w:tcPr>
            <w:tcW w:w="2160" w:type="dxa"/>
          </w:tcPr>
          <w:p w14:paraId="4595EF6F"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PN-EN 1426 [21]</w:t>
            </w:r>
          </w:p>
        </w:tc>
        <w:tc>
          <w:tcPr>
            <w:tcW w:w="1150" w:type="dxa"/>
          </w:tcPr>
          <w:p w14:paraId="240F4965"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35÷50</w:t>
            </w:r>
          </w:p>
        </w:tc>
        <w:tc>
          <w:tcPr>
            <w:tcW w:w="1150" w:type="dxa"/>
          </w:tcPr>
          <w:p w14:paraId="797F79E2"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50÷70</w:t>
            </w:r>
          </w:p>
        </w:tc>
      </w:tr>
      <w:tr w:rsidR="004D7D23" w:rsidRPr="007B192E" w14:paraId="37CA6B94" w14:textId="77777777" w:rsidTr="008F7A94">
        <w:trPr>
          <w:jc w:val="center"/>
        </w:trPr>
        <w:tc>
          <w:tcPr>
            <w:tcW w:w="543" w:type="dxa"/>
          </w:tcPr>
          <w:p w14:paraId="39FC77CF"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805" w:type="dxa"/>
            <w:gridSpan w:val="2"/>
          </w:tcPr>
          <w:p w14:paraId="258D0E93"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Temperatura mięknienia</w:t>
            </w:r>
          </w:p>
        </w:tc>
        <w:tc>
          <w:tcPr>
            <w:tcW w:w="960" w:type="dxa"/>
          </w:tcPr>
          <w:p w14:paraId="2F74F718"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2160" w:type="dxa"/>
          </w:tcPr>
          <w:p w14:paraId="35381774"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1150" w:type="dxa"/>
          </w:tcPr>
          <w:p w14:paraId="43E89EC6"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50÷58</w:t>
            </w:r>
          </w:p>
        </w:tc>
        <w:tc>
          <w:tcPr>
            <w:tcW w:w="1150" w:type="dxa"/>
          </w:tcPr>
          <w:p w14:paraId="4E1FDF68"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46÷54</w:t>
            </w:r>
          </w:p>
        </w:tc>
      </w:tr>
      <w:tr w:rsidR="004D7D23" w:rsidRPr="007B192E" w14:paraId="45A3E455" w14:textId="77777777" w:rsidTr="008F7A94">
        <w:trPr>
          <w:jc w:val="center"/>
        </w:trPr>
        <w:tc>
          <w:tcPr>
            <w:tcW w:w="543" w:type="dxa"/>
          </w:tcPr>
          <w:p w14:paraId="6B8DDB9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805" w:type="dxa"/>
            <w:gridSpan w:val="2"/>
          </w:tcPr>
          <w:p w14:paraId="3C2E0CF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zapłonu, </w:t>
            </w:r>
          </w:p>
          <w:p w14:paraId="4DB53DB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nie mniej niż</w:t>
            </w:r>
          </w:p>
        </w:tc>
        <w:tc>
          <w:tcPr>
            <w:tcW w:w="960" w:type="dxa"/>
          </w:tcPr>
          <w:p w14:paraId="3D0DA6B1"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2160" w:type="dxa"/>
          </w:tcPr>
          <w:p w14:paraId="4FC0AEE3"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PN-EN 22592 [69]</w:t>
            </w:r>
          </w:p>
        </w:tc>
        <w:tc>
          <w:tcPr>
            <w:tcW w:w="1150" w:type="dxa"/>
          </w:tcPr>
          <w:p w14:paraId="2E022B75"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240</w:t>
            </w:r>
          </w:p>
        </w:tc>
        <w:tc>
          <w:tcPr>
            <w:tcW w:w="1150" w:type="dxa"/>
          </w:tcPr>
          <w:p w14:paraId="2449FE0C"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230</w:t>
            </w:r>
          </w:p>
        </w:tc>
      </w:tr>
      <w:tr w:rsidR="004D7D23" w:rsidRPr="007B192E" w14:paraId="5261BEF5" w14:textId="77777777" w:rsidTr="008F7A94">
        <w:trPr>
          <w:jc w:val="center"/>
        </w:trPr>
        <w:tc>
          <w:tcPr>
            <w:tcW w:w="543" w:type="dxa"/>
          </w:tcPr>
          <w:p w14:paraId="3B7B5FC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805" w:type="dxa"/>
            <w:gridSpan w:val="2"/>
          </w:tcPr>
          <w:p w14:paraId="0716396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Zawartość składników rozpuszczalnych, </w:t>
            </w:r>
          </w:p>
          <w:p w14:paraId="7AA4CB4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nie mniej niż</w:t>
            </w:r>
          </w:p>
        </w:tc>
        <w:tc>
          <w:tcPr>
            <w:tcW w:w="960" w:type="dxa"/>
          </w:tcPr>
          <w:p w14:paraId="1F185398" w14:textId="77777777" w:rsidR="00F45500" w:rsidRPr="007B192E" w:rsidRDefault="00F45500" w:rsidP="008F7A94">
            <w:pPr>
              <w:jc w:val="both"/>
              <w:rPr>
                <w:rFonts w:ascii="Arial" w:hAnsi="Arial" w:cs="Arial"/>
                <w:color w:val="000000" w:themeColor="text1"/>
                <w:sz w:val="18"/>
                <w:szCs w:val="18"/>
              </w:rPr>
            </w:pPr>
          </w:p>
          <w:p w14:paraId="034BA33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m/m</w:t>
            </w:r>
          </w:p>
        </w:tc>
        <w:tc>
          <w:tcPr>
            <w:tcW w:w="2160" w:type="dxa"/>
          </w:tcPr>
          <w:p w14:paraId="07C078C1" w14:textId="77777777" w:rsidR="00F45500" w:rsidRPr="007B192E" w:rsidRDefault="00F45500" w:rsidP="008F7A94">
            <w:pPr>
              <w:jc w:val="both"/>
              <w:rPr>
                <w:rFonts w:ascii="Arial" w:hAnsi="Arial" w:cs="Arial"/>
                <w:color w:val="000000" w:themeColor="text1"/>
                <w:sz w:val="18"/>
                <w:szCs w:val="18"/>
              </w:rPr>
            </w:pPr>
          </w:p>
          <w:p w14:paraId="7DE5317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12592 [25]</w:t>
            </w:r>
          </w:p>
        </w:tc>
        <w:tc>
          <w:tcPr>
            <w:tcW w:w="1150" w:type="dxa"/>
          </w:tcPr>
          <w:p w14:paraId="5CA6CF20" w14:textId="77777777" w:rsidR="00F45500" w:rsidRPr="007B192E" w:rsidRDefault="00F45500" w:rsidP="008F7A94">
            <w:pPr>
              <w:jc w:val="both"/>
              <w:rPr>
                <w:rFonts w:ascii="Arial" w:hAnsi="Arial" w:cs="Arial"/>
                <w:color w:val="000000" w:themeColor="text1"/>
                <w:sz w:val="18"/>
                <w:szCs w:val="18"/>
              </w:rPr>
            </w:pPr>
          </w:p>
          <w:p w14:paraId="0664DEC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99</w:t>
            </w:r>
          </w:p>
        </w:tc>
        <w:tc>
          <w:tcPr>
            <w:tcW w:w="1150" w:type="dxa"/>
          </w:tcPr>
          <w:p w14:paraId="66C29409" w14:textId="77777777" w:rsidR="00F45500" w:rsidRPr="007B192E" w:rsidRDefault="00F45500" w:rsidP="008F7A94">
            <w:pPr>
              <w:jc w:val="both"/>
              <w:rPr>
                <w:rFonts w:ascii="Arial" w:hAnsi="Arial" w:cs="Arial"/>
                <w:color w:val="000000" w:themeColor="text1"/>
                <w:sz w:val="18"/>
                <w:szCs w:val="18"/>
              </w:rPr>
            </w:pPr>
          </w:p>
          <w:p w14:paraId="51B61C1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99</w:t>
            </w:r>
          </w:p>
        </w:tc>
      </w:tr>
      <w:tr w:rsidR="004D7D23" w:rsidRPr="007B192E" w14:paraId="51A659AD" w14:textId="77777777" w:rsidTr="008F7A94">
        <w:trPr>
          <w:jc w:val="center"/>
        </w:trPr>
        <w:tc>
          <w:tcPr>
            <w:tcW w:w="543" w:type="dxa"/>
          </w:tcPr>
          <w:p w14:paraId="0AE793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805" w:type="dxa"/>
            <w:gridSpan w:val="2"/>
          </w:tcPr>
          <w:p w14:paraId="711FB35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Zmiana masy po starzeniu (ubytek lub przyrost), </w:t>
            </w:r>
          </w:p>
          <w:p w14:paraId="682EE8D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nie więcej niż</w:t>
            </w:r>
          </w:p>
        </w:tc>
        <w:tc>
          <w:tcPr>
            <w:tcW w:w="960" w:type="dxa"/>
          </w:tcPr>
          <w:p w14:paraId="6AA765C8" w14:textId="77777777" w:rsidR="00F45500" w:rsidRPr="007B192E" w:rsidRDefault="00F45500" w:rsidP="008F7A94">
            <w:pPr>
              <w:jc w:val="both"/>
              <w:rPr>
                <w:rFonts w:ascii="Arial" w:hAnsi="Arial" w:cs="Arial"/>
                <w:color w:val="000000" w:themeColor="text1"/>
                <w:sz w:val="18"/>
                <w:szCs w:val="18"/>
              </w:rPr>
            </w:pPr>
          </w:p>
          <w:p w14:paraId="32F896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m/m</w:t>
            </w:r>
          </w:p>
        </w:tc>
        <w:tc>
          <w:tcPr>
            <w:tcW w:w="2160" w:type="dxa"/>
          </w:tcPr>
          <w:p w14:paraId="05A5309C" w14:textId="77777777" w:rsidR="00F45500" w:rsidRPr="007B192E" w:rsidRDefault="00F45500" w:rsidP="008F7A94">
            <w:pPr>
              <w:jc w:val="both"/>
              <w:rPr>
                <w:rFonts w:ascii="Arial" w:hAnsi="Arial" w:cs="Arial"/>
                <w:color w:val="000000" w:themeColor="text1"/>
                <w:sz w:val="18"/>
                <w:szCs w:val="18"/>
              </w:rPr>
            </w:pPr>
          </w:p>
          <w:p w14:paraId="2D468D5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12607-1 [29]</w:t>
            </w:r>
          </w:p>
        </w:tc>
        <w:tc>
          <w:tcPr>
            <w:tcW w:w="1150" w:type="dxa"/>
          </w:tcPr>
          <w:p w14:paraId="06AA0793" w14:textId="77777777" w:rsidR="00F45500" w:rsidRPr="007B192E" w:rsidRDefault="00F45500" w:rsidP="008F7A94">
            <w:pPr>
              <w:jc w:val="both"/>
              <w:rPr>
                <w:rFonts w:ascii="Arial" w:hAnsi="Arial" w:cs="Arial"/>
                <w:color w:val="000000" w:themeColor="text1"/>
                <w:sz w:val="18"/>
                <w:szCs w:val="18"/>
              </w:rPr>
            </w:pPr>
          </w:p>
          <w:p w14:paraId="43F13D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0,5</w:t>
            </w:r>
          </w:p>
        </w:tc>
        <w:tc>
          <w:tcPr>
            <w:tcW w:w="1150" w:type="dxa"/>
          </w:tcPr>
          <w:p w14:paraId="18C80949" w14:textId="77777777" w:rsidR="00F45500" w:rsidRPr="007B192E" w:rsidRDefault="00F45500" w:rsidP="008F7A94">
            <w:pPr>
              <w:jc w:val="both"/>
              <w:rPr>
                <w:rFonts w:ascii="Arial" w:hAnsi="Arial" w:cs="Arial"/>
                <w:color w:val="000000" w:themeColor="text1"/>
                <w:sz w:val="18"/>
                <w:szCs w:val="18"/>
              </w:rPr>
            </w:pPr>
          </w:p>
          <w:p w14:paraId="4D18F61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0,5</w:t>
            </w:r>
          </w:p>
        </w:tc>
      </w:tr>
      <w:tr w:rsidR="004D7D23" w:rsidRPr="007B192E" w14:paraId="7F1562C8" w14:textId="77777777" w:rsidTr="008F7A94">
        <w:trPr>
          <w:jc w:val="center"/>
        </w:trPr>
        <w:tc>
          <w:tcPr>
            <w:tcW w:w="543" w:type="dxa"/>
          </w:tcPr>
          <w:p w14:paraId="75CB22F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805" w:type="dxa"/>
            <w:gridSpan w:val="2"/>
          </w:tcPr>
          <w:p w14:paraId="0D08D4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Pozostała penetracja po </w:t>
            </w:r>
            <w:r w:rsidRPr="007B192E">
              <w:rPr>
                <w:rFonts w:ascii="Arial" w:hAnsi="Arial" w:cs="Arial"/>
                <w:color w:val="000000" w:themeColor="text1"/>
                <w:sz w:val="18"/>
                <w:szCs w:val="18"/>
              </w:rPr>
              <w:lastRenderedPageBreak/>
              <w:t>starzeniu, nie mniej niż</w:t>
            </w:r>
          </w:p>
        </w:tc>
        <w:tc>
          <w:tcPr>
            <w:tcW w:w="960" w:type="dxa"/>
          </w:tcPr>
          <w:p w14:paraId="26BC5988"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w:t>
            </w:r>
          </w:p>
        </w:tc>
        <w:tc>
          <w:tcPr>
            <w:tcW w:w="2160" w:type="dxa"/>
          </w:tcPr>
          <w:p w14:paraId="22C38994"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PN-EN 1426 [21]</w:t>
            </w:r>
          </w:p>
        </w:tc>
        <w:tc>
          <w:tcPr>
            <w:tcW w:w="1150" w:type="dxa"/>
          </w:tcPr>
          <w:p w14:paraId="4281BE12"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53</w:t>
            </w:r>
          </w:p>
        </w:tc>
        <w:tc>
          <w:tcPr>
            <w:tcW w:w="1150" w:type="dxa"/>
          </w:tcPr>
          <w:p w14:paraId="06658113"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50</w:t>
            </w:r>
          </w:p>
        </w:tc>
      </w:tr>
      <w:tr w:rsidR="004D7D23" w:rsidRPr="007B192E" w14:paraId="65C0AD4F" w14:textId="77777777" w:rsidTr="008F7A94">
        <w:trPr>
          <w:jc w:val="center"/>
        </w:trPr>
        <w:tc>
          <w:tcPr>
            <w:tcW w:w="543" w:type="dxa"/>
          </w:tcPr>
          <w:p w14:paraId="727B8B4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805" w:type="dxa"/>
            <w:gridSpan w:val="2"/>
          </w:tcPr>
          <w:p w14:paraId="089B80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Temperatura mięknienia po starzeniu, nie mniej niż</w:t>
            </w:r>
          </w:p>
        </w:tc>
        <w:tc>
          <w:tcPr>
            <w:tcW w:w="960" w:type="dxa"/>
          </w:tcPr>
          <w:p w14:paraId="50A94078"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2160" w:type="dxa"/>
          </w:tcPr>
          <w:p w14:paraId="081B0913"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1150" w:type="dxa"/>
          </w:tcPr>
          <w:p w14:paraId="1037CA57"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52</w:t>
            </w:r>
          </w:p>
        </w:tc>
        <w:tc>
          <w:tcPr>
            <w:tcW w:w="1150" w:type="dxa"/>
          </w:tcPr>
          <w:p w14:paraId="475A1411"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48</w:t>
            </w:r>
          </w:p>
        </w:tc>
      </w:tr>
      <w:tr w:rsidR="004D7D23" w:rsidRPr="007B192E" w14:paraId="33ECD418" w14:textId="77777777" w:rsidTr="008F7A94">
        <w:trPr>
          <w:jc w:val="center"/>
        </w:trPr>
        <w:tc>
          <w:tcPr>
            <w:tcW w:w="543" w:type="dxa"/>
          </w:tcPr>
          <w:p w14:paraId="2BC5A7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2805" w:type="dxa"/>
            <w:gridSpan w:val="2"/>
          </w:tcPr>
          <w:p w14:paraId="58B5313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Wzrost temp. mięknienia po starzeniu, nie więcej niż</w:t>
            </w:r>
          </w:p>
        </w:tc>
        <w:tc>
          <w:tcPr>
            <w:tcW w:w="960" w:type="dxa"/>
          </w:tcPr>
          <w:p w14:paraId="3A2D769A"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2160" w:type="dxa"/>
          </w:tcPr>
          <w:p w14:paraId="7D2BBC32"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1150" w:type="dxa"/>
          </w:tcPr>
          <w:p w14:paraId="11DFCA98"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150" w:type="dxa"/>
          </w:tcPr>
          <w:p w14:paraId="516BE995"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9</w:t>
            </w:r>
          </w:p>
        </w:tc>
      </w:tr>
      <w:tr w:rsidR="004D7D23" w:rsidRPr="007B192E" w14:paraId="27AF7DF4" w14:textId="77777777" w:rsidTr="008F7A94">
        <w:trPr>
          <w:jc w:val="center"/>
        </w:trPr>
        <w:tc>
          <w:tcPr>
            <w:tcW w:w="8768" w:type="dxa"/>
            <w:gridSpan w:val="7"/>
          </w:tcPr>
          <w:p w14:paraId="1F9163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SPECJALNE   KRAJOWE</w:t>
            </w:r>
          </w:p>
        </w:tc>
      </w:tr>
      <w:tr w:rsidR="004D7D23" w:rsidRPr="007B192E" w14:paraId="428D92E7" w14:textId="77777777" w:rsidTr="008F7A94">
        <w:trPr>
          <w:jc w:val="center"/>
        </w:trPr>
        <w:tc>
          <w:tcPr>
            <w:tcW w:w="543" w:type="dxa"/>
          </w:tcPr>
          <w:p w14:paraId="127FCD7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2805" w:type="dxa"/>
            <w:gridSpan w:val="2"/>
          </w:tcPr>
          <w:p w14:paraId="4BFAF1B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łamliwości </w:t>
            </w:r>
            <w:proofErr w:type="spellStart"/>
            <w:r w:rsidRPr="007B192E">
              <w:rPr>
                <w:rFonts w:ascii="Arial" w:hAnsi="Arial" w:cs="Arial"/>
                <w:color w:val="000000" w:themeColor="text1"/>
                <w:sz w:val="18"/>
                <w:szCs w:val="18"/>
              </w:rPr>
              <w:t>Fraassa</w:t>
            </w:r>
            <w:proofErr w:type="spellEnd"/>
            <w:r w:rsidRPr="007B192E">
              <w:rPr>
                <w:rFonts w:ascii="Arial" w:hAnsi="Arial" w:cs="Arial"/>
                <w:color w:val="000000" w:themeColor="text1"/>
                <w:sz w:val="18"/>
                <w:szCs w:val="18"/>
              </w:rPr>
              <w:t>, nie więcej niż</w:t>
            </w:r>
          </w:p>
        </w:tc>
        <w:tc>
          <w:tcPr>
            <w:tcW w:w="960" w:type="dxa"/>
          </w:tcPr>
          <w:p w14:paraId="75175031"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2160" w:type="dxa"/>
          </w:tcPr>
          <w:p w14:paraId="1A6C64C9"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PN-EN 12593 [26]</w:t>
            </w:r>
          </w:p>
        </w:tc>
        <w:tc>
          <w:tcPr>
            <w:tcW w:w="1150" w:type="dxa"/>
          </w:tcPr>
          <w:p w14:paraId="4B632599"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150" w:type="dxa"/>
          </w:tcPr>
          <w:p w14:paraId="35A6295D"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-8</w:t>
            </w:r>
          </w:p>
        </w:tc>
      </w:tr>
      <w:tr w:rsidR="004D7D23" w:rsidRPr="007B192E" w14:paraId="6A115CDF" w14:textId="77777777" w:rsidTr="008F7A94">
        <w:trPr>
          <w:jc w:val="center"/>
        </w:trPr>
        <w:tc>
          <w:tcPr>
            <w:tcW w:w="543" w:type="dxa"/>
          </w:tcPr>
          <w:p w14:paraId="4C4971A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2805" w:type="dxa"/>
            <w:gridSpan w:val="2"/>
          </w:tcPr>
          <w:p w14:paraId="3899BCF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Indeks penetracji</w:t>
            </w:r>
          </w:p>
        </w:tc>
        <w:tc>
          <w:tcPr>
            <w:tcW w:w="960" w:type="dxa"/>
          </w:tcPr>
          <w:p w14:paraId="7CF2B9B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2160" w:type="dxa"/>
          </w:tcPr>
          <w:p w14:paraId="06CAF8C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12591[24]</w:t>
            </w:r>
          </w:p>
        </w:tc>
        <w:tc>
          <w:tcPr>
            <w:tcW w:w="1150" w:type="dxa"/>
          </w:tcPr>
          <w:p w14:paraId="33B76BD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c>
          <w:tcPr>
            <w:tcW w:w="1150" w:type="dxa"/>
          </w:tcPr>
          <w:p w14:paraId="1EB03C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r>
      <w:tr w:rsidR="004D7D23" w:rsidRPr="007B192E" w14:paraId="074BD940" w14:textId="77777777" w:rsidTr="008F7A94">
        <w:trPr>
          <w:jc w:val="center"/>
        </w:trPr>
        <w:tc>
          <w:tcPr>
            <w:tcW w:w="543" w:type="dxa"/>
          </w:tcPr>
          <w:p w14:paraId="3724C60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2805" w:type="dxa"/>
            <w:gridSpan w:val="2"/>
          </w:tcPr>
          <w:p w14:paraId="18CEE84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Lepkość dynamiczna w 60°C</w:t>
            </w:r>
          </w:p>
        </w:tc>
        <w:tc>
          <w:tcPr>
            <w:tcW w:w="960" w:type="dxa"/>
          </w:tcPr>
          <w:p w14:paraId="54B16918"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Pa∙s</w:t>
            </w:r>
            <w:proofErr w:type="spellEnd"/>
          </w:p>
        </w:tc>
        <w:tc>
          <w:tcPr>
            <w:tcW w:w="2160" w:type="dxa"/>
          </w:tcPr>
          <w:p w14:paraId="3519A93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12596[28]</w:t>
            </w:r>
          </w:p>
        </w:tc>
        <w:tc>
          <w:tcPr>
            <w:tcW w:w="1150" w:type="dxa"/>
          </w:tcPr>
          <w:p w14:paraId="347E7C1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c>
          <w:tcPr>
            <w:tcW w:w="1150" w:type="dxa"/>
          </w:tcPr>
          <w:p w14:paraId="736BBD5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r>
      <w:tr w:rsidR="00F45500" w:rsidRPr="007B192E" w14:paraId="48401ECF" w14:textId="77777777" w:rsidTr="008F7A94">
        <w:trPr>
          <w:jc w:val="center"/>
        </w:trPr>
        <w:tc>
          <w:tcPr>
            <w:tcW w:w="543" w:type="dxa"/>
          </w:tcPr>
          <w:p w14:paraId="03DA1E8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2805" w:type="dxa"/>
            <w:gridSpan w:val="2"/>
          </w:tcPr>
          <w:p w14:paraId="61D1F64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Lepkość kinematyczna w 135°C</w:t>
            </w:r>
          </w:p>
        </w:tc>
        <w:tc>
          <w:tcPr>
            <w:tcW w:w="960" w:type="dxa"/>
          </w:tcPr>
          <w:p w14:paraId="4EE329A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/s</w:t>
            </w:r>
          </w:p>
        </w:tc>
        <w:tc>
          <w:tcPr>
            <w:tcW w:w="2160" w:type="dxa"/>
          </w:tcPr>
          <w:p w14:paraId="7BC226F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12595[27]</w:t>
            </w:r>
          </w:p>
        </w:tc>
        <w:tc>
          <w:tcPr>
            <w:tcW w:w="1150" w:type="dxa"/>
          </w:tcPr>
          <w:p w14:paraId="625E95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c>
          <w:tcPr>
            <w:tcW w:w="1150" w:type="dxa"/>
          </w:tcPr>
          <w:p w14:paraId="619FBDC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Brak wymagań</w:t>
            </w:r>
          </w:p>
        </w:tc>
      </w:tr>
    </w:tbl>
    <w:p w14:paraId="5EEAC8C8" w14:textId="77777777" w:rsidR="00F45500" w:rsidRPr="007B192E" w:rsidRDefault="00F45500" w:rsidP="00F45500">
      <w:pPr>
        <w:tabs>
          <w:tab w:val="left" w:pos="851"/>
        </w:tabs>
        <w:spacing w:before="120" w:after="120"/>
        <w:ind w:left="851" w:hanging="851"/>
        <w:jc w:val="both"/>
        <w:rPr>
          <w:rFonts w:ascii="Arial" w:hAnsi="Arial" w:cs="Arial"/>
          <w:color w:val="000000" w:themeColor="text1"/>
          <w:sz w:val="18"/>
          <w:szCs w:val="18"/>
        </w:rPr>
      </w:pPr>
    </w:p>
    <w:p w14:paraId="70259BD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5°C oraz układ cyrkulacji asfaltu.</w:t>
      </w:r>
    </w:p>
    <w:p w14:paraId="6DD8524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lepiszcza asfaltowego w zbiorniku magazynowym (roboczym) nie powinna przekraczać w okresie krótkotrwałym, nie dłuższym niż 5 dni,  poniższych wartości: </w:t>
      </w:r>
    </w:p>
    <w:p w14:paraId="1ED88F03" w14:textId="77777777" w:rsidR="00F45500" w:rsidRPr="007B192E" w:rsidRDefault="00F45500" w:rsidP="00C12426">
      <w:pPr>
        <w:widowControl/>
        <w:numPr>
          <w:ilvl w:val="0"/>
          <w:numId w:val="22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asfaltu drogowego 35/50: 190°C,</w:t>
      </w:r>
    </w:p>
    <w:p w14:paraId="74F32241" w14:textId="77777777" w:rsidR="00F45500" w:rsidRPr="007B192E" w:rsidRDefault="00F45500" w:rsidP="00C12426">
      <w:pPr>
        <w:widowControl/>
        <w:numPr>
          <w:ilvl w:val="0"/>
          <w:numId w:val="22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asfaltu drogowego 50/70: 180°C,</w:t>
      </w:r>
    </w:p>
    <w:p w14:paraId="2E76125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celu ograniczenia ilości emisji gazów cieplarnianych oraz obniżenia temperatury mieszania składników i poprawienia urabialności </w:t>
      </w:r>
      <w:proofErr w:type="spellStart"/>
      <w:r w:rsidRPr="007B192E">
        <w:rPr>
          <w:rFonts w:ascii="Arial" w:hAnsi="Arial" w:cs="Arial"/>
          <w:color w:val="000000" w:themeColor="text1"/>
          <w:sz w:val="18"/>
          <w:szCs w:val="18"/>
        </w:rPr>
        <w:t>mma</w:t>
      </w:r>
      <w:proofErr w:type="spellEnd"/>
      <w:r w:rsidRPr="007B192E">
        <w:rPr>
          <w:rFonts w:ascii="Arial" w:hAnsi="Arial" w:cs="Arial"/>
          <w:color w:val="000000" w:themeColor="text1"/>
          <w:sz w:val="18"/>
          <w:szCs w:val="18"/>
        </w:rPr>
        <w:t xml:space="preserve"> dopuszcza się zastosowanie asfaltu spienionego. </w:t>
      </w:r>
    </w:p>
    <w:p w14:paraId="02AAA83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2.4. Kruszywo </w:t>
      </w:r>
    </w:p>
    <w:p w14:paraId="68031AB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warstwy podbudowy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5A23EFA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stosowana jest mieszanka kruszywa drobnego niełamanego i łamanego, to należy przyjąć proporcje kruszywa łamanego do niełamanego co najmniej 50/50.</w:t>
      </w:r>
    </w:p>
    <w:p w14:paraId="2FAE24C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Kruszywa powinny spełniać wymagania podane w WT-1 Kruszywa 2014 [81],  wg tablic poniżej.</w:t>
      </w:r>
    </w:p>
    <w:p w14:paraId="46C6905C" w14:textId="77777777" w:rsidR="00F45500" w:rsidRPr="007B192E" w:rsidRDefault="00F45500" w:rsidP="00F45500">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rPr>
        <w:t>a) Kruszywo grube do podbudowy z betonu asfaltowego powinno spełniać wymagania podane w tablicy 6.</w:t>
      </w:r>
    </w:p>
    <w:p w14:paraId="4A9CE2A0" w14:textId="77777777" w:rsidR="00F45500" w:rsidRPr="007B192E" w:rsidRDefault="00F45500" w:rsidP="00F45500">
      <w:pPr>
        <w:spacing w:before="60" w:after="60"/>
        <w:ind w:left="992" w:hanging="992"/>
        <w:jc w:val="both"/>
        <w:rPr>
          <w:rFonts w:ascii="Arial" w:hAnsi="Arial" w:cs="Arial"/>
          <w:color w:val="000000" w:themeColor="text1"/>
          <w:sz w:val="18"/>
          <w:szCs w:val="18"/>
        </w:rPr>
      </w:pPr>
      <w:r w:rsidRPr="007B192E">
        <w:rPr>
          <w:rFonts w:ascii="Arial" w:hAnsi="Arial" w:cs="Arial"/>
          <w:color w:val="000000" w:themeColor="text1"/>
          <w:sz w:val="18"/>
          <w:szCs w:val="18"/>
        </w:rPr>
        <w:t>Tablica 6.</w:t>
      </w:r>
      <w:r w:rsidRPr="007B192E">
        <w:rPr>
          <w:rFonts w:ascii="Arial" w:hAnsi="Arial" w:cs="Arial"/>
          <w:color w:val="000000" w:themeColor="text1"/>
          <w:sz w:val="18"/>
          <w:szCs w:val="18"/>
        </w:rPr>
        <w:tab/>
        <w:t>Wymagane właściwości kruszywa grubego do podbudowy  z betonu asfaltowego</w:t>
      </w:r>
    </w:p>
    <w:tbl>
      <w:tblPr>
        <w:tblW w:w="88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3959"/>
        <w:gridCol w:w="9"/>
        <w:gridCol w:w="4254"/>
        <w:gridCol w:w="15"/>
      </w:tblGrid>
      <w:tr w:rsidR="004D7D23" w:rsidRPr="007B192E" w14:paraId="76305197" w14:textId="77777777" w:rsidTr="008F7A94">
        <w:trPr>
          <w:gridAfter w:val="1"/>
          <w:wAfter w:w="15" w:type="dxa"/>
          <w:trHeight w:val="485"/>
          <w:jc w:val="center"/>
        </w:trPr>
        <w:tc>
          <w:tcPr>
            <w:tcW w:w="567" w:type="dxa"/>
          </w:tcPr>
          <w:p w14:paraId="7FAEFFB8" w14:textId="77777777" w:rsidR="00F45500" w:rsidRPr="007B192E" w:rsidRDefault="00F45500" w:rsidP="008F7A94">
            <w:pPr>
              <w:jc w:val="both"/>
              <w:rPr>
                <w:rFonts w:ascii="Arial" w:hAnsi="Arial" w:cs="Arial"/>
                <w:color w:val="000000" w:themeColor="text1"/>
                <w:sz w:val="18"/>
                <w:szCs w:val="18"/>
              </w:rPr>
            </w:pPr>
          </w:p>
          <w:p w14:paraId="77952FC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968" w:type="dxa"/>
            <w:gridSpan w:val="2"/>
          </w:tcPr>
          <w:p w14:paraId="3155C6F9" w14:textId="77777777" w:rsidR="00F45500" w:rsidRPr="007B192E" w:rsidRDefault="00F45500" w:rsidP="008F7A94">
            <w:pPr>
              <w:jc w:val="both"/>
              <w:rPr>
                <w:rFonts w:ascii="Arial" w:hAnsi="Arial" w:cs="Arial"/>
                <w:color w:val="000000" w:themeColor="text1"/>
                <w:sz w:val="18"/>
                <w:szCs w:val="18"/>
              </w:rPr>
            </w:pPr>
          </w:p>
          <w:p w14:paraId="42BEF96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4254" w:type="dxa"/>
            <w:vAlign w:val="center"/>
          </w:tcPr>
          <w:p w14:paraId="3373A29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Wymagania dla kategorii ruchu KR3 </w:t>
            </w: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0E50E809" w14:textId="77777777" w:rsidTr="008F7A94">
        <w:trPr>
          <w:gridAfter w:val="1"/>
          <w:wAfter w:w="15" w:type="dxa"/>
          <w:jc w:val="center"/>
        </w:trPr>
        <w:tc>
          <w:tcPr>
            <w:tcW w:w="567" w:type="dxa"/>
          </w:tcPr>
          <w:p w14:paraId="36B7018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959" w:type="dxa"/>
            <w:vAlign w:val="center"/>
          </w:tcPr>
          <w:p w14:paraId="25C31CB8"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Uziarnienie według PN-EN 933-1 [6]; kategoria nie niższa niż:</w:t>
            </w:r>
          </w:p>
        </w:tc>
        <w:tc>
          <w:tcPr>
            <w:tcW w:w="4263" w:type="dxa"/>
            <w:gridSpan w:val="2"/>
            <w:vAlign w:val="center"/>
          </w:tcPr>
          <w:p w14:paraId="493195E9"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85/20</w:t>
            </w:r>
          </w:p>
        </w:tc>
      </w:tr>
      <w:tr w:rsidR="004D7D23" w:rsidRPr="007B192E" w14:paraId="2E5BB69C" w14:textId="77777777" w:rsidTr="008F7A94">
        <w:trPr>
          <w:gridAfter w:val="1"/>
          <w:wAfter w:w="15" w:type="dxa"/>
          <w:jc w:val="center"/>
        </w:trPr>
        <w:tc>
          <w:tcPr>
            <w:tcW w:w="567" w:type="dxa"/>
          </w:tcPr>
          <w:p w14:paraId="50E25352"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959" w:type="dxa"/>
            <w:vAlign w:val="center"/>
          </w:tcPr>
          <w:p w14:paraId="15A35785"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Tolerancja uziarnienia; odchylenia nie większe niż według kategorii:</w:t>
            </w:r>
          </w:p>
        </w:tc>
        <w:tc>
          <w:tcPr>
            <w:tcW w:w="4263" w:type="dxa"/>
            <w:gridSpan w:val="2"/>
            <w:vAlign w:val="center"/>
          </w:tcPr>
          <w:p w14:paraId="36613DEB" w14:textId="77777777" w:rsidR="00F45500" w:rsidRPr="007B192E" w:rsidRDefault="00F45500" w:rsidP="008F7A94">
            <w:pPr>
              <w:jc w:val="center"/>
              <w:rPr>
                <w:rFonts w:ascii="Arial" w:hAnsi="Arial" w:cs="Arial"/>
                <w:color w:val="000000" w:themeColor="text1"/>
                <w:sz w:val="18"/>
                <w:szCs w:val="18"/>
                <w:vertAlign w:val="subscript"/>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25/15</w:t>
            </w:r>
          </w:p>
          <w:p w14:paraId="4B91277A" w14:textId="77777777" w:rsidR="00F45500" w:rsidRPr="007B192E" w:rsidRDefault="00F45500" w:rsidP="008F7A94">
            <w:pPr>
              <w:jc w:val="center"/>
              <w:rPr>
                <w:rFonts w:ascii="Arial" w:hAnsi="Arial" w:cs="Arial"/>
                <w:color w:val="000000" w:themeColor="text1"/>
                <w:sz w:val="18"/>
                <w:szCs w:val="18"/>
                <w:vertAlign w:val="subscript"/>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20/15</w:t>
            </w:r>
          </w:p>
          <w:p w14:paraId="1AA45BA0"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20/17,5</w:t>
            </w:r>
          </w:p>
        </w:tc>
      </w:tr>
      <w:tr w:rsidR="004D7D23" w:rsidRPr="007B192E" w14:paraId="2017F0E8" w14:textId="77777777" w:rsidTr="008F7A94">
        <w:trPr>
          <w:gridAfter w:val="1"/>
          <w:wAfter w:w="15" w:type="dxa"/>
          <w:jc w:val="center"/>
        </w:trPr>
        <w:tc>
          <w:tcPr>
            <w:tcW w:w="567" w:type="dxa"/>
          </w:tcPr>
          <w:p w14:paraId="0F793BF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959" w:type="dxa"/>
            <w:vAlign w:val="center"/>
          </w:tcPr>
          <w:p w14:paraId="38FE3C89"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Zawartość pyłu według PN-EN 933-1 [6]; kategoria nie wyższa niż:</w:t>
            </w:r>
          </w:p>
        </w:tc>
        <w:tc>
          <w:tcPr>
            <w:tcW w:w="4263" w:type="dxa"/>
            <w:gridSpan w:val="2"/>
            <w:vAlign w:val="center"/>
          </w:tcPr>
          <w:p w14:paraId="0C652A64"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f</w:t>
            </w:r>
            <w:r w:rsidRPr="007B192E">
              <w:rPr>
                <w:rFonts w:ascii="Arial" w:hAnsi="Arial" w:cs="Arial"/>
                <w:color w:val="000000" w:themeColor="text1"/>
                <w:sz w:val="18"/>
                <w:szCs w:val="18"/>
                <w:vertAlign w:val="subscript"/>
              </w:rPr>
              <w:t>2</w:t>
            </w:r>
          </w:p>
        </w:tc>
      </w:tr>
      <w:tr w:rsidR="004D7D23" w:rsidRPr="007B192E" w14:paraId="6C52F5E9" w14:textId="77777777" w:rsidTr="008F7A94">
        <w:trPr>
          <w:gridAfter w:val="1"/>
          <w:wAfter w:w="15" w:type="dxa"/>
          <w:jc w:val="center"/>
        </w:trPr>
        <w:tc>
          <w:tcPr>
            <w:tcW w:w="567" w:type="dxa"/>
          </w:tcPr>
          <w:p w14:paraId="5181BF0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959" w:type="dxa"/>
            <w:vAlign w:val="center"/>
          </w:tcPr>
          <w:p w14:paraId="798B86ED"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Kształt kruszywa według PN-EN 933-3 [7] lub według PN-EN 933-4 [8]; kategoria nie wyższa niż:</w:t>
            </w:r>
          </w:p>
        </w:tc>
        <w:tc>
          <w:tcPr>
            <w:tcW w:w="4263" w:type="dxa"/>
            <w:gridSpan w:val="2"/>
            <w:vAlign w:val="center"/>
          </w:tcPr>
          <w:p w14:paraId="78C42230" w14:textId="77777777" w:rsidR="00F45500" w:rsidRPr="007B192E" w:rsidRDefault="00F45500" w:rsidP="008F7A94">
            <w:pPr>
              <w:jc w:val="center"/>
              <w:rPr>
                <w:rFonts w:ascii="Arial" w:hAnsi="Arial" w:cs="Arial"/>
                <w:i/>
                <w:color w:val="000000" w:themeColor="text1"/>
                <w:sz w:val="18"/>
                <w:szCs w:val="18"/>
              </w:rPr>
            </w:pPr>
          </w:p>
          <w:p w14:paraId="17608174"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FI</w:t>
            </w:r>
            <w:r w:rsidRPr="007B192E">
              <w:rPr>
                <w:rFonts w:ascii="Arial" w:hAnsi="Arial" w:cs="Arial"/>
                <w:i/>
                <w:color w:val="000000" w:themeColor="text1"/>
                <w:sz w:val="18"/>
                <w:szCs w:val="18"/>
                <w:vertAlign w:val="subscript"/>
              </w:rPr>
              <w:t>30</w:t>
            </w:r>
            <w:r w:rsidRPr="007B192E">
              <w:rPr>
                <w:rFonts w:ascii="Arial" w:hAnsi="Arial" w:cs="Arial"/>
                <w:color w:val="000000" w:themeColor="text1"/>
                <w:sz w:val="18"/>
                <w:szCs w:val="18"/>
              </w:rPr>
              <w:t xml:space="preserve"> lub </w:t>
            </w:r>
            <w:r w:rsidRPr="007B192E">
              <w:rPr>
                <w:rFonts w:ascii="Arial" w:hAnsi="Arial" w:cs="Arial"/>
                <w:i/>
                <w:color w:val="000000" w:themeColor="text1"/>
                <w:sz w:val="18"/>
                <w:szCs w:val="18"/>
              </w:rPr>
              <w:t>SI</w:t>
            </w:r>
            <w:r w:rsidRPr="007B192E">
              <w:rPr>
                <w:rFonts w:ascii="Arial" w:hAnsi="Arial" w:cs="Arial"/>
                <w:i/>
                <w:color w:val="000000" w:themeColor="text1"/>
                <w:sz w:val="18"/>
                <w:szCs w:val="18"/>
                <w:vertAlign w:val="subscript"/>
              </w:rPr>
              <w:t>30</w:t>
            </w:r>
          </w:p>
        </w:tc>
      </w:tr>
      <w:tr w:rsidR="004D7D23" w:rsidRPr="007B192E" w14:paraId="629BCBB5" w14:textId="77777777" w:rsidTr="008F7A94">
        <w:trPr>
          <w:gridAfter w:val="1"/>
          <w:wAfter w:w="15" w:type="dxa"/>
          <w:jc w:val="center"/>
        </w:trPr>
        <w:tc>
          <w:tcPr>
            <w:tcW w:w="567" w:type="dxa"/>
          </w:tcPr>
          <w:p w14:paraId="45B0E3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959" w:type="dxa"/>
            <w:vAlign w:val="center"/>
          </w:tcPr>
          <w:p w14:paraId="2E0FE445"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Procentowa zawartość ziaren o powierzchni </w:t>
            </w:r>
            <w:proofErr w:type="spellStart"/>
            <w:r w:rsidRPr="007B192E">
              <w:rPr>
                <w:rFonts w:ascii="Arial" w:hAnsi="Arial" w:cs="Arial"/>
                <w:color w:val="000000" w:themeColor="text1"/>
                <w:sz w:val="18"/>
                <w:szCs w:val="18"/>
              </w:rPr>
              <w:t>przekruszonej</w:t>
            </w:r>
            <w:proofErr w:type="spellEnd"/>
            <w:r w:rsidRPr="007B192E">
              <w:rPr>
                <w:rFonts w:ascii="Arial" w:hAnsi="Arial" w:cs="Arial"/>
                <w:color w:val="000000" w:themeColor="text1"/>
                <w:sz w:val="18"/>
                <w:szCs w:val="18"/>
              </w:rPr>
              <w:t xml:space="preserve"> i łamanej w kruszywie grubym według PN-EN 933-5 [9]; kategoria nie niższa niż:</w:t>
            </w:r>
          </w:p>
        </w:tc>
        <w:tc>
          <w:tcPr>
            <w:tcW w:w="4263" w:type="dxa"/>
            <w:gridSpan w:val="2"/>
            <w:vAlign w:val="center"/>
          </w:tcPr>
          <w:p w14:paraId="32B4F15A"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C</w:t>
            </w:r>
            <w:r w:rsidRPr="007B192E">
              <w:rPr>
                <w:rFonts w:ascii="Arial" w:hAnsi="Arial" w:cs="Arial"/>
                <w:i/>
                <w:color w:val="000000" w:themeColor="text1"/>
                <w:sz w:val="18"/>
                <w:szCs w:val="18"/>
                <w:vertAlign w:val="subscript"/>
              </w:rPr>
              <w:t>50</w:t>
            </w:r>
            <w:r w:rsidRPr="007B192E">
              <w:rPr>
                <w:rFonts w:ascii="Arial" w:hAnsi="Arial" w:cs="Arial"/>
                <w:color w:val="000000" w:themeColor="text1"/>
                <w:sz w:val="18"/>
                <w:szCs w:val="18"/>
                <w:vertAlign w:val="subscript"/>
              </w:rPr>
              <w:t>/30</w:t>
            </w:r>
          </w:p>
        </w:tc>
      </w:tr>
      <w:tr w:rsidR="004D7D23" w:rsidRPr="007B192E" w14:paraId="684C0206" w14:textId="77777777" w:rsidTr="008F7A94">
        <w:trPr>
          <w:jc w:val="center"/>
        </w:trPr>
        <w:tc>
          <w:tcPr>
            <w:tcW w:w="567" w:type="dxa"/>
          </w:tcPr>
          <w:p w14:paraId="0DE2B99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968" w:type="dxa"/>
            <w:gridSpan w:val="2"/>
            <w:vAlign w:val="center"/>
          </w:tcPr>
          <w:p w14:paraId="4DF5CF35"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Odporność kruszywa na rozdrabnianie według normy PN-EN 1097-2 [13], badana na kruszywie o wymiarze 10/14, rozdział 5, kategoria nie wyższa niż:</w:t>
            </w:r>
          </w:p>
        </w:tc>
        <w:tc>
          <w:tcPr>
            <w:tcW w:w="4269" w:type="dxa"/>
            <w:gridSpan w:val="2"/>
            <w:vAlign w:val="center"/>
          </w:tcPr>
          <w:p w14:paraId="6A1B14CB" w14:textId="77777777" w:rsidR="00F45500" w:rsidRPr="007B192E" w:rsidRDefault="00F45500" w:rsidP="008F7A94">
            <w:pPr>
              <w:jc w:val="center"/>
              <w:rPr>
                <w:rFonts w:ascii="Arial" w:hAnsi="Arial" w:cs="Arial"/>
                <w:i/>
                <w:color w:val="000000" w:themeColor="text1"/>
                <w:sz w:val="18"/>
                <w:szCs w:val="18"/>
              </w:rPr>
            </w:pPr>
          </w:p>
          <w:p w14:paraId="2BF9A935"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LA</w:t>
            </w:r>
            <w:r w:rsidRPr="007B192E">
              <w:rPr>
                <w:rFonts w:ascii="Arial" w:hAnsi="Arial" w:cs="Arial"/>
                <w:i/>
                <w:color w:val="000000" w:themeColor="text1"/>
                <w:sz w:val="18"/>
                <w:szCs w:val="18"/>
                <w:vertAlign w:val="subscript"/>
              </w:rPr>
              <w:t>40</w:t>
            </w:r>
          </w:p>
          <w:p w14:paraId="23DD1A97" w14:textId="77777777" w:rsidR="00F45500" w:rsidRPr="007B192E" w:rsidRDefault="00F45500" w:rsidP="008F7A94">
            <w:pPr>
              <w:jc w:val="center"/>
              <w:rPr>
                <w:rFonts w:ascii="Arial" w:hAnsi="Arial" w:cs="Arial"/>
                <w:i/>
                <w:color w:val="000000" w:themeColor="text1"/>
                <w:sz w:val="18"/>
                <w:szCs w:val="18"/>
              </w:rPr>
            </w:pPr>
          </w:p>
          <w:p w14:paraId="7451DF81" w14:textId="77777777" w:rsidR="00F45500" w:rsidRPr="007B192E" w:rsidRDefault="00F45500" w:rsidP="008F7A94">
            <w:pPr>
              <w:jc w:val="center"/>
              <w:rPr>
                <w:rFonts w:ascii="Arial" w:hAnsi="Arial" w:cs="Arial"/>
                <w:i/>
                <w:color w:val="000000" w:themeColor="text1"/>
                <w:sz w:val="18"/>
                <w:szCs w:val="18"/>
              </w:rPr>
            </w:pPr>
          </w:p>
          <w:p w14:paraId="03F8511A"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7DB9295A" w14:textId="77777777" w:rsidTr="008F7A94">
        <w:trPr>
          <w:jc w:val="center"/>
        </w:trPr>
        <w:tc>
          <w:tcPr>
            <w:tcW w:w="567" w:type="dxa"/>
          </w:tcPr>
          <w:p w14:paraId="46F6872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968" w:type="dxa"/>
            <w:gridSpan w:val="2"/>
            <w:vAlign w:val="center"/>
          </w:tcPr>
          <w:p w14:paraId="7AAAECDA"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Gęstość ziaren według PN-EN 1097-6 [17], rozdział 7, 8 lub 9:</w:t>
            </w:r>
          </w:p>
        </w:tc>
        <w:tc>
          <w:tcPr>
            <w:tcW w:w="4269" w:type="dxa"/>
            <w:gridSpan w:val="2"/>
            <w:vAlign w:val="center"/>
          </w:tcPr>
          <w:p w14:paraId="0A4D6EAB" w14:textId="77777777" w:rsidR="00F45500" w:rsidRPr="007B192E" w:rsidRDefault="00F45500" w:rsidP="008F7A94">
            <w:pPr>
              <w:spacing w:before="120"/>
              <w:jc w:val="center"/>
              <w:rPr>
                <w:rFonts w:ascii="Arial" w:hAnsi="Arial" w:cs="Arial"/>
                <w:b/>
                <w:color w:val="000000" w:themeColor="text1"/>
                <w:sz w:val="18"/>
                <w:szCs w:val="18"/>
              </w:rPr>
            </w:pPr>
            <w:r w:rsidRPr="007B192E">
              <w:rPr>
                <w:rFonts w:ascii="Arial" w:hAnsi="Arial" w:cs="Arial"/>
                <w:color w:val="000000" w:themeColor="text1"/>
                <w:sz w:val="18"/>
                <w:szCs w:val="18"/>
              </w:rPr>
              <w:t>deklarowana przez producenta</w:t>
            </w:r>
          </w:p>
          <w:p w14:paraId="579B592E"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126EF885" w14:textId="77777777" w:rsidTr="008F7A94">
        <w:trPr>
          <w:jc w:val="center"/>
        </w:trPr>
        <w:tc>
          <w:tcPr>
            <w:tcW w:w="567" w:type="dxa"/>
          </w:tcPr>
          <w:p w14:paraId="437454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968" w:type="dxa"/>
            <w:gridSpan w:val="2"/>
            <w:vAlign w:val="center"/>
          </w:tcPr>
          <w:p w14:paraId="60D15DD6"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Nasiąkliwość według PN-EN 1097-6 [17], rozdział 7, 8 lub 9:</w:t>
            </w:r>
          </w:p>
        </w:tc>
        <w:tc>
          <w:tcPr>
            <w:tcW w:w="4269" w:type="dxa"/>
            <w:gridSpan w:val="2"/>
            <w:vAlign w:val="center"/>
          </w:tcPr>
          <w:p w14:paraId="5B09D03A" w14:textId="77777777" w:rsidR="00F45500" w:rsidRPr="007B192E" w:rsidRDefault="00F45500" w:rsidP="008F7A94">
            <w:pPr>
              <w:spacing w:before="120"/>
              <w:jc w:val="center"/>
              <w:rPr>
                <w:rFonts w:ascii="Arial" w:hAnsi="Arial" w:cs="Arial"/>
                <w:b/>
                <w:color w:val="000000" w:themeColor="text1"/>
                <w:sz w:val="18"/>
                <w:szCs w:val="18"/>
              </w:rPr>
            </w:pPr>
            <w:r w:rsidRPr="007B192E">
              <w:rPr>
                <w:rFonts w:ascii="Arial" w:hAnsi="Arial" w:cs="Arial"/>
                <w:color w:val="000000" w:themeColor="text1"/>
                <w:sz w:val="18"/>
                <w:szCs w:val="18"/>
              </w:rPr>
              <w:t>deklarowana przez producenta</w:t>
            </w:r>
          </w:p>
          <w:p w14:paraId="22863A15"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298E3941" w14:textId="77777777" w:rsidTr="008F7A94">
        <w:trPr>
          <w:jc w:val="center"/>
        </w:trPr>
        <w:tc>
          <w:tcPr>
            <w:tcW w:w="567" w:type="dxa"/>
          </w:tcPr>
          <w:p w14:paraId="4640C55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3968" w:type="dxa"/>
            <w:gridSpan w:val="2"/>
            <w:vAlign w:val="center"/>
          </w:tcPr>
          <w:p w14:paraId="3DDF1E81"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Mrozoodporność według PN-EN 1367-1 [19], badana na kruszywie 8/11, 11/16 lub 8/16; kategoria nie wyższa niż:</w:t>
            </w:r>
          </w:p>
        </w:tc>
        <w:tc>
          <w:tcPr>
            <w:tcW w:w="4269" w:type="dxa"/>
            <w:gridSpan w:val="2"/>
            <w:vAlign w:val="center"/>
          </w:tcPr>
          <w:p w14:paraId="33A1FF6C" w14:textId="77777777" w:rsidR="00F45500" w:rsidRPr="007B192E" w:rsidRDefault="00F45500" w:rsidP="008F7A94">
            <w:pPr>
              <w:jc w:val="center"/>
              <w:rPr>
                <w:rFonts w:ascii="Arial" w:hAnsi="Arial" w:cs="Arial"/>
                <w:i/>
                <w:color w:val="000000" w:themeColor="text1"/>
                <w:sz w:val="18"/>
                <w:szCs w:val="18"/>
              </w:rPr>
            </w:pPr>
          </w:p>
          <w:p w14:paraId="68D0B3C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F</w:t>
            </w:r>
            <w:r w:rsidRPr="007B192E">
              <w:rPr>
                <w:rFonts w:ascii="Arial" w:hAnsi="Arial" w:cs="Arial"/>
                <w:i/>
                <w:color w:val="000000" w:themeColor="text1"/>
                <w:sz w:val="18"/>
                <w:szCs w:val="18"/>
                <w:vertAlign w:val="subscript"/>
              </w:rPr>
              <w:t>4</w:t>
            </w:r>
          </w:p>
        </w:tc>
      </w:tr>
      <w:tr w:rsidR="004D7D23" w:rsidRPr="007B192E" w14:paraId="034155C1" w14:textId="77777777" w:rsidTr="008F7A94">
        <w:trPr>
          <w:trHeight w:val="371"/>
          <w:jc w:val="center"/>
        </w:trPr>
        <w:tc>
          <w:tcPr>
            <w:tcW w:w="567" w:type="dxa"/>
          </w:tcPr>
          <w:p w14:paraId="5037498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3968" w:type="dxa"/>
            <w:gridSpan w:val="2"/>
            <w:vAlign w:val="center"/>
          </w:tcPr>
          <w:p w14:paraId="740CB4DA"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„Zgorzel słoneczna” bazaltu według </w:t>
            </w:r>
            <w:r w:rsidRPr="007B192E">
              <w:rPr>
                <w:rFonts w:ascii="Arial" w:hAnsi="Arial" w:cs="Arial"/>
                <w:color w:val="000000" w:themeColor="text1"/>
                <w:sz w:val="18"/>
                <w:szCs w:val="18"/>
              </w:rPr>
              <w:br/>
              <w:t>PN-EN 1367-3 [20]; wymagana kategoria:</w:t>
            </w:r>
          </w:p>
        </w:tc>
        <w:tc>
          <w:tcPr>
            <w:tcW w:w="4269" w:type="dxa"/>
            <w:gridSpan w:val="2"/>
            <w:vAlign w:val="center"/>
          </w:tcPr>
          <w:p w14:paraId="26831638" w14:textId="77777777" w:rsidR="00F45500" w:rsidRPr="007B192E" w:rsidRDefault="00F45500" w:rsidP="008F7A94">
            <w:pPr>
              <w:jc w:val="center"/>
              <w:rPr>
                <w:rFonts w:ascii="Arial" w:hAnsi="Arial" w:cs="Arial"/>
                <w:i/>
                <w:color w:val="000000" w:themeColor="text1"/>
                <w:sz w:val="18"/>
                <w:szCs w:val="18"/>
              </w:rPr>
            </w:pPr>
          </w:p>
          <w:p w14:paraId="0DF8221C"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SB</w:t>
            </w:r>
            <w:r w:rsidRPr="007B192E">
              <w:rPr>
                <w:rFonts w:ascii="Arial" w:hAnsi="Arial" w:cs="Arial"/>
                <w:color w:val="000000" w:themeColor="text1"/>
                <w:sz w:val="18"/>
                <w:szCs w:val="18"/>
                <w:vertAlign w:val="subscript"/>
              </w:rPr>
              <w:t>LA</w:t>
            </w:r>
          </w:p>
        </w:tc>
      </w:tr>
      <w:tr w:rsidR="004D7D23" w:rsidRPr="007B192E" w14:paraId="26E6CB37" w14:textId="77777777" w:rsidTr="008F7A94">
        <w:trPr>
          <w:jc w:val="center"/>
        </w:trPr>
        <w:tc>
          <w:tcPr>
            <w:tcW w:w="567" w:type="dxa"/>
          </w:tcPr>
          <w:p w14:paraId="7C838E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11</w:t>
            </w:r>
          </w:p>
        </w:tc>
        <w:tc>
          <w:tcPr>
            <w:tcW w:w="3968" w:type="dxa"/>
            <w:gridSpan w:val="2"/>
            <w:vAlign w:val="center"/>
          </w:tcPr>
          <w:p w14:paraId="5E0B19F5"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Skład chemiczny – uproszczony opis petrograficzny według PN-EN 932-3 [5]</w:t>
            </w:r>
          </w:p>
        </w:tc>
        <w:tc>
          <w:tcPr>
            <w:tcW w:w="4269" w:type="dxa"/>
            <w:gridSpan w:val="2"/>
            <w:vAlign w:val="center"/>
          </w:tcPr>
          <w:p w14:paraId="6AEFACBC" w14:textId="77777777" w:rsidR="00F45500" w:rsidRPr="007B192E" w:rsidRDefault="00F45500" w:rsidP="008F7A94">
            <w:pPr>
              <w:jc w:val="center"/>
              <w:rPr>
                <w:rFonts w:ascii="Arial" w:hAnsi="Arial" w:cs="Arial"/>
                <w:color w:val="000000" w:themeColor="text1"/>
                <w:sz w:val="18"/>
                <w:szCs w:val="18"/>
              </w:rPr>
            </w:pPr>
          </w:p>
          <w:p w14:paraId="07C2953F"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deklarowany przez producenta</w:t>
            </w:r>
          </w:p>
          <w:p w14:paraId="4EE4498F"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6A5746D8" w14:textId="77777777" w:rsidTr="008F7A94">
        <w:trPr>
          <w:jc w:val="center"/>
        </w:trPr>
        <w:tc>
          <w:tcPr>
            <w:tcW w:w="567" w:type="dxa"/>
          </w:tcPr>
          <w:p w14:paraId="7F0ED5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3968" w:type="dxa"/>
            <w:gridSpan w:val="2"/>
            <w:vAlign w:val="center"/>
          </w:tcPr>
          <w:p w14:paraId="772BC9C5"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Grube zanieczyszczenia lekkie według PN-EN 1744-1 [23], p. 14.2; kategoria nie wyższa niż:</w:t>
            </w:r>
          </w:p>
        </w:tc>
        <w:tc>
          <w:tcPr>
            <w:tcW w:w="4269" w:type="dxa"/>
            <w:gridSpan w:val="2"/>
            <w:vAlign w:val="center"/>
          </w:tcPr>
          <w:p w14:paraId="65E87749" w14:textId="77777777" w:rsidR="00F45500" w:rsidRPr="007B192E" w:rsidRDefault="00F45500" w:rsidP="008F7A94">
            <w:pPr>
              <w:jc w:val="center"/>
              <w:rPr>
                <w:rFonts w:ascii="Arial" w:hAnsi="Arial" w:cs="Arial"/>
                <w:i/>
                <w:color w:val="000000" w:themeColor="text1"/>
                <w:sz w:val="18"/>
                <w:szCs w:val="18"/>
              </w:rPr>
            </w:pPr>
          </w:p>
          <w:p w14:paraId="22351AF1" w14:textId="77777777" w:rsidR="00F45500" w:rsidRPr="007B192E" w:rsidRDefault="00F45500" w:rsidP="008F7A94">
            <w:pPr>
              <w:jc w:val="center"/>
              <w:rPr>
                <w:rFonts w:ascii="Arial" w:hAnsi="Arial" w:cs="Arial"/>
                <w:b/>
                <w:color w:val="000000" w:themeColor="text1"/>
                <w:sz w:val="18"/>
                <w:szCs w:val="18"/>
              </w:rPr>
            </w:pPr>
            <w:proofErr w:type="spellStart"/>
            <w:r w:rsidRPr="007B192E">
              <w:rPr>
                <w:rFonts w:ascii="Arial" w:hAnsi="Arial" w:cs="Arial"/>
                <w:i/>
                <w:color w:val="000000" w:themeColor="text1"/>
                <w:sz w:val="18"/>
                <w:szCs w:val="18"/>
              </w:rPr>
              <w:t>m</w:t>
            </w:r>
            <w:r w:rsidRPr="007B192E">
              <w:rPr>
                <w:rFonts w:ascii="Arial" w:hAnsi="Arial" w:cs="Arial"/>
                <w:color w:val="000000" w:themeColor="text1"/>
                <w:sz w:val="18"/>
                <w:szCs w:val="18"/>
                <w:vertAlign w:val="subscript"/>
              </w:rPr>
              <w:t>LPC</w:t>
            </w:r>
            <w:proofErr w:type="spellEnd"/>
            <w:r w:rsidRPr="007B192E">
              <w:rPr>
                <w:rFonts w:ascii="Arial" w:hAnsi="Arial" w:cs="Arial"/>
                <w:color w:val="000000" w:themeColor="text1"/>
                <w:sz w:val="18"/>
                <w:szCs w:val="18"/>
              </w:rPr>
              <w:t xml:space="preserve"> 0,1</w:t>
            </w:r>
          </w:p>
        </w:tc>
      </w:tr>
      <w:tr w:rsidR="004D7D23" w:rsidRPr="007B192E" w14:paraId="277F7AB7" w14:textId="77777777" w:rsidTr="008F7A94">
        <w:trPr>
          <w:jc w:val="center"/>
        </w:trPr>
        <w:tc>
          <w:tcPr>
            <w:tcW w:w="567" w:type="dxa"/>
          </w:tcPr>
          <w:p w14:paraId="3145CE9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3968" w:type="dxa"/>
            <w:gridSpan w:val="2"/>
            <w:vAlign w:val="center"/>
          </w:tcPr>
          <w:p w14:paraId="5E1470CB"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Rozpad krzemianowy żużla wielkopiecowego chłodzonego powie-trzem według PN-EN 1744-1 [23],       p. 19.1:</w:t>
            </w:r>
          </w:p>
        </w:tc>
        <w:tc>
          <w:tcPr>
            <w:tcW w:w="4269" w:type="dxa"/>
            <w:gridSpan w:val="2"/>
            <w:vAlign w:val="center"/>
          </w:tcPr>
          <w:p w14:paraId="5137FD14"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wymagana odporność</w:t>
            </w:r>
          </w:p>
          <w:p w14:paraId="6BF4C03B"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72110063" w14:textId="77777777" w:rsidTr="008F7A94">
        <w:trPr>
          <w:jc w:val="center"/>
        </w:trPr>
        <w:tc>
          <w:tcPr>
            <w:tcW w:w="567" w:type="dxa"/>
          </w:tcPr>
          <w:p w14:paraId="60938BE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3968" w:type="dxa"/>
            <w:gridSpan w:val="2"/>
            <w:vAlign w:val="center"/>
          </w:tcPr>
          <w:p w14:paraId="176A28EF"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Rozpad żelazowy żużla wielkopiecowego chłodzonego powietrzem według PN-EN 1744-1[23], p. 19.2:</w:t>
            </w:r>
          </w:p>
        </w:tc>
        <w:tc>
          <w:tcPr>
            <w:tcW w:w="4269" w:type="dxa"/>
            <w:gridSpan w:val="2"/>
            <w:vAlign w:val="center"/>
          </w:tcPr>
          <w:p w14:paraId="5EB10568"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wymagana odporność</w:t>
            </w:r>
          </w:p>
          <w:p w14:paraId="4829438B" w14:textId="77777777" w:rsidR="00F45500" w:rsidRPr="007B192E" w:rsidRDefault="00F45500" w:rsidP="008F7A94">
            <w:pPr>
              <w:jc w:val="center"/>
              <w:rPr>
                <w:rFonts w:ascii="Arial" w:hAnsi="Arial" w:cs="Arial"/>
                <w:b/>
                <w:color w:val="000000" w:themeColor="text1"/>
                <w:sz w:val="18"/>
                <w:szCs w:val="18"/>
              </w:rPr>
            </w:pPr>
          </w:p>
        </w:tc>
      </w:tr>
      <w:tr w:rsidR="00F45500" w:rsidRPr="007B192E" w14:paraId="077EC10F" w14:textId="77777777" w:rsidTr="008F7A94">
        <w:trPr>
          <w:jc w:val="center"/>
        </w:trPr>
        <w:tc>
          <w:tcPr>
            <w:tcW w:w="567" w:type="dxa"/>
          </w:tcPr>
          <w:p w14:paraId="1148CE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3968" w:type="dxa"/>
            <w:gridSpan w:val="2"/>
            <w:vAlign w:val="center"/>
          </w:tcPr>
          <w:p w14:paraId="3124EE9D"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Stałość objętości kruszywa z żużla stalowniczego według PN-EN 1744-1 [23] p. 19.3; kategoria nie wyższa niż:</w:t>
            </w:r>
          </w:p>
        </w:tc>
        <w:tc>
          <w:tcPr>
            <w:tcW w:w="4269" w:type="dxa"/>
            <w:gridSpan w:val="2"/>
            <w:vAlign w:val="center"/>
          </w:tcPr>
          <w:p w14:paraId="70E2D8E5" w14:textId="77777777" w:rsidR="00F45500" w:rsidRPr="007B192E" w:rsidRDefault="00F45500" w:rsidP="008F7A94">
            <w:pPr>
              <w:jc w:val="center"/>
              <w:rPr>
                <w:rFonts w:ascii="Arial" w:hAnsi="Arial" w:cs="Arial"/>
                <w:i/>
                <w:color w:val="000000" w:themeColor="text1"/>
                <w:sz w:val="18"/>
                <w:szCs w:val="18"/>
              </w:rPr>
            </w:pPr>
          </w:p>
          <w:p w14:paraId="49A7BD8E" w14:textId="77777777" w:rsidR="00F45500" w:rsidRPr="007B192E" w:rsidRDefault="00F45500" w:rsidP="008F7A94">
            <w:pPr>
              <w:jc w:val="center"/>
              <w:rPr>
                <w:rFonts w:ascii="Arial" w:hAnsi="Arial" w:cs="Arial"/>
                <w:i/>
                <w:color w:val="000000" w:themeColor="text1"/>
                <w:sz w:val="18"/>
                <w:szCs w:val="18"/>
              </w:rPr>
            </w:pPr>
          </w:p>
          <w:p w14:paraId="431FCDD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6,5</w:t>
            </w:r>
          </w:p>
          <w:p w14:paraId="3629C352" w14:textId="77777777" w:rsidR="00F45500" w:rsidRPr="007B192E" w:rsidRDefault="00F45500" w:rsidP="008F7A94">
            <w:pPr>
              <w:jc w:val="center"/>
              <w:rPr>
                <w:rFonts w:ascii="Arial" w:hAnsi="Arial" w:cs="Arial"/>
                <w:i/>
                <w:color w:val="000000" w:themeColor="text1"/>
                <w:sz w:val="18"/>
                <w:szCs w:val="18"/>
              </w:rPr>
            </w:pPr>
          </w:p>
          <w:p w14:paraId="7B36FC6C" w14:textId="77777777" w:rsidR="00F45500" w:rsidRPr="007B192E" w:rsidRDefault="00F45500" w:rsidP="008F7A94">
            <w:pPr>
              <w:jc w:val="center"/>
              <w:rPr>
                <w:rFonts w:ascii="Arial" w:hAnsi="Arial" w:cs="Arial"/>
                <w:color w:val="000000" w:themeColor="text1"/>
                <w:sz w:val="18"/>
                <w:szCs w:val="18"/>
              </w:rPr>
            </w:pPr>
          </w:p>
        </w:tc>
      </w:tr>
    </w:tbl>
    <w:p w14:paraId="24C11FD0" w14:textId="77777777" w:rsidR="00F45500" w:rsidRPr="007B192E" w:rsidRDefault="00F45500" w:rsidP="00F45500">
      <w:pPr>
        <w:jc w:val="both"/>
        <w:rPr>
          <w:rFonts w:ascii="Arial" w:hAnsi="Arial" w:cs="Arial"/>
          <w:color w:val="000000" w:themeColor="text1"/>
          <w:sz w:val="18"/>
          <w:szCs w:val="18"/>
        </w:rPr>
      </w:pPr>
    </w:p>
    <w:p w14:paraId="1FEE2D5B" w14:textId="77777777" w:rsidR="00F45500" w:rsidRPr="007B192E" w:rsidRDefault="00F45500" w:rsidP="00F45500">
      <w:pPr>
        <w:shd w:val="clear" w:color="auto" w:fill="FFFFFF"/>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rPr>
        <w:t>b) Kruszywo niełamane drobne lub o ciągłym uziarnieniu do D≤8  do podbudowy  z betonu asfaltowego  powinno spełniać wymagania podane w tablicy  7 .</w:t>
      </w:r>
    </w:p>
    <w:p w14:paraId="0F4EB7C8" w14:textId="77777777" w:rsidR="00F45500" w:rsidRPr="007B192E" w:rsidRDefault="00F45500" w:rsidP="00F45500">
      <w:pPr>
        <w:shd w:val="clear" w:color="auto" w:fill="FFFFFF"/>
        <w:spacing w:before="120" w:after="120"/>
        <w:ind w:left="1321" w:hanging="1321"/>
        <w:jc w:val="both"/>
        <w:rPr>
          <w:rFonts w:ascii="Arial" w:hAnsi="Arial" w:cs="Arial"/>
          <w:color w:val="000000" w:themeColor="text1"/>
          <w:sz w:val="18"/>
          <w:szCs w:val="18"/>
        </w:rPr>
      </w:pPr>
      <w:r w:rsidRPr="007B192E">
        <w:rPr>
          <w:rFonts w:ascii="Arial" w:hAnsi="Arial" w:cs="Arial"/>
          <w:color w:val="000000" w:themeColor="text1"/>
          <w:sz w:val="18"/>
          <w:szCs w:val="18"/>
        </w:rPr>
        <w:t>Tablica 7. Wymagane właściwości kruszywa niełamanego drobnego lub o ciągłym uziarnieniu do D≤8  do podbudowy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3969"/>
        <w:gridCol w:w="4272"/>
      </w:tblGrid>
      <w:tr w:rsidR="004D7D23" w:rsidRPr="007B192E" w14:paraId="36C5E166" w14:textId="77777777" w:rsidTr="008F7A94">
        <w:trPr>
          <w:trHeight w:val="485"/>
          <w:jc w:val="center"/>
        </w:trPr>
        <w:tc>
          <w:tcPr>
            <w:tcW w:w="675" w:type="dxa"/>
          </w:tcPr>
          <w:p w14:paraId="59ED1E37" w14:textId="77777777" w:rsidR="00F45500" w:rsidRPr="007B192E" w:rsidRDefault="00F45500" w:rsidP="008F7A94">
            <w:pPr>
              <w:jc w:val="both"/>
              <w:rPr>
                <w:rFonts w:ascii="Arial" w:hAnsi="Arial" w:cs="Arial"/>
                <w:color w:val="000000" w:themeColor="text1"/>
                <w:sz w:val="18"/>
                <w:szCs w:val="18"/>
              </w:rPr>
            </w:pPr>
          </w:p>
          <w:p w14:paraId="78AD046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969" w:type="dxa"/>
          </w:tcPr>
          <w:p w14:paraId="208F2795" w14:textId="77777777" w:rsidR="00F45500" w:rsidRPr="007B192E" w:rsidRDefault="00F45500" w:rsidP="008F7A94">
            <w:pPr>
              <w:jc w:val="both"/>
              <w:rPr>
                <w:rFonts w:ascii="Arial" w:hAnsi="Arial" w:cs="Arial"/>
                <w:color w:val="000000" w:themeColor="text1"/>
                <w:sz w:val="18"/>
                <w:szCs w:val="18"/>
              </w:rPr>
            </w:pPr>
          </w:p>
          <w:p w14:paraId="2EEE474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4272" w:type="dxa"/>
            <w:vAlign w:val="center"/>
          </w:tcPr>
          <w:p w14:paraId="0631924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Wymagania dla kategorii ruchu KR3 </w:t>
            </w: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4B1A1403" w14:textId="77777777" w:rsidTr="008F7A94">
        <w:trPr>
          <w:jc w:val="center"/>
        </w:trPr>
        <w:tc>
          <w:tcPr>
            <w:tcW w:w="675" w:type="dxa"/>
          </w:tcPr>
          <w:p w14:paraId="6064C89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969" w:type="dxa"/>
          </w:tcPr>
          <w:p w14:paraId="15702E1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Uziarnienie według PN-EN 933-1[6], wymagana kategoria:</w:t>
            </w:r>
          </w:p>
        </w:tc>
        <w:tc>
          <w:tcPr>
            <w:tcW w:w="4272" w:type="dxa"/>
            <w:vAlign w:val="center"/>
          </w:tcPr>
          <w:p w14:paraId="0BA4C4A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85 lub G</w:t>
            </w:r>
            <w:r w:rsidRPr="007B192E">
              <w:rPr>
                <w:rFonts w:ascii="Arial" w:hAnsi="Arial" w:cs="Arial"/>
                <w:color w:val="000000" w:themeColor="text1"/>
                <w:sz w:val="18"/>
                <w:szCs w:val="18"/>
                <w:vertAlign w:val="subscript"/>
              </w:rPr>
              <w:t>A</w:t>
            </w:r>
            <w:r w:rsidRPr="007B192E">
              <w:rPr>
                <w:rFonts w:ascii="Arial" w:hAnsi="Arial" w:cs="Arial"/>
                <w:color w:val="000000" w:themeColor="text1"/>
                <w:sz w:val="18"/>
                <w:szCs w:val="18"/>
              </w:rPr>
              <w:t>85</w:t>
            </w:r>
          </w:p>
        </w:tc>
      </w:tr>
      <w:tr w:rsidR="004D7D23" w:rsidRPr="007B192E" w14:paraId="52C3231B" w14:textId="77777777" w:rsidTr="008F7A94">
        <w:trPr>
          <w:jc w:val="center"/>
        </w:trPr>
        <w:tc>
          <w:tcPr>
            <w:tcW w:w="675" w:type="dxa"/>
          </w:tcPr>
          <w:p w14:paraId="427E97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969" w:type="dxa"/>
          </w:tcPr>
          <w:p w14:paraId="0D96201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Tolerancja uziarnienia; odchylenie nie większe niż, według kategorii:</w:t>
            </w:r>
          </w:p>
        </w:tc>
        <w:tc>
          <w:tcPr>
            <w:tcW w:w="4272" w:type="dxa"/>
            <w:vAlign w:val="center"/>
          </w:tcPr>
          <w:p w14:paraId="535A8592"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TC</w:t>
            </w:r>
            <w:r w:rsidRPr="007B192E">
              <w:rPr>
                <w:rFonts w:ascii="Arial" w:hAnsi="Arial" w:cs="Arial"/>
                <w:color w:val="000000" w:themeColor="text1"/>
                <w:sz w:val="18"/>
                <w:szCs w:val="18"/>
              </w:rPr>
              <w:t>20</w:t>
            </w:r>
          </w:p>
        </w:tc>
      </w:tr>
      <w:tr w:rsidR="004D7D23" w:rsidRPr="007B192E" w14:paraId="36BD54C7" w14:textId="77777777" w:rsidTr="008F7A94">
        <w:trPr>
          <w:jc w:val="center"/>
        </w:trPr>
        <w:tc>
          <w:tcPr>
            <w:tcW w:w="675" w:type="dxa"/>
          </w:tcPr>
          <w:p w14:paraId="2326A05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969" w:type="dxa"/>
          </w:tcPr>
          <w:p w14:paraId="1BE137A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pyłów według PN-EN 933-1 [6], kategoria nie wyższa niż:</w:t>
            </w:r>
          </w:p>
        </w:tc>
        <w:tc>
          <w:tcPr>
            <w:tcW w:w="4272" w:type="dxa"/>
            <w:vAlign w:val="center"/>
          </w:tcPr>
          <w:p w14:paraId="2A205DD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sym w:font="Symbol" w:char="F0A6"/>
            </w:r>
            <w:r w:rsidRPr="007B192E">
              <w:rPr>
                <w:rFonts w:ascii="Arial" w:hAnsi="Arial" w:cs="Arial"/>
                <w:color w:val="000000" w:themeColor="text1"/>
                <w:sz w:val="18"/>
                <w:szCs w:val="18"/>
                <w:vertAlign w:val="subscript"/>
              </w:rPr>
              <w:t>3</w:t>
            </w:r>
          </w:p>
        </w:tc>
      </w:tr>
      <w:tr w:rsidR="004D7D23" w:rsidRPr="007B192E" w14:paraId="6D725A41" w14:textId="77777777" w:rsidTr="008F7A94">
        <w:trPr>
          <w:jc w:val="center"/>
        </w:trPr>
        <w:tc>
          <w:tcPr>
            <w:tcW w:w="675" w:type="dxa"/>
          </w:tcPr>
          <w:p w14:paraId="186A35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969" w:type="dxa"/>
          </w:tcPr>
          <w:p w14:paraId="3D8BB11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Jakość pyłów według PN-EN 933-9 [11]; kategoria nie wyższa niż:</w:t>
            </w:r>
          </w:p>
        </w:tc>
        <w:tc>
          <w:tcPr>
            <w:tcW w:w="4272" w:type="dxa"/>
            <w:vAlign w:val="center"/>
          </w:tcPr>
          <w:p w14:paraId="3315FC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MB</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10</w:t>
            </w:r>
          </w:p>
        </w:tc>
      </w:tr>
      <w:tr w:rsidR="004D7D23" w:rsidRPr="007B192E" w14:paraId="5DBA39E3" w14:textId="77777777" w:rsidTr="008F7A94">
        <w:trPr>
          <w:jc w:val="center"/>
        </w:trPr>
        <w:tc>
          <w:tcPr>
            <w:tcW w:w="675" w:type="dxa"/>
          </w:tcPr>
          <w:p w14:paraId="56FD54E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969" w:type="dxa"/>
          </w:tcPr>
          <w:p w14:paraId="4FAF85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Kanciastość kruszywa drobnego według PN-EN 933-6 [10], rozdz. 8, kategoria nie niższa niż:</w:t>
            </w:r>
          </w:p>
        </w:tc>
        <w:tc>
          <w:tcPr>
            <w:tcW w:w="4272" w:type="dxa"/>
            <w:vAlign w:val="center"/>
          </w:tcPr>
          <w:p w14:paraId="1B8F263A" w14:textId="77777777" w:rsidR="00F45500" w:rsidRPr="007B192E" w:rsidRDefault="00F45500" w:rsidP="008F7A94">
            <w:pPr>
              <w:jc w:val="center"/>
              <w:rPr>
                <w:rFonts w:ascii="Arial" w:hAnsi="Arial" w:cs="Arial"/>
                <w:color w:val="000000" w:themeColor="text1"/>
                <w:sz w:val="18"/>
                <w:szCs w:val="18"/>
              </w:rPr>
            </w:pPr>
            <w:proofErr w:type="spellStart"/>
            <w:r w:rsidRPr="007B192E">
              <w:rPr>
                <w:rFonts w:ascii="Arial" w:hAnsi="Arial" w:cs="Arial"/>
                <w:i/>
                <w:color w:val="000000" w:themeColor="text1"/>
                <w:sz w:val="18"/>
                <w:szCs w:val="18"/>
              </w:rPr>
              <w:t>E</w:t>
            </w:r>
            <w:r w:rsidRPr="007B192E">
              <w:rPr>
                <w:rFonts w:ascii="Arial" w:hAnsi="Arial" w:cs="Arial"/>
                <w:color w:val="000000" w:themeColor="text1"/>
                <w:sz w:val="18"/>
                <w:szCs w:val="18"/>
                <w:vertAlign w:val="subscript"/>
              </w:rPr>
              <w:t>cs</w:t>
            </w:r>
            <w:r w:rsidRPr="007B192E">
              <w:rPr>
                <w:rFonts w:ascii="Arial" w:hAnsi="Arial" w:cs="Arial"/>
                <w:color w:val="000000" w:themeColor="text1"/>
                <w:sz w:val="18"/>
                <w:szCs w:val="18"/>
              </w:rPr>
              <w:t>Deklarowana</w:t>
            </w:r>
            <w:proofErr w:type="spellEnd"/>
          </w:p>
        </w:tc>
      </w:tr>
      <w:tr w:rsidR="004D7D23" w:rsidRPr="007B192E" w14:paraId="50C05928" w14:textId="77777777" w:rsidTr="008F7A94">
        <w:trPr>
          <w:jc w:val="center"/>
        </w:trPr>
        <w:tc>
          <w:tcPr>
            <w:tcW w:w="675" w:type="dxa"/>
          </w:tcPr>
          <w:p w14:paraId="4C4BA9D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969" w:type="dxa"/>
          </w:tcPr>
          <w:p w14:paraId="0DC0221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Gęstość ziaren według PN-EN 1097-6 [17], rozdz. 7, 8 lub 9:</w:t>
            </w:r>
          </w:p>
        </w:tc>
        <w:tc>
          <w:tcPr>
            <w:tcW w:w="4272" w:type="dxa"/>
            <w:vAlign w:val="center"/>
          </w:tcPr>
          <w:p w14:paraId="1EE84C3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55098687" w14:textId="77777777" w:rsidTr="008F7A94">
        <w:trPr>
          <w:jc w:val="center"/>
        </w:trPr>
        <w:tc>
          <w:tcPr>
            <w:tcW w:w="675" w:type="dxa"/>
          </w:tcPr>
          <w:p w14:paraId="7E292D7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969" w:type="dxa"/>
          </w:tcPr>
          <w:p w14:paraId="0CC1470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Nasiąkliwość według PN-EN 1097-6 [17], rozdz. 7, 8 lub 9</w:t>
            </w:r>
          </w:p>
        </w:tc>
        <w:tc>
          <w:tcPr>
            <w:tcW w:w="4272" w:type="dxa"/>
            <w:vAlign w:val="center"/>
          </w:tcPr>
          <w:p w14:paraId="6DCFB96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F45500" w:rsidRPr="007B192E" w14:paraId="68DFC76F" w14:textId="77777777" w:rsidTr="008F7A94">
        <w:trPr>
          <w:jc w:val="center"/>
        </w:trPr>
        <w:tc>
          <w:tcPr>
            <w:tcW w:w="675" w:type="dxa"/>
          </w:tcPr>
          <w:p w14:paraId="697AD3A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969" w:type="dxa"/>
          </w:tcPr>
          <w:p w14:paraId="28170CC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Grube zanieczyszczenia lekkie, według PN-EN 1744-1 [23], p. 14.2, kategoria nie wyższa niż:</w:t>
            </w:r>
          </w:p>
        </w:tc>
        <w:tc>
          <w:tcPr>
            <w:tcW w:w="4272" w:type="dxa"/>
            <w:vAlign w:val="center"/>
          </w:tcPr>
          <w:p w14:paraId="175311D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m</w:t>
            </w:r>
            <w:r w:rsidRPr="007B192E">
              <w:rPr>
                <w:rFonts w:ascii="Arial" w:hAnsi="Arial" w:cs="Arial"/>
                <w:color w:val="000000" w:themeColor="text1"/>
                <w:sz w:val="18"/>
                <w:szCs w:val="18"/>
                <w:vertAlign w:val="subscript"/>
              </w:rPr>
              <w:t>LPC</w:t>
            </w:r>
            <w:r w:rsidRPr="007B192E">
              <w:rPr>
                <w:rFonts w:ascii="Arial" w:hAnsi="Arial" w:cs="Arial"/>
                <w:color w:val="000000" w:themeColor="text1"/>
                <w:sz w:val="18"/>
                <w:szCs w:val="18"/>
              </w:rPr>
              <w:t>0,1</w:t>
            </w:r>
          </w:p>
        </w:tc>
      </w:tr>
    </w:tbl>
    <w:p w14:paraId="6BF2C9DC" w14:textId="77777777" w:rsidR="00F45500" w:rsidRPr="007B192E" w:rsidRDefault="00F45500" w:rsidP="00F45500">
      <w:pPr>
        <w:jc w:val="both"/>
        <w:rPr>
          <w:rFonts w:ascii="Arial" w:hAnsi="Arial" w:cs="Arial"/>
          <w:color w:val="000000" w:themeColor="text1"/>
          <w:sz w:val="18"/>
          <w:szCs w:val="18"/>
        </w:rPr>
      </w:pPr>
    </w:p>
    <w:p w14:paraId="5C36E346" w14:textId="77777777" w:rsidR="00F45500" w:rsidRPr="007B192E" w:rsidRDefault="00F45500" w:rsidP="00F45500">
      <w:pPr>
        <w:pStyle w:val="Akapitzlist"/>
        <w:numPr>
          <w:ilvl w:val="0"/>
          <w:numId w:val="207"/>
        </w:numPr>
        <w:shd w:val="clear" w:color="auto" w:fill="FFFFFF"/>
        <w:autoSpaceDN w:val="0"/>
        <w:contextualSpacing w:val="0"/>
        <w:jc w:val="both"/>
        <w:rPr>
          <w:rFonts w:ascii="Arial" w:hAnsi="Arial" w:cs="Arial"/>
          <w:color w:val="000000" w:themeColor="text1"/>
          <w:sz w:val="18"/>
          <w:szCs w:val="18"/>
        </w:rPr>
      </w:pPr>
      <w:r w:rsidRPr="007B192E">
        <w:rPr>
          <w:rFonts w:ascii="Arial" w:hAnsi="Arial" w:cs="Arial"/>
          <w:color w:val="000000" w:themeColor="text1"/>
          <w:sz w:val="18"/>
          <w:szCs w:val="18"/>
        </w:rPr>
        <w:t>Kruszywo łamane drobne lub o ciągłym uziarnieniu do D≤8  do podbudowy  z betonu asfaltowego  powinno spełniać wymagania podane w tablicy  8 .</w:t>
      </w:r>
    </w:p>
    <w:p w14:paraId="40B9D310" w14:textId="77777777" w:rsidR="00F45500" w:rsidRPr="007B192E" w:rsidRDefault="00F45500" w:rsidP="00F45500">
      <w:pPr>
        <w:shd w:val="clear" w:color="auto" w:fill="FFFFFF"/>
        <w:jc w:val="both"/>
        <w:rPr>
          <w:rFonts w:ascii="Arial" w:hAnsi="Arial" w:cs="Arial"/>
          <w:color w:val="000000" w:themeColor="text1"/>
          <w:sz w:val="18"/>
          <w:szCs w:val="18"/>
        </w:rPr>
      </w:pPr>
    </w:p>
    <w:p w14:paraId="33E2F676" w14:textId="77777777" w:rsidR="00F45500" w:rsidRPr="007B192E" w:rsidRDefault="00F45500" w:rsidP="00F45500">
      <w:pPr>
        <w:shd w:val="clear" w:color="auto" w:fill="FFFFFF"/>
        <w:spacing w:before="120" w:after="120"/>
        <w:ind w:left="993" w:hanging="993"/>
        <w:jc w:val="both"/>
        <w:rPr>
          <w:rFonts w:ascii="Arial" w:hAnsi="Arial" w:cs="Arial"/>
          <w:color w:val="000000" w:themeColor="text1"/>
          <w:sz w:val="18"/>
          <w:szCs w:val="18"/>
        </w:rPr>
      </w:pPr>
      <w:r w:rsidRPr="007B192E">
        <w:rPr>
          <w:rFonts w:ascii="Arial" w:hAnsi="Arial" w:cs="Arial"/>
          <w:color w:val="000000" w:themeColor="text1"/>
          <w:sz w:val="18"/>
          <w:szCs w:val="18"/>
        </w:rPr>
        <w:t>Tablica 8.</w:t>
      </w:r>
      <w:r w:rsidRPr="007B192E">
        <w:rPr>
          <w:rFonts w:ascii="Arial" w:hAnsi="Arial" w:cs="Arial"/>
          <w:color w:val="000000" w:themeColor="text1"/>
          <w:sz w:val="18"/>
          <w:szCs w:val="18"/>
        </w:rPr>
        <w:tab/>
        <w:t>Wymagane właściwości kruszywa łamanego drobnego lub o ciągłym uziarnieniu do D≤8  do podbudowy  z betonu asfaltowego</w:t>
      </w:r>
    </w:p>
    <w:tbl>
      <w:tblPr>
        <w:tblW w:w="889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63"/>
        <w:gridCol w:w="3981"/>
        <w:gridCol w:w="4253"/>
      </w:tblGrid>
      <w:tr w:rsidR="004D7D23" w:rsidRPr="007B192E" w14:paraId="73409F24" w14:textId="77777777" w:rsidTr="008F7A94">
        <w:trPr>
          <w:trHeight w:val="485"/>
          <w:jc w:val="center"/>
        </w:trPr>
        <w:tc>
          <w:tcPr>
            <w:tcW w:w="663" w:type="dxa"/>
            <w:tcBorders>
              <w:right w:val="nil"/>
            </w:tcBorders>
          </w:tcPr>
          <w:p w14:paraId="2515EB0E" w14:textId="77777777" w:rsidR="00F45500" w:rsidRPr="007B192E" w:rsidRDefault="00F45500" w:rsidP="008F7A94">
            <w:pPr>
              <w:jc w:val="both"/>
              <w:rPr>
                <w:rFonts w:ascii="Arial" w:hAnsi="Arial" w:cs="Arial"/>
                <w:color w:val="000000" w:themeColor="text1"/>
                <w:sz w:val="18"/>
                <w:szCs w:val="18"/>
              </w:rPr>
            </w:pPr>
          </w:p>
          <w:p w14:paraId="54E737E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981" w:type="dxa"/>
            <w:tcBorders>
              <w:left w:val="nil"/>
            </w:tcBorders>
          </w:tcPr>
          <w:p w14:paraId="45594FA5" w14:textId="77777777" w:rsidR="00F45500" w:rsidRPr="007B192E" w:rsidRDefault="00F45500" w:rsidP="008F7A94">
            <w:pPr>
              <w:jc w:val="both"/>
              <w:rPr>
                <w:rFonts w:ascii="Arial" w:hAnsi="Arial" w:cs="Arial"/>
                <w:color w:val="000000" w:themeColor="text1"/>
                <w:sz w:val="18"/>
                <w:szCs w:val="18"/>
              </w:rPr>
            </w:pPr>
          </w:p>
          <w:p w14:paraId="0E5150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4253" w:type="dxa"/>
            <w:vAlign w:val="center"/>
          </w:tcPr>
          <w:p w14:paraId="609946D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Wymagania dla kategorii ruchu KR3 </w:t>
            </w: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176530AC" w14:textId="77777777" w:rsidTr="008F7A94">
        <w:trPr>
          <w:jc w:val="center"/>
        </w:trPr>
        <w:tc>
          <w:tcPr>
            <w:tcW w:w="663" w:type="dxa"/>
          </w:tcPr>
          <w:p w14:paraId="112628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981" w:type="dxa"/>
          </w:tcPr>
          <w:p w14:paraId="7FFB22D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Uziarnienie według PN-EN 933-1[6], wymagana kategoria:</w:t>
            </w:r>
          </w:p>
        </w:tc>
        <w:tc>
          <w:tcPr>
            <w:tcW w:w="4253" w:type="dxa"/>
            <w:vAlign w:val="center"/>
          </w:tcPr>
          <w:p w14:paraId="6075846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85 lub G</w:t>
            </w:r>
            <w:r w:rsidRPr="007B192E">
              <w:rPr>
                <w:rFonts w:ascii="Arial" w:hAnsi="Arial" w:cs="Arial"/>
                <w:color w:val="000000" w:themeColor="text1"/>
                <w:sz w:val="18"/>
                <w:szCs w:val="18"/>
                <w:vertAlign w:val="subscript"/>
              </w:rPr>
              <w:t>A</w:t>
            </w:r>
            <w:r w:rsidRPr="007B192E">
              <w:rPr>
                <w:rFonts w:ascii="Arial" w:hAnsi="Arial" w:cs="Arial"/>
                <w:color w:val="000000" w:themeColor="text1"/>
                <w:sz w:val="18"/>
                <w:szCs w:val="18"/>
              </w:rPr>
              <w:t>85</w:t>
            </w:r>
          </w:p>
        </w:tc>
      </w:tr>
      <w:tr w:rsidR="004D7D23" w:rsidRPr="007B192E" w14:paraId="15538998" w14:textId="77777777" w:rsidTr="008F7A94">
        <w:trPr>
          <w:jc w:val="center"/>
        </w:trPr>
        <w:tc>
          <w:tcPr>
            <w:tcW w:w="663" w:type="dxa"/>
          </w:tcPr>
          <w:p w14:paraId="2008F4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981" w:type="dxa"/>
          </w:tcPr>
          <w:p w14:paraId="1293E2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Tolerancja uziarnienia; odchylenie nie większe niż według kategorii:</w:t>
            </w:r>
          </w:p>
        </w:tc>
        <w:tc>
          <w:tcPr>
            <w:tcW w:w="4253" w:type="dxa"/>
            <w:vAlign w:val="center"/>
          </w:tcPr>
          <w:p w14:paraId="4E545BD3"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TC</w:t>
            </w:r>
            <w:r w:rsidRPr="007B192E">
              <w:rPr>
                <w:rFonts w:ascii="Arial" w:hAnsi="Arial" w:cs="Arial"/>
                <w:color w:val="000000" w:themeColor="text1"/>
                <w:sz w:val="18"/>
                <w:szCs w:val="18"/>
              </w:rPr>
              <w:t>20</w:t>
            </w:r>
          </w:p>
        </w:tc>
      </w:tr>
      <w:tr w:rsidR="004D7D23" w:rsidRPr="007B192E" w14:paraId="5D612CE5" w14:textId="77777777" w:rsidTr="008F7A94">
        <w:trPr>
          <w:jc w:val="center"/>
        </w:trPr>
        <w:tc>
          <w:tcPr>
            <w:tcW w:w="663" w:type="dxa"/>
          </w:tcPr>
          <w:p w14:paraId="40D23AD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981" w:type="dxa"/>
          </w:tcPr>
          <w:p w14:paraId="5C2789B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pyłów według PN-EN 933-1 [6], kategoria nie wyższa niż:</w:t>
            </w:r>
          </w:p>
        </w:tc>
        <w:tc>
          <w:tcPr>
            <w:tcW w:w="4253" w:type="dxa"/>
            <w:vAlign w:val="center"/>
          </w:tcPr>
          <w:p w14:paraId="73DC16B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sym w:font="Symbol" w:char="F0A6"/>
            </w:r>
            <w:r w:rsidRPr="007B192E">
              <w:rPr>
                <w:rFonts w:ascii="Arial" w:hAnsi="Arial" w:cs="Arial"/>
                <w:color w:val="000000" w:themeColor="text1"/>
                <w:sz w:val="18"/>
                <w:szCs w:val="18"/>
                <w:vertAlign w:val="subscript"/>
              </w:rPr>
              <w:t>16</w:t>
            </w:r>
          </w:p>
        </w:tc>
      </w:tr>
      <w:tr w:rsidR="004D7D23" w:rsidRPr="007B192E" w14:paraId="5C2E7CF3" w14:textId="77777777" w:rsidTr="008F7A94">
        <w:trPr>
          <w:jc w:val="center"/>
        </w:trPr>
        <w:tc>
          <w:tcPr>
            <w:tcW w:w="663" w:type="dxa"/>
          </w:tcPr>
          <w:p w14:paraId="74043E1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981" w:type="dxa"/>
          </w:tcPr>
          <w:p w14:paraId="61CF87B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Jakość pyłów według PN-EN 933-9 [11]; kategoria nie wyższa niż:</w:t>
            </w:r>
          </w:p>
        </w:tc>
        <w:tc>
          <w:tcPr>
            <w:tcW w:w="4253" w:type="dxa"/>
            <w:vAlign w:val="center"/>
          </w:tcPr>
          <w:p w14:paraId="719780A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MB</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10</w:t>
            </w:r>
          </w:p>
        </w:tc>
      </w:tr>
      <w:tr w:rsidR="004D7D23" w:rsidRPr="007B192E" w14:paraId="5899CB57" w14:textId="77777777" w:rsidTr="008F7A94">
        <w:trPr>
          <w:jc w:val="center"/>
        </w:trPr>
        <w:tc>
          <w:tcPr>
            <w:tcW w:w="663" w:type="dxa"/>
          </w:tcPr>
          <w:p w14:paraId="7E7C55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981" w:type="dxa"/>
          </w:tcPr>
          <w:p w14:paraId="02F4D6B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Kanciastość kruszywa drobnego według PN-EN 933-6 [10], rozdz. 8, kategoria nie niższa niż:</w:t>
            </w:r>
          </w:p>
        </w:tc>
        <w:tc>
          <w:tcPr>
            <w:tcW w:w="4253" w:type="dxa"/>
            <w:vAlign w:val="center"/>
          </w:tcPr>
          <w:p w14:paraId="05DF0A46" w14:textId="77777777" w:rsidR="00F45500" w:rsidRPr="007B192E" w:rsidRDefault="00F45500" w:rsidP="008F7A94">
            <w:pPr>
              <w:jc w:val="center"/>
              <w:rPr>
                <w:rFonts w:ascii="Arial" w:hAnsi="Arial" w:cs="Arial"/>
                <w:i/>
                <w:color w:val="000000" w:themeColor="text1"/>
                <w:sz w:val="18"/>
                <w:szCs w:val="18"/>
              </w:rPr>
            </w:pPr>
            <w:r w:rsidRPr="007B192E">
              <w:rPr>
                <w:rFonts w:ascii="Arial" w:hAnsi="Arial" w:cs="Arial"/>
                <w:i/>
                <w:color w:val="000000" w:themeColor="text1"/>
                <w:sz w:val="18"/>
                <w:szCs w:val="18"/>
              </w:rPr>
              <w:t>E</w:t>
            </w:r>
            <w:r w:rsidRPr="007B192E">
              <w:rPr>
                <w:rFonts w:ascii="Arial" w:hAnsi="Arial" w:cs="Arial"/>
                <w:i/>
                <w:color w:val="000000" w:themeColor="text1"/>
                <w:sz w:val="18"/>
                <w:szCs w:val="18"/>
                <w:vertAlign w:val="subscript"/>
              </w:rPr>
              <w:t>CS</w:t>
            </w:r>
            <w:r w:rsidRPr="007B192E">
              <w:rPr>
                <w:rFonts w:ascii="Arial" w:hAnsi="Arial" w:cs="Arial"/>
                <w:color w:val="000000" w:themeColor="text1"/>
                <w:sz w:val="18"/>
                <w:szCs w:val="18"/>
              </w:rPr>
              <w:t>30</w:t>
            </w:r>
          </w:p>
        </w:tc>
      </w:tr>
      <w:tr w:rsidR="004D7D23" w:rsidRPr="007B192E" w14:paraId="48101A5A" w14:textId="77777777" w:rsidTr="008F7A94">
        <w:trPr>
          <w:jc w:val="center"/>
        </w:trPr>
        <w:tc>
          <w:tcPr>
            <w:tcW w:w="663" w:type="dxa"/>
          </w:tcPr>
          <w:p w14:paraId="1F1AA40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981" w:type="dxa"/>
          </w:tcPr>
          <w:p w14:paraId="5C12C25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Gęstość ziaren według PN-EN 1097-6 [17], rozdz. 7, 8 lub 9:</w:t>
            </w:r>
          </w:p>
        </w:tc>
        <w:tc>
          <w:tcPr>
            <w:tcW w:w="4253" w:type="dxa"/>
            <w:vAlign w:val="center"/>
          </w:tcPr>
          <w:p w14:paraId="56B710E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5B002078" w14:textId="77777777" w:rsidTr="008F7A94">
        <w:trPr>
          <w:jc w:val="center"/>
        </w:trPr>
        <w:tc>
          <w:tcPr>
            <w:tcW w:w="663" w:type="dxa"/>
          </w:tcPr>
          <w:p w14:paraId="2CCFBD8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981" w:type="dxa"/>
          </w:tcPr>
          <w:p w14:paraId="38A674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Nasiąkliwość według PN-EN 1097-6 [17], rozdz. 7, 8 lub 9</w:t>
            </w:r>
          </w:p>
        </w:tc>
        <w:tc>
          <w:tcPr>
            <w:tcW w:w="4253" w:type="dxa"/>
            <w:vAlign w:val="center"/>
          </w:tcPr>
          <w:p w14:paraId="64CE578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F45500" w:rsidRPr="007B192E" w14:paraId="415D9C19" w14:textId="77777777" w:rsidTr="008F7A94">
        <w:trPr>
          <w:jc w:val="center"/>
        </w:trPr>
        <w:tc>
          <w:tcPr>
            <w:tcW w:w="663" w:type="dxa"/>
          </w:tcPr>
          <w:p w14:paraId="2EEA7A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981" w:type="dxa"/>
          </w:tcPr>
          <w:p w14:paraId="7462CC9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Grube zanieczyszczenia lekkie, według PN-EN 1744-1 [23], p. 14.2, kategoria nie wyższa niż:</w:t>
            </w:r>
          </w:p>
        </w:tc>
        <w:tc>
          <w:tcPr>
            <w:tcW w:w="4253" w:type="dxa"/>
            <w:vAlign w:val="center"/>
          </w:tcPr>
          <w:p w14:paraId="0D4F96E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m</w:t>
            </w:r>
            <w:r w:rsidRPr="007B192E">
              <w:rPr>
                <w:rFonts w:ascii="Arial" w:hAnsi="Arial" w:cs="Arial"/>
                <w:color w:val="000000" w:themeColor="text1"/>
                <w:sz w:val="18"/>
                <w:szCs w:val="18"/>
                <w:vertAlign w:val="subscript"/>
              </w:rPr>
              <w:t>LPC</w:t>
            </w:r>
            <w:r w:rsidRPr="007B192E">
              <w:rPr>
                <w:rFonts w:ascii="Arial" w:hAnsi="Arial" w:cs="Arial"/>
                <w:color w:val="000000" w:themeColor="text1"/>
                <w:sz w:val="18"/>
                <w:szCs w:val="18"/>
              </w:rPr>
              <w:t>0,1</w:t>
            </w:r>
          </w:p>
        </w:tc>
      </w:tr>
    </w:tbl>
    <w:p w14:paraId="3F3A460C" w14:textId="77777777" w:rsidR="00F45500" w:rsidRPr="007B192E" w:rsidRDefault="00F45500" w:rsidP="00F45500">
      <w:pPr>
        <w:jc w:val="both"/>
        <w:rPr>
          <w:rFonts w:ascii="Arial" w:hAnsi="Arial" w:cs="Arial"/>
          <w:color w:val="000000" w:themeColor="text1"/>
          <w:sz w:val="18"/>
          <w:szCs w:val="18"/>
        </w:rPr>
      </w:pPr>
    </w:p>
    <w:p w14:paraId="399E0178" w14:textId="77777777" w:rsidR="00F45500" w:rsidRPr="007B192E" w:rsidRDefault="00F45500" w:rsidP="00F45500">
      <w:pPr>
        <w:shd w:val="clear" w:color="auto" w:fill="FFFFFF"/>
        <w:ind w:left="480" w:hanging="48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 Kruszywo o ciągłym uziarnieniu  do podbudowy  z betonu asfaltowego  powinno spełniać wymagania podane w </w:t>
      </w:r>
      <w:r w:rsidRPr="007B192E">
        <w:rPr>
          <w:rFonts w:ascii="Arial" w:hAnsi="Arial" w:cs="Arial"/>
          <w:color w:val="000000" w:themeColor="text1"/>
          <w:sz w:val="18"/>
          <w:szCs w:val="18"/>
        </w:rPr>
        <w:lastRenderedPageBreak/>
        <w:t>tablicy  9.</w:t>
      </w:r>
    </w:p>
    <w:p w14:paraId="7DAB1A87" w14:textId="77777777" w:rsidR="00F45500" w:rsidRPr="007B192E" w:rsidRDefault="00F45500" w:rsidP="00F45500">
      <w:pPr>
        <w:spacing w:before="120" w:after="120"/>
        <w:ind w:left="1202" w:hanging="1202"/>
        <w:jc w:val="both"/>
        <w:rPr>
          <w:rFonts w:ascii="Arial" w:hAnsi="Arial" w:cs="Arial"/>
          <w:color w:val="000000" w:themeColor="text1"/>
          <w:sz w:val="18"/>
          <w:szCs w:val="18"/>
        </w:rPr>
      </w:pPr>
      <w:r w:rsidRPr="007B192E">
        <w:rPr>
          <w:rFonts w:ascii="Arial" w:hAnsi="Arial" w:cs="Arial"/>
          <w:color w:val="000000" w:themeColor="text1"/>
          <w:sz w:val="18"/>
          <w:szCs w:val="18"/>
        </w:rPr>
        <w:t>Tablica 9. Wymagane właściwości kruszywa o ciągłym uziarnieniu do podbudowy  z betonu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7"/>
        <w:gridCol w:w="9"/>
        <w:gridCol w:w="3960"/>
        <w:gridCol w:w="4253"/>
      </w:tblGrid>
      <w:tr w:rsidR="004D7D23" w:rsidRPr="007B192E" w14:paraId="59F58B2E" w14:textId="77777777" w:rsidTr="008F7A94">
        <w:trPr>
          <w:trHeight w:val="485"/>
          <w:jc w:val="center"/>
        </w:trPr>
        <w:tc>
          <w:tcPr>
            <w:tcW w:w="567" w:type="dxa"/>
          </w:tcPr>
          <w:p w14:paraId="2825A741" w14:textId="77777777" w:rsidR="00F45500" w:rsidRPr="007B192E" w:rsidRDefault="00F45500" w:rsidP="008F7A94">
            <w:pPr>
              <w:jc w:val="both"/>
              <w:rPr>
                <w:rFonts w:ascii="Arial" w:hAnsi="Arial" w:cs="Arial"/>
                <w:color w:val="000000" w:themeColor="text1"/>
                <w:sz w:val="18"/>
                <w:szCs w:val="18"/>
              </w:rPr>
            </w:pPr>
          </w:p>
          <w:p w14:paraId="478E25F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969" w:type="dxa"/>
            <w:gridSpan w:val="2"/>
          </w:tcPr>
          <w:p w14:paraId="3353DEF5" w14:textId="77777777" w:rsidR="00F45500" w:rsidRPr="007B192E" w:rsidRDefault="00F45500" w:rsidP="008F7A94">
            <w:pPr>
              <w:jc w:val="both"/>
              <w:rPr>
                <w:rFonts w:ascii="Arial" w:hAnsi="Arial" w:cs="Arial"/>
                <w:color w:val="000000" w:themeColor="text1"/>
                <w:sz w:val="18"/>
                <w:szCs w:val="18"/>
              </w:rPr>
            </w:pPr>
          </w:p>
          <w:p w14:paraId="339D2F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4253" w:type="dxa"/>
            <w:vAlign w:val="center"/>
          </w:tcPr>
          <w:p w14:paraId="30341AD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Wymagania dla kategorii ruchu KR3 </w:t>
            </w: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73035434" w14:textId="77777777" w:rsidTr="008F7A94">
        <w:trPr>
          <w:jc w:val="center"/>
        </w:trPr>
        <w:tc>
          <w:tcPr>
            <w:tcW w:w="576" w:type="dxa"/>
            <w:gridSpan w:val="2"/>
          </w:tcPr>
          <w:p w14:paraId="3BE959F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960" w:type="dxa"/>
            <w:vAlign w:val="center"/>
          </w:tcPr>
          <w:p w14:paraId="022C8AE2"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Uziarnienie według PN-EN 933-1[6]; kategoria nie niższa niż:</w:t>
            </w:r>
          </w:p>
        </w:tc>
        <w:tc>
          <w:tcPr>
            <w:tcW w:w="4253" w:type="dxa"/>
            <w:vAlign w:val="center"/>
          </w:tcPr>
          <w:p w14:paraId="01D8BE2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A</w:t>
            </w:r>
            <w:r w:rsidRPr="007B192E">
              <w:rPr>
                <w:rFonts w:ascii="Arial" w:hAnsi="Arial" w:cs="Arial"/>
                <w:color w:val="000000" w:themeColor="text1"/>
                <w:sz w:val="18"/>
                <w:szCs w:val="18"/>
              </w:rPr>
              <w:t>85</w:t>
            </w:r>
          </w:p>
        </w:tc>
      </w:tr>
      <w:tr w:rsidR="004D7D23" w:rsidRPr="007B192E" w14:paraId="1FAE5E41" w14:textId="77777777" w:rsidTr="008F7A94">
        <w:trPr>
          <w:jc w:val="center"/>
        </w:trPr>
        <w:tc>
          <w:tcPr>
            <w:tcW w:w="576" w:type="dxa"/>
            <w:gridSpan w:val="2"/>
          </w:tcPr>
          <w:p w14:paraId="61C239A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960" w:type="dxa"/>
            <w:vAlign w:val="center"/>
          </w:tcPr>
          <w:p w14:paraId="732AD472"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Zawartość pyłów według PN-EN 933-1 [6]; kategoria nie wyższa niż:</w:t>
            </w:r>
          </w:p>
        </w:tc>
        <w:tc>
          <w:tcPr>
            <w:tcW w:w="4253" w:type="dxa"/>
            <w:vAlign w:val="center"/>
          </w:tcPr>
          <w:p w14:paraId="4D250144"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i/>
                <w:color w:val="000000" w:themeColor="text1"/>
                <w:sz w:val="18"/>
                <w:szCs w:val="18"/>
              </w:rPr>
              <w:t>f</w:t>
            </w:r>
            <w:r w:rsidRPr="007B192E">
              <w:rPr>
                <w:rFonts w:ascii="Arial" w:hAnsi="Arial" w:cs="Arial"/>
                <w:color w:val="000000" w:themeColor="text1"/>
                <w:sz w:val="18"/>
                <w:szCs w:val="18"/>
                <w:vertAlign w:val="subscript"/>
              </w:rPr>
              <w:t>16</w:t>
            </w:r>
          </w:p>
        </w:tc>
      </w:tr>
      <w:tr w:rsidR="004D7D23" w:rsidRPr="007B192E" w14:paraId="325A524B" w14:textId="77777777" w:rsidTr="008F7A94">
        <w:trPr>
          <w:jc w:val="center"/>
        </w:trPr>
        <w:tc>
          <w:tcPr>
            <w:tcW w:w="576" w:type="dxa"/>
            <w:gridSpan w:val="2"/>
          </w:tcPr>
          <w:p w14:paraId="7F62A13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960" w:type="dxa"/>
            <w:vAlign w:val="center"/>
          </w:tcPr>
          <w:p w14:paraId="05CF2D92"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Zawartość pyłów według PN-EN 933-9 [11]; kategoria nie wyższa niż:</w:t>
            </w:r>
          </w:p>
        </w:tc>
        <w:tc>
          <w:tcPr>
            <w:tcW w:w="4253" w:type="dxa"/>
            <w:vAlign w:val="center"/>
          </w:tcPr>
          <w:p w14:paraId="7814003E"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MB</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10</w:t>
            </w:r>
          </w:p>
        </w:tc>
      </w:tr>
      <w:tr w:rsidR="004D7D23" w:rsidRPr="007B192E" w14:paraId="5E9B00B2" w14:textId="77777777" w:rsidTr="008F7A94">
        <w:trPr>
          <w:jc w:val="center"/>
        </w:trPr>
        <w:tc>
          <w:tcPr>
            <w:tcW w:w="576" w:type="dxa"/>
            <w:gridSpan w:val="2"/>
          </w:tcPr>
          <w:p w14:paraId="4E13E62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960" w:type="dxa"/>
            <w:vAlign w:val="center"/>
          </w:tcPr>
          <w:p w14:paraId="6C7251DE"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Kształt kruszywa według PN-EN 933-3[7] lub według PN-EN 933-4 [8]; kategoria nie wyższa niż:</w:t>
            </w:r>
          </w:p>
        </w:tc>
        <w:tc>
          <w:tcPr>
            <w:tcW w:w="4253" w:type="dxa"/>
            <w:vAlign w:val="center"/>
          </w:tcPr>
          <w:p w14:paraId="78BBA5B6" w14:textId="77777777" w:rsidR="00F45500" w:rsidRPr="007B192E" w:rsidRDefault="00F45500" w:rsidP="008F7A94">
            <w:pPr>
              <w:jc w:val="center"/>
              <w:rPr>
                <w:rFonts w:ascii="Arial" w:hAnsi="Arial" w:cs="Arial"/>
                <w:i/>
                <w:color w:val="000000" w:themeColor="text1"/>
                <w:sz w:val="18"/>
                <w:szCs w:val="18"/>
              </w:rPr>
            </w:pPr>
          </w:p>
          <w:p w14:paraId="51D11EE4"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FI</w:t>
            </w:r>
            <w:r w:rsidRPr="007B192E">
              <w:rPr>
                <w:rFonts w:ascii="Arial" w:hAnsi="Arial" w:cs="Arial"/>
                <w:i/>
                <w:color w:val="000000" w:themeColor="text1"/>
                <w:sz w:val="18"/>
                <w:szCs w:val="18"/>
                <w:vertAlign w:val="subscript"/>
              </w:rPr>
              <w:t>30</w:t>
            </w:r>
            <w:r w:rsidRPr="007B192E">
              <w:rPr>
                <w:rFonts w:ascii="Arial" w:hAnsi="Arial" w:cs="Arial"/>
                <w:color w:val="000000" w:themeColor="text1"/>
                <w:sz w:val="18"/>
                <w:szCs w:val="18"/>
              </w:rPr>
              <w:t xml:space="preserve"> lub </w:t>
            </w:r>
            <w:r w:rsidRPr="007B192E">
              <w:rPr>
                <w:rFonts w:ascii="Arial" w:hAnsi="Arial" w:cs="Arial"/>
                <w:i/>
                <w:color w:val="000000" w:themeColor="text1"/>
                <w:sz w:val="18"/>
                <w:szCs w:val="18"/>
              </w:rPr>
              <w:t>SI</w:t>
            </w:r>
            <w:r w:rsidRPr="007B192E">
              <w:rPr>
                <w:rFonts w:ascii="Arial" w:hAnsi="Arial" w:cs="Arial"/>
                <w:i/>
                <w:color w:val="000000" w:themeColor="text1"/>
                <w:sz w:val="18"/>
                <w:szCs w:val="18"/>
                <w:vertAlign w:val="subscript"/>
              </w:rPr>
              <w:t>30</w:t>
            </w:r>
          </w:p>
        </w:tc>
      </w:tr>
      <w:tr w:rsidR="004D7D23" w:rsidRPr="007B192E" w14:paraId="360E09D9" w14:textId="77777777" w:rsidTr="008F7A94">
        <w:trPr>
          <w:jc w:val="center"/>
        </w:trPr>
        <w:tc>
          <w:tcPr>
            <w:tcW w:w="576" w:type="dxa"/>
            <w:gridSpan w:val="2"/>
          </w:tcPr>
          <w:p w14:paraId="7B768DC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960" w:type="dxa"/>
            <w:vAlign w:val="center"/>
          </w:tcPr>
          <w:p w14:paraId="0E29A7FE"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Procentowa zawartość ziaren o powierzchni </w:t>
            </w:r>
            <w:proofErr w:type="spellStart"/>
            <w:r w:rsidRPr="007B192E">
              <w:rPr>
                <w:rFonts w:ascii="Arial" w:hAnsi="Arial" w:cs="Arial"/>
                <w:color w:val="000000" w:themeColor="text1"/>
                <w:sz w:val="18"/>
                <w:szCs w:val="18"/>
              </w:rPr>
              <w:t>przekruszonej</w:t>
            </w:r>
            <w:proofErr w:type="spellEnd"/>
            <w:r w:rsidRPr="007B192E">
              <w:rPr>
                <w:rFonts w:ascii="Arial" w:hAnsi="Arial" w:cs="Arial"/>
                <w:color w:val="000000" w:themeColor="text1"/>
                <w:sz w:val="18"/>
                <w:szCs w:val="18"/>
              </w:rPr>
              <w:t xml:space="preserve"> i łamanej w kruszywie grubym według PN-EN 933-5 [9]; kategoria nie niższa niż:</w:t>
            </w:r>
          </w:p>
        </w:tc>
        <w:tc>
          <w:tcPr>
            <w:tcW w:w="4253" w:type="dxa"/>
            <w:vAlign w:val="center"/>
          </w:tcPr>
          <w:p w14:paraId="6F1E84A0" w14:textId="77777777" w:rsidR="00F45500" w:rsidRPr="007B192E" w:rsidRDefault="00F45500" w:rsidP="008F7A94">
            <w:pPr>
              <w:spacing w:before="120"/>
              <w:jc w:val="center"/>
              <w:rPr>
                <w:rFonts w:ascii="Arial" w:hAnsi="Arial" w:cs="Arial"/>
                <w:b/>
                <w:color w:val="000000" w:themeColor="text1"/>
                <w:sz w:val="18"/>
                <w:szCs w:val="18"/>
              </w:rPr>
            </w:pPr>
          </w:p>
          <w:p w14:paraId="00D2E7AA"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C</w:t>
            </w:r>
            <w:r w:rsidRPr="007B192E">
              <w:rPr>
                <w:rFonts w:ascii="Arial" w:hAnsi="Arial" w:cs="Arial"/>
                <w:i/>
                <w:color w:val="000000" w:themeColor="text1"/>
                <w:sz w:val="18"/>
                <w:szCs w:val="18"/>
                <w:vertAlign w:val="subscript"/>
              </w:rPr>
              <w:t>50</w:t>
            </w:r>
            <w:r w:rsidRPr="007B192E">
              <w:rPr>
                <w:rFonts w:ascii="Arial" w:hAnsi="Arial" w:cs="Arial"/>
                <w:color w:val="000000" w:themeColor="text1"/>
                <w:sz w:val="18"/>
                <w:szCs w:val="18"/>
                <w:vertAlign w:val="subscript"/>
              </w:rPr>
              <w:t>/30</w:t>
            </w:r>
          </w:p>
        </w:tc>
      </w:tr>
      <w:tr w:rsidR="004D7D23" w:rsidRPr="007B192E" w14:paraId="22E6358A" w14:textId="77777777" w:rsidTr="008F7A94">
        <w:trPr>
          <w:trHeight w:val="1501"/>
          <w:jc w:val="center"/>
        </w:trPr>
        <w:tc>
          <w:tcPr>
            <w:tcW w:w="576" w:type="dxa"/>
            <w:gridSpan w:val="2"/>
          </w:tcPr>
          <w:p w14:paraId="539CA04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960" w:type="dxa"/>
            <w:vAlign w:val="center"/>
          </w:tcPr>
          <w:p w14:paraId="3ABE8071"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Odporność kruszywa na rozdrabnianie według normy PN-EN 1097-2 [13], badana na kruszywie o wymiarze 10/14, rozdział 5, kategoria nie wyższa niż:</w:t>
            </w:r>
          </w:p>
        </w:tc>
        <w:tc>
          <w:tcPr>
            <w:tcW w:w="4253" w:type="dxa"/>
            <w:vAlign w:val="center"/>
          </w:tcPr>
          <w:p w14:paraId="39523A0E" w14:textId="77777777" w:rsidR="00F45500" w:rsidRPr="007B192E" w:rsidRDefault="00F45500" w:rsidP="008F7A94">
            <w:pPr>
              <w:spacing w:before="120"/>
              <w:jc w:val="center"/>
              <w:rPr>
                <w:rFonts w:ascii="Arial" w:hAnsi="Arial" w:cs="Arial"/>
                <w:i/>
                <w:color w:val="000000" w:themeColor="text1"/>
                <w:sz w:val="18"/>
                <w:szCs w:val="18"/>
              </w:rPr>
            </w:pPr>
          </w:p>
          <w:p w14:paraId="2289FE1C" w14:textId="77777777" w:rsidR="00F45500" w:rsidRPr="007B192E" w:rsidRDefault="00F45500" w:rsidP="008F7A94">
            <w:pPr>
              <w:spacing w:before="120"/>
              <w:jc w:val="center"/>
              <w:rPr>
                <w:rFonts w:ascii="Arial" w:hAnsi="Arial" w:cs="Arial"/>
                <w:b/>
                <w:color w:val="000000" w:themeColor="text1"/>
                <w:sz w:val="18"/>
                <w:szCs w:val="18"/>
              </w:rPr>
            </w:pPr>
            <w:r w:rsidRPr="007B192E">
              <w:rPr>
                <w:rFonts w:ascii="Arial" w:hAnsi="Arial" w:cs="Arial"/>
                <w:i/>
                <w:color w:val="000000" w:themeColor="text1"/>
                <w:sz w:val="18"/>
                <w:szCs w:val="18"/>
              </w:rPr>
              <w:t>LA</w:t>
            </w:r>
            <w:r w:rsidRPr="007B192E">
              <w:rPr>
                <w:rFonts w:ascii="Arial" w:hAnsi="Arial" w:cs="Arial"/>
                <w:i/>
                <w:color w:val="000000" w:themeColor="text1"/>
                <w:sz w:val="18"/>
                <w:szCs w:val="18"/>
                <w:vertAlign w:val="subscript"/>
              </w:rPr>
              <w:t>40</w:t>
            </w:r>
          </w:p>
        </w:tc>
      </w:tr>
      <w:tr w:rsidR="004D7D23" w:rsidRPr="007B192E" w14:paraId="7C7FA7CC" w14:textId="77777777" w:rsidTr="008F7A94">
        <w:trPr>
          <w:trHeight w:val="696"/>
          <w:jc w:val="center"/>
        </w:trPr>
        <w:tc>
          <w:tcPr>
            <w:tcW w:w="576" w:type="dxa"/>
            <w:gridSpan w:val="2"/>
          </w:tcPr>
          <w:p w14:paraId="74A0BF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960" w:type="dxa"/>
          </w:tcPr>
          <w:p w14:paraId="55EEF9C7"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Gęstość ziaren według PN-EN 1097-6 [17], rozdział 7, 8 lub 9:</w:t>
            </w:r>
          </w:p>
        </w:tc>
        <w:tc>
          <w:tcPr>
            <w:tcW w:w="4253" w:type="dxa"/>
            <w:vAlign w:val="center"/>
          </w:tcPr>
          <w:p w14:paraId="4BF120AF"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22E971EF" w14:textId="77777777" w:rsidTr="008F7A94">
        <w:trPr>
          <w:jc w:val="center"/>
        </w:trPr>
        <w:tc>
          <w:tcPr>
            <w:tcW w:w="576" w:type="dxa"/>
            <w:gridSpan w:val="2"/>
          </w:tcPr>
          <w:p w14:paraId="48552F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960" w:type="dxa"/>
          </w:tcPr>
          <w:p w14:paraId="07019020"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Nasiąkliwość według PN-EN 1097-6 [17], rozdział 7, 8 lub 9:</w:t>
            </w:r>
          </w:p>
        </w:tc>
        <w:tc>
          <w:tcPr>
            <w:tcW w:w="4253" w:type="dxa"/>
            <w:vAlign w:val="center"/>
          </w:tcPr>
          <w:p w14:paraId="6202DD1C"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6A6E8773" w14:textId="77777777" w:rsidTr="008F7A94">
        <w:trPr>
          <w:jc w:val="center"/>
        </w:trPr>
        <w:tc>
          <w:tcPr>
            <w:tcW w:w="576" w:type="dxa"/>
            <w:gridSpan w:val="2"/>
          </w:tcPr>
          <w:p w14:paraId="70C4B3D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3960" w:type="dxa"/>
          </w:tcPr>
          <w:p w14:paraId="45342D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Gęstość nasypowa wg PN-EN 1097-3 [14]</w:t>
            </w:r>
          </w:p>
        </w:tc>
        <w:tc>
          <w:tcPr>
            <w:tcW w:w="4253" w:type="dxa"/>
            <w:vAlign w:val="center"/>
          </w:tcPr>
          <w:p w14:paraId="7DB02B00"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72A85D8A" w14:textId="77777777" w:rsidTr="008F7A94">
        <w:trPr>
          <w:jc w:val="center"/>
        </w:trPr>
        <w:tc>
          <w:tcPr>
            <w:tcW w:w="576" w:type="dxa"/>
            <w:gridSpan w:val="2"/>
          </w:tcPr>
          <w:p w14:paraId="2D4F28B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3960" w:type="dxa"/>
            <w:vAlign w:val="center"/>
          </w:tcPr>
          <w:p w14:paraId="50D9911A"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Mrozoodporność według PN-EN 1367-1 [19], badana na kruszywie 8/11, 11/16 lub 8/16; kategoria nie wyższa niż:</w:t>
            </w:r>
          </w:p>
        </w:tc>
        <w:tc>
          <w:tcPr>
            <w:tcW w:w="4253" w:type="dxa"/>
            <w:vAlign w:val="center"/>
          </w:tcPr>
          <w:p w14:paraId="45A07B1F" w14:textId="77777777" w:rsidR="00F45500" w:rsidRPr="007B192E" w:rsidRDefault="00F45500" w:rsidP="008F7A94">
            <w:pPr>
              <w:jc w:val="center"/>
              <w:rPr>
                <w:rFonts w:ascii="Arial" w:hAnsi="Arial" w:cs="Arial"/>
                <w:i/>
                <w:color w:val="000000" w:themeColor="text1"/>
                <w:sz w:val="18"/>
                <w:szCs w:val="18"/>
              </w:rPr>
            </w:pPr>
          </w:p>
          <w:p w14:paraId="38A0249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F</w:t>
            </w:r>
            <w:r w:rsidRPr="007B192E">
              <w:rPr>
                <w:rFonts w:ascii="Arial" w:hAnsi="Arial" w:cs="Arial"/>
                <w:i/>
                <w:color w:val="000000" w:themeColor="text1"/>
                <w:sz w:val="18"/>
                <w:szCs w:val="18"/>
                <w:vertAlign w:val="subscript"/>
              </w:rPr>
              <w:t>4</w:t>
            </w:r>
          </w:p>
        </w:tc>
      </w:tr>
      <w:tr w:rsidR="00F45500" w:rsidRPr="007B192E" w14:paraId="7BBBF592" w14:textId="77777777" w:rsidTr="008F7A94">
        <w:trPr>
          <w:jc w:val="center"/>
        </w:trPr>
        <w:tc>
          <w:tcPr>
            <w:tcW w:w="576" w:type="dxa"/>
            <w:gridSpan w:val="2"/>
          </w:tcPr>
          <w:p w14:paraId="4019692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3960" w:type="dxa"/>
            <w:vAlign w:val="center"/>
          </w:tcPr>
          <w:p w14:paraId="29E4A882"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„Zgorzel słoneczna” bazaltu według </w:t>
            </w:r>
            <w:r w:rsidRPr="007B192E">
              <w:rPr>
                <w:rFonts w:ascii="Arial" w:hAnsi="Arial" w:cs="Arial"/>
                <w:color w:val="000000" w:themeColor="text1"/>
                <w:sz w:val="18"/>
                <w:szCs w:val="18"/>
              </w:rPr>
              <w:br/>
              <w:t>PN-EN 1367-3 [20]; wymagana kategoria:</w:t>
            </w:r>
          </w:p>
        </w:tc>
        <w:tc>
          <w:tcPr>
            <w:tcW w:w="4253" w:type="dxa"/>
            <w:vAlign w:val="center"/>
          </w:tcPr>
          <w:p w14:paraId="44214FCE" w14:textId="77777777" w:rsidR="00F45500" w:rsidRPr="007B192E" w:rsidRDefault="00F45500" w:rsidP="008F7A94">
            <w:pPr>
              <w:jc w:val="center"/>
              <w:rPr>
                <w:rFonts w:ascii="Arial" w:hAnsi="Arial" w:cs="Arial"/>
                <w:i/>
                <w:color w:val="000000" w:themeColor="text1"/>
                <w:sz w:val="18"/>
                <w:szCs w:val="18"/>
              </w:rPr>
            </w:pPr>
          </w:p>
          <w:p w14:paraId="4CFF5DBD"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SB</w:t>
            </w:r>
            <w:r w:rsidRPr="007B192E">
              <w:rPr>
                <w:rFonts w:ascii="Arial" w:hAnsi="Arial" w:cs="Arial"/>
                <w:color w:val="000000" w:themeColor="text1"/>
                <w:sz w:val="18"/>
                <w:szCs w:val="18"/>
                <w:vertAlign w:val="subscript"/>
              </w:rPr>
              <w:t>LA</w:t>
            </w:r>
          </w:p>
        </w:tc>
      </w:tr>
    </w:tbl>
    <w:p w14:paraId="74C8E10A" w14:textId="77777777" w:rsidR="00F45500" w:rsidRPr="007B192E" w:rsidRDefault="00F45500" w:rsidP="00F45500">
      <w:pPr>
        <w:jc w:val="both"/>
        <w:rPr>
          <w:rFonts w:ascii="Arial" w:hAnsi="Arial" w:cs="Arial"/>
          <w:color w:val="000000" w:themeColor="text1"/>
          <w:sz w:val="18"/>
          <w:szCs w:val="18"/>
        </w:rPr>
      </w:pPr>
    </w:p>
    <w:p w14:paraId="596E3857" w14:textId="77777777" w:rsidR="00F45500" w:rsidRPr="007B192E" w:rsidRDefault="00F45500" w:rsidP="00F45500">
      <w:pPr>
        <w:jc w:val="both"/>
        <w:rPr>
          <w:rFonts w:ascii="Arial" w:hAnsi="Arial" w:cs="Arial"/>
          <w:color w:val="000000" w:themeColor="text1"/>
          <w:sz w:val="18"/>
          <w:szCs w:val="18"/>
        </w:rPr>
      </w:pPr>
    </w:p>
    <w:p w14:paraId="7474373F" w14:textId="77777777" w:rsidR="00F45500" w:rsidRPr="007B192E" w:rsidRDefault="00F45500" w:rsidP="00F45500">
      <w:pPr>
        <w:jc w:val="both"/>
        <w:rPr>
          <w:rFonts w:ascii="Arial" w:hAnsi="Arial" w:cs="Arial"/>
          <w:color w:val="000000" w:themeColor="text1"/>
          <w:sz w:val="18"/>
          <w:szCs w:val="18"/>
        </w:rPr>
      </w:pPr>
    </w:p>
    <w:p w14:paraId="29785D54" w14:textId="77777777" w:rsidR="00F45500" w:rsidRPr="007B192E" w:rsidRDefault="00F45500" w:rsidP="00F45500">
      <w:pPr>
        <w:jc w:val="both"/>
        <w:rPr>
          <w:rFonts w:ascii="Arial" w:hAnsi="Arial" w:cs="Arial"/>
          <w:color w:val="000000" w:themeColor="text1"/>
          <w:sz w:val="18"/>
          <w:szCs w:val="18"/>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6"/>
        <w:gridCol w:w="3960"/>
        <w:gridCol w:w="4253"/>
      </w:tblGrid>
      <w:tr w:rsidR="004D7D23" w:rsidRPr="007B192E" w14:paraId="519BAA90" w14:textId="77777777" w:rsidTr="008F7A94">
        <w:trPr>
          <w:jc w:val="center"/>
        </w:trPr>
        <w:tc>
          <w:tcPr>
            <w:tcW w:w="576" w:type="dxa"/>
          </w:tcPr>
          <w:p w14:paraId="09A139A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3960" w:type="dxa"/>
            <w:vAlign w:val="center"/>
          </w:tcPr>
          <w:p w14:paraId="092DA93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Kanciastość kruszywa drobnego lub kruszywa 0/2 wydzielonego z kruszywa o drobnym uziarnieniu wg PN-EN 933-6 [10], rozdz. 8, kategoria nie niższa niż:</w:t>
            </w:r>
          </w:p>
        </w:tc>
        <w:tc>
          <w:tcPr>
            <w:tcW w:w="4253" w:type="dxa"/>
            <w:vAlign w:val="center"/>
          </w:tcPr>
          <w:p w14:paraId="37C16BE3" w14:textId="77777777" w:rsidR="00F45500" w:rsidRPr="007B192E" w:rsidRDefault="00F45500" w:rsidP="008F7A94">
            <w:pPr>
              <w:jc w:val="center"/>
              <w:rPr>
                <w:rFonts w:ascii="Arial" w:hAnsi="Arial" w:cs="Arial"/>
                <w:color w:val="000000" w:themeColor="text1"/>
                <w:sz w:val="18"/>
                <w:szCs w:val="18"/>
              </w:rPr>
            </w:pPr>
          </w:p>
          <w:p w14:paraId="1254B331" w14:textId="77777777" w:rsidR="00F45500" w:rsidRPr="007B192E" w:rsidRDefault="00F45500" w:rsidP="008F7A94">
            <w:pPr>
              <w:jc w:val="center"/>
              <w:rPr>
                <w:rFonts w:ascii="Arial" w:hAnsi="Arial" w:cs="Arial"/>
                <w:color w:val="000000" w:themeColor="text1"/>
                <w:sz w:val="18"/>
                <w:szCs w:val="18"/>
              </w:rPr>
            </w:pPr>
          </w:p>
          <w:p w14:paraId="566B1C7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w:t>
            </w:r>
            <w:r w:rsidRPr="007B192E">
              <w:rPr>
                <w:rFonts w:ascii="Arial" w:hAnsi="Arial" w:cs="Arial"/>
                <w:color w:val="000000" w:themeColor="text1"/>
                <w:sz w:val="18"/>
                <w:szCs w:val="18"/>
                <w:vertAlign w:val="subscript"/>
              </w:rPr>
              <w:t>CS</w:t>
            </w:r>
            <w:r w:rsidRPr="007B192E">
              <w:rPr>
                <w:rFonts w:ascii="Arial" w:hAnsi="Arial" w:cs="Arial"/>
                <w:color w:val="000000" w:themeColor="text1"/>
                <w:sz w:val="18"/>
                <w:szCs w:val="18"/>
              </w:rPr>
              <w:t>30</w:t>
            </w:r>
          </w:p>
          <w:p w14:paraId="662FEDE0" w14:textId="77777777" w:rsidR="00F45500" w:rsidRPr="007B192E" w:rsidRDefault="00F45500" w:rsidP="008F7A94">
            <w:pPr>
              <w:jc w:val="center"/>
              <w:rPr>
                <w:rFonts w:ascii="Arial" w:hAnsi="Arial" w:cs="Arial"/>
                <w:color w:val="000000" w:themeColor="text1"/>
                <w:sz w:val="18"/>
                <w:szCs w:val="18"/>
              </w:rPr>
            </w:pPr>
          </w:p>
          <w:p w14:paraId="57C592C0" w14:textId="77777777" w:rsidR="00F45500" w:rsidRPr="007B192E" w:rsidRDefault="00F45500" w:rsidP="008F7A94">
            <w:pPr>
              <w:jc w:val="center"/>
              <w:rPr>
                <w:rFonts w:ascii="Arial" w:hAnsi="Arial" w:cs="Arial"/>
                <w:color w:val="000000" w:themeColor="text1"/>
                <w:sz w:val="18"/>
                <w:szCs w:val="18"/>
              </w:rPr>
            </w:pPr>
          </w:p>
        </w:tc>
      </w:tr>
      <w:tr w:rsidR="004D7D23" w:rsidRPr="007B192E" w14:paraId="4D520A00" w14:textId="77777777" w:rsidTr="008F7A94">
        <w:trPr>
          <w:jc w:val="center"/>
        </w:trPr>
        <w:tc>
          <w:tcPr>
            <w:tcW w:w="576" w:type="dxa"/>
          </w:tcPr>
          <w:p w14:paraId="5BEB35D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3960" w:type="dxa"/>
            <w:vAlign w:val="center"/>
          </w:tcPr>
          <w:p w14:paraId="697D9002"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Skład chemiczny – uproszczony opis petrograficzny według PN-EN 932-3 [5]</w:t>
            </w:r>
          </w:p>
        </w:tc>
        <w:tc>
          <w:tcPr>
            <w:tcW w:w="4253" w:type="dxa"/>
            <w:vAlign w:val="center"/>
          </w:tcPr>
          <w:p w14:paraId="110A9630" w14:textId="77777777" w:rsidR="00F45500" w:rsidRPr="007B192E" w:rsidRDefault="00F45500" w:rsidP="008F7A94">
            <w:pPr>
              <w:jc w:val="center"/>
              <w:rPr>
                <w:rFonts w:ascii="Arial" w:hAnsi="Arial" w:cs="Arial"/>
                <w:color w:val="000000" w:themeColor="text1"/>
                <w:sz w:val="18"/>
                <w:szCs w:val="18"/>
              </w:rPr>
            </w:pPr>
          </w:p>
          <w:p w14:paraId="5E3073C5"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deklarowany przez producenta</w:t>
            </w:r>
          </w:p>
          <w:p w14:paraId="03D63F96"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20EE621A" w14:textId="77777777" w:rsidTr="008F7A94">
        <w:trPr>
          <w:jc w:val="center"/>
        </w:trPr>
        <w:tc>
          <w:tcPr>
            <w:tcW w:w="576" w:type="dxa"/>
          </w:tcPr>
          <w:p w14:paraId="5F5677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3960" w:type="dxa"/>
            <w:vAlign w:val="center"/>
          </w:tcPr>
          <w:p w14:paraId="133E7FC4"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Grube zanieczyszczenia lekkie według PN-EN 1744-1 [23], p. 14.2; kategoria nie wyższa niż:</w:t>
            </w:r>
          </w:p>
        </w:tc>
        <w:tc>
          <w:tcPr>
            <w:tcW w:w="4253" w:type="dxa"/>
            <w:vAlign w:val="center"/>
          </w:tcPr>
          <w:p w14:paraId="5FB82D96" w14:textId="77777777" w:rsidR="00F45500" w:rsidRPr="007B192E" w:rsidRDefault="00F45500" w:rsidP="008F7A94">
            <w:pPr>
              <w:jc w:val="center"/>
              <w:rPr>
                <w:rFonts w:ascii="Arial" w:hAnsi="Arial" w:cs="Arial"/>
                <w:i/>
                <w:color w:val="000000" w:themeColor="text1"/>
                <w:sz w:val="18"/>
                <w:szCs w:val="18"/>
              </w:rPr>
            </w:pPr>
          </w:p>
          <w:p w14:paraId="37B9B3DA" w14:textId="77777777" w:rsidR="00F45500" w:rsidRPr="007B192E" w:rsidRDefault="00F45500" w:rsidP="008F7A94">
            <w:pPr>
              <w:jc w:val="center"/>
              <w:rPr>
                <w:rFonts w:ascii="Arial" w:hAnsi="Arial" w:cs="Arial"/>
                <w:i/>
                <w:color w:val="000000" w:themeColor="text1"/>
                <w:sz w:val="18"/>
                <w:szCs w:val="18"/>
              </w:rPr>
            </w:pPr>
          </w:p>
          <w:p w14:paraId="6A357C4C" w14:textId="77777777" w:rsidR="00F45500" w:rsidRPr="007B192E" w:rsidRDefault="00F45500" w:rsidP="008F7A94">
            <w:pPr>
              <w:jc w:val="center"/>
              <w:rPr>
                <w:rFonts w:ascii="Arial" w:hAnsi="Arial" w:cs="Arial"/>
                <w:b/>
                <w:color w:val="000000" w:themeColor="text1"/>
                <w:sz w:val="18"/>
                <w:szCs w:val="18"/>
              </w:rPr>
            </w:pPr>
            <w:proofErr w:type="spellStart"/>
            <w:r w:rsidRPr="007B192E">
              <w:rPr>
                <w:rFonts w:ascii="Arial" w:hAnsi="Arial" w:cs="Arial"/>
                <w:i/>
                <w:color w:val="000000" w:themeColor="text1"/>
                <w:sz w:val="18"/>
                <w:szCs w:val="18"/>
              </w:rPr>
              <w:t>m</w:t>
            </w:r>
            <w:r w:rsidRPr="007B192E">
              <w:rPr>
                <w:rFonts w:ascii="Arial" w:hAnsi="Arial" w:cs="Arial"/>
                <w:color w:val="000000" w:themeColor="text1"/>
                <w:sz w:val="18"/>
                <w:szCs w:val="18"/>
                <w:vertAlign w:val="subscript"/>
              </w:rPr>
              <w:t>LPC</w:t>
            </w:r>
            <w:proofErr w:type="spellEnd"/>
            <w:r w:rsidRPr="007B192E">
              <w:rPr>
                <w:rFonts w:ascii="Arial" w:hAnsi="Arial" w:cs="Arial"/>
                <w:color w:val="000000" w:themeColor="text1"/>
                <w:sz w:val="18"/>
                <w:szCs w:val="18"/>
              </w:rPr>
              <w:t xml:space="preserve"> 0,1</w:t>
            </w:r>
          </w:p>
        </w:tc>
      </w:tr>
      <w:tr w:rsidR="004D7D23" w:rsidRPr="007B192E" w14:paraId="7FC837B2" w14:textId="77777777" w:rsidTr="008F7A94">
        <w:trPr>
          <w:jc w:val="center"/>
        </w:trPr>
        <w:tc>
          <w:tcPr>
            <w:tcW w:w="576" w:type="dxa"/>
          </w:tcPr>
          <w:p w14:paraId="743647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3960" w:type="dxa"/>
            <w:vAlign w:val="center"/>
          </w:tcPr>
          <w:p w14:paraId="61713531"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Rozpad krzemianowy żużla </w:t>
            </w:r>
            <w:proofErr w:type="spellStart"/>
            <w:r w:rsidRPr="007B192E">
              <w:rPr>
                <w:rFonts w:ascii="Arial" w:hAnsi="Arial" w:cs="Arial"/>
                <w:color w:val="000000" w:themeColor="text1"/>
                <w:sz w:val="18"/>
                <w:szCs w:val="18"/>
              </w:rPr>
              <w:t>wielkopie-cowego</w:t>
            </w:r>
            <w:proofErr w:type="spellEnd"/>
            <w:r w:rsidRPr="007B192E">
              <w:rPr>
                <w:rFonts w:ascii="Arial" w:hAnsi="Arial" w:cs="Arial"/>
                <w:color w:val="000000" w:themeColor="text1"/>
                <w:sz w:val="18"/>
                <w:szCs w:val="18"/>
              </w:rPr>
              <w:t xml:space="preserve"> chłodzonego powietrzem według PN-EN 1744-1[23], p. 19.1:</w:t>
            </w:r>
          </w:p>
        </w:tc>
        <w:tc>
          <w:tcPr>
            <w:tcW w:w="4253" w:type="dxa"/>
            <w:vAlign w:val="center"/>
          </w:tcPr>
          <w:p w14:paraId="4F1295B5" w14:textId="77777777" w:rsidR="00F45500" w:rsidRPr="007B192E" w:rsidRDefault="00F45500" w:rsidP="008F7A94">
            <w:pPr>
              <w:jc w:val="center"/>
              <w:rPr>
                <w:rFonts w:ascii="Arial" w:hAnsi="Arial" w:cs="Arial"/>
                <w:color w:val="000000" w:themeColor="text1"/>
                <w:sz w:val="18"/>
                <w:szCs w:val="18"/>
              </w:rPr>
            </w:pPr>
          </w:p>
          <w:p w14:paraId="170612BA"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wymagana odporność</w:t>
            </w:r>
          </w:p>
          <w:p w14:paraId="5F093878" w14:textId="77777777" w:rsidR="00F45500" w:rsidRPr="007B192E" w:rsidRDefault="00F45500" w:rsidP="008F7A94">
            <w:pPr>
              <w:jc w:val="center"/>
              <w:rPr>
                <w:rFonts w:ascii="Arial" w:hAnsi="Arial" w:cs="Arial"/>
                <w:b/>
                <w:color w:val="000000" w:themeColor="text1"/>
                <w:sz w:val="18"/>
                <w:szCs w:val="18"/>
              </w:rPr>
            </w:pPr>
          </w:p>
        </w:tc>
      </w:tr>
      <w:tr w:rsidR="004D7D23" w:rsidRPr="007B192E" w14:paraId="3EB0549E" w14:textId="77777777" w:rsidTr="008F7A94">
        <w:trPr>
          <w:jc w:val="center"/>
        </w:trPr>
        <w:tc>
          <w:tcPr>
            <w:tcW w:w="576" w:type="dxa"/>
          </w:tcPr>
          <w:p w14:paraId="3F0D9B4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3960" w:type="dxa"/>
            <w:vAlign w:val="center"/>
          </w:tcPr>
          <w:p w14:paraId="080AD720"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Rozpad żelazowy żużla </w:t>
            </w:r>
            <w:proofErr w:type="spellStart"/>
            <w:r w:rsidRPr="007B192E">
              <w:rPr>
                <w:rFonts w:ascii="Arial" w:hAnsi="Arial" w:cs="Arial"/>
                <w:color w:val="000000" w:themeColor="text1"/>
                <w:sz w:val="18"/>
                <w:szCs w:val="18"/>
              </w:rPr>
              <w:t>wielkopie-cowego</w:t>
            </w:r>
            <w:proofErr w:type="spellEnd"/>
            <w:r w:rsidRPr="007B192E">
              <w:rPr>
                <w:rFonts w:ascii="Arial" w:hAnsi="Arial" w:cs="Arial"/>
                <w:color w:val="000000" w:themeColor="text1"/>
                <w:sz w:val="18"/>
                <w:szCs w:val="18"/>
              </w:rPr>
              <w:t xml:space="preserve"> chłodzonego powietrzem według PN-EN 1744-1 [23], p. 19.2:</w:t>
            </w:r>
          </w:p>
        </w:tc>
        <w:tc>
          <w:tcPr>
            <w:tcW w:w="4253" w:type="dxa"/>
            <w:vAlign w:val="center"/>
          </w:tcPr>
          <w:p w14:paraId="22EBA26B" w14:textId="77777777" w:rsidR="00F45500" w:rsidRPr="007B192E" w:rsidRDefault="00F45500" w:rsidP="008F7A94">
            <w:pPr>
              <w:jc w:val="center"/>
              <w:rPr>
                <w:rFonts w:ascii="Arial" w:hAnsi="Arial" w:cs="Arial"/>
                <w:color w:val="000000" w:themeColor="text1"/>
                <w:sz w:val="18"/>
                <w:szCs w:val="18"/>
              </w:rPr>
            </w:pPr>
          </w:p>
          <w:p w14:paraId="44C2BAC3"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color w:val="000000" w:themeColor="text1"/>
                <w:sz w:val="18"/>
                <w:szCs w:val="18"/>
              </w:rPr>
              <w:t>wymagana odporność</w:t>
            </w:r>
          </w:p>
          <w:p w14:paraId="7D83A726" w14:textId="77777777" w:rsidR="00F45500" w:rsidRPr="007B192E" w:rsidRDefault="00F45500" w:rsidP="008F7A94">
            <w:pPr>
              <w:jc w:val="center"/>
              <w:rPr>
                <w:rFonts w:ascii="Arial" w:hAnsi="Arial" w:cs="Arial"/>
                <w:b/>
                <w:color w:val="000000" w:themeColor="text1"/>
                <w:sz w:val="18"/>
                <w:szCs w:val="18"/>
              </w:rPr>
            </w:pPr>
          </w:p>
        </w:tc>
      </w:tr>
      <w:tr w:rsidR="00F45500" w:rsidRPr="007B192E" w14:paraId="7E31F992" w14:textId="77777777" w:rsidTr="008F7A94">
        <w:trPr>
          <w:jc w:val="center"/>
        </w:trPr>
        <w:tc>
          <w:tcPr>
            <w:tcW w:w="576" w:type="dxa"/>
          </w:tcPr>
          <w:p w14:paraId="0DAAF5F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17</w:t>
            </w:r>
          </w:p>
        </w:tc>
        <w:tc>
          <w:tcPr>
            <w:tcW w:w="3960" w:type="dxa"/>
            <w:vAlign w:val="center"/>
          </w:tcPr>
          <w:p w14:paraId="72AA998F"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Stałość objętości kruszywa z żużla stalowniczego według PN-EN 1744-1 [23], p. 19.3; kategoria nie wyższa niż:</w:t>
            </w:r>
          </w:p>
        </w:tc>
        <w:tc>
          <w:tcPr>
            <w:tcW w:w="4253" w:type="dxa"/>
            <w:vAlign w:val="center"/>
          </w:tcPr>
          <w:p w14:paraId="15D1EFD3" w14:textId="77777777" w:rsidR="00F45500" w:rsidRPr="007B192E" w:rsidRDefault="00F45500" w:rsidP="008F7A94">
            <w:pPr>
              <w:jc w:val="center"/>
              <w:rPr>
                <w:rFonts w:ascii="Arial" w:hAnsi="Arial" w:cs="Arial"/>
                <w:i/>
                <w:color w:val="000000" w:themeColor="text1"/>
                <w:sz w:val="18"/>
                <w:szCs w:val="18"/>
              </w:rPr>
            </w:pPr>
          </w:p>
          <w:p w14:paraId="31EA2248" w14:textId="77777777" w:rsidR="00F45500" w:rsidRPr="007B192E" w:rsidRDefault="00F45500" w:rsidP="008F7A94">
            <w:pPr>
              <w:jc w:val="center"/>
              <w:rPr>
                <w:rFonts w:ascii="Arial" w:hAnsi="Arial" w:cs="Arial"/>
                <w:b/>
                <w:color w:val="000000" w:themeColor="text1"/>
                <w:sz w:val="18"/>
                <w:szCs w:val="18"/>
              </w:rPr>
            </w:pPr>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6,5</w:t>
            </w:r>
          </w:p>
        </w:tc>
      </w:tr>
    </w:tbl>
    <w:p w14:paraId="5E4058F0" w14:textId="77777777" w:rsidR="00F45500" w:rsidRPr="007B192E" w:rsidRDefault="00F45500" w:rsidP="00F45500">
      <w:pPr>
        <w:jc w:val="both"/>
        <w:rPr>
          <w:rFonts w:ascii="Arial" w:hAnsi="Arial" w:cs="Arial"/>
          <w:color w:val="000000" w:themeColor="text1"/>
          <w:sz w:val="18"/>
          <w:szCs w:val="18"/>
        </w:rPr>
      </w:pPr>
    </w:p>
    <w:p w14:paraId="65A0D59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Uwaga: Dopuszcza się stosowanie kruszywa o ciągłym uziarnieniu jako jeden ze składników mieszanki mineralnej; dla KR3 ÷ KR7 nie dopuszcza się, aby kruszywo o ciągłym uziarnieniu stanowiło 100% zaprojektowanej mieszanki mineralnej.</w:t>
      </w:r>
    </w:p>
    <w:p w14:paraId="662FCD7C" w14:textId="77777777" w:rsidR="00F45500" w:rsidRPr="007B192E" w:rsidRDefault="00F45500" w:rsidP="00F45500">
      <w:pPr>
        <w:jc w:val="both"/>
        <w:rPr>
          <w:rFonts w:ascii="Arial" w:hAnsi="Arial" w:cs="Arial"/>
          <w:color w:val="000000" w:themeColor="text1"/>
          <w:sz w:val="18"/>
          <w:szCs w:val="18"/>
        </w:rPr>
      </w:pPr>
    </w:p>
    <w:p w14:paraId="52EB0C00" w14:textId="77777777" w:rsidR="00F45500" w:rsidRPr="007B192E" w:rsidRDefault="00F45500" w:rsidP="00F45500">
      <w:pPr>
        <w:ind w:left="360" w:right="-57" w:hanging="360"/>
        <w:jc w:val="both"/>
        <w:rPr>
          <w:rFonts w:ascii="Arial" w:hAnsi="Arial" w:cs="Arial"/>
          <w:color w:val="000000" w:themeColor="text1"/>
          <w:sz w:val="18"/>
          <w:szCs w:val="18"/>
        </w:rPr>
      </w:pPr>
      <w:r w:rsidRPr="007B192E">
        <w:rPr>
          <w:rFonts w:ascii="Arial" w:hAnsi="Arial" w:cs="Arial"/>
          <w:color w:val="000000" w:themeColor="text1"/>
          <w:sz w:val="18"/>
          <w:szCs w:val="18"/>
        </w:rPr>
        <w:t>e) Do podbudowy z betonu asfaltowego, w zależności od kategorii ruchu,  należy stosować wypełniacz spełniający wymagania podane w tablicy 10.</w:t>
      </w:r>
    </w:p>
    <w:p w14:paraId="1E3842CE"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10. Wymagane właściwości wypełniacza*) do podbudowy  z betonu asfaltowego</w:t>
      </w:r>
    </w:p>
    <w:tbl>
      <w:tblPr>
        <w:tblW w:w="907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028"/>
        <w:gridCol w:w="4045"/>
      </w:tblGrid>
      <w:tr w:rsidR="004D7D23" w:rsidRPr="007B192E" w14:paraId="32F90EE1" w14:textId="77777777" w:rsidTr="008F7A94">
        <w:trPr>
          <w:trHeight w:val="485"/>
          <w:jc w:val="center"/>
        </w:trPr>
        <w:tc>
          <w:tcPr>
            <w:tcW w:w="5028" w:type="dxa"/>
          </w:tcPr>
          <w:p w14:paraId="6F679467" w14:textId="77777777" w:rsidR="00F45500" w:rsidRPr="007B192E" w:rsidRDefault="00F45500" w:rsidP="008F7A94">
            <w:pPr>
              <w:jc w:val="both"/>
              <w:rPr>
                <w:rFonts w:ascii="Arial" w:hAnsi="Arial" w:cs="Arial"/>
                <w:color w:val="000000" w:themeColor="text1"/>
                <w:sz w:val="18"/>
                <w:szCs w:val="18"/>
              </w:rPr>
            </w:pPr>
          </w:p>
          <w:p w14:paraId="73B51C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4045" w:type="dxa"/>
            <w:vAlign w:val="center"/>
          </w:tcPr>
          <w:p w14:paraId="061D740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Wymagania dla kategorii ruchu KR3 </w:t>
            </w: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51CFCBAE" w14:textId="77777777" w:rsidTr="008F7A94">
        <w:trPr>
          <w:jc w:val="center"/>
        </w:trPr>
        <w:tc>
          <w:tcPr>
            <w:tcW w:w="5028" w:type="dxa"/>
          </w:tcPr>
          <w:p w14:paraId="17BC9B84"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Uziarnienie według PN-EN 933-10 [12]</w:t>
            </w:r>
          </w:p>
        </w:tc>
        <w:tc>
          <w:tcPr>
            <w:tcW w:w="4045" w:type="dxa"/>
            <w:vAlign w:val="center"/>
          </w:tcPr>
          <w:p w14:paraId="39A6DF4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zgodnie z tablicą 24 w PN-EN 13043 [50]</w:t>
            </w:r>
          </w:p>
        </w:tc>
      </w:tr>
      <w:tr w:rsidR="004D7D23" w:rsidRPr="007B192E" w14:paraId="545BB515" w14:textId="77777777" w:rsidTr="008F7A94">
        <w:trPr>
          <w:jc w:val="center"/>
        </w:trPr>
        <w:tc>
          <w:tcPr>
            <w:tcW w:w="5028" w:type="dxa"/>
          </w:tcPr>
          <w:p w14:paraId="2BC5B0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Jakość pyłów według PN-EN 933-9 [11]; kategoria nie wyższa niż:</w:t>
            </w:r>
          </w:p>
        </w:tc>
        <w:tc>
          <w:tcPr>
            <w:tcW w:w="4045" w:type="dxa"/>
            <w:vAlign w:val="center"/>
          </w:tcPr>
          <w:p w14:paraId="5A1E381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MB</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10</w:t>
            </w:r>
          </w:p>
        </w:tc>
      </w:tr>
      <w:tr w:rsidR="004D7D23" w:rsidRPr="007B192E" w14:paraId="651C830D" w14:textId="77777777" w:rsidTr="008F7A94">
        <w:trPr>
          <w:jc w:val="center"/>
        </w:trPr>
        <w:tc>
          <w:tcPr>
            <w:tcW w:w="5028" w:type="dxa"/>
          </w:tcPr>
          <w:p w14:paraId="5D3ECC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wody według PN-EN 1097-5 [16], nie wyższa niż:</w:t>
            </w:r>
          </w:p>
        </w:tc>
        <w:tc>
          <w:tcPr>
            <w:tcW w:w="4045" w:type="dxa"/>
            <w:vAlign w:val="center"/>
          </w:tcPr>
          <w:p w14:paraId="4D44D7E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1 % (m/m)</w:t>
            </w:r>
          </w:p>
        </w:tc>
      </w:tr>
      <w:tr w:rsidR="004D7D23" w:rsidRPr="007B192E" w14:paraId="394563A9" w14:textId="77777777" w:rsidTr="008F7A94">
        <w:trPr>
          <w:jc w:val="center"/>
        </w:trPr>
        <w:tc>
          <w:tcPr>
            <w:tcW w:w="5028" w:type="dxa"/>
          </w:tcPr>
          <w:p w14:paraId="11DC6F67"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Gęstość ziaren według PN-EN 1097-7 [18]</w:t>
            </w:r>
          </w:p>
        </w:tc>
        <w:tc>
          <w:tcPr>
            <w:tcW w:w="4045" w:type="dxa"/>
            <w:vAlign w:val="center"/>
          </w:tcPr>
          <w:p w14:paraId="50AA888D"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2A7F2C89" w14:textId="77777777" w:rsidTr="008F7A94">
        <w:trPr>
          <w:jc w:val="center"/>
        </w:trPr>
        <w:tc>
          <w:tcPr>
            <w:tcW w:w="5028" w:type="dxa"/>
          </w:tcPr>
          <w:p w14:paraId="360D2D7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Wolne przestrzenie w suchym zagęszczonym wypełniaczu według PN-EN 1097-4 [15], wymagana kategoria:</w:t>
            </w:r>
          </w:p>
        </w:tc>
        <w:tc>
          <w:tcPr>
            <w:tcW w:w="4045" w:type="dxa"/>
            <w:vAlign w:val="center"/>
          </w:tcPr>
          <w:p w14:paraId="3295739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V</w:t>
            </w:r>
            <w:r w:rsidRPr="007B192E">
              <w:rPr>
                <w:rFonts w:ascii="Arial" w:hAnsi="Arial" w:cs="Arial"/>
                <w:color w:val="000000" w:themeColor="text1"/>
                <w:sz w:val="18"/>
                <w:szCs w:val="18"/>
                <w:vertAlign w:val="subscript"/>
              </w:rPr>
              <w:t>28/45</w:t>
            </w:r>
          </w:p>
        </w:tc>
      </w:tr>
      <w:tr w:rsidR="004D7D23" w:rsidRPr="007B192E" w14:paraId="340CB632" w14:textId="77777777" w:rsidTr="008F7A94">
        <w:trPr>
          <w:jc w:val="center"/>
        </w:trPr>
        <w:tc>
          <w:tcPr>
            <w:tcW w:w="5028" w:type="dxa"/>
          </w:tcPr>
          <w:p w14:paraId="6BDC59B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Przyrost temperatury mięknienia według PN-EN 13179-1 [56], wymagana kategoria:</w:t>
            </w:r>
          </w:p>
        </w:tc>
        <w:tc>
          <w:tcPr>
            <w:tcW w:w="4045" w:type="dxa"/>
            <w:vAlign w:val="center"/>
          </w:tcPr>
          <w:p w14:paraId="7F6A821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sym w:font="Symbol" w:char="F044"/>
            </w:r>
            <w:r w:rsidRPr="007B192E">
              <w:rPr>
                <w:rFonts w:ascii="Arial" w:hAnsi="Arial" w:cs="Arial"/>
                <w:color w:val="000000" w:themeColor="text1"/>
                <w:sz w:val="18"/>
                <w:szCs w:val="18"/>
                <w:vertAlign w:val="subscript"/>
              </w:rPr>
              <w:t>R&amp;B</w:t>
            </w:r>
            <w:r w:rsidRPr="007B192E">
              <w:rPr>
                <w:rFonts w:ascii="Arial" w:hAnsi="Arial" w:cs="Arial"/>
                <w:color w:val="000000" w:themeColor="text1"/>
                <w:sz w:val="18"/>
                <w:szCs w:val="18"/>
              </w:rPr>
              <w:t>8/25</w:t>
            </w:r>
          </w:p>
        </w:tc>
      </w:tr>
      <w:tr w:rsidR="004D7D23" w:rsidRPr="007B192E" w14:paraId="093EA197" w14:textId="77777777" w:rsidTr="008F7A94">
        <w:trPr>
          <w:jc w:val="center"/>
        </w:trPr>
        <w:tc>
          <w:tcPr>
            <w:tcW w:w="5028" w:type="dxa"/>
          </w:tcPr>
          <w:p w14:paraId="66B664E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Rozpuszczalność w wodzie według PN-EN 1744-1 [23], kategoria nie wyższa niż:</w:t>
            </w:r>
          </w:p>
        </w:tc>
        <w:tc>
          <w:tcPr>
            <w:tcW w:w="4045" w:type="dxa"/>
            <w:vAlign w:val="center"/>
          </w:tcPr>
          <w:p w14:paraId="7E4A738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w:t>
            </w:r>
            <w:r w:rsidRPr="007B192E">
              <w:rPr>
                <w:rFonts w:ascii="Arial" w:hAnsi="Arial" w:cs="Arial"/>
                <w:color w:val="000000" w:themeColor="text1"/>
                <w:sz w:val="18"/>
                <w:szCs w:val="18"/>
                <w:vertAlign w:val="subscript"/>
              </w:rPr>
              <w:t>10</w:t>
            </w:r>
          </w:p>
        </w:tc>
      </w:tr>
      <w:tr w:rsidR="004D7D23" w:rsidRPr="007B192E" w14:paraId="5BD0C327" w14:textId="77777777" w:rsidTr="008F7A94">
        <w:trPr>
          <w:jc w:val="center"/>
        </w:trPr>
        <w:tc>
          <w:tcPr>
            <w:tcW w:w="5028" w:type="dxa"/>
          </w:tcPr>
          <w:p w14:paraId="42C9E37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CaCO</w:t>
            </w:r>
            <w:r w:rsidRPr="007B192E">
              <w:rPr>
                <w:rFonts w:ascii="Arial" w:hAnsi="Arial" w:cs="Arial"/>
                <w:color w:val="000000" w:themeColor="text1"/>
                <w:sz w:val="18"/>
                <w:szCs w:val="18"/>
                <w:vertAlign w:val="subscript"/>
              </w:rPr>
              <w:t>3</w:t>
            </w:r>
            <w:r w:rsidRPr="007B192E">
              <w:rPr>
                <w:rFonts w:ascii="Arial" w:hAnsi="Arial" w:cs="Arial"/>
                <w:color w:val="000000" w:themeColor="text1"/>
                <w:sz w:val="18"/>
                <w:szCs w:val="18"/>
              </w:rPr>
              <w:t xml:space="preserve"> w wypełniaczu wapiennym według PN-EN 196-2 [3], kategoria nie niższa niż:</w:t>
            </w:r>
          </w:p>
        </w:tc>
        <w:tc>
          <w:tcPr>
            <w:tcW w:w="4045" w:type="dxa"/>
            <w:vAlign w:val="center"/>
          </w:tcPr>
          <w:p w14:paraId="56281C4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CC</w:t>
            </w:r>
            <w:r w:rsidRPr="007B192E">
              <w:rPr>
                <w:rFonts w:ascii="Arial" w:hAnsi="Arial" w:cs="Arial"/>
                <w:color w:val="000000" w:themeColor="text1"/>
                <w:sz w:val="18"/>
                <w:szCs w:val="18"/>
                <w:vertAlign w:val="subscript"/>
              </w:rPr>
              <w:t>70</w:t>
            </w:r>
          </w:p>
        </w:tc>
      </w:tr>
      <w:tr w:rsidR="004D7D23" w:rsidRPr="007B192E" w14:paraId="355E6C21" w14:textId="77777777" w:rsidTr="008F7A94">
        <w:trPr>
          <w:jc w:val="center"/>
        </w:trPr>
        <w:tc>
          <w:tcPr>
            <w:tcW w:w="5028" w:type="dxa"/>
          </w:tcPr>
          <w:p w14:paraId="72DB8B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wodorotlenku wapnia w wypełniaczu mieszanym wg PN-EN 459-2 [4], wymagana kategoria:</w:t>
            </w:r>
          </w:p>
        </w:tc>
        <w:tc>
          <w:tcPr>
            <w:tcW w:w="4045" w:type="dxa"/>
            <w:vAlign w:val="center"/>
          </w:tcPr>
          <w:p w14:paraId="6B7CFF63" w14:textId="77777777" w:rsidR="00F45500" w:rsidRPr="007B192E" w:rsidRDefault="00F45500" w:rsidP="008F7A94">
            <w:pPr>
              <w:jc w:val="center"/>
              <w:rPr>
                <w:rFonts w:ascii="Arial" w:hAnsi="Arial" w:cs="Arial"/>
                <w:color w:val="000000" w:themeColor="text1"/>
                <w:sz w:val="18"/>
                <w:szCs w:val="18"/>
              </w:rPr>
            </w:pPr>
            <w:proofErr w:type="spellStart"/>
            <w:r w:rsidRPr="007B192E">
              <w:rPr>
                <w:rFonts w:ascii="Arial" w:hAnsi="Arial" w:cs="Arial"/>
                <w:color w:val="000000" w:themeColor="text1"/>
                <w:sz w:val="18"/>
                <w:szCs w:val="18"/>
              </w:rPr>
              <w:t>K</w:t>
            </w:r>
            <w:r w:rsidRPr="007B192E">
              <w:rPr>
                <w:rFonts w:ascii="Arial" w:hAnsi="Arial" w:cs="Arial"/>
                <w:color w:val="000000" w:themeColor="text1"/>
                <w:sz w:val="18"/>
                <w:szCs w:val="18"/>
                <w:vertAlign w:val="subscript"/>
              </w:rPr>
              <w:t>a</w:t>
            </w:r>
            <w:r w:rsidRPr="007B192E">
              <w:rPr>
                <w:rFonts w:ascii="Arial" w:hAnsi="Arial" w:cs="Arial"/>
                <w:color w:val="000000" w:themeColor="text1"/>
                <w:sz w:val="18"/>
                <w:szCs w:val="18"/>
              </w:rPr>
              <w:t>Deklarowana</w:t>
            </w:r>
            <w:proofErr w:type="spellEnd"/>
          </w:p>
        </w:tc>
      </w:tr>
      <w:tr w:rsidR="004D7D23" w:rsidRPr="007B192E" w14:paraId="4288180D" w14:textId="77777777" w:rsidTr="008F7A94">
        <w:trPr>
          <w:jc w:val="center"/>
        </w:trPr>
        <w:tc>
          <w:tcPr>
            <w:tcW w:w="5028" w:type="dxa"/>
          </w:tcPr>
          <w:p w14:paraId="02670EE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„Liczba asfaltowa” według PN-EN 13179-2 [57], wymagana kategoria:</w:t>
            </w:r>
          </w:p>
        </w:tc>
        <w:tc>
          <w:tcPr>
            <w:tcW w:w="4045" w:type="dxa"/>
            <w:vAlign w:val="center"/>
          </w:tcPr>
          <w:p w14:paraId="46B25588" w14:textId="77777777" w:rsidR="00F45500" w:rsidRPr="007B192E" w:rsidRDefault="00F45500" w:rsidP="008F7A94">
            <w:pPr>
              <w:jc w:val="center"/>
              <w:rPr>
                <w:rFonts w:ascii="Arial" w:hAnsi="Arial" w:cs="Arial"/>
                <w:color w:val="000000" w:themeColor="text1"/>
                <w:sz w:val="18"/>
                <w:szCs w:val="18"/>
              </w:rPr>
            </w:pPr>
            <w:proofErr w:type="spellStart"/>
            <w:r w:rsidRPr="007B192E">
              <w:rPr>
                <w:rFonts w:ascii="Arial" w:hAnsi="Arial" w:cs="Arial"/>
                <w:color w:val="000000" w:themeColor="text1"/>
                <w:sz w:val="18"/>
                <w:szCs w:val="18"/>
              </w:rPr>
              <w:t>BN</w:t>
            </w:r>
            <w:r w:rsidRPr="007B192E">
              <w:rPr>
                <w:rFonts w:ascii="Arial" w:hAnsi="Arial" w:cs="Arial"/>
                <w:color w:val="000000" w:themeColor="text1"/>
                <w:sz w:val="18"/>
                <w:szCs w:val="18"/>
                <w:vertAlign w:val="subscript"/>
              </w:rPr>
              <w:t>Deklarowana</w:t>
            </w:r>
            <w:proofErr w:type="spellEnd"/>
          </w:p>
        </w:tc>
      </w:tr>
    </w:tbl>
    <w:p w14:paraId="7A0F8CCD" w14:textId="77777777" w:rsidR="00F45500" w:rsidRPr="007B192E" w:rsidRDefault="00F45500" w:rsidP="00F45500">
      <w:pPr>
        <w:ind w:left="426" w:hanging="426"/>
        <w:jc w:val="both"/>
        <w:rPr>
          <w:rFonts w:ascii="Arial" w:hAnsi="Arial" w:cs="Arial"/>
          <w:color w:val="000000" w:themeColor="text1"/>
          <w:sz w:val="18"/>
          <w:szCs w:val="18"/>
        </w:rPr>
      </w:pPr>
      <w:r w:rsidRPr="007B192E">
        <w:rPr>
          <w:rFonts w:ascii="Arial" w:hAnsi="Arial" w:cs="Arial"/>
          <w:color w:val="000000" w:themeColor="text1"/>
          <w:sz w:val="18"/>
          <w:szCs w:val="18"/>
        </w:rPr>
        <w:t>*)</w:t>
      </w:r>
      <w:r w:rsidRPr="007B192E">
        <w:rPr>
          <w:rFonts w:ascii="Arial" w:hAnsi="Arial" w:cs="Arial"/>
          <w:color w:val="000000" w:themeColor="text1"/>
          <w:sz w:val="18"/>
          <w:szCs w:val="18"/>
        </w:rPr>
        <w:tab/>
        <w:t>Można stosować pyły z odpylania, pod warunkiem spełniania wymagań jak dla wypełniacza zgodnie z pkt.5 PN-EN 13043 [50]. Proporcja pyłów i wypełniacza wapiennego powinna być tak dobrana, aby kategoria zawartości CaCO</w:t>
      </w:r>
      <w:r w:rsidRPr="007B192E">
        <w:rPr>
          <w:rFonts w:ascii="Arial" w:hAnsi="Arial" w:cs="Arial"/>
          <w:color w:val="000000" w:themeColor="text1"/>
          <w:sz w:val="18"/>
          <w:szCs w:val="18"/>
          <w:vertAlign w:val="subscript"/>
        </w:rPr>
        <w:t>3</w:t>
      </w:r>
      <w:r w:rsidRPr="007B192E">
        <w:rPr>
          <w:rFonts w:ascii="Arial" w:hAnsi="Arial" w:cs="Arial"/>
          <w:color w:val="000000" w:themeColor="text1"/>
          <w:sz w:val="18"/>
          <w:szCs w:val="18"/>
        </w:rPr>
        <w:t xml:space="preserve"> w mieszance pyłów i wypełniacza wapiennego była nie niższa niż CC</w:t>
      </w:r>
      <w:r w:rsidRPr="007B192E">
        <w:rPr>
          <w:rFonts w:ascii="Arial" w:hAnsi="Arial" w:cs="Arial"/>
          <w:color w:val="000000" w:themeColor="text1"/>
          <w:sz w:val="18"/>
          <w:szCs w:val="18"/>
          <w:vertAlign w:val="subscript"/>
        </w:rPr>
        <w:t>70</w:t>
      </w:r>
      <w:r w:rsidRPr="007B192E">
        <w:rPr>
          <w:rFonts w:ascii="Arial" w:hAnsi="Arial" w:cs="Arial"/>
          <w:color w:val="000000" w:themeColor="text1"/>
          <w:sz w:val="18"/>
          <w:szCs w:val="18"/>
        </w:rPr>
        <w:t xml:space="preserve">. </w:t>
      </w:r>
    </w:p>
    <w:p w14:paraId="41998BC2" w14:textId="77777777" w:rsidR="00F45500" w:rsidRPr="007B192E" w:rsidRDefault="00F45500" w:rsidP="00F45500">
      <w:pPr>
        <w:jc w:val="both"/>
        <w:rPr>
          <w:rFonts w:ascii="Arial" w:hAnsi="Arial" w:cs="Arial"/>
          <w:color w:val="000000" w:themeColor="text1"/>
          <w:sz w:val="18"/>
          <w:szCs w:val="18"/>
        </w:rPr>
      </w:pPr>
    </w:p>
    <w:p w14:paraId="3A9371E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4585C8B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2.5. Środek adhezyjny</w:t>
      </w:r>
    </w:p>
    <w:p w14:paraId="387202D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celu poprawy powinowactwa fizykochemicznego lepiszcza asfaltowego i kruszywa, gwarantującego odpowiednią przyczepność (adhezję) lepiszcza do kruszywa i odporność mieszanki mineralno-asfaltowej na działanie wody, można zastosować środek adhezyjny, tak aby dla konkretnej pary kruszywo-lepiszcze wartość przyczepności określona według PN-EN 12697-11 [38], metoda C wynosiła co najmniej 80%.</w:t>
      </w:r>
    </w:p>
    <w:p w14:paraId="08E42E0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Środek adhezyjny powinien odpowiadać wymaganiom określonym przez producenta.</w:t>
      </w:r>
    </w:p>
    <w:p w14:paraId="34C68B4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Składowanie środka adhezyjnego jest dozwolone tylko w oryginalnych opakowaniach, w warunkach określonych przez producenta.</w:t>
      </w:r>
    </w:p>
    <w:p w14:paraId="3FDACAC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2.6. Granulat asfaltowy</w:t>
      </w:r>
    </w:p>
    <w:p w14:paraId="47A160BF"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2.6.1.</w:t>
      </w:r>
      <w:r w:rsidRPr="007B192E">
        <w:rPr>
          <w:rFonts w:ascii="Arial" w:hAnsi="Arial" w:cs="Arial"/>
          <w:color w:val="000000" w:themeColor="text1"/>
          <w:sz w:val="18"/>
          <w:szCs w:val="18"/>
        </w:rPr>
        <w:t xml:space="preserve"> Właściwości granulatu asfaltowego </w:t>
      </w:r>
    </w:p>
    <w:p w14:paraId="15096B4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Granulat asfaltowy powinien spełniać wymagania podane w tablicy 11.</w:t>
      </w:r>
    </w:p>
    <w:p w14:paraId="25659894"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11. Wymagania dotyczące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28"/>
        <w:gridCol w:w="741"/>
        <w:gridCol w:w="5499"/>
      </w:tblGrid>
      <w:tr w:rsidR="004D7D23" w:rsidRPr="007B192E" w14:paraId="01873CFB" w14:textId="77777777" w:rsidTr="008F7A94">
        <w:trPr>
          <w:jc w:val="center"/>
        </w:trPr>
        <w:tc>
          <w:tcPr>
            <w:tcW w:w="3369" w:type="dxa"/>
            <w:gridSpan w:val="2"/>
          </w:tcPr>
          <w:p w14:paraId="459B1D1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w:t>
            </w:r>
          </w:p>
        </w:tc>
        <w:tc>
          <w:tcPr>
            <w:tcW w:w="5499" w:type="dxa"/>
          </w:tcPr>
          <w:p w14:paraId="6AB6CA9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Podbudowa </w:t>
            </w:r>
          </w:p>
        </w:tc>
      </w:tr>
      <w:tr w:rsidR="004D7D23" w:rsidRPr="007B192E" w14:paraId="06FF3B19" w14:textId="77777777" w:rsidTr="008F7A94">
        <w:trPr>
          <w:jc w:val="center"/>
        </w:trPr>
        <w:tc>
          <w:tcPr>
            <w:tcW w:w="3369" w:type="dxa"/>
            <w:gridSpan w:val="2"/>
          </w:tcPr>
          <w:p w14:paraId="3C3B24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minerałów obcych</w:t>
            </w:r>
          </w:p>
        </w:tc>
        <w:tc>
          <w:tcPr>
            <w:tcW w:w="5499" w:type="dxa"/>
          </w:tcPr>
          <w:p w14:paraId="43E6C423"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Kategoria FM</w:t>
            </w:r>
            <w:r w:rsidRPr="007B192E">
              <w:rPr>
                <w:rFonts w:ascii="Arial" w:hAnsi="Arial" w:cs="Arial"/>
                <w:color w:val="000000" w:themeColor="text1"/>
                <w:sz w:val="18"/>
                <w:szCs w:val="18"/>
                <w:vertAlign w:val="subscript"/>
              </w:rPr>
              <w:t>1/01</w:t>
            </w:r>
          </w:p>
        </w:tc>
      </w:tr>
      <w:tr w:rsidR="004D7D23" w:rsidRPr="007B192E" w14:paraId="055F3745" w14:textId="77777777" w:rsidTr="008F7A94">
        <w:trPr>
          <w:jc w:val="center"/>
        </w:trPr>
        <w:tc>
          <w:tcPr>
            <w:tcW w:w="2628" w:type="dxa"/>
            <w:vMerge w:val="restart"/>
          </w:tcPr>
          <w:p w14:paraId="088AF365" w14:textId="77777777" w:rsidR="00F45500" w:rsidRPr="007B192E" w:rsidRDefault="00F45500" w:rsidP="008F7A94">
            <w:pPr>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 xml:space="preserve">Właściwości lepiszcza odzyskanego w granulacie </w:t>
            </w:r>
            <w:proofErr w:type="spellStart"/>
            <w:r w:rsidRPr="007B192E">
              <w:rPr>
                <w:rFonts w:ascii="Arial" w:hAnsi="Arial" w:cs="Arial"/>
                <w:color w:val="000000" w:themeColor="text1"/>
                <w:sz w:val="18"/>
                <w:szCs w:val="18"/>
              </w:rPr>
              <w:t>asfaltowym</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vertAlign w:val="superscript"/>
              </w:rPr>
              <w:t>)</w:t>
            </w:r>
          </w:p>
        </w:tc>
        <w:tc>
          <w:tcPr>
            <w:tcW w:w="741" w:type="dxa"/>
          </w:tcPr>
          <w:p w14:paraId="55A81DD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PIK</w:t>
            </w:r>
          </w:p>
        </w:tc>
        <w:tc>
          <w:tcPr>
            <w:tcW w:w="5499" w:type="dxa"/>
          </w:tcPr>
          <w:p w14:paraId="2D8DAB21"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Kategoria S</w:t>
            </w:r>
            <w:r w:rsidRPr="007B192E">
              <w:rPr>
                <w:rFonts w:ascii="Arial" w:hAnsi="Arial" w:cs="Arial"/>
                <w:color w:val="000000" w:themeColor="text1"/>
                <w:sz w:val="18"/>
                <w:szCs w:val="18"/>
                <w:vertAlign w:val="subscript"/>
              </w:rPr>
              <w:t>70</w:t>
            </w:r>
          </w:p>
          <w:p w14:paraId="2EEAEB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Wartość średnia temperatury mięknienia nie może być wyższa niż 70°C. Pojedyncze wartości temperatury mięknienia nie mogą przekraczać 77°C</w:t>
            </w:r>
          </w:p>
        </w:tc>
      </w:tr>
      <w:tr w:rsidR="004D7D23" w:rsidRPr="007B192E" w14:paraId="599878A5" w14:textId="77777777" w:rsidTr="008F7A94">
        <w:trPr>
          <w:jc w:val="center"/>
        </w:trPr>
        <w:tc>
          <w:tcPr>
            <w:tcW w:w="2628" w:type="dxa"/>
            <w:vMerge/>
          </w:tcPr>
          <w:p w14:paraId="30D7FE20" w14:textId="77777777" w:rsidR="00F45500" w:rsidRPr="007B192E" w:rsidRDefault="00F45500" w:rsidP="008F7A94">
            <w:pPr>
              <w:jc w:val="both"/>
              <w:rPr>
                <w:rFonts w:ascii="Arial" w:hAnsi="Arial" w:cs="Arial"/>
                <w:color w:val="000000" w:themeColor="text1"/>
                <w:sz w:val="18"/>
                <w:szCs w:val="18"/>
              </w:rPr>
            </w:pPr>
          </w:p>
        </w:tc>
        <w:tc>
          <w:tcPr>
            <w:tcW w:w="741" w:type="dxa"/>
          </w:tcPr>
          <w:p w14:paraId="693CE3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Pen.</w:t>
            </w:r>
          </w:p>
        </w:tc>
        <w:tc>
          <w:tcPr>
            <w:tcW w:w="5499" w:type="dxa"/>
          </w:tcPr>
          <w:p w14:paraId="600292D5" w14:textId="77777777" w:rsidR="00F45500" w:rsidRPr="007B192E" w:rsidRDefault="00F45500" w:rsidP="008F7A94">
            <w:pPr>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Kategoria P</w:t>
            </w:r>
            <w:r w:rsidRPr="007B192E">
              <w:rPr>
                <w:rFonts w:ascii="Arial" w:hAnsi="Arial" w:cs="Arial"/>
                <w:color w:val="000000" w:themeColor="text1"/>
                <w:sz w:val="18"/>
                <w:szCs w:val="18"/>
                <w:vertAlign w:val="subscript"/>
              </w:rPr>
              <w:t>15</w:t>
            </w:r>
          </w:p>
          <w:p w14:paraId="5DC7EB3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Wartość średnia nie może być mniejsza niż 15×0,1 mm. Pojedyncze wartości penetracji nie mogą być mniejsze niż 10x0,1 mm</w:t>
            </w:r>
          </w:p>
        </w:tc>
      </w:tr>
      <w:tr w:rsidR="004D7D23" w:rsidRPr="007B192E" w14:paraId="06CEA76D" w14:textId="77777777" w:rsidTr="008F7A94">
        <w:trPr>
          <w:jc w:val="center"/>
        </w:trPr>
        <w:tc>
          <w:tcPr>
            <w:tcW w:w="3369" w:type="dxa"/>
            <w:gridSpan w:val="2"/>
          </w:tcPr>
          <w:p w14:paraId="49594AF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Jednorodność</w:t>
            </w:r>
          </w:p>
        </w:tc>
        <w:tc>
          <w:tcPr>
            <w:tcW w:w="5499" w:type="dxa"/>
          </w:tcPr>
          <w:p w14:paraId="019D338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Wg tablicy 13</w:t>
            </w:r>
          </w:p>
        </w:tc>
      </w:tr>
      <w:tr w:rsidR="004D7D23" w:rsidRPr="007B192E" w14:paraId="451C89FC" w14:textId="77777777" w:rsidTr="008F7A94">
        <w:trPr>
          <w:jc w:val="center"/>
        </w:trPr>
        <w:tc>
          <w:tcPr>
            <w:tcW w:w="8868" w:type="dxa"/>
            <w:gridSpan w:val="3"/>
          </w:tcPr>
          <w:p w14:paraId="40F9AADC" w14:textId="77777777" w:rsidR="00F45500" w:rsidRPr="007B192E" w:rsidRDefault="00F45500" w:rsidP="008F7A94">
            <w:pPr>
              <w:ind w:left="227" w:hanging="227"/>
              <w:jc w:val="both"/>
              <w:rPr>
                <w:rFonts w:ascii="Arial" w:hAnsi="Arial" w:cs="Arial"/>
                <w:color w:val="000000" w:themeColor="text1"/>
                <w:sz w:val="18"/>
                <w:szCs w:val="18"/>
              </w:rPr>
            </w:pPr>
            <w:r w:rsidRPr="007B192E">
              <w:rPr>
                <w:rFonts w:ascii="Arial" w:hAnsi="Arial" w:cs="Arial"/>
                <w:color w:val="000000" w:themeColor="text1"/>
                <w:sz w:val="18"/>
                <w:szCs w:val="18"/>
              </w:rPr>
              <w:t xml:space="preserve">a) do sklasyfikowania lepiszcza odzyskanego w granulacie asfaltowym wystarcza oznaczenie temperatury mięknienia </w:t>
            </w:r>
            <w:proofErr w:type="spellStart"/>
            <w:r w:rsidRPr="007B192E">
              <w:rPr>
                <w:rFonts w:ascii="Arial" w:hAnsi="Arial" w:cs="Arial"/>
                <w:color w:val="000000" w:themeColor="text1"/>
                <w:sz w:val="18"/>
                <w:szCs w:val="18"/>
              </w:rPr>
              <w:t>PiK</w:t>
            </w:r>
            <w:proofErr w:type="spellEnd"/>
            <w:r w:rsidRPr="007B192E">
              <w:rPr>
                <w:rFonts w:ascii="Arial" w:hAnsi="Arial" w:cs="Arial"/>
                <w:color w:val="000000" w:themeColor="text1"/>
                <w:sz w:val="18"/>
                <w:szCs w:val="18"/>
              </w:rPr>
              <w:t xml:space="preserve">. Tylko w szczególnych przypadkach należy wykonać oznaczenie penetracji. Oceny właściwości lepiszcza należy dokonać 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4.2.2. normy PN-EN 13108-8 [53]</w:t>
            </w:r>
          </w:p>
        </w:tc>
      </w:tr>
    </w:tbl>
    <w:p w14:paraId="72E6526C"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Zawartość materiałów obcych w granulacie asfaltowym, oznaczona wg PN-EN 12697-42 [48],  powinna spełniać wymagania podane w tablicy 12. </w:t>
      </w:r>
    </w:p>
    <w:p w14:paraId="08F4FD30"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12. Zawartość materiałów obcych w granulacie asfaltowym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504"/>
        <w:gridCol w:w="2504"/>
      </w:tblGrid>
      <w:tr w:rsidR="004D7D23" w:rsidRPr="007B192E" w14:paraId="5053AED1" w14:textId="77777777" w:rsidTr="008F7A94">
        <w:trPr>
          <w:jc w:val="center"/>
        </w:trPr>
        <w:tc>
          <w:tcPr>
            <w:tcW w:w="5007" w:type="dxa"/>
            <w:gridSpan w:val="2"/>
          </w:tcPr>
          <w:p w14:paraId="39A1C8F8" w14:textId="77777777" w:rsidR="00F45500" w:rsidRPr="007B192E" w:rsidRDefault="00F45500" w:rsidP="008F7A94">
            <w:pPr>
              <w:spacing w:before="60" w:after="60"/>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 xml:space="preserve">Materiały </w:t>
            </w:r>
            <w:proofErr w:type="spellStart"/>
            <w:r w:rsidRPr="007B192E">
              <w:rPr>
                <w:rFonts w:ascii="Arial" w:hAnsi="Arial" w:cs="Arial"/>
                <w:color w:val="000000" w:themeColor="text1"/>
                <w:sz w:val="18"/>
                <w:szCs w:val="18"/>
              </w:rPr>
              <w:t>obce</w:t>
            </w:r>
            <w:r w:rsidRPr="007B192E">
              <w:rPr>
                <w:rFonts w:ascii="Arial" w:hAnsi="Arial" w:cs="Arial"/>
                <w:color w:val="000000" w:themeColor="text1"/>
                <w:sz w:val="18"/>
                <w:szCs w:val="18"/>
                <w:vertAlign w:val="superscript"/>
              </w:rPr>
              <w:t>a</w:t>
            </w:r>
            <w:proofErr w:type="spellEnd"/>
            <w:r w:rsidRPr="007B192E">
              <w:rPr>
                <w:rFonts w:ascii="Arial" w:hAnsi="Arial" w:cs="Arial"/>
                <w:color w:val="000000" w:themeColor="text1"/>
                <w:sz w:val="18"/>
                <w:szCs w:val="18"/>
                <w:vertAlign w:val="superscript"/>
              </w:rPr>
              <w:t>)</w:t>
            </w:r>
          </w:p>
        </w:tc>
        <w:tc>
          <w:tcPr>
            <w:tcW w:w="2504" w:type="dxa"/>
          </w:tcPr>
          <w:p w14:paraId="0EA7A438"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Kategoria</w:t>
            </w:r>
          </w:p>
        </w:tc>
      </w:tr>
      <w:tr w:rsidR="004D7D23" w:rsidRPr="007B192E" w14:paraId="56F17615" w14:textId="77777777" w:rsidTr="008F7A94">
        <w:trPr>
          <w:jc w:val="center"/>
        </w:trPr>
        <w:tc>
          <w:tcPr>
            <w:tcW w:w="2503" w:type="dxa"/>
          </w:tcPr>
          <w:p w14:paraId="356663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Grupa 1</w:t>
            </w:r>
          </w:p>
          <w:p w14:paraId="340F0A6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[%(m/m)]</w:t>
            </w:r>
          </w:p>
        </w:tc>
        <w:tc>
          <w:tcPr>
            <w:tcW w:w="2504" w:type="dxa"/>
          </w:tcPr>
          <w:p w14:paraId="400E2ED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Grupa 2</w:t>
            </w:r>
          </w:p>
          <w:p w14:paraId="7B26B9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[%(m/m)]</w:t>
            </w:r>
          </w:p>
        </w:tc>
        <w:tc>
          <w:tcPr>
            <w:tcW w:w="2504" w:type="dxa"/>
          </w:tcPr>
          <w:p w14:paraId="17B6B2AE"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PM</w:t>
            </w:r>
          </w:p>
        </w:tc>
      </w:tr>
      <w:tr w:rsidR="004D7D23" w:rsidRPr="007B192E" w14:paraId="0B04B0F5" w14:textId="77777777" w:rsidTr="008F7A94">
        <w:trPr>
          <w:jc w:val="center"/>
        </w:trPr>
        <w:tc>
          <w:tcPr>
            <w:tcW w:w="2503" w:type="dxa"/>
          </w:tcPr>
          <w:p w14:paraId="084BD84D"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&lt;1</w:t>
            </w:r>
          </w:p>
        </w:tc>
        <w:tc>
          <w:tcPr>
            <w:tcW w:w="2504" w:type="dxa"/>
          </w:tcPr>
          <w:p w14:paraId="60B5BF30"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&lt;0,1</w:t>
            </w:r>
          </w:p>
        </w:tc>
        <w:tc>
          <w:tcPr>
            <w:tcW w:w="2504" w:type="dxa"/>
          </w:tcPr>
          <w:p w14:paraId="37747DA3"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PM</w:t>
            </w:r>
            <w:r w:rsidRPr="007B192E">
              <w:rPr>
                <w:rFonts w:ascii="Arial" w:hAnsi="Arial" w:cs="Arial"/>
                <w:color w:val="000000" w:themeColor="text1"/>
                <w:sz w:val="18"/>
                <w:szCs w:val="18"/>
                <w:vertAlign w:val="subscript"/>
              </w:rPr>
              <w:t>1/0,1</w:t>
            </w:r>
          </w:p>
        </w:tc>
      </w:tr>
      <w:tr w:rsidR="004D7D23" w:rsidRPr="007B192E" w14:paraId="2A47C48F" w14:textId="77777777" w:rsidTr="008F7A94">
        <w:trPr>
          <w:jc w:val="center"/>
        </w:trPr>
        <w:tc>
          <w:tcPr>
            <w:tcW w:w="2503" w:type="dxa"/>
          </w:tcPr>
          <w:p w14:paraId="4E055935"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&lt;5</w:t>
            </w:r>
          </w:p>
        </w:tc>
        <w:tc>
          <w:tcPr>
            <w:tcW w:w="2504" w:type="dxa"/>
          </w:tcPr>
          <w:p w14:paraId="3E3C148E"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&lt;0,1</w:t>
            </w:r>
          </w:p>
        </w:tc>
        <w:tc>
          <w:tcPr>
            <w:tcW w:w="2504" w:type="dxa"/>
          </w:tcPr>
          <w:p w14:paraId="21ED5E4F" w14:textId="77777777" w:rsidR="00F45500" w:rsidRPr="007B192E" w:rsidRDefault="00F45500" w:rsidP="008F7A94">
            <w:pPr>
              <w:spacing w:before="60" w:after="60"/>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PM</w:t>
            </w:r>
            <w:r w:rsidRPr="007B192E">
              <w:rPr>
                <w:rFonts w:ascii="Arial" w:hAnsi="Arial" w:cs="Arial"/>
                <w:color w:val="000000" w:themeColor="text1"/>
                <w:sz w:val="18"/>
                <w:szCs w:val="18"/>
                <w:vertAlign w:val="subscript"/>
              </w:rPr>
              <w:t>5/0,1</w:t>
            </w:r>
          </w:p>
        </w:tc>
      </w:tr>
      <w:tr w:rsidR="004D7D23" w:rsidRPr="007B192E" w14:paraId="5BC212CD" w14:textId="77777777" w:rsidTr="008F7A94">
        <w:trPr>
          <w:jc w:val="center"/>
        </w:trPr>
        <w:tc>
          <w:tcPr>
            <w:tcW w:w="2503" w:type="dxa"/>
          </w:tcPr>
          <w:p w14:paraId="1E4C5CD8"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&gt;5</w:t>
            </w:r>
          </w:p>
        </w:tc>
        <w:tc>
          <w:tcPr>
            <w:tcW w:w="2504" w:type="dxa"/>
          </w:tcPr>
          <w:p w14:paraId="72929B77"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&gt;0,1</w:t>
            </w:r>
          </w:p>
        </w:tc>
        <w:tc>
          <w:tcPr>
            <w:tcW w:w="2504" w:type="dxa"/>
          </w:tcPr>
          <w:p w14:paraId="7D630BA1" w14:textId="77777777" w:rsidR="00F45500" w:rsidRPr="007B192E" w:rsidRDefault="00F45500" w:rsidP="008F7A94">
            <w:pPr>
              <w:spacing w:before="60" w:after="60"/>
              <w:jc w:val="both"/>
              <w:rPr>
                <w:rFonts w:ascii="Arial" w:hAnsi="Arial" w:cs="Arial"/>
                <w:color w:val="000000" w:themeColor="text1"/>
                <w:sz w:val="18"/>
                <w:szCs w:val="18"/>
                <w:vertAlign w:val="subscript"/>
              </w:rPr>
            </w:pPr>
            <w:proofErr w:type="spellStart"/>
            <w:r w:rsidRPr="007B192E">
              <w:rPr>
                <w:rFonts w:ascii="Arial" w:hAnsi="Arial" w:cs="Arial"/>
                <w:color w:val="000000" w:themeColor="text1"/>
                <w:sz w:val="18"/>
                <w:szCs w:val="18"/>
              </w:rPr>
              <w:t>PM</w:t>
            </w:r>
            <w:r w:rsidRPr="007B192E">
              <w:rPr>
                <w:rFonts w:ascii="Arial" w:hAnsi="Arial" w:cs="Arial"/>
                <w:color w:val="000000" w:themeColor="text1"/>
                <w:sz w:val="18"/>
                <w:szCs w:val="18"/>
                <w:vertAlign w:val="subscript"/>
              </w:rPr>
              <w:t>dec</w:t>
            </w:r>
            <w:proofErr w:type="spellEnd"/>
          </w:p>
        </w:tc>
      </w:tr>
      <w:tr w:rsidR="00F45500" w:rsidRPr="007B192E" w14:paraId="3567D686" w14:textId="77777777" w:rsidTr="008F7A94">
        <w:trPr>
          <w:jc w:val="center"/>
        </w:trPr>
        <w:tc>
          <w:tcPr>
            <w:tcW w:w="7511" w:type="dxa"/>
            <w:gridSpan w:val="3"/>
          </w:tcPr>
          <w:p w14:paraId="3F58314B"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 materiały obce grupy 1 i 2 zgodnie z pkt.4.1. normy PN-EN 13108-8[53]</w:t>
            </w:r>
          </w:p>
        </w:tc>
      </w:tr>
    </w:tbl>
    <w:p w14:paraId="6B9DA912" w14:textId="77777777" w:rsidR="00F45500" w:rsidRPr="007B192E" w:rsidRDefault="00F45500" w:rsidP="00F45500">
      <w:pPr>
        <w:jc w:val="both"/>
        <w:rPr>
          <w:rFonts w:ascii="Arial" w:hAnsi="Arial" w:cs="Arial"/>
          <w:color w:val="000000" w:themeColor="text1"/>
          <w:sz w:val="18"/>
          <w:szCs w:val="18"/>
        </w:rPr>
      </w:pPr>
    </w:p>
    <w:p w14:paraId="1A6C01F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Wymiar D kruszywa zawartego w granulacie asfaltowym nie może być większy od wymiaru D mieszanki mineralnej wchodzącej w skład mieszanki mineralno-asfaltowej. </w:t>
      </w:r>
    </w:p>
    <w:p w14:paraId="3C932B5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obliczania temperatury mięknienia mieszaniny lepiszcza z granulatu asfaltowego i dodanego asfaltu należy, zgodnie z PN-EN 13108-1[51], załącznik a,             pkt A.3,  stosować następujące równanie:</w:t>
      </w:r>
    </w:p>
    <w:p w14:paraId="74F218DE" w14:textId="77777777" w:rsidR="00F45500" w:rsidRPr="007B192E" w:rsidRDefault="00F45500" w:rsidP="00F45500">
      <w:pPr>
        <w:jc w:val="both"/>
        <w:rPr>
          <w:rFonts w:ascii="Arial" w:hAnsi="Arial" w:cs="Arial"/>
          <w:color w:val="000000" w:themeColor="text1"/>
          <w:sz w:val="18"/>
          <w:szCs w:val="18"/>
          <w:vertAlign w:val="subscript"/>
        </w:rPr>
      </w:pPr>
      <w:proofErr w:type="spellStart"/>
      <w:r w:rsidRPr="007B192E">
        <w:rPr>
          <w:rFonts w:ascii="Arial" w:hAnsi="Arial" w:cs="Arial"/>
          <w:color w:val="000000" w:themeColor="text1"/>
          <w:sz w:val="18"/>
          <w:szCs w:val="18"/>
        </w:rPr>
        <w:t>T</w:t>
      </w:r>
      <w:r w:rsidRPr="007B192E">
        <w:rPr>
          <w:rFonts w:ascii="Arial" w:hAnsi="Arial" w:cs="Arial"/>
          <w:color w:val="000000" w:themeColor="text1"/>
          <w:sz w:val="18"/>
          <w:szCs w:val="18"/>
          <w:vertAlign w:val="subscript"/>
        </w:rPr>
        <w:t>PiKmix</w:t>
      </w:r>
      <w:proofErr w:type="spellEnd"/>
      <w:r w:rsidRPr="007B192E">
        <w:rPr>
          <w:rFonts w:ascii="Arial" w:hAnsi="Arial" w:cs="Arial"/>
          <w:color w:val="000000" w:themeColor="text1"/>
          <w:sz w:val="18"/>
          <w:szCs w:val="18"/>
          <w:vertAlign w:val="subscript"/>
        </w:rPr>
        <w:t xml:space="preserve"> </w:t>
      </w:r>
      <w:r w:rsidRPr="007B192E">
        <w:rPr>
          <w:rFonts w:ascii="Arial" w:hAnsi="Arial" w:cs="Arial"/>
          <w:color w:val="000000" w:themeColor="text1"/>
          <w:sz w:val="18"/>
          <w:szCs w:val="18"/>
        </w:rPr>
        <w:t>= α · T</w:t>
      </w:r>
      <w:r w:rsidRPr="007B192E">
        <w:rPr>
          <w:rFonts w:ascii="Arial" w:hAnsi="Arial" w:cs="Arial"/>
          <w:color w:val="000000" w:themeColor="text1"/>
          <w:sz w:val="18"/>
          <w:szCs w:val="18"/>
          <w:vertAlign w:val="subscript"/>
        </w:rPr>
        <w:t xml:space="preserve">PiK1 </w:t>
      </w:r>
      <w:r w:rsidRPr="007B192E">
        <w:rPr>
          <w:rFonts w:ascii="Arial" w:hAnsi="Arial" w:cs="Arial"/>
          <w:color w:val="000000" w:themeColor="text1"/>
          <w:sz w:val="18"/>
          <w:szCs w:val="18"/>
        </w:rPr>
        <w:t>+b · T</w:t>
      </w:r>
      <w:r w:rsidRPr="007B192E">
        <w:rPr>
          <w:rFonts w:ascii="Arial" w:hAnsi="Arial" w:cs="Arial"/>
          <w:color w:val="000000" w:themeColor="text1"/>
          <w:sz w:val="18"/>
          <w:szCs w:val="18"/>
          <w:vertAlign w:val="subscript"/>
        </w:rPr>
        <w:t>PiK2</w:t>
      </w:r>
    </w:p>
    <w:p w14:paraId="06B0F74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 którym:</w:t>
      </w:r>
    </w:p>
    <w:p w14:paraId="4E0C5283" w14:textId="77777777" w:rsidR="00F45500" w:rsidRPr="007B192E" w:rsidRDefault="00F45500" w:rsidP="00F45500">
      <w:pPr>
        <w:ind w:left="960" w:hanging="960"/>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T</w:t>
      </w:r>
      <w:r w:rsidRPr="007B192E">
        <w:rPr>
          <w:rFonts w:ascii="Arial" w:hAnsi="Arial" w:cs="Arial"/>
          <w:color w:val="000000" w:themeColor="text1"/>
          <w:sz w:val="18"/>
          <w:szCs w:val="18"/>
          <w:vertAlign w:val="subscript"/>
        </w:rPr>
        <w:t>PiKmix</w:t>
      </w:r>
      <w:proofErr w:type="spellEnd"/>
      <w:r w:rsidRPr="007B192E">
        <w:rPr>
          <w:rFonts w:ascii="Arial" w:hAnsi="Arial" w:cs="Arial"/>
          <w:color w:val="000000" w:themeColor="text1"/>
          <w:sz w:val="18"/>
          <w:szCs w:val="18"/>
        </w:rPr>
        <w:t xml:space="preserve">  - temperatura mięknienia mieszanki lepiszczy w mieszance mineralno-asfaltowej z dodatkiem granulatu asfaltowego, [°C],</w:t>
      </w:r>
    </w:p>
    <w:p w14:paraId="49C64A0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T</w:t>
      </w:r>
      <w:r w:rsidRPr="007B192E">
        <w:rPr>
          <w:rFonts w:ascii="Arial" w:hAnsi="Arial" w:cs="Arial"/>
          <w:color w:val="000000" w:themeColor="text1"/>
          <w:sz w:val="18"/>
          <w:szCs w:val="18"/>
          <w:vertAlign w:val="subscript"/>
        </w:rPr>
        <w:t xml:space="preserve">PiK1       </w:t>
      </w:r>
      <w:r w:rsidRPr="007B192E">
        <w:rPr>
          <w:rFonts w:ascii="Arial" w:hAnsi="Arial" w:cs="Arial"/>
          <w:color w:val="000000" w:themeColor="text1"/>
          <w:sz w:val="18"/>
          <w:szCs w:val="18"/>
        </w:rPr>
        <w:t>-  temperatura mięknienia lepiszcza odzyskanego z granulatu asfaltowego, [°C],</w:t>
      </w:r>
    </w:p>
    <w:p w14:paraId="5711B6B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T</w:t>
      </w:r>
      <w:r w:rsidRPr="007B192E">
        <w:rPr>
          <w:rFonts w:ascii="Arial" w:hAnsi="Arial" w:cs="Arial"/>
          <w:color w:val="000000" w:themeColor="text1"/>
          <w:sz w:val="18"/>
          <w:szCs w:val="18"/>
          <w:vertAlign w:val="subscript"/>
        </w:rPr>
        <w:t xml:space="preserve">PiK2        - </w:t>
      </w:r>
      <w:r w:rsidRPr="007B192E">
        <w:rPr>
          <w:rFonts w:ascii="Arial" w:hAnsi="Arial" w:cs="Arial"/>
          <w:color w:val="000000" w:themeColor="text1"/>
          <w:sz w:val="18"/>
          <w:szCs w:val="18"/>
        </w:rPr>
        <w:t xml:space="preserve"> średnia temperatura mięknienia dodanego lepiszcza asfaltowego [°C],</w:t>
      </w:r>
    </w:p>
    <w:p w14:paraId="5D9C8192" w14:textId="77777777" w:rsidR="00F45500" w:rsidRPr="007B192E" w:rsidRDefault="00F45500" w:rsidP="00F45500">
      <w:pPr>
        <w:ind w:left="960" w:hanging="9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a i b       - udział masowy: lepiszcza z granulatu asfaltowego (a) i dodanego lepiszcza (b), przy </w:t>
      </w:r>
      <w:proofErr w:type="spellStart"/>
      <w:r w:rsidRPr="007B192E">
        <w:rPr>
          <w:rFonts w:ascii="Arial" w:hAnsi="Arial" w:cs="Arial"/>
          <w:color w:val="000000" w:themeColor="text1"/>
          <w:sz w:val="18"/>
          <w:szCs w:val="18"/>
        </w:rPr>
        <w:t>a+b</w:t>
      </w:r>
      <w:proofErr w:type="spellEnd"/>
      <w:r w:rsidRPr="007B192E">
        <w:rPr>
          <w:rFonts w:ascii="Arial" w:hAnsi="Arial" w:cs="Arial"/>
          <w:color w:val="000000" w:themeColor="text1"/>
          <w:sz w:val="18"/>
          <w:szCs w:val="18"/>
        </w:rPr>
        <w:t>=1</w:t>
      </w:r>
    </w:p>
    <w:p w14:paraId="5823A31E"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2.6.2.</w:t>
      </w:r>
      <w:r w:rsidRPr="007B192E">
        <w:rPr>
          <w:rFonts w:ascii="Arial" w:hAnsi="Arial" w:cs="Arial"/>
          <w:color w:val="000000" w:themeColor="text1"/>
          <w:sz w:val="18"/>
          <w:szCs w:val="18"/>
        </w:rPr>
        <w:t xml:space="preserve"> Jednorodność granulatu asfaltowego </w:t>
      </w:r>
    </w:p>
    <w:p w14:paraId="6A35910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w:t>
      </w:r>
    </w:p>
    <w:p w14:paraId="2408F52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Wymagane jest podanie zmierzonej wartości jednorodności rozstępu wyników badań właściwości przeprowadzonych na liczbie próbek </w:t>
      </w:r>
      <w:r w:rsidRPr="007B192E">
        <w:rPr>
          <w:rFonts w:ascii="Arial" w:hAnsi="Arial" w:cs="Arial"/>
          <w:i/>
          <w:color w:val="000000" w:themeColor="text1"/>
          <w:sz w:val="18"/>
          <w:szCs w:val="18"/>
        </w:rPr>
        <w:t>n</w:t>
      </w:r>
      <w:r w:rsidRPr="007B192E">
        <w:rPr>
          <w:rFonts w:ascii="Arial" w:hAnsi="Arial" w:cs="Arial"/>
          <w:color w:val="000000" w:themeColor="text1"/>
          <w:sz w:val="18"/>
          <w:szCs w:val="18"/>
        </w:rPr>
        <w:t xml:space="preserve">, przy czym </w:t>
      </w:r>
      <w:r w:rsidRPr="007B192E">
        <w:rPr>
          <w:rFonts w:ascii="Arial" w:hAnsi="Arial" w:cs="Arial"/>
          <w:i/>
          <w:color w:val="000000" w:themeColor="text1"/>
          <w:sz w:val="18"/>
          <w:szCs w:val="18"/>
        </w:rPr>
        <w:t>n</w:t>
      </w:r>
      <w:r w:rsidRPr="007B192E">
        <w:rPr>
          <w:rFonts w:ascii="Arial" w:hAnsi="Arial" w:cs="Arial"/>
          <w:color w:val="000000" w:themeColor="text1"/>
          <w:sz w:val="18"/>
          <w:szCs w:val="18"/>
        </w:rPr>
        <w:t xml:space="preserve"> powinno wynosić co najmniej 5. Liczbę próbek oblicza się, dzieląc masę materiału wyjściowego podanego w tonach [t], zaokrąglając w górę do pełnej liczby.</w:t>
      </w:r>
    </w:p>
    <w:p w14:paraId="06B0F96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Wymagania dotyczące dopuszczalnego rozstępu wyników badań granulatu asfaltowego podano w tablicy 13.</w:t>
      </w:r>
    </w:p>
    <w:p w14:paraId="4E5D05BD" w14:textId="77777777" w:rsidR="00F45500" w:rsidRPr="007B192E" w:rsidRDefault="00F45500" w:rsidP="00F45500">
      <w:pPr>
        <w:spacing w:before="120" w:after="120"/>
        <w:jc w:val="both"/>
        <w:rPr>
          <w:rFonts w:ascii="Arial" w:hAnsi="Arial" w:cs="Arial"/>
          <w:color w:val="000000" w:themeColor="text1"/>
          <w:sz w:val="18"/>
          <w:szCs w:val="18"/>
        </w:rPr>
      </w:pPr>
    </w:p>
    <w:p w14:paraId="61B20045" w14:textId="77777777" w:rsidR="00F45500" w:rsidRPr="007B192E" w:rsidRDefault="00F45500" w:rsidP="00F45500">
      <w:pPr>
        <w:spacing w:before="120" w:after="120"/>
        <w:jc w:val="both"/>
        <w:rPr>
          <w:rFonts w:ascii="Arial" w:hAnsi="Arial" w:cs="Arial"/>
          <w:color w:val="000000" w:themeColor="text1"/>
          <w:sz w:val="18"/>
          <w:szCs w:val="18"/>
        </w:rPr>
      </w:pPr>
    </w:p>
    <w:p w14:paraId="04C14464"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13. Dopuszczalny rozstęp wyników badań właściwości</w:t>
      </w:r>
    </w:p>
    <w:tbl>
      <w:tblPr>
        <w:tblW w:w="886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48"/>
        <w:gridCol w:w="4320"/>
      </w:tblGrid>
      <w:tr w:rsidR="004D7D23" w:rsidRPr="007B192E" w14:paraId="51AC8F76" w14:textId="77777777" w:rsidTr="008F7A94">
        <w:trPr>
          <w:trHeight w:val="1160"/>
          <w:jc w:val="center"/>
        </w:trPr>
        <w:tc>
          <w:tcPr>
            <w:tcW w:w="4548" w:type="dxa"/>
          </w:tcPr>
          <w:p w14:paraId="05696455" w14:textId="77777777" w:rsidR="00F45500" w:rsidRPr="007B192E" w:rsidRDefault="00F45500" w:rsidP="008F7A94">
            <w:pPr>
              <w:jc w:val="both"/>
              <w:rPr>
                <w:rFonts w:ascii="Arial" w:hAnsi="Arial" w:cs="Arial"/>
                <w:color w:val="000000" w:themeColor="text1"/>
                <w:sz w:val="18"/>
                <w:szCs w:val="18"/>
              </w:rPr>
            </w:pPr>
          </w:p>
          <w:p w14:paraId="373AC69A" w14:textId="77777777" w:rsidR="00F45500" w:rsidRPr="007B192E" w:rsidRDefault="00F45500" w:rsidP="008F7A94">
            <w:pPr>
              <w:jc w:val="both"/>
              <w:rPr>
                <w:rFonts w:ascii="Arial" w:hAnsi="Arial" w:cs="Arial"/>
                <w:color w:val="000000" w:themeColor="text1"/>
                <w:sz w:val="18"/>
                <w:szCs w:val="18"/>
              </w:rPr>
            </w:pPr>
          </w:p>
          <w:p w14:paraId="64E1E4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4320" w:type="dxa"/>
          </w:tcPr>
          <w:p w14:paraId="4915500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Dopuszczalny rozstęp wyników badań (</w:t>
            </w:r>
            <w:proofErr w:type="spellStart"/>
            <w:r w:rsidRPr="007B192E">
              <w:rPr>
                <w:rFonts w:ascii="Arial" w:hAnsi="Arial" w:cs="Arial"/>
                <w:color w:val="000000" w:themeColor="text1"/>
                <w:sz w:val="18"/>
                <w:szCs w:val="18"/>
              </w:rPr>
              <w:t>T</w:t>
            </w:r>
            <w:r w:rsidRPr="007B192E">
              <w:rPr>
                <w:rFonts w:ascii="Arial" w:hAnsi="Arial" w:cs="Arial"/>
                <w:color w:val="000000" w:themeColor="text1"/>
                <w:sz w:val="18"/>
                <w:szCs w:val="18"/>
                <w:vertAlign w:val="subscript"/>
              </w:rPr>
              <w:t>roż</w:t>
            </w:r>
            <w:proofErr w:type="spellEnd"/>
            <w:r w:rsidRPr="007B192E">
              <w:rPr>
                <w:rFonts w:ascii="Arial" w:hAnsi="Arial" w:cs="Arial"/>
                <w:color w:val="000000" w:themeColor="text1"/>
                <w:sz w:val="18"/>
                <w:szCs w:val="18"/>
              </w:rPr>
              <w:t>) partii granulatu asfaltowego do zastosowania w mieszance mineralno-asfaltowej przeznaczonej do warstwy podbudowy</w:t>
            </w:r>
          </w:p>
        </w:tc>
      </w:tr>
      <w:tr w:rsidR="004D7D23" w:rsidRPr="007B192E" w14:paraId="43CFA9C4" w14:textId="77777777" w:rsidTr="008F7A94">
        <w:trPr>
          <w:jc w:val="center"/>
        </w:trPr>
        <w:tc>
          <w:tcPr>
            <w:tcW w:w="4548" w:type="dxa"/>
          </w:tcPr>
          <w:p w14:paraId="6408770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Temperatura mięknienia lepiszcza odzyskanego, [°C]</w:t>
            </w:r>
          </w:p>
        </w:tc>
        <w:tc>
          <w:tcPr>
            <w:tcW w:w="4320" w:type="dxa"/>
          </w:tcPr>
          <w:p w14:paraId="33CC6872"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8,0</w:t>
            </w:r>
          </w:p>
        </w:tc>
      </w:tr>
      <w:tr w:rsidR="004D7D23" w:rsidRPr="007B192E" w14:paraId="3551335F" w14:textId="77777777" w:rsidTr="008F7A94">
        <w:trPr>
          <w:jc w:val="center"/>
        </w:trPr>
        <w:tc>
          <w:tcPr>
            <w:tcW w:w="4548" w:type="dxa"/>
          </w:tcPr>
          <w:p w14:paraId="10B0A191"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Zawartość lepiszcza, [%(m/m)]</w:t>
            </w:r>
          </w:p>
        </w:tc>
        <w:tc>
          <w:tcPr>
            <w:tcW w:w="4320" w:type="dxa"/>
          </w:tcPr>
          <w:p w14:paraId="6332F79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r>
      <w:tr w:rsidR="004D7D23" w:rsidRPr="007B192E" w14:paraId="062EA1CB" w14:textId="77777777" w:rsidTr="008F7A94">
        <w:trPr>
          <w:jc w:val="center"/>
        </w:trPr>
        <w:tc>
          <w:tcPr>
            <w:tcW w:w="4548" w:type="dxa"/>
          </w:tcPr>
          <w:p w14:paraId="072CA3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Kruszywo o uziarnieniu poniżej 0,063 mm [%(m/m)]</w:t>
            </w:r>
          </w:p>
        </w:tc>
        <w:tc>
          <w:tcPr>
            <w:tcW w:w="4320" w:type="dxa"/>
          </w:tcPr>
          <w:p w14:paraId="56834D0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r>
      <w:tr w:rsidR="004D7D23" w:rsidRPr="007B192E" w14:paraId="3258A1D7" w14:textId="77777777" w:rsidTr="008F7A94">
        <w:trPr>
          <w:jc w:val="center"/>
        </w:trPr>
        <w:tc>
          <w:tcPr>
            <w:tcW w:w="4548" w:type="dxa"/>
          </w:tcPr>
          <w:p w14:paraId="4601AE9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Kruszywo o uziarnieniu od 0,063 do 2 mm [%(m/m)]</w:t>
            </w:r>
          </w:p>
        </w:tc>
        <w:tc>
          <w:tcPr>
            <w:tcW w:w="4320" w:type="dxa"/>
          </w:tcPr>
          <w:p w14:paraId="499348B2"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16,0</w:t>
            </w:r>
          </w:p>
        </w:tc>
      </w:tr>
      <w:tr w:rsidR="004D7D23" w:rsidRPr="007B192E" w14:paraId="4D2F79DA" w14:textId="77777777" w:rsidTr="008F7A94">
        <w:trPr>
          <w:jc w:val="center"/>
        </w:trPr>
        <w:tc>
          <w:tcPr>
            <w:tcW w:w="4548" w:type="dxa"/>
          </w:tcPr>
          <w:p w14:paraId="0D4592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Kruszywo o uziarnieniu powyżej 2 mm  [%(m/m)]</w:t>
            </w:r>
          </w:p>
        </w:tc>
        <w:tc>
          <w:tcPr>
            <w:tcW w:w="4320" w:type="dxa"/>
          </w:tcPr>
          <w:p w14:paraId="410DE5A3"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18,0</w:t>
            </w:r>
          </w:p>
        </w:tc>
      </w:tr>
    </w:tbl>
    <w:p w14:paraId="31627FA8"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2.6.3.</w:t>
      </w:r>
      <w:r w:rsidRPr="007B192E">
        <w:rPr>
          <w:rFonts w:ascii="Arial" w:hAnsi="Arial" w:cs="Arial"/>
          <w:color w:val="000000" w:themeColor="text1"/>
          <w:sz w:val="18"/>
          <w:szCs w:val="18"/>
        </w:rPr>
        <w:t xml:space="preserve"> Deklarowanie właściwości w granulatu asfaltowego </w:t>
      </w:r>
    </w:p>
    <w:p w14:paraId="2AC8133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opisie granulatu asfaltowego producent powinien zadeklarować:</w:t>
      </w:r>
    </w:p>
    <w:p w14:paraId="589708BD" w14:textId="77777777" w:rsidR="00F45500" w:rsidRPr="007B192E"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typ mieszanki lub mieszanek, z których pochodzi granulat (np. AC 16 S, droga DK 10), nie dopuszcza się do stosowania granulatu,  którego pochodzenia nie można udokumentować i zadeklarować,</w:t>
      </w:r>
    </w:p>
    <w:p w14:paraId="353724FC" w14:textId="77777777" w:rsidR="00F45500" w:rsidRPr="007B192E"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rodzaj kruszywa i średnie uziarnienie,</w:t>
      </w:r>
    </w:p>
    <w:p w14:paraId="1F92A7B9" w14:textId="77777777" w:rsidR="00F45500" w:rsidRPr="007B192E"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typ lepiszcza, średnią zawartość lepiszcza i średnią temperaturę mięknienia lepiszcza odzyskanego,</w:t>
      </w:r>
    </w:p>
    <w:p w14:paraId="58392552" w14:textId="77777777" w:rsidR="00F45500" w:rsidRPr="007B192E" w:rsidRDefault="00F45500" w:rsidP="00C12426">
      <w:pPr>
        <w:widowControl/>
        <w:numPr>
          <w:ilvl w:val="0"/>
          <w:numId w:val="22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maksymalną wielkość kawałków granulatu asfaltowego U GRA D/d.</w:t>
      </w:r>
    </w:p>
    <w:p w14:paraId="23598EB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kruszywa z granulatu asfaltowego powinny spełniać wymagania określone dla kruszywa w danej mieszance mineralno-asfaltowej. </w:t>
      </w:r>
    </w:p>
    <w:p w14:paraId="3DC4A06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Dopuszcza się deklarowanie właściwości kruszywa mineralnego w granulacie asfaltowym na podstawie udokumentowanego wcześniej zastosowania. </w:t>
      </w:r>
    </w:p>
    <w:p w14:paraId="3B496EEC"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2.6.4.</w:t>
      </w:r>
      <w:r w:rsidRPr="007B192E">
        <w:rPr>
          <w:rFonts w:ascii="Arial" w:hAnsi="Arial" w:cs="Arial"/>
          <w:color w:val="000000" w:themeColor="text1"/>
          <w:sz w:val="18"/>
          <w:szCs w:val="18"/>
        </w:rPr>
        <w:t xml:space="preserve"> Warunki stosowania granulatu asfaltowego </w:t>
      </w:r>
    </w:p>
    <w:p w14:paraId="0B312AB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7840F6F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Granulat dodawany na zimno wymaga wyższego podgrzewania kruszywa zgodnie z tablicą 14. Jeżeli granulat asfaltowy jest wilgotny to należy temperaturę kruszywa jeszcze podnieść o korektę z tablicy 15.  </w:t>
      </w:r>
    </w:p>
    <w:p w14:paraId="6F502472" w14:textId="77777777" w:rsidR="00F45500" w:rsidRPr="007B192E" w:rsidRDefault="00F45500" w:rsidP="00F45500">
      <w:pPr>
        <w:ind w:left="1321" w:hanging="1321"/>
        <w:jc w:val="both"/>
        <w:rPr>
          <w:rFonts w:ascii="Arial" w:hAnsi="Arial" w:cs="Arial"/>
          <w:color w:val="000000" w:themeColor="text1"/>
          <w:sz w:val="18"/>
          <w:szCs w:val="18"/>
        </w:rPr>
      </w:pPr>
    </w:p>
    <w:p w14:paraId="70930FD7" w14:textId="77777777" w:rsidR="00F45500" w:rsidRPr="007B192E" w:rsidRDefault="00F45500" w:rsidP="00F45500">
      <w:pPr>
        <w:ind w:left="1321" w:hanging="1321"/>
        <w:jc w:val="both"/>
        <w:rPr>
          <w:rFonts w:ascii="Arial" w:hAnsi="Arial" w:cs="Arial"/>
          <w:color w:val="000000" w:themeColor="text1"/>
          <w:sz w:val="18"/>
          <w:szCs w:val="18"/>
        </w:rPr>
      </w:pPr>
    </w:p>
    <w:p w14:paraId="54D390A2" w14:textId="77777777" w:rsidR="00F45500" w:rsidRPr="007B192E" w:rsidRDefault="00F45500" w:rsidP="00F45500">
      <w:pPr>
        <w:ind w:left="1321" w:hanging="1321"/>
        <w:jc w:val="both"/>
        <w:rPr>
          <w:rFonts w:ascii="Arial" w:hAnsi="Arial" w:cs="Arial"/>
          <w:color w:val="000000" w:themeColor="text1"/>
          <w:sz w:val="18"/>
          <w:szCs w:val="18"/>
        </w:rPr>
      </w:pPr>
      <w:r w:rsidRPr="007B192E">
        <w:rPr>
          <w:rFonts w:ascii="Arial" w:hAnsi="Arial" w:cs="Arial"/>
          <w:color w:val="000000" w:themeColor="text1"/>
          <w:sz w:val="18"/>
          <w:szCs w:val="18"/>
        </w:rPr>
        <w:t>Tablica 14. Temperatura kruszywa w zależności od ilości zimnego i suchego granulatu asfaltowego</w:t>
      </w:r>
    </w:p>
    <w:p w14:paraId="5360757C" w14:textId="77777777" w:rsidR="00F45500" w:rsidRPr="007B192E" w:rsidRDefault="00F45500" w:rsidP="00F45500">
      <w:pPr>
        <w:spacing w:after="120"/>
        <w:ind w:left="1321" w:hanging="1202"/>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lastRenderedPageBreak/>
        <w:drawing>
          <wp:inline distT="0" distB="0" distL="0" distR="0" wp14:anchorId="79814297" wp14:editId="6EE4A386">
            <wp:extent cx="4678045" cy="3030220"/>
            <wp:effectExtent l="0" t="0" r="8255" b="0"/>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678045" cy="3030220"/>
                    </a:xfrm>
                    <a:prstGeom prst="rect">
                      <a:avLst/>
                    </a:prstGeom>
                    <a:noFill/>
                    <a:ln>
                      <a:noFill/>
                    </a:ln>
                  </pic:spPr>
                </pic:pic>
              </a:graphicData>
            </a:graphic>
          </wp:inline>
        </w:drawing>
      </w:r>
    </w:p>
    <w:p w14:paraId="3687FFB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Należy oznaczyć wilgotność granulatu asfaltowego i skorygować temperaturę produkcji </w:t>
      </w:r>
      <w:proofErr w:type="spellStart"/>
      <w:r w:rsidRPr="007B192E">
        <w:rPr>
          <w:rFonts w:ascii="Arial" w:hAnsi="Arial" w:cs="Arial"/>
          <w:color w:val="000000" w:themeColor="text1"/>
          <w:sz w:val="18"/>
          <w:szCs w:val="18"/>
        </w:rPr>
        <w:t>mma</w:t>
      </w:r>
      <w:proofErr w:type="spellEnd"/>
      <w:r w:rsidRPr="007B192E">
        <w:rPr>
          <w:rFonts w:ascii="Arial" w:hAnsi="Arial" w:cs="Arial"/>
          <w:color w:val="000000" w:themeColor="text1"/>
          <w:sz w:val="18"/>
          <w:szCs w:val="18"/>
        </w:rPr>
        <w:t xml:space="preserve"> zgodnie z tablicą 15 o tyle, aby nie została przekroczona dopuszczalna najwyższa temperatura lepiszcza asfaltowego w zbiorniku magazynowym (roboczym) (patrz pkt 2.3). </w:t>
      </w:r>
    </w:p>
    <w:p w14:paraId="1A692DDA" w14:textId="77777777" w:rsidR="00F45500" w:rsidRPr="007B192E" w:rsidRDefault="00F45500" w:rsidP="00F45500">
      <w:pPr>
        <w:rPr>
          <w:rFonts w:ascii="Arial" w:hAnsi="Arial" w:cs="Arial"/>
          <w:color w:val="000000" w:themeColor="text1"/>
          <w:sz w:val="18"/>
          <w:szCs w:val="18"/>
        </w:rPr>
      </w:pPr>
    </w:p>
    <w:p w14:paraId="5010C409" w14:textId="77777777" w:rsidR="00F45500" w:rsidRPr="007B192E" w:rsidRDefault="00F45500" w:rsidP="00F45500">
      <w:pPr>
        <w:spacing w:before="12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Tablica15.</w:t>
      </w:r>
      <w:r w:rsidRPr="007B192E">
        <w:rPr>
          <w:rFonts w:ascii="Arial" w:hAnsi="Arial" w:cs="Arial"/>
          <w:color w:val="000000" w:themeColor="text1"/>
          <w:sz w:val="18"/>
          <w:szCs w:val="18"/>
        </w:rPr>
        <w:tab/>
        <w:t>Korekta temperatury produkcji w zależności od wilgotności granulatu asfaltowego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4D7D23" w:rsidRPr="007B192E" w14:paraId="08F2E36B" w14:textId="77777777" w:rsidTr="008F7A94">
        <w:trPr>
          <w:jc w:val="center"/>
        </w:trPr>
        <w:tc>
          <w:tcPr>
            <w:tcW w:w="1184" w:type="dxa"/>
            <w:vMerge w:val="restart"/>
            <w:vAlign w:val="center"/>
          </w:tcPr>
          <w:p w14:paraId="2E3D5DD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Udział granulatu asfaltowego M[%]</w:t>
            </w:r>
          </w:p>
        </w:tc>
        <w:tc>
          <w:tcPr>
            <w:tcW w:w="6403" w:type="dxa"/>
            <w:gridSpan w:val="6"/>
            <w:vAlign w:val="center"/>
          </w:tcPr>
          <w:p w14:paraId="0344FEE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Wilgotność granulatu asfaltowego [%]</w:t>
            </w:r>
          </w:p>
        </w:tc>
      </w:tr>
      <w:tr w:rsidR="004D7D23" w:rsidRPr="007B192E" w14:paraId="326D623D" w14:textId="77777777" w:rsidTr="008F7A94">
        <w:trPr>
          <w:jc w:val="center"/>
        </w:trPr>
        <w:tc>
          <w:tcPr>
            <w:tcW w:w="1184" w:type="dxa"/>
            <w:vMerge/>
            <w:vAlign w:val="center"/>
          </w:tcPr>
          <w:p w14:paraId="690B4601" w14:textId="77777777" w:rsidR="00F45500" w:rsidRPr="007B192E" w:rsidRDefault="00F45500" w:rsidP="008F7A94">
            <w:pPr>
              <w:jc w:val="center"/>
              <w:rPr>
                <w:rFonts w:ascii="Arial" w:hAnsi="Arial" w:cs="Arial"/>
                <w:color w:val="000000" w:themeColor="text1"/>
                <w:sz w:val="18"/>
                <w:szCs w:val="18"/>
              </w:rPr>
            </w:pPr>
          </w:p>
        </w:tc>
        <w:tc>
          <w:tcPr>
            <w:tcW w:w="1068" w:type="dxa"/>
            <w:vAlign w:val="center"/>
          </w:tcPr>
          <w:p w14:paraId="708985CB" w14:textId="77777777" w:rsidR="00F45500" w:rsidRPr="007B192E" w:rsidRDefault="00F45500" w:rsidP="008F7A94">
            <w:pPr>
              <w:tabs>
                <w:tab w:val="left" w:pos="810"/>
              </w:tabs>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067" w:type="dxa"/>
            <w:vAlign w:val="center"/>
          </w:tcPr>
          <w:p w14:paraId="66DEADD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067" w:type="dxa"/>
            <w:vAlign w:val="center"/>
          </w:tcPr>
          <w:p w14:paraId="07BEE22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067" w:type="dxa"/>
            <w:vAlign w:val="center"/>
          </w:tcPr>
          <w:p w14:paraId="40F6A0A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067" w:type="dxa"/>
            <w:vAlign w:val="center"/>
          </w:tcPr>
          <w:p w14:paraId="507CE54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067" w:type="dxa"/>
            <w:vAlign w:val="center"/>
          </w:tcPr>
          <w:p w14:paraId="6274B5C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w:t>
            </w:r>
          </w:p>
        </w:tc>
      </w:tr>
      <w:tr w:rsidR="004D7D23" w:rsidRPr="007B192E" w14:paraId="3EC9FB03" w14:textId="77777777" w:rsidTr="008F7A94">
        <w:trPr>
          <w:jc w:val="center"/>
        </w:trPr>
        <w:tc>
          <w:tcPr>
            <w:tcW w:w="1184" w:type="dxa"/>
            <w:vMerge/>
            <w:vAlign w:val="center"/>
          </w:tcPr>
          <w:p w14:paraId="295E8FAF" w14:textId="77777777" w:rsidR="00F45500" w:rsidRPr="007B192E" w:rsidRDefault="00F45500" w:rsidP="008F7A94">
            <w:pPr>
              <w:jc w:val="center"/>
              <w:rPr>
                <w:rFonts w:ascii="Arial" w:hAnsi="Arial" w:cs="Arial"/>
                <w:color w:val="000000" w:themeColor="text1"/>
                <w:sz w:val="18"/>
                <w:szCs w:val="18"/>
              </w:rPr>
            </w:pPr>
          </w:p>
        </w:tc>
        <w:tc>
          <w:tcPr>
            <w:tcW w:w="6403" w:type="dxa"/>
            <w:gridSpan w:val="6"/>
            <w:vAlign w:val="center"/>
          </w:tcPr>
          <w:p w14:paraId="2BBAF807"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Korekta temperatury °C</w:t>
            </w:r>
          </w:p>
        </w:tc>
      </w:tr>
      <w:tr w:rsidR="004D7D23" w:rsidRPr="007B192E" w14:paraId="5F740B27" w14:textId="77777777" w:rsidTr="008F7A94">
        <w:trPr>
          <w:jc w:val="center"/>
        </w:trPr>
        <w:tc>
          <w:tcPr>
            <w:tcW w:w="1184" w:type="dxa"/>
            <w:vAlign w:val="center"/>
          </w:tcPr>
          <w:p w14:paraId="65AF6D1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068" w:type="dxa"/>
            <w:vAlign w:val="center"/>
          </w:tcPr>
          <w:p w14:paraId="15F904B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067" w:type="dxa"/>
            <w:vAlign w:val="center"/>
          </w:tcPr>
          <w:p w14:paraId="0D37AA6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067" w:type="dxa"/>
            <w:vAlign w:val="center"/>
          </w:tcPr>
          <w:p w14:paraId="2B908F1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067" w:type="dxa"/>
            <w:vAlign w:val="center"/>
          </w:tcPr>
          <w:p w14:paraId="63CEAAF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1067" w:type="dxa"/>
            <w:vAlign w:val="center"/>
          </w:tcPr>
          <w:p w14:paraId="0A80B8D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067" w:type="dxa"/>
            <w:vAlign w:val="center"/>
          </w:tcPr>
          <w:p w14:paraId="0740E3E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24</w:t>
            </w:r>
          </w:p>
        </w:tc>
      </w:tr>
      <w:tr w:rsidR="004D7D23" w:rsidRPr="007B192E" w14:paraId="4B441817" w14:textId="77777777" w:rsidTr="008F7A94">
        <w:trPr>
          <w:jc w:val="center"/>
        </w:trPr>
        <w:tc>
          <w:tcPr>
            <w:tcW w:w="1184" w:type="dxa"/>
            <w:vAlign w:val="center"/>
          </w:tcPr>
          <w:p w14:paraId="01DCC92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1068" w:type="dxa"/>
            <w:vAlign w:val="center"/>
          </w:tcPr>
          <w:p w14:paraId="0E1D01C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067" w:type="dxa"/>
            <w:vAlign w:val="center"/>
          </w:tcPr>
          <w:p w14:paraId="09D9323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067" w:type="dxa"/>
            <w:vAlign w:val="center"/>
          </w:tcPr>
          <w:p w14:paraId="6C6938E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18</w:t>
            </w:r>
          </w:p>
        </w:tc>
        <w:tc>
          <w:tcPr>
            <w:tcW w:w="1067" w:type="dxa"/>
            <w:shd w:val="clear" w:color="auto" w:fill="auto"/>
            <w:vAlign w:val="center"/>
          </w:tcPr>
          <w:p w14:paraId="1BB9FC7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067" w:type="dxa"/>
            <w:shd w:val="clear" w:color="auto" w:fill="EEECE1"/>
            <w:vAlign w:val="center"/>
          </w:tcPr>
          <w:p w14:paraId="4916702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1067" w:type="dxa"/>
            <w:shd w:val="clear" w:color="auto" w:fill="EEECE1"/>
            <w:vAlign w:val="center"/>
          </w:tcPr>
          <w:p w14:paraId="7CD9D16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36</w:t>
            </w:r>
          </w:p>
        </w:tc>
      </w:tr>
      <w:tr w:rsidR="004D7D23" w:rsidRPr="007B192E" w14:paraId="74D2C382" w14:textId="77777777" w:rsidTr="008F7A94">
        <w:trPr>
          <w:jc w:val="center"/>
        </w:trPr>
        <w:tc>
          <w:tcPr>
            <w:tcW w:w="1184" w:type="dxa"/>
            <w:vAlign w:val="center"/>
          </w:tcPr>
          <w:p w14:paraId="0E5D0DF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068" w:type="dxa"/>
            <w:vAlign w:val="center"/>
          </w:tcPr>
          <w:p w14:paraId="22EC73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067" w:type="dxa"/>
            <w:vAlign w:val="center"/>
          </w:tcPr>
          <w:p w14:paraId="640587E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1067" w:type="dxa"/>
            <w:vAlign w:val="center"/>
          </w:tcPr>
          <w:p w14:paraId="433C1AF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067" w:type="dxa"/>
            <w:shd w:val="clear" w:color="auto" w:fill="EEECE1"/>
            <w:vAlign w:val="center"/>
          </w:tcPr>
          <w:p w14:paraId="73E2377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32</w:t>
            </w:r>
          </w:p>
        </w:tc>
        <w:tc>
          <w:tcPr>
            <w:tcW w:w="1067" w:type="dxa"/>
            <w:shd w:val="clear" w:color="auto" w:fill="EEECE1"/>
            <w:vAlign w:val="center"/>
          </w:tcPr>
          <w:p w14:paraId="4877892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1067" w:type="dxa"/>
            <w:shd w:val="clear" w:color="auto" w:fill="EEECE1"/>
            <w:vAlign w:val="center"/>
          </w:tcPr>
          <w:p w14:paraId="2CD4A53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48</w:t>
            </w:r>
          </w:p>
        </w:tc>
      </w:tr>
      <w:tr w:rsidR="004D7D23" w:rsidRPr="007B192E" w14:paraId="68A0EDA8" w14:textId="77777777" w:rsidTr="008F7A94">
        <w:trPr>
          <w:jc w:val="center"/>
        </w:trPr>
        <w:tc>
          <w:tcPr>
            <w:tcW w:w="1184" w:type="dxa"/>
            <w:vAlign w:val="center"/>
          </w:tcPr>
          <w:p w14:paraId="54A3499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1068" w:type="dxa"/>
            <w:vAlign w:val="center"/>
          </w:tcPr>
          <w:p w14:paraId="174AE6F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067" w:type="dxa"/>
            <w:vAlign w:val="center"/>
          </w:tcPr>
          <w:p w14:paraId="2F8B8C0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067" w:type="dxa"/>
            <w:shd w:val="clear" w:color="auto" w:fill="EEECE1"/>
            <w:vAlign w:val="center"/>
          </w:tcPr>
          <w:p w14:paraId="178739B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1067" w:type="dxa"/>
            <w:shd w:val="clear" w:color="auto" w:fill="EEECE1"/>
            <w:vAlign w:val="center"/>
          </w:tcPr>
          <w:p w14:paraId="39BDE72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1067" w:type="dxa"/>
            <w:shd w:val="clear" w:color="auto" w:fill="EEECE1"/>
            <w:vAlign w:val="center"/>
          </w:tcPr>
          <w:p w14:paraId="455A0D4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50</w:t>
            </w:r>
          </w:p>
        </w:tc>
        <w:tc>
          <w:tcPr>
            <w:tcW w:w="1067" w:type="dxa"/>
            <w:shd w:val="clear" w:color="auto" w:fill="EEECE1"/>
            <w:vAlign w:val="center"/>
          </w:tcPr>
          <w:p w14:paraId="2ABB25A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60</w:t>
            </w:r>
          </w:p>
        </w:tc>
      </w:tr>
      <w:tr w:rsidR="004D7D23" w:rsidRPr="007B192E" w14:paraId="5E352163" w14:textId="77777777" w:rsidTr="008F7A94">
        <w:trPr>
          <w:jc w:val="center"/>
        </w:trPr>
        <w:tc>
          <w:tcPr>
            <w:tcW w:w="1184" w:type="dxa"/>
            <w:vAlign w:val="center"/>
          </w:tcPr>
          <w:p w14:paraId="00CA2C6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1068" w:type="dxa"/>
            <w:vAlign w:val="center"/>
          </w:tcPr>
          <w:p w14:paraId="67158A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067" w:type="dxa"/>
            <w:vAlign w:val="center"/>
          </w:tcPr>
          <w:p w14:paraId="405F49B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067" w:type="dxa"/>
            <w:shd w:val="clear" w:color="auto" w:fill="EEECE1"/>
            <w:vAlign w:val="center"/>
          </w:tcPr>
          <w:p w14:paraId="229B704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067" w:type="dxa"/>
            <w:shd w:val="clear" w:color="auto" w:fill="EEECE1"/>
            <w:vAlign w:val="center"/>
          </w:tcPr>
          <w:p w14:paraId="402F579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067" w:type="dxa"/>
            <w:shd w:val="clear" w:color="auto" w:fill="EEECE1"/>
            <w:vAlign w:val="center"/>
          </w:tcPr>
          <w:p w14:paraId="7340291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067" w:type="dxa"/>
            <w:shd w:val="clear" w:color="auto" w:fill="EEECE1"/>
            <w:vAlign w:val="center"/>
          </w:tcPr>
          <w:p w14:paraId="7F759DD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bl>
    <w:p w14:paraId="374EBC8A" w14:textId="77777777" w:rsidR="00F45500" w:rsidRPr="007B192E" w:rsidRDefault="00F45500" w:rsidP="00F45500">
      <w:pPr>
        <w:jc w:val="both"/>
        <w:rPr>
          <w:rFonts w:ascii="Arial" w:hAnsi="Arial" w:cs="Arial"/>
          <w:color w:val="000000" w:themeColor="text1"/>
          <w:sz w:val="18"/>
          <w:szCs w:val="18"/>
        </w:rPr>
      </w:pPr>
    </w:p>
    <w:p w14:paraId="62A3D15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Szare pola wskazują dodatek granulatu nieekonomiczny i niebezpieczny ze względu na duże ilości pary wodnej powstającej przy odparowaniu wody z wilgotnego granulatu. </w:t>
      </w:r>
    </w:p>
    <w:p w14:paraId="41A32DA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Dopuszcza się użycie granulatu asfaltowego w metodzie „na zimno”  (bez wstępnego ogrzewania) w ilości do 20% masy mieszanki mineralno-asfaltowej na podstawie wykazania spełnienia wymagań podanych powyżej oraz spełniania właściwości </w:t>
      </w:r>
      <w:proofErr w:type="spellStart"/>
      <w:r w:rsidRPr="007B192E">
        <w:rPr>
          <w:rFonts w:ascii="Arial" w:hAnsi="Arial" w:cs="Arial"/>
          <w:color w:val="000000" w:themeColor="text1"/>
          <w:sz w:val="18"/>
          <w:szCs w:val="18"/>
        </w:rPr>
        <w:t>mma</w:t>
      </w:r>
      <w:proofErr w:type="spellEnd"/>
      <w:r w:rsidRPr="007B192E">
        <w:rPr>
          <w:rFonts w:ascii="Arial" w:hAnsi="Arial" w:cs="Arial"/>
          <w:color w:val="000000" w:themeColor="text1"/>
          <w:sz w:val="18"/>
          <w:szCs w:val="18"/>
        </w:rPr>
        <w:t>.</w:t>
      </w:r>
    </w:p>
    <w:p w14:paraId="2C1B563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Uwaga: Stosowanie granulatu asfaltowego nie może obniżać właściwości mieszanek mineralno-asfaltowych.</w:t>
      </w:r>
    </w:p>
    <w:p w14:paraId="2FC6F05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produkcji mieszanek mineralno-asfaltowych z zastosowaniem granulatu nie dopuszcza się stosowania środków obniżających lepkość asfaltu.</w:t>
      </w:r>
    </w:p>
    <w:p w14:paraId="7E001A1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2.7. Materiały do uszczelnienia połączeń technologicznych i krawędzi</w:t>
      </w:r>
    </w:p>
    <w:p w14:paraId="64F4E8C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uszczelnienia połączeń technologicznych (tj. złączy podłużnych i poprzecznych) z tego samego materiału wykonywanego w różnym czasie należy stosować elastyczne taśmy bitumiczne i pasty asfaltowe dobrane wg zasad przedstawionych w tablicy 16 oraz spełniające wymagania, w zależności od rodzaju materiału, wg tablic od 17 do 19. </w:t>
      </w:r>
    </w:p>
    <w:p w14:paraId="2293C63C" w14:textId="77777777" w:rsidR="00F45500" w:rsidRPr="007B192E" w:rsidRDefault="00F45500" w:rsidP="00F45500">
      <w:pPr>
        <w:tabs>
          <w:tab w:val="left" w:pos="1276"/>
        </w:tabs>
        <w:spacing w:before="120" w:after="120"/>
        <w:ind w:left="1276" w:hanging="1276"/>
        <w:jc w:val="both"/>
        <w:rPr>
          <w:rFonts w:ascii="Arial" w:hAnsi="Arial" w:cs="Arial"/>
          <w:color w:val="000000" w:themeColor="text1"/>
          <w:sz w:val="18"/>
          <w:szCs w:val="18"/>
        </w:rPr>
      </w:pPr>
      <w:r w:rsidRPr="007B192E">
        <w:rPr>
          <w:rFonts w:ascii="Arial" w:hAnsi="Arial" w:cs="Arial"/>
          <w:color w:val="000000" w:themeColor="text1"/>
          <w:sz w:val="18"/>
          <w:szCs w:val="18"/>
        </w:rPr>
        <w:t>Tablica 16.</w:t>
      </w:r>
      <w:r w:rsidRPr="007B192E">
        <w:rPr>
          <w:rFonts w:ascii="Arial" w:hAnsi="Arial" w:cs="Arial"/>
          <w:color w:val="000000" w:themeColor="text1"/>
          <w:sz w:val="18"/>
          <w:szCs w:val="18"/>
        </w:rPr>
        <w:tab/>
        <w:t>Materiały do złączy podłużnych i porzecznych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D7D23" w:rsidRPr="007B192E" w14:paraId="597E431E" w14:textId="77777777" w:rsidTr="008F7A94">
        <w:trPr>
          <w:jc w:val="center"/>
        </w:trPr>
        <w:tc>
          <w:tcPr>
            <w:tcW w:w="1785" w:type="dxa"/>
            <w:vMerge w:val="restart"/>
            <w:vAlign w:val="center"/>
          </w:tcPr>
          <w:p w14:paraId="1A28A36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Rodzaj warstwy</w:t>
            </w:r>
          </w:p>
        </w:tc>
        <w:tc>
          <w:tcPr>
            <w:tcW w:w="3570" w:type="dxa"/>
            <w:gridSpan w:val="2"/>
            <w:vAlign w:val="center"/>
          </w:tcPr>
          <w:p w14:paraId="24112AFE"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Złącze podłużne</w:t>
            </w:r>
          </w:p>
        </w:tc>
        <w:tc>
          <w:tcPr>
            <w:tcW w:w="3572" w:type="dxa"/>
            <w:gridSpan w:val="2"/>
            <w:vAlign w:val="center"/>
          </w:tcPr>
          <w:p w14:paraId="41AB08D2"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Złącze poprzeczne</w:t>
            </w:r>
          </w:p>
        </w:tc>
      </w:tr>
      <w:tr w:rsidR="004D7D23" w:rsidRPr="007B192E" w14:paraId="29409802" w14:textId="77777777" w:rsidTr="008F7A94">
        <w:trPr>
          <w:jc w:val="center"/>
        </w:trPr>
        <w:tc>
          <w:tcPr>
            <w:tcW w:w="1785" w:type="dxa"/>
            <w:vMerge/>
            <w:vAlign w:val="center"/>
          </w:tcPr>
          <w:p w14:paraId="5BE1C624"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1785" w:type="dxa"/>
            <w:vAlign w:val="center"/>
          </w:tcPr>
          <w:p w14:paraId="7F7B30A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Ruch</w:t>
            </w:r>
          </w:p>
        </w:tc>
        <w:tc>
          <w:tcPr>
            <w:tcW w:w="1785" w:type="dxa"/>
            <w:vAlign w:val="center"/>
          </w:tcPr>
          <w:p w14:paraId="3406BE9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Rodzaj materiału</w:t>
            </w:r>
          </w:p>
        </w:tc>
        <w:tc>
          <w:tcPr>
            <w:tcW w:w="1786" w:type="dxa"/>
            <w:vAlign w:val="center"/>
          </w:tcPr>
          <w:p w14:paraId="01C9FEEC"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Ruch</w:t>
            </w:r>
          </w:p>
        </w:tc>
        <w:tc>
          <w:tcPr>
            <w:tcW w:w="1786" w:type="dxa"/>
            <w:vAlign w:val="center"/>
          </w:tcPr>
          <w:p w14:paraId="3D455E5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Rodzaj materiału</w:t>
            </w:r>
          </w:p>
        </w:tc>
      </w:tr>
      <w:tr w:rsidR="004D7D23" w:rsidRPr="007B192E" w14:paraId="34FD66CF" w14:textId="77777777" w:rsidTr="008F7A94">
        <w:trPr>
          <w:trHeight w:val="700"/>
          <w:jc w:val="center"/>
        </w:trPr>
        <w:tc>
          <w:tcPr>
            <w:tcW w:w="1785" w:type="dxa"/>
          </w:tcPr>
          <w:p w14:paraId="2E1446E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Podbudowa</w:t>
            </w:r>
          </w:p>
        </w:tc>
        <w:tc>
          <w:tcPr>
            <w:tcW w:w="1785" w:type="dxa"/>
          </w:tcPr>
          <w:p w14:paraId="5AF05B37"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KR 1-7</w:t>
            </w:r>
          </w:p>
        </w:tc>
        <w:tc>
          <w:tcPr>
            <w:tcW w:w="1785" w:type="dxa"/>
          </w:tcPr>
          <w:p w14:paraId="51E8244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Pasty asfaltowe lub elastyczne taśmy bitumiczne</w:t>
            </w:r>
          </w:p>
        </w:tc>
        <w:tc>
          <w:tcPr>
            <w:tcW w:w="1786" w:type="dxa"/>
          </w:tcPr>
          <w:p w14:paraId="51C45C5B"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KR 3-7</w:t>
            </w:r>
          </w:p>
        </w:tc>
        <w:tc>
          <w:tcPr>
            <w:tcW w:w="1786" w:type="dxa"/>
          </w:tcPr>
          <w:p w14:paraId="7518017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Elastyczne taśmy bitumiczne</w:t>
            </w:r>
          </w:p>
        </w:tc>
      </w:tr>
    </w:tbl>
    <w:p w14:paraId="785DE3BE" w14:textId="77777777" w:rsidR="00F45500" w:rsidRPr="007B192E" w:rsidRDefault="00F45500" w:rsidP="00F45500">
      <w:pPr>
        <w:tabs>
          <w:tab w:val="left" w:pos="1620"/>
        </w:tabs>
        <w:spacing w:before="24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17. Wymagania wobec taśm bitumicznych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4D7D23" w:rsidRPr="007B192E" w14:paraId="623FF744" w14:textId="77777777" w:rsidTr="008F7A94">
        <w:trPr>
          <w:jc w:val="center"/>
        </w:trPr>
        <w:tc>
          <w:tcPr>
            <w:tcW w:w="2231" w:type="dxa"/>
            <w:vAlign w:val="center"/>
          </w:tcPr>
          <w:p w14:paraId="44F6FA57"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232" w:type="dxa"/>
            <w:vAlign w:val="center"/>
          </w:tcPr>
          <w:p w14:paraId="51EEC16F"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232" w:type="dxa"/>
            <w:vAlign w:val="center"/>
          </w:tcPr>
          <w:p w14:paraId="4F7F9365"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Dodatkowy opis warunków badania</w:t>
            </w:r>
          </w:p>
        </w:tc>
        <w:tc>
          <w:tcPr>
            <w:tcW w:w="2232" w:type="dxa"/>
            <w:vAlign w:val="center"/>
          </w:tcPr>
          <w:p w14:paraId="6C465BE3"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Wymaganie</w:t>
            </w:r>
          </w:p>
        </w:tc>
      </w:tr>
      <w:tr w:rsidR="004D7D23" w:rsidRPr="007B192E" w14:paraId="7AF4B0C5" w14:textId="77777777" w:rsidTr="008F7A94">
        <w:trPr>
          <w:jc w:val="center"/>
        </w:trPr>
        <w:tc>
          <w:tcPr>
            <w:tcW w:w="2231" w:type="dxa"/>
            <w:vAlign w:val="center"/>
          </w:tcPr>
          <w:p w14:paraId="4AFDE9CF"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PiK</w:t>
            </w:r>
            <w:proofErr w:type="spellEnd"/>
          </w:p>
        </w:tc>
        <w:tc>
          <w:tcPr>
            <w:tcW w:w="2232" w:type="dxa"/>
            <w:vAlign w:val="center"/>
          </w:tcPr>
          <w:p w14:paraId="09FF789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2232" w:type="dxa"/>
            <w:vAlign w:val="center"/>
          </w:tcPr>
          <w:p w14:paraId="28C17918"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214F517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≥90°C</w:t>
            </w:r>
          </w:p>
        </w:tc>
      </w:tr>
      <w:tr w:rsidR="004D7D23" w:rsidRPr="007B192E" w14:paraId="531A378F" w14:textId="77777777" w:rsidTr="008F7A94">
        <w:trPr>
          <w:jc w:val="center"/>
        </w:trPr>
        <w:tc>
          <w:tcPr>
            <w:tcW w:w="2231" w:type="dxa"/>
            <w:vAlign w:val="center"/>
          </w:tcPr>
          <w:p w14:paraId="182E696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Penetracja stożkiem</w:t>
            </w:r>
          </w:p>
        </w:tc>
        <w:tc>
          <w:tcPr>
            <w:tcW w:w="2232" w:type="dxa"/>
            <w:vAlign w:val="center"/>
          </w:tcPr>
          <w:p w14:paraId="478E8DBA"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13880-2[71]</w:t>
            </w:r>
          </w:p>
        </w:tc>
        <w:tc>
          <w:tcPr>
            <w:tcW w:w="2232" w:type="dxa"/>
            <w:vAlign w:val="center"/>
          </w:tcPr>
          <w:p w14:paraId="42DFF555"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24D392C6"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20 do 50</w:t>
            </w:r>
          </w:p>
          <w:p w14:paraId="63B2880D"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1/10 mm</w:t>
            </w:r>
          </w:p>
        </w:tc>
      </w:tr>
      <w:tr w:rsidR="004D7D23" w:rsidRPr="007B192E" w14:paraId="2512D294" w14:textId="77777777" w:rsidTr="008F7A94">
        <w:trPr>
          <w:jc w:val="center"/>
        </w:trPr>
        <w:tc>
          <w:tcPr>
            <w:tcW w:w="2231" w:type="dxa"/>
            <w:vAlign w:val="center"/>
          </w:tcPr>
          <w:p w14:paraId="2FD244D0"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Odprężenie sprężyste (odbojność)</w:t>
            </w:r>
          </w:p>
        </w:tc>
        <w:tc>
          <w:tcPr>
            <w:tcW w:w="2232" w:type="dxa"/>
            <w:vAlign w:val="center"/>
          </w:tcPr>
          <w:p w14:paraId="30A6AD90"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13880-3[72]</w:t>
            </w:r>
          </w:p>
        </w:tc>
        <w:tc>
          <w:tcPr>
            <w:tcW w:w="2232" w:type="dxa"/>
            <w:vAlign w:val="center"/>
          </w:tcPr>
          <w:p w14:paraId="055D4A87"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6700CF0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 do 30%</w:t>
            </w:r>
          </w:p>
        </w:tc>
      </w:tr>
      <w:tr w:rsidR="004D7D23" w:rsidRPr="007B192E" w14:paraId="1E9E241D" w14:textId="77777777" w:rsidTr="008F7A94">
        <w:trPr>
          <w:jc w:val="center"/>
        </w:trPr>
        <w:tc>
          <w:tcPr>
            <w:tcW w:w="2231" w:type="dxa"/>
            <w:vAlign w:val="center"/>
          </w:tcPr>
          <w:p w14:paraId="5E25307C"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Zginanie na zimno</w:t>
            </w:r>
          </w:p>
        </w:tc>
        <w:tc>
          <w:tcPr>
            <w:tcW w:w="2232" w:type="dxa"/>
            <w:vAlign w:val="center"/>
          </w:tcPr>
          <w:p w14:paraId="53C1F22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DIN 52123[76]</w:t>
            </w:r>
          </w:p>
        </w:tc>
        <w:tc>
          <w:tcPr>
            <w:tcW w:w="2232" w:type="dxa"/>
            <w:vAlign w:val="center"/>
          </w:tcPr>
          <w:p w14:paraId="52733AE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test odcinka taśmy o długości 20 cm w temperaturze 0°C</w:t>
            </w:r>
          </w:p>
          <w:p w14:paraId="29A7720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badanie po 24 godzinnym</w:t>
            </w:r>
          </w:p>
          <w:p w14:paraId="17CD722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kondycjonowaniu</w:t>
            </w:r>
          </w:p>
          <w:p w14:paraId="3FA0D0DB"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2232" w:type="dxa"/>
            <w:vAlign w:val="center"/>
          </w:tcPr>
          <w:p w14:paraId="17792C1D"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Bez pęknięcia</w:t>
            </w:r>
          </w:p>
        </w:tc>
      </w:tr>
      <w:tr w:rsidR="004D7D23" w:rsidRPr="007B192E" w14:paraId="62E894E7" w14:textId="77777777" w:rsidTr="008F7A94">
        <w:trPr>
          <w:jc w:val="center"/>
        </w:trPr>
        <w:tc>
          <w:tcPr>
            <w:tcW w:w="2231" w:type="dxa"/>
            <w:vAlign w:val="center"/>
          </w:tcPr>
          <w:p w14:paraId="33DC1C4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Możliwość wydłużenia oraz przyczepności taśmy</w:t>
            </w:r>
          </w:p>
        </w:tc>
        <w:tc>
          <w:tcPr>
            <w:tcW w:w="2232" w:type="dxa"/>
            <w:vAlign w:val="center"/>
          </w:tcPr>
          <w:p w14:paraId="1E352B3B"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SNV 671 920</w:t>
            </w:r>
          </w:p>
          <w:p w14:paraId="78C837B1"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13880-13 [75])</w:t>
            </w:r>
          </w:p>
        </w:tc>
        <w:tc>
          <w:tcPr>
            <w:tcW w:w="2232" w:type="dxa"/>
            <w:vAlign w:val="center"/>
          </w:tcPr>
          <w:p w14:paraId="340D898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W temperaturze</w:t>
            </w:r>
          </w:p>
          <w:p w14:paraId="066195DA"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-10°C</w:t>
            </w:r>
          </w:p>
        </w:tc>
        <w:tc>
          <w:tcPr>
            <w:tcW w:w="2232" w:type="dxa"/>
            <w:vAlign w:val="center"/>
          </w:tcPr>
          <w:p w14:paraId="68BE7A33"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w:t>
            </w:r>
          </w:p>
          <w:p w14:paraId="6E62E498"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 N/mm</w:t>
            </w:r>
            <w:r w:rsidRPr="007B192E">
              <w:rPr>
                <w:rFonts w:ascii="Arial" w:hAnsi="Arial" w:cs="Arial"/>
                <w:color w:val="000000" w:themeColor="text1"/>
                <w:sz w:val="18"/>
                <w:szCs w:val="18"/>
                <w:vertAlign w:val="superscript"/>
              </w:rPr>
              <w:t>2</w:t>
            </w:r>
          </w:p>
        </w:tc>
      </w:tr>
      <w:tr w:rsidR="00F45500" w:rsidRPr="007B192E" w14:paraId="3EAA5CD4" w14:textId="77777777" w:rsidTr="008F7A94">
        <w:trPr>
          <w:jc w:val="center"/>
        </w:trPr>
        <w:tc>
          <w:tcPr>
            <w:tcW w:w="2231" w:type="dxa"/>
            <w:vAlign w:val="center"/>
          </w:tcPr>
          <w:p w14:paraId="0FA53B2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Możliwość wydłużenia oraz przyczepności taśmy po starzeniu termicznym</w:t>
            </w:r>
          </w:p>
        </w:tc>
        <w:tc>
          <w:tcPr>
            <w:tcW w:w="2232" w:type="dxa"/>
            <w:vAlign w:val="center"/>
          </w:tcPr>
          <w:p w14:paraId="50DB542F"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SNV 671 920</w:t>
            </w:r>
          </w:p>
          <w:p w14:paraId="09396313"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13880-13 [75])</w:t>
            </w:r>
          </w:p>
        </w:tc>
        <w:tc>
          <w:tcPr>
            <w:tcW w:w="2232" w:type="dxa"/>
            <w:vAlign w:val="center"/>
          </w:tcPr>
          <w:p w14:paraId="799A74C4"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W temperaturze</w:t>
            </w:r>
          </w:p>
          <w:p w14:paraId="357E6B21"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-10°C</w:t>
            </w:r>
          </w:p>
        </w:tc>
        <w:tc>
          <w:tcPr>
            <w:tcW w:w="2232" w:type="dxa"/>
            <w:vAlign w:val="center"/>
          </w:tcPr>
          <w:p w14:paraId="4DE0A86E"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Należy podać wynik</w:t>
            </w:r>
          </w:p>
        </w:tc>
      </w:tr>
    </w:tbl>
    <w:p w14:paraId="28B7F4D4" w14:textId="77777777" w:rsidR="00F45500" w:rsidRPr="007B192E" w:rsidRDefault="00F45500" w:rsidP="00F45500">
      <w:pPr>
        <w:spacing w:before="240" w:after="120"/>
        <w:jc w:val="both"/>
        <w:rPr>
          <w:rFonts w:ascii="Arial" w:hAnsi="Arial" w:cs="Arial"/>
          <w:color w:val="000000" w:themeColor="text1"/>
          <w:sz w:val="18"/>
          <w:szCs w:val="18"/>
        </w:rPr>
      </w:pPr>
    </w:p>
    <w:p w14:paraId="34382B41"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Tablica 18. Wymagania wobec past asfaltowych na zimno na bazie emulsji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D7D23" w:rsidRPr="007B192E" w14:paraId="0E1FFF43" w14:textId="77777777" w:rsidTr="008F7A94">
        <w:trPr>
          <w:jc w:val="center"/>
        </w:trPr>
        <w:tc>
          <w:tcPr>
            <w:tcW w:w="2975" w:type="dxa"/>
            <w:vAlign w:val="center"/>
          </w:tcPr>
          <w:p w14:paraId="69E025F7"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976" w:type="dxa"/>
            <w:vAlign w:val="center"/>
          </w:tcPr>
          <w:p w14:paraId="571D6E43"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976" w:type="dxa"/>
            <w:vAlign w:val="center"/>
          </w:tcPr>
          <w:p w14:paraId="1F1BF202"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Wymaganie</w:t>
            </w:r>
          </w:p>
        </w:tc>
      </w:tr>
      <w:tr w:rsidR="004D7D23" w:rsidRPr="007B192E" w14:paraId="06AF9595" w14:textId="77777777" w:rsidTr="008F7A94">
        <w:trPr>
          <w:jc w:val="center"/>
        </w:trPr>
        <w:tc>
          <w:tcPr>
            <w:tcW w:w="2975" w:type="dxa"/>
          </w:tcPr>
          <w:p w14:paraId="7C905A3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Ocena organoleptyczna</w:t>
            </w:r>
          </w:p>
        </w:tc>
        <w:tc>
          <w:tcPr>
            <w:tcW w:w="2976" w:type="dxa"/>
          </w:tcPr>
          <w:p w14:paraId="48E20EF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1425 [77]</w:t>
            </w:r>
          </w:p>
        </w:tc>
        <w:tc>
          <w:tcPr>
            <w:tcW w:w="2976" w:type="dxa"/>
          </w:tcPr>
          <w:p w14:paraId="236577B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Pasta</w:t>
            </w:r>
          </w:p>
        </w:tc>
      </w:tr>
      <w:tr w:rsidR="004D7D23" w:rsidRPr="007B192E" w14:paraId="4491B221" w14:textId="77777777" w:rsidTr="008F7A94">
        <w:trPr>
          <w:jc w:val="center"/>
        </w:trPr>
        <w:tc>
          <w:tcPr>
            <w:tcW w:w="2975" w:type="dxa"/>
          </w:tcPr>
          <w:p w14:paraId="190A3BA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Odporność na spływanie</w:t>
            </w:r>
          </w:p>
        </w:tc>
        <w:tc>
          <w:tcPr>
            <w:tcW w:w="2976" w:type="dxa"/>
          </w:tcPr>
          <w:p w14:paraId="389EB32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13880-5 [73]</w:t>
            </w:r>
          </w:p>
        </w:tc>
        <w:tc>
          <w:tcPr>
            <w:tcW w:w="2976" w:type="dxa"/>
          </w:tcPr>
          <w:p w14:paraId="3B4AED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Nie spływa</w:t>
            </w:r>
          </w:p>
        </w:tc>
      </w:tr>
      <w:tr w:rsidR="004D7D23" w:rsidRPr="007B192E" w14:paraId="245AE997" w14:textId="77777777" w:rsidTr="008F7A94">
        <w:trPr>
          <w:jc w:val="center"/>
        </w:trPr>
        <w:tc>
          <w:tcPr>
            <w:tcW w:w="2975" w:type="dxa"/>
          </w:tcPr>
          <w:p w14:paraId="246B81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wody</w:t>
            </w:r>
          </w:p>
        </w:tc>
        <w:tc>
          <w:tcPr>
            <w:tcW w:w="2976" w:type="dxa"/>
          </w:tcPr>
          <w:p w14:paraId="4B65C2B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1428 [78]</w:t>
            </w:r>
          </w:p>
        </w:tc>
        <w:tc>
          <w:tcPr>
            <w:tcW w:w="2976" w:type="dxa"/>
          </w:tcPr>
          <w:p w14:paraId="19EC969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≤50% m/m</w:t>
            </w:r>
          </w:p>
        </w:tc>
      </w:tr>
      <w:tr w:rsidR="004D7D23" w:rsidRPr="007B192E" w14:paraId="3A2E111D" w14:textId="77777777" w:rsidTr="008F7A94">
        <w:trPr>
          <w:jc w:val="center"/>
        </w:trPr>
        <w:tc>
          <w:tcPr>
            <w:tcW w:w="8927" w:type="dxa"/>
            <w:gridSpan w:val="3"/>
          </w:tcPr>
          <w:p w14:paraId="4EC016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odzyskanego i ustabilizowanego lepiszcza: PN-EN 13074-1 [79] lub PN-EN 13074-2 [80]</w:t>
            </w:r>
          </w:p>
        </w:tc>
      </w:tr>
      <w:tr w:rsidR="004D7D23" w:rsidRPr="007B192E" w14:paraId="18C02236" w14:textId="77777777" w:rsidTr="008F7A94">
        <w:trPr>
          <w:jc w:val="center"/>
        </w:trPr>
        <w:tc>
          <w:tcPr>
            <w:tcW w:w="2975" w:type="dxa"/>
          </w:tcPr>
          <w:p w14:paraId="145362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PiK</w:t>
            </w:r>
            <w:proofErr w:type="spellEnd"/>
          </w:p>
        </w:tc>
        <w:tc>
          <w:tcPr>
            <w:tcW w:w="2976" w:type="dxa"/>
          </w:tcPr>
          <w:p w14:paraId="5E08B15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1427[22]</w:t>
            </w:r>
          </w:p>
        </w:tc>
        <w:tc>
          <w:tcPr>
            <w:tcW w:w="2976" w:type="dxa"/>
          </w:tcPr>
          <w:p w14:paraId="0E882A0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≥70°C</w:t>
            </w:r>
          </w:p>
        </w:tc>
      </w:tr>
    </w:tbl>
    <w:p w14:paraId="1DED2DC9" w14:textId="77777777" w:rsidR="00F45500" w:rsidRPr="007B192E" w:rsidRDefault="00F45500" w:rsidP="00F45500">
      <w:pPr>
        <w:tabs>
          <w:tab w:val="left" w:pos="1134"/>
        </w:tabs>
        <w:spacing w:before="12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19.</w:t>
      </w:r>
      <w:r w:rsidRPr="007B192E">
        <w:rPr>
          <w:rFonts w:ascii="Arial" w:hAnsi="Arial" w:cs="Arial"/>
          <w:color w:val="000000" w:themeColor="text1"/>
          <w:sz w:val="18"/>
          <w:szCs w:val="18"/>
        </w:rPr>
        <w:tab/>
        <w:t>Wymagania wobec past asfaltowych na gorąco na bazie asfaltu modyfikowanego polimerami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D7D23" w:rsidRPr="007B192E" w14:paraId="68BDD618" w14:textId="77777777" w:rsidTr="008F7A94">
        <w:trPr>
          <w:jc w:val="center"/>
        </w:trPr>
        <w:tc>
          <w:tcPr>
            <w:tcW w:w="2975" w:type="dxa"/>
            <w:vAlign w:val="center"/>
          </w:tcPr>
          <w:p w14:paraId="2F024C64"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976" w:type="dxa"/>
            <w:vAlign w:val="center"/>
          </w:tcPr>
          <w:p w14:paraId="0639600A"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976" w:type="dxa"/>
            <w:vAlign w:val="center"/>
          </w:tcPr>
          <w:p w14:paraId="62260C97" w14:textId="77777777" w:rsidR="00F45500" w:rsidRPr="007B192E" w:rsidRDefault="00F45500" w:rsidP="008F7A94">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Wymaganie</w:t>
            </w:r>
          </w:p>
        </w:tc>
      </w:tr>
      <w:tr w:rsidR="004D7D23" w:rsidRPr="007B192E" w14:paraId="2EEB7911" w14:textId="77777777" w:rsidTr="008F7A94">
        <w:trPr>
          <w:jc w:val="center"/>
        </w:trPr>
        <w:tc>
          <w:tcPr>
            <w:tcW w:w="2975" w:type="dxa"/>
          </w:tcPr>
          <w:p w14:paraId="55CB3D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Zachowanie przy temperaturze lejności</w:t>
            </w:r>
          </w:p>
        </w:tc>
        <w:tc>
          <w:tcPr>
            <w:tcW w:w="2976" w:type="dxa"/>
          </w:tcPr>
          <w:p w14:paraId="70FE398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13880-6 [74]</w:t>
            </w:r>
          </w:p>
        </w:tc>
        <w:tc>
          <w:tcPr>
            <w:tcW w:w="2976" w:type="dxa"/>
          </w:tcPr>
          <w:p w14:paraId="63F0FB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Homogeniczny</w:t>
            </w:r>
          </w:p>
        </w:tc>
      </w:tr>
      <w:tr w:rsidR="004D7D23" w:rsidRPr="007B192E" w14:paraId="698FCBFC" w14:textId="77777777" w:rsidTr="008F7A94">
        <w:trPr>
          <w:jc w:val="center"/>
        </w:trPr>
        <w:tc>
          <w:tcPr>
            <w:tcW w:w="2975" w:type="dxa"/>
          </w:tcPr>
          <w:p w14:paraId="1A90588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PiK</w:t>
            </w:r>
            <w:proofErr w:type="spellEnd"/>
          </w:p>
        </w:tc>
        <w:tc>
          <w:tcPr>
            <w:tcW w:w="2976" w:type="dxa"/>
          </w:tcPr>
          <w:p w14:paraId="2EA19E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2976" w:type="dxa"/>
          </w:tcPr>
          <w:p w14:paraId="094650A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≥80°C</w:t>
            </w:r>
          </w:p>
        </w:tc>
      </w:tr>
      <w:tr w:rsidR="004D7D23" w:rsidRPr="007B192E" w14:paraId="0CD89646" w14:textId="77777777" w:rsidTr="008F7A94">
        <w:trPr>
          <w:jc w:val="center"/>
        </w:trPr>
        <w:tc>
          <w:tcPr>
            <w:tcW w:w="2975" w:type="dxa"/>
          </w:tcPr>
          <w:p w14:paraId="4C9175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Penetracja stożkiem w 25°C, 5 s, 150 g</w:t>
            </w:r>
          </w:p>
        </w:tc>
        <w:tc>
          <w:tcPr>
            <w:tcW w:w="2976" w:type="dxa"/>
          </w:tcPr>
          <w:p w14:paraId="036087CD" w14:textId="77777777" w:rsidR="00F45500" w:rsidRPr="007B192E" w:rsidRDefault="00F45500" w:rsidP="008F7A94">
            <w:pPr>
              <w:tabs>
                <w:tab w:val="left" w:pos="300"/>
                <w:tab w:val="center" w:pos="1380"/>
              </w:tabs>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PN-EN 13880-2 [71]</w:t>
            </w:r>
          </w:p>
        </w:tc>
        <w:tc>
          <w:tcPr>
            <w:tcW w:w="2976" w:type="dxa"/>
          </w:tcPr>
          <w:p w14:paraId="2946668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30 do 60  0,1 mm</w:t>
            </w:r>
          </w:p>
        </w:tc>
      </w:tr>
      <w:tr w:rsidR="004D7D23" w:rsidRPr="007B192E" w14:paraId="6FA42B54" w14:textId="77777777" w:rsidTr="008F7A94">
        <w:trPr>
          <w:jc w:val="center"/>
        </w:trPr>
        <w:tc>
          <w:tcPr>
            <w:tcW w:w="2975" w:type="dxa"/>
          </w:tcPr>
          <w:p w14:paraId="6C09C29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Odporność na spływanie</w:t>
            </w:r>
          </w:p>
        </w:tc>
        <w:tc>
          <w:tcPr>
            <w:tcW w:w="2976" w:type="dxa"/>
          </w:tcPr>
          <w:p w14:paraId="4D7BC9F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13880-5 [73]</w:t>
            </w:r>
          </w:p>
        </w:tc>
        <w:tc>
          <w:tcPr>
            <w:tcW w:w="2976" w:type="dxa"/>
          </w:tcPr>
          <w:p w14:paraId="20FEF25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≤5,0 mm</w:t>
            </w:r>
          </w:p>
        </w:tc>
      </w:tr>
      <w:tr w:rsidR="004D7D23" w:rsidRPr="007B192E" w14:paraId="237C7203" w14:textId="77777777" w:rsidTr="008F7A94">
        <w:trPr>
          <w:jc w:val="center"/>
        </w:trPr>
        <w:tc>
          <w:tcPr>
            <w:tcW w:w="2975" w:type="dxa"/>
          </w:tcPr>
          <w:p w14:paraId="081F1E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Odprężenie sprężyste (odbojność)</w:t>
            </w:r>
          </w:p>
        </w:tc>
        <w:tc>
          <w:tcPr>
            <w:tcW w:w="2976" w:type="dxa"/>
          </w:tcPr>
          <w:p w14:paraId="2CD04E7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13380-3 [72]</w:t>
            </w:r>
          </w:p>
        </w:tc>
        <w:tc>
          <w:tcPr>
            <w:tcW w:w="2976" w:type="dxa"/>
          </w:tcPr>
          <w:p w14:paraId="4E5EBCC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10-50%</w:t>
            </w:r>
          </w:p>
        </w:tc>
      </w:tr>
      <w:tr w:rsidR="00F45500" w:rsidRPr="007B192E" w14:paraId="7AA13BD7" w14:textId="77777777" w:rsidTr="008F7A94">
        <w:trPr>
          <w:jc w:val="center"/>
        </w:trPr>
        <w:tc>
          <w:tcPr>
            <w:tcW w:w="2975" w:type="dxa"/>
          </w:tcPr>
          <w:p w14:paraId="782EA98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Wydłużenie nieciągłe (próba przyczepności ), po 5 h, -10°C</w:t>
            </w:r>
          </w:p>
        </w:tc>
        <w:tc>
          <w:tcPr>
            <w:tcW w:w="2976" w:type="dxa"/>
          </w:tcPr>
          <w:p w14:paraId="312A114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13880-13 [75]</w:t>
            </w:r>
          </w:p>
        </w:tc>
        <w:tc>
          <w:tcPr>
            <w:tcW w:w="2976" w:type="dxa"/>
          </w:tcPr>
          <w:p w14:paraId="35E5D96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 mm</w:t>
            </w:r>
          </w:p>
          <w:p w14:paraId="4DD189D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≤0,75 N/mm</w:t>
            </w:r>
            <w:r w:rsidRPr="007B192E">
              <w:rPr>
                <w:rFonts w:ascii="Arial" w:hAnsi="Arial" w:cs="Arial"/>
                <w:color w:val="000000" w:themeColor="text1"/>
                <w:sz w:val="18"/>
                <w:szCs w:val="18"/>
                <w:vertAlign w:val="superscript"/>
              </w:rPr>
              <w:t>2</w:t>
            </w:r>
          </w:p>
        </w:tc>
      </w:tr>
    </w:tbl>
    <w:p w14:paraId="16819F4B" w14:textId="77777777" w:rsidR="00F45500" w:rsidRPr="007B192E" w:rsidRDefault="00F45500" w:rsidP="00F45500">
      <w:pPr>
        <w:ind w:firstLine="709"/>
        <w:jc w:val="both"/>
        <w:rPr>
          <w:rFonts w:ascii="Arial" w:hAnsi="Arial" w:cs="Arial"/>
          <w:color w:val="000000" w:themeColor="text1"/>
          <w:sz w:val="18"/>
          <w:szCs w:val="18"/>
        </w:rPr>
      </w:pPr>
    </w:p>
    <w:p w14:paraId="05C8C13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Składowanie materiałów termoplastycznych jest dozwolone tylko w oryginalnych opakowaniach producenta, w warunkach określonych w aprobacie technicznej.</w:t>
      </w:r>
    </w:p>
    <w:p w14:paraId="01A8FA9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uszczelnienia krawędzi należy stosować asfalt drogowy wg PN-EN 12591 [24], asfalt modyfikowany polimerami wg PN-EN 14023 [66] „metoda na gorąco”. Dopuszcza się inne rodzaje lepiszcza wg norm lub aprobat technicznych.</w:t>
      </w:r>
    </w:p>
    <w:p w14:paraId="4AA2B27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2.8. Materiały do złączenia warstw konstrukcji</w:t>
      </w:r>
    </w:p>
    <w:p w14:paraId="5EA4AAB6" w14:textId="77777777" w:rsidR="00F45500" w:rsidRPr="007B192E" w:rsidRDefault="00F45500" w:rsidP="00F45500">
      <w:pPr>
        <w:tabs>
          <w:tab w:val="left" w:pos="-2694"/>
        </w:tabs>
        <w:jc w:val="both"/>
        <w:rPr>
          <w:rFonts w:ascii="Arial" w:hAnsi="Arial" w:cs="Arial"/>
          <w:color w:val="000000" w:themeColor="text1"/>
          <w:sz w:val="18"/>
          <w:szCs w:val="18"/>
        </w:rPr>
      </w:pPr>
      <w:r w:rsidRPr="007B192E">
        <w:rPr>
          <w:rFonts w:ascii="Arial" w:hAnsi="Arial" w:cs="Arial"/>
          <w:color w:val="000000" w:themeColor="text1"/>
          <w:sz w:val="18"/>
          <w:szCs w:val="18"/>
        </w:rPr>
        <w:tab/>
        <w:t>Do złączania warstw konstrukcji podbudowy należy stosować  kationowe emulsje asfaltowe niemodyfikowane lub kationowe emulsje modyfikowane polimerami według aktualnego wydania Załącznika krajowego NA do PN-EN 13808 [64].</w:t>
      </w:r>
    </w:p>
    <w:p w14:paraId="6E35F19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Spośród rodzajów emulsji wymienionych w Załączniku krajowym NA [64a] do normy PN-EN 13808 [64], należy stosować emulsje oznaczone kodem ZM. </w:t>
      </w:r>
    </w:p>
    <w:p w14:paraId="26830AA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i przeznaczenie emulsji asfaltowych oraz sposób ich składowania opisano w ST D-04.03.01a [2]. </w:t>
      </w:r>
    </w:p>
    <w:p w14:paraId="0C3C4A7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2.9. Dodatki do mieszanki mineralno-asfaltowej </w:t>
      </w:r>
    </w:p>
    <w:p w14:paraId="000167A3"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Mogą być stosowane dodatki stabilizujące lub modyfikujące. Pochodzenie, rodzaj i właściwości dodatków powinny być deklarowane. </w:t>
      </w:r>
    </w:p>
    <w:p w14:paraId="50F198BA" w14:textId="77777777" w:rsidR="00F45500" w:rsidRPr="007B192E" w:rsidRDefault="00F45500" w:rsidP="00F45500">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Należy używać tylko materiałów składowych o ustalonej przydatności.</w:t>
      </w:r>
    </w:p>
    <w:p w14:paraId="5F7D0078"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Ustalenie przydatności powinno wynikać co najmniej jednego z następujących dokumentów: </w:t>
      </w:r>
    </w:p>
    <w:p w14:paraId="5987EEAF" w14:textId="77777777" w:rsidR="00F45500" w:rsidRPr="007B192E" w:rsidRDefault="00F45500" w:rsidP="00F45500">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 Normy Europejskiej,</w:t>
      </w:r>
    </w:p>
    <w:p w14:paraId="4EDC896A" w14:textId="77777777" w:rsidR="00F45500" w:rsidRPr="007B192E" w:rsidRDefault="00F45500" w:rsidP="00F45500">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 europejskiej aprobaty technicznej,</w:t>
      </w:r>
    </w:p>
    <w:p w14:paraId="7D90792D" w14:textId="77777777" w:rsidR="00F45500" w:rsidRPr="007B192E" w:rsidRDefault="00F45500" w:rsidP="00F45500">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 xml:space="preserve">- specyfikacji materiałowych opartych na potwierdzonych pozytywnych zastosowaniach w nawierzchniach asfaltowych.  </w:t>
      </w:r>
    </w:p>
    <w:p w14:paraId="2A85B31A"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Wykaz należy dostarczyć w celu udowodnienia przydatności. Wykaz może być oparty na badaniach w połączeniu z dowodami w praktyce.</w:t>
      </w:r>
    </w:p>
    <w:p w14:paraId="6634BABE"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Zaleca się stosowanie do mieszanki mineralno-asfaltowej środka obniżającego temperaturę produkcji i układania.  </w:t>
      </w:r>
    </w:p>
    <w:p w14:paraId="0FED041C"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mieszanki mineralno-asfaltowej  może być stosowany dodatek asfaltu naturalnego wg PN-EN 13108-4 [52], załącznik B. </w:t>
      </w:r>
    </w:p>
    <w:p w14:paraId="12C36E0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 xml:space="preserve">2.10. Skład mieszanki mineralno-asfaltowej </w:t>
      </w:r>
    </w:p>
    <w:p w14:paraId="6E60E3C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Skład mieszanki mineralno-asfaltowej powinien być ustalony na podstawie badań próbek wykonanych zgodnie z normą PN-EN 13108-20 [54], załącznik C oraz normami powiązanymi. </w:t>
      </w:r>
    </w:p>
    <w:p w14:paraId="1610007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Uziarnienie mieszanki mineralnej oraz minimalna zawartość lepiszcza podane są w tablicy 20. </w:t>
      </w:r>
    </w:p>
    <w:p w14:paraId="7EEEE31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Próbki powinny spełniać wymagania podane w tablicach 21, 22 i 23, w zależności od kategorii ruchu jak i zawartości asfaltu </w:t>
      </w:r>
      <w:proofErr w:type="spellStart"/>
      <w:r w:rsidRPr="007B192E">
        <w:rPr>
          <w:rFonts w:ascii="Arial" w:hAnsi="Arial" w:cs="Arial"/>
          <w:color w:val="000000" w:themeColor="text1"/>
          <w:sz w:val="18"/>
          <w:szCs w:val="18"/>
        </w:rPr>
        <w:t>B</w:t>
      </w:r>
      <w:r w:rsidRPr="007B192E">
        <w:rPr>
          <w:rFonts w:ascii="Arial" w:hAnsi="Arial" w:cs="Arial"/>
          <w:color w:val="000000" w:themeColor="text1"/>
          <w:sz w:val="18"/>
          <w:szCs w:val="18"/>
          <w:vertAlign w:val="subscript"/>
        </w:rPr>
        <w:t>min</w:t>
      </w:r>
      <w:proofErr w:type="spellEnd"/>
      <w:r w:rsidRPr="007B192E">
        <w:rPr>
          <w:rFonts w:ascii="Arial" w:hAnsi="Arial" w:cs="Arial"/>
          <w:color w:val="000000" w:themeColor="text1"/>
          <w:sz w:val="18"/>
          <w:szCs w:val="18"/>
        </w:rPr>
        <w:t xml:space="preserve"> i temperatur zagęszczania próbek. </w:t>
      </w:r>
    </w:p>
    <w:p w14:paraId="2D89FD76" w14:textId="77777777" w:rsidR="00F45500" w:rsidRPr="007B192E" w:rsidRDefault="00F45500" w:rsidP="00F45500">
      <w:pPr>
        <w:rPr>
          <w:rFonts w:ascii="Arial" w:hAnsi="Arial" w:cs="Arial"/>
          <w:color w:val="000000" w:themeColor="text1"/>
          <w:sz w:val="18"/>
          <w:szCs w:val="18"/>
        </w:rPr>
      </w:pPr>
    </w:p>
    <w:p w14:paraId="21CD5C21"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Tablica 20.</w:t>
      </w:r>
      <w:r w:rsidRPr="007B192E">
        <w:rPr>
          <w:rFonts w:ascii="Arial" w:hAnsi="Arial" w:cs="Arial"/>
          <w:color w:val="000000" w:themeColor="text1"/>
          <w:sz w:val="18"/>
          <w:szCs w:val="18"/>
        </w:rPr>
        <w:tab/>
        <w:t xml:space="preserve">Uziarnienie mieszanki mineralnej oraz zawartość lepiszcza do betonu asfaltowego do warstwy podbudowy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0"/>
        <w:gridCol w:w="3408"/>
        <w:gridCol w:w="3320"/>
      </w:tblGrid>
      <w:tr w:rsidR="004D7D23" w:rsidRPr="007B192E" w14:paraId="7E5AA1BC" w14:textId="77777777" w:rsidTr="008F7A94">
        <w:trPr>
          <w:jc w:val="center"/>
        </w:trPr>
        <w:tc>
          <w:tcPr>
            <w:tcW w:w="1900" w:type="dxa"/>
            <w:vMerge w:val="restart"/>
            <w:vAlign w:val="center"/>
          </w:tcPr>
          <w:p w14:paraId="5E5423A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6728" w:type="dxa"/>
            <w:gridSpan w:val="2"/>
            <w:vAlign w:val="center"/>
          </w:tcPr>
          <w:p w14:paraId="5CE9547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Przesiew,   [% (m/m)]</w:t>
            </w:r>
          </w:p>
        </w:tc>
      </w:tr>
      <w:tr w:rsidR="004D7D23" w:rsidRPr="007B192E" w14:paraId="5A081C29" w14:textId="77777777" w:rsidTr="008F7A94">
        <w:trPr>
          <w:jc w:val="center"/>
        </w:trPr>
        <w:tc>
          <w:tcPr>
            <w:tcW w:w="1900" w:type="dxa"/>
            <w:vMerge/>
            <w:vAlign w:val="center"/>
          </w:tcPr>
          <w:p w14:paraId="75FBAC32" w14:textId="77777777" w:rsidR="00F45500" w:rsidRPr="007B192E" w:rsidRDefault="00F45500" w:rsidP="008F7A94">
            <w:pPr>
              <w:jc w:val="center"/>
              <w:rPr>
                <w:rFonts w:ascii="Arial" w:hAnsi="Arial" w:cs="Arial"/>
                <w:color w:val="000000" w:themeColor="text1"/>
                <w:sz w:val="18"/>
                <w:szCs w:val="18"/>
              </w:rPr>
            </w:pPr>
          </w:p>
        </w:tc>
        <w:tc>
          <w:tcPr>
            <w:tcW w:w="6728" w:type="dxa"/>
            <w:gridSpan w:val="2"/>
            <w:vAlign w:val="center"/>
          </w:tcPr>
          <w:p w14:paraId="5309E09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AC22P</w:t>
            </w:r>
          </w:p>
          <w:p w14:paraId="3CF9E66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KR3-KR7</w:t>
            </w:r>
          </w:p>
        </w:tc>
      </w:tr>
      <w:tr w:rsidR="004D7D23" w:rsidRPr="007B192E" w14:paraId="4292E933" w14:textId="77777777" w:rsidTr="008F7A94">
        <w:trPr>
          <w:jc w:val="center"/>
        </w:trPr>
        <w:tc>
          <w:tcPr>
            <w:tcW w:w="1900" w:type="dxa"/>
            <w:vAlign w:val="center"/>
          </w:tcPr>
          <w:p w14:paraId="042D339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Wymiar sita #, [mm]</w:t>
            </w:r>
          </w:p>
        </w:tc>
        <w:tc>
          <w:tcPr>
            <w:tcW w:w="3408" w:type="dxa"/>
            <w:vAlign w:val="center"/>
          </w:tcPr>
          <w:p w14:paraId="552070B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od</w:t>
            </w:r>
          </w:p>
        </w:tc>
        <w:tc>
          <w:tcPr>
            <w:tcW w:w="3320" w:type="dxa"/>
            <w:vAlign w:val="center"/>
          </w:tcPr>
          <w:p w14:paraId="5890B59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do</w:t>
            </w:r>
          </w:p>
        </w:tc>
      </w:tr>
      <w:tr w:rsidR="004D7D23" w:rsidRPr="007B192E" w14:paraId="350E67C1" w14:textId="77777777" w:rsidTr="008F7A94">
        <w:trPr>
          <w:jc w:val="center"/>
        </w:trPr>
        <w:tc>
          <w:tcPr>
            <w:tcW w:w="1900" w:type="dxa"/>
            <w:vAlign w:val="center"/>
          </w:tcPr>
          <w:p w14:paraId="19091BB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45</w:t>
            </w:r>
          </w:p>
        </w:tc>
        <w:tc>
          <w:tcPr>
            <w:tcW w:w="3408" w:type="dxa"/>
            <w:vAlign w:val="center"/>
          </w:tcPr>
          <w:p w14:paraId="0D796C0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3320" w:type="dxa"/>
            <w:vAlign w:val="center"/>
          </w:tcPr>
          <w:p w14:paraId="063186D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r w:rsidR="004D7D23" w:rsidRPr="007B192E" w14:paraId="0E5B2FF7" w14:textId="77777777" w:rsidTr="008F7A94">
        <w:trPr>
          <w:jc w:val="center"/>
        </w:trPr>
        <w:tc>
          <w:tcPr>
            <w:tcW w:w="1900" w:type="dxa"/>
            <w:vAlign w:val="center"/>
          </w:tcPr>
          <w:p w14:paraId="04AF30C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31,5</w:t>
            </w:r>
          </w:p>
        </w:tc>
        <w:tc>
          <w:tcPr>
            <w:tcW w:w="3408" w:type="dxa"/>
            <w:vAlign w:val="center"/>
          </w:tcPr>
          <w:p w14:paraId="4FF0129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3320" w:type="dxa"/>
            <w:vAlign w:val="center"/>
          </w:tcPr>
          <w:p w14:paraId="48054CA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r w:rsidR="004D7D23" w:rsidRPr="007B192E" w14:paraId="444B2393" w14:textId="77777777" w:rsidTr="008F7A94">
        <w:trPr>
          <w:jc w:val="center"/>
        </w:trPr>
        <w:tc>
          <w:tcPr>
            <w:tcW w:w="1900" w:type="dxa"/>
            <w:vAlign w:val="center"/>
          </w:tcPr>
          <w:p w14:paraId="5B4BC32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22,4</w:t>
            </w:r>
          </w:p>
        </w:tc>
        <w:tc>
          <w:tcPr>
            <w:tcW w:w="3408" w:type="dxa"/>
            <w:vAlign w:val="center"/>
          </w:tcPr>
          <w:p w14:paraId="048AF1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90</w:t>
            </w:r>
          </w:p>
        </w:tc>
        <w:tc>
          <w:tcPr>
            <w:tcW w:w="3320" w:type="dxa"/>
            <w:vAlign w:val="center"/>
          </w:tcPr>
          <w:p w14:paraId="614F8FC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r>
      <w:tr w:rsidR="004D7D23" w:rsidRPr="007B192E" w14:paraId="424C9FFB" w14:textId="77777777" w:rsidTr="008F7A94">
        <w:trPr>
          <w:jc w:val="center"/>
        </w:trPr>
        <w:tc>
          <w:tcPr>
            <w:tcW w:w="1900" w:type="dxa"/>
            <w:vAlign w:val="center"/>
          </w:tcPr>
          <w:p w14:paraId="11A0A24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3408" w:type="dxa"/>
            <w:vAlign w:val="center"/>
          </w:tcPr>
          <w:p w14:paraId="5A7E82D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65</w:t>
            </w:r>
          </w:p>
        </w:tc>
        <w:tc>
          <w:tcPr>
            <w:tcW w:w="3320" w:type="dxa"/>
            <w:vAlign w:val="center"/>
          </w:tcPr>
          <w:p w14:paraId="426F48E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90</w:t>
            </w:r>
          </w:p>
        </w:tc>
      </w:tr>
      <w:tr w:rsidR="004D7D23" w:rsidRPr="007B192E" w14:paraId="324C5030" w14:textId="77777777" w:rsidTr="008F7A94">
        <w:trPr>
          <w:jc w:val="center"/>
        </w:trPr>
        <w:tc>
          <w:tcPr>
            <w:tcW w:w="1900" w:type="dxa"/>
            <w:vAlign w:val="center"/>
          </w:tcPr>
          <w:p w14:paraId="10A246C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11,2</w:t>
            </w:r>
          </w:p>
        </w:tc>
        <w:tc>
          <w:tcPr>
            <w:tcW w:w="3408" w:type="dxa"/>
            <w:vAlign w:val="center"/>
          </w:tcPr>
          <w:p w14:paraId="3C8173D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3320" w:type="dxa"/>
            <w:vAlign w:val="center"/>
          </w:tcPr>
          <w:p w14:paraId="4D46DAF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r w:rsidR="004D7D23" w:rsidRPr="007B192E" w14:paraId="188F9EE7" w14:textId="77777777" w:rsidTr="008F7A94">
        <w:trPr>
          <w:jc w:val="center"/>
        </w:trPr>
        <w:tc>
          <w:tcPr>
            <w:tcW w:w="1900" w:type="dxa"/>
            <w:vAlign w:val="center"/>
          </w:tcPr>
          <w:p w14:paraId="34AD1C5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408" w:type="dxa"/>
            <w:vAlign w:val="center"/>
          </w:tcPr>
          <w:p w14:paraId="702482A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42</w:t>
            </w:r>
          </w:p>
        </w:tc>
        <w:tc>
          <w:tcPr>
            <w:tcW w:w="3320" w:type="dxa"/>
            <w:vAlign w:val="center"/>
          </w:tcPr>
          <w:p w14:paraId="43B52D1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68</w:t>
            </w:r>
          </w:p>
        </w:tc>
      </w:tr>
      <w:tr w:rsidR="004D7D23" w:rsidRPr="007B192E" w14:paraId="3B8A9F86" w14:textId="77777777" w:rsidTr="008F7A94">
        <w:trPr>
          <w:jc w:val="center"/>
        </w:trPr>
        <w:tc>
          <w:tcPr>
            <w:tcW w:w="1900" w:type="dxa"/>
            <w:vAlign w:val="center"/>
          </w:tcPr>
          <w:p w14:paraId="58CFCBB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408" w:type="dxa"/>
            <w:vAlign w:val="center"/>
          </w:tcPr>
          <w:p w14:paraId="36C66C5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3320" w:type="dxa"/>
            <w:vAlign w:val="center"/>
          </w:tcPr>
          <w:p w14:paraId="7536348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45</w:t>
            </w:r>
          </w:p>
        </w:tc>
      </w:tr>
      <w:tr w:rsidR="004D7D23" w:rsidRPr="007B192E" w14:paraId="14F6C20F" w14:textId="77777777" w:rsidTr="008F7A94">
        <w:trPr>
          <w:jc w:val="center"/>
        </w:trPr>
        <w:tc>
          <w:tcPr>
            <w:tcW w:w="1900" w:type="dxa"/>
            <w:vAlign w:val="center"/>
          </w:tcPr>
          <w:p w14:paraId="5016A83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0,125</w:t>
            </w:r>
          </w:p>
        </w:tc>
        <w:tc>
          <w:tcPr>
            <w:tcW w:w="3408" w:type="dxa"/>
            <w:vAlign w:val="center"/>
          </w:tcPr>
          <w:p w14:paraId="10409D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320" w:type="dxa"/>
            <w:vAlign w:val="center"/>
          </w:tcPr>
          <w:p w14:paraId="19D4D4D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r>
      <w:tr w:rsidR="004D7D23" w:rsidRPr="007B192E" w14:paraId="207D05DA" w14:textId="77777777" w:rsidTr="008F7A94">
        <w:trPr>
          <w:jc w:val="center"/>
        </w:trPr>
        <w:tc>
          <w:tcPr>
            <w:tcW w:w="1900" w:type="dxa"/>
            <w:vAlign w:val="center"/>
          </w:tcPr>
          <w:p w14:paraId="597F6D8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0,063</w:t>
            </w:r>
          </w:p>
        </w:tc>
        <w:tc>
          <w:tcPr>
            <w:tcW w:w="3408" w:type="dxa"/>
            <w:vAlign w:val="center"/>
          </w:tcPr>
          <w:p w14:paraId="089990B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320" w:type="dxa"/>
            <w:vAlign w:val="center"/>
          </w:tcPr>
          <w:p w14:paraId="06525B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r>
      <w:tr w:rsidR="004D7D23" w:rsidRPr="007B192E" w14:paraId="3D8C3CC7" w14:textId="77777777" w:rsidTr="008F7A94">
        <w:trPr>
          <w:jc w:val="center"/>
        </w:trPr>
        <w:tc>
          <w:tcPr>
            <w:tcW w:w="1900" w:type="dxa"/>
            <w:vAlign w:val="center"/>
          </w:tcPr>
          <w:p w14:paraId="77565223" w14:textId="77777777" w:rsidR="00F45500" w:rsidRPr="007B192E" w:rsidRDefault="00F45500" w:rsidP="008F7A94">
            <w:pPr>
              <w:jc w:val="center"/>
              <w:rPr>
                <w:rFonts w:ascii="Arial" w:hAnsi="Arial" w:cs="Arial"/>
                <w:color w:val="000000" w:themeColor="text1"/>
                <w:sz w:val="18"/>
                <w:szCs w:val="18"/>
                <w:vertAlign w:val="superscript"/>
              </w:rPr>
            </w:pPr>
            <w:r w:rsidRPr="007B192E">
              <w:rPr>
                <w:rFonts w:ascii="Arial" w:hAnsi="Arial" w:cs="Arial"/>
                <w:color w:val="000000" w:themeColor="text1"/>
                <w:sz w:val="18"/>
                <w:szCs w:val="18"/>
              </w:rPr>
              <w:t>Zawartość lepiszcza, minimum</w:t>
            </w:r>
            <w:r w:rsidRPr="007B192E">
              <w:rPr>
                <w:rFonts w:ascii="Arial" w:hAnsi="Arial" w:cs="Arial"/>
                <w:color w:val="000000" w:themeColor="text1"/>
                <w:sz w:val="18"/>
                <w:szCs w:val="18"/>
                <w:vertAlign w:val="superscript"/>
              </w:rPr>
              <w:t>*)</w:t>
            </w:r>
          </w:p>
        </w:tc>
        <w:tc>
          <w:tcPr>
            <w:tcW w:w="6728" w:type="dxa"/>
            <w:gridSpan w:val="2"/>
            <w:vAlign w:val="center"/>
          </w:tcPr>
          <w:p w14:paraId="4599EFAB" w14:textId="77777777" w:rsidR="00F45500" w:rsidRPr="007B192E" w:rsidRDefault="00F45500" w:rsidP="008F7A94">
            <w:pPr>
              <w:spacing w:before="100" w:beforeAutospacing="1" w:after="240"/>
              <w:jc w:val="center"/>
              <w:rPr>
                <w:rFonts w:ascii="Arial" w:hAnsi="Arial" w:cs="Arial"/>
                <w:color w:val="000000" w:themeColor="text1"/>
                <w:sz w:val="18"/>
                <w:szCs w:val="18"/>
              </w:rPr>
            </w:pPr>
            <w:r w:rsidRPr="007B192E">
              <w:rPr>
                <w:rFonts w:ascii="Arial" w:hAnsi="Arial" w:cs="Arial"/>
                <w:color w:val="000000" w:themeColor="text1"/>
                <w:sz w:val="18"/>
                <w:szCs w:val="18"/>
              </w:rPr>
              <w:t>B</w:t>
            </w:r>
            <w:r w:rsidRPr="007B192E">
              <w:rPr>
                <w:rFonts w:ascii="Arial" w:hAnsi="Arial" w:cs="Arial"/>
                <w:color w:val="000000" w:themeColor="text1"/>
                <w:sz w:val="18"/>
                <w:szCs w:val="18"/>
                <w:vertAlign w:val="subscript"/>
              </w:rPr>
              <w:t>min4,0</w:t>
            </w:r>
          </w:p>
        </w:tc>
      </w:tr>
      <w:tr w:rsidR="004D7D23" w:rsidRPr="007B192E" w14:paraId="6BEF3FA3" w14:textId="77777777" w:rsidTr="008F7A94">
        <w:tblPrEx>
          <w:tblCellMar>
            <w:left w:w="70" w:type="dxa"/>
            <w:right w:w="70" w:type="dxa"/>
          </w:tblCellMar>
          <w:tblLook w:val="0000" w:firstRow="0" w:lastRow="0" w:firstColumn="0" w:lastColumn="0" w:noHBand="0" w:noVBand="0"/>
        </w:tblPrEx>
        <w:trPr>
          <w:trHeight w:val="656"/>
          <w:jc w:val="center"/>
        </w:trPr>
        <w:tc>
          <w:tcPr>
            <w:tcW w:w="8628" w:type="dxa"/>
            <w:gridSpan w:val="3"/>
          </w:tcPr>
          <w:p w14:paraId="480466F9" w14:textId="77777777" w:rsidR="00F45500" w:rsidRPr="007B192E" w:rsidRDefault="00F45500" w:rsidP="008F7A94">
            <w:pPr>
              <w:tabs>
                <w:tab w:val="left" w:pos="180"/>
              </w:tabs>
              <w:spacing w:before="120" w:after="120"/>
              <w:ind w:left="180" w:hanging="180"/>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ab/>
              <w:t>Minimalna zawartość lepiszcza jest określona przy założonej gęstości mieszanki mineralnej 2,650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Jeżeli stosowana mieszanka mineralna ma inną gęstość (</w:t>
            </w:r>
            <w:proofErr w:type="spellStart"/>
            <w:r w:rsidRPr="007B192E">
              <w:rPr>
                <w:rFonts w:ascii="Arial" w:hAnsi="Arial" w:cs="Arial"/>
                <w:i/>
                <w:color w:val="000000" w:themeColor="text1"/>
                <w:sz w:val="18"/>
                <w:szCs w:val="18"/>
              </w:rPr>
              <w:t>ρ</w:t>
            </w:r>
            <w:r w:rsidRPr="007B192E">
              <w:rPr>
                <w:rFonts w:ascii="Arial" w:hAnsi="Arial" w:cs="Arial"/>
                <w:color w:val="000000" w:themeColor="text1"/>
                <w:sz w:val="18"/>
                <w:szCs w:val="18"/>
                <w:vertAlign w:val="subscript"/>
              </w:rPr>
              <w:t>d</w:t>
            </w:r>
            <w:proofErr w:type="spellEnd"/>
            <w:r w:rsidRPr="007B192E">
              <w:rPr>
                <w:rFonts w:ascii="Arial" w:hAnsi="Arial" w:cs="Arial"/>
                <w:color w:val="000000" w:themeColor="text1"/>
                <w:sz w:val="18"/>
                <w:szCs w:val="18"/>
              </w:rPr>
              <w:t xml:space="preserve">), to do wyznaczenia minimalnej zawartości lepiszcza podaną wartość należy pomnożyć przez współczynnik </w:t>
            </w:r>
            <w:r w:rsidRPr="007B192E">
              <w:rPr>
                <w:rFonts w:ascii="Arial" w:hAnsi="Arial" w:cs="Arial"/>
                <w:color w:val="000000" w:themeColor="text1"/>
                <w:position w:val="-6"/>
                <w:sz w:val="18"/>
                <w:szCs w:val="18"/>
              </w:rPr>
              <w:object w:dxaOrig="240" w:dyaOrig="220" w14:anchorId="54623182">
                <v:shape id="_x0000_i1028" type="#_x0000_t75" style="width:11.7pt;height:10.9pt" o:ole="">
                  <v:imagedata r:id="rId29" o:title=""/>
                </v:shape>
                <o:OLEObject Type="Embed" ProgID="Equation.3" ShapeID="_x0000_i1028" DrawAspect="Content" ObjectID="_1776762939" r:id="rId30"/>
              </w:object>
            </w:r>
            <w:r w:rsidRPr="007B192E">
              <w:rPr>
                <w:rFonts w:ascii="Arial" w:hAnsi="Arial" w:cs="Arial"/>
                <w:color w:val="000000" w:themeColor="text1"/>
                <w:sz w:val="18"/>
                <w:szCs w:val="18"/>
              </w:rPr>
              <w:t xml:space="preserve"> według równania:  </w:t>
            </w:r>
            <w:r w:rsidRPr="007B192E">
              <w:rPr>
                <w:rFonts w:ascii="Arial" w:hAnsi="Arial" w:cs="Arial"/>
                <w:color w:val="000000" w:themeColor="text1"/>
                <w:position w:val="-30"/>
                <w:sz w:val="18"/>
                <w:szCs w:val="18"/>
              </w:rPr>
              <w:object w:dxaOrig="880" w:dyaOrig="680" w14:anchorId="56121C5F">
                <v:shape id="_x0000_i1029" type="#_x0000_t75" style="width:43.55pt;height:32.65pt" o:ole="">
                  <v:imagedata r:id="rId31" o:title=""/>
                </v:shape>
                <o:OLEObject Type="Embed" ProgID="Equation.3" ShapeID="_x0000_i1029" DrawAspect="Content" ObjectID="_1776762940" r:id="rId32"/>
              </w:object>
            </w:r>
          </w:p>
        </w:tc>
      </w:tr>
    </w:tbl>
    <w:p w14:paraId="5469409B" w14:textId="77777777" w:rsidR="00F45500" w:rsidRPr="007B192E" w:rsidRDefault="00F45500" w:rsidP="00F45500">
      <w:pPr>
        <w:pStyle w:val="Nagwek2"/>
        <w:numPr>
          <w:ilvl w:val="1"/>
          <w:numId w:val="30"/>
        </w:numPr>
        <w:overflowPunct/>
        <w:autoSpaceDE/>
        <w:ind w:left="720" w:hanging="720"/>
        <w:jc w:val="both"/>
        <w:textAlignment w:val="auto"/>
        <w:rPr>
          <w:color w:val="000000" w:themeColor="text1"/>
          <w:sz w:val="18"/>
          <w:szCs w:val="18"/>
        </w:rPr>
      </w:pPr>
      <w:r w:rsidRPr="007B192E">
        <w:rPr>
          <w:color w:val="000000" w:themeColor="text1"/>
          <w:sz w:val="18"/>
          <w:szCs w:val="18"/>
        </w:rPr>
        <w:t>2.11. Właściwości mieszaki mineralno-asfaltowej do wykonania betonu asfaltowego do warstwy podbudowy</w:t>
      </w:r>
    </w:p>
    <w:p w14:paraId="64E065D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Wymagane właściwości mieszanki mineralno-asfaltowej podane są w tablicy  22. </w:t>
      </w:r>
    </w:p>
    <w:p w14:paraId="0FAF68F5" w14:textId="77777777" w:rsidR="00F45500" w:rsidRPr="007B192E" w:rsidRDefault="00F45500" w:rsidP="00F45500">
      <w:pPr>
        <w:tabs>
          <w:tab w:val="left" w:pos="1134"/>
        </w:tabs>
        <w:spacing w:before="12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22.</w:t>
      </w:r>
      <w:r w:rsidRPr="007B192E">
        <w:rPr>
          <w:rFonts w:ascii="Arial" w:hAnsi="Arial" w:cs="Arial"/>
          <w:color w:val="000000" w:themeColor="text1"/>
          <w:sz w:val="18"/>
          <w:szCs w:val="18"/>
        </w:rPr>
        <w:tab/>
        <w:t>Wymagane właściwości mieszanki mineralno-asfaltowej do warstwy podbudowy, dla ruchu KR3 ÷ KR4</w:t>
      </w:r>
    </w:p>
    <w:tbl>
      <w:tblPr>
        <w:tblW w:w="7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28"/>
        <w:gridCol w:w="1680"/>
        <w:gridCol w:w="2520"/>
        <w:gridCol w:w="1320"/>
      </w:tblGrid>
      <w:tr w:rsidR="004D7D23" w:rsidRPr="007B192E" w14:paraId="35C243E1" w14:textId="77777777" w:rsidTr="008F7A94">
        <w:trPr>
          <w:jc w:val="center"/>
        </w:trPr>
        <w:tc>
          <w:tcPr>
            <w:tcW w:w="2028" w:type="dxa"/>
            <w:vAlign w:val="center"/>
          </w:tcPr>
          <w:p w14:paraId="575A4AE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1680" w:type="dxa"/>
            <w:vAlign w:val="center"/>
          </w:tcPr>
          <w:p w14:paraId="3DF8803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Warunki zagęszczania wg PN-EN</w:t>
            </w:r>
          </w:p>
          <w:p w14:paraId="015AD6C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13108-20  [54]</w:t>
            </w:r>
          </w:p>
        </w:tc>
        <w:tc>
          <w:tcPr>
            <w:tcW w:w="2520" w:type="dxa"/>
            <w:vAlign w:val="center"/>
          </w:tcPr>
          <w:p w14:paraId="14EF721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Metoda i warunki badania</w:t>
            </w:r>
          </w:p>
        </w:tc>
        <w:tc>
          <w:tcPr>
            <w:tcW w:w="1320" w:type="dxa"/>
            <w:vAlign w:val="center"/>
          </w:tcPr>
          <w:p w14:paraId="40F9446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AC22P</w:t>
            </w:r>
          </w:p>
        </w:tc>
      </w:tr>
      <w:tr w:rsidR="004D7D23" w:rsidRPr="007B192E" w14:paraId="26E0A73B" w14:textId="77777777" w:rsidTr="008F7A94">
        <w:trPr>
          <w:jc w:val="center"/>
        </w:trPr>
        <w:tc>
          <w:tcPr>
            <w:tcW w:w="2028" w:type="dxa"/>
            <w:vAlign w:val="center"/>
          </w:tcPr>
          <w:p w14:paraId="78B2D4B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wolnych przestrzeni</w:t>
            </w:r>
          </w:p>
        </w:tc>
        <w:tc>
          <w:tcPr>
            <w:tcW w:w="1680" w:type="dxa"/>
            <w:vAlign w:val="center"/>
          </w:tcPr>
          <w:p w14:paraId="7F9789B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C.1.3,ubijanie, 2×75 uderzeń</w:t>
            </w:r>
          </w:p>
        </w:tc>
        <w:tc>
          <w:tcPr>
            <w:tcW w:w="2520" w:type="dxa"/>
            <w:vAlign w:val="center"/>
          </w:tcPr>
          <w:p w14:paraId="738AD02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12697-8 [37],</w:t>
            </w:r>
          </w:p>
          <w:p w14:paraId="2F5F40B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 4</w:t>
            </w:r>
          </w:p>
        </w:tc>
        <w:tc>
          <w:tcPr>
            <w:tcW w:w="1320" w:type="dxa"/>
            <w:vAlign w:val="center"/>
          </w:tcPr>
          <w:p w14:paraId="74421493" w14:textId="77777777" w:rsidR="00F45500" w:rsidRPr="007B192E" w:rsidRDefault="00F45500" w:rsidP="008F7A94">
            <w:pPr>
              <w:jc w:val="center"/>
              <w:rPr>
                <w:rFonts w:ascii="Arial" w:hAnsi="Arial" w:cs="Arial"/>
                <w:color w:val="000000" w:themeColor="text1"/>
                <w:sz w:val="18"/>
                <w:szCs w:val="18"/>
              </w:rPr>
            </w:pPr>
            <w:proofErr w:type="spellStart"/>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min</w:t>
            </w:r>
            <w:proofErr w:type="spellEnd"/>
            <w:r w:rsidRPr="007B192E">
              <w:rPr>
                <w:rFonts w:ascii="Arial" w:hAnsi="Arial" w:cs="Arial"/>
                <w:color w:val="000000" w:themeColor="text1"/>
                <w:sz w:val="18"/>
                <w:szCs w:val="18"/>
                <w:vertAlign w:val="subscript"/>
              </w:rPr>
              <w:t xml:space="preserve"> 4,0</w:t>
            </w:r>
          </w:p>
          <w:p w14:paraId="261C4DC8" w14:textId="77777777" w:rsidR="00F45500" w:rsidRPr="007B192E" w:rsidRDefault="00F45500" w:rsidP="008F7A94">
            <w:pPr>
              <w:jc w:val="center"/>
              <w:rPr>
                <w:rFonts w:ascii="Arial" w:hAnsi="Arial" w:cs="Arial"/>
                <w:color w:val="000000" w:themeColor="text1"/>
                <w:sz w:val="18"/>
                <w:szCs w:val="18"/>
              </w:rPr>
            </w:pPr>
            <w:proofErr w:type="spellStart"/>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max</w:t>
            </w:r>
            <w:proofErr w:type="spellEnd"/>
            <w:r w:rsidRPr="007B192E">
              <w:rPr>
                <w:rFonts w:ascii="Arial" w:hAnsi="Arial" w:cs="Arial"/>
                <w:color w:val="000000" w:themeColor="text1"/>
                <w:sz w:val="18"/>
                <w:szCs w:val="18"/>
                <w:vertAlign w:val="subscript"/>
              </w:rPr>
              <w:t xml:space="preserve"> 7,0</w:t>
            </w:r>
          </w:p>
        </w:tc>
      </w:tr>
      <w:tr w:rsidR="004D7D23" w:rsidRPr="007B192E" w14:paraId="3DF5F5B7" w14:textId="77777777" w:rsidTr="008F7A94">
        <w:trPr>
          <w:jc w:val="center"/>
        </w:trPr>
        <w:tc>
          <w:tcPr>
            <w:tcW w:w="2028" w:type="dxa"/>
            <w:vAlign w:val="center"/>
          </w:tcPr>
          <w:p w14:paraId="137C576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Odporność na deformacje trwałe </w:t>
            </w:r>
            <w:r w:rsidRPr="007B192E">
              <w:rPr>
                <w:rFonts w:ascii="Arial" w:hAnsi="Arial" w:cs="Arial"/>
                <w:color w:val="000000" w:themeColor="text1"/>
                <w:sz w:val="18"/>
                <w:szCs w:val="18"/>
                <w:vertAlign w:val="superscript"/>
              </w:rPr>
              <w:t>a)c)</w:t>
            </w:r>
          </w:p>
        </w:tc>
        <w:tc>
          <w:tcPr>
            <w:tcW w:w="1680" w:type="dxa"/>
            <w:vAlign w:val="center"/>
          </w:tcPr>
          <w:p w14:paraId="2431E382" w14:textId="77777777" w:rsidR="00F45500" w:rsidRPr="007B192E" w:rsidRDefault="00F45500" w:rsidP="008F7A94">
            <w:pPr>
              <w:jc w:val="center"/>
              <w:rPr>
                <w:rFonts w:ascii="Arial" w:hAnsi="Arial" w:cs="Arial"/>
                <w:color w:val="000000" w:themeColor="text1"/>
                <w:sz w:val="18"/>
                <w:szCs w:val="18"/>
              </w:rPr>
            </w:pPr>
          </w:p>
          <w:p w14:paraId="28F1CAF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C.1.20, wałowanie,</w:t>
            </w:r>
          </w:p>
          <w:p w14:paraId="5F035BC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w:t>
            </w:r>
            <w:r w:rsidRPr="007B192E">
              <w:rPr>
                <w:rFonts w:ascii="Arial" w:hAnsi="Arial" w:cs="Arial"/>
                <w:color w:val="000000" w:themeColor="text1"/>
                <w:sz w:val="18"/>
                <w:szCs w:val="18"/>
                <w:vertAlign w:val="subscript"/>
              </w:rPr>
              <w:t>98</w:t>
            </w:r>
            <w:r w:rsidRPr="007B192E">
              <w:rPr>
                <w:rFonts w:ascii="Arial" w:hAnsi="Arial" w:cs="Arial"/>
                <w:color w:val="000000" w:themeColor="text1"/>
                <w:sz w:val="18"/>
                <w:szCs w:val="18"/>
              </w:rPr>
              <w:t>-P</w:t>
            </w:r>
            <w:r w:rsidRPr="007B192E">
              <w:rPr>
                <w:rFonts w:ascii="Arial" w:hAnsi="Arial" w:cs="Arial"/>
                <w:color w:val="000000" w:themeColor="text1"/>
                <w:sz w:val="18"/>
                <w:szCs w:val="18"/>
                <w:vertAlign w:val="subscript"/>
              </w:rPr>
              <w:t>100</w:t>
            </w:r>
          </w:p>
        </w:tc>
        <w:tc>
          <w:tcPr>
            <w:tcW w:w="2520" w:type="dxa"/>
            <w:vAlign w:val="center"/>
          </w:tcPr>
          <w:p w14:paraId="1EE51ED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12697-22 [41], metoda B</w:t>
            </w:r>
          </w:p>
          <w:p w14:paraId="56DDCCE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 powietrzu,</w:t>
            </w:r>
          </w:p>
          <w:p w14:paraId="160A210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13108-20,</w:t>
            </w:r>
          </w:p>
          <w:p w14:paraId="1DA2712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D.1.6 [54], 60°C,</w:t>
            </w:r>
          </w:p>
          <w:p w14:paraId="7BDB839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10 000 cykli</w:t>
            </w:r>
          </w:p>
        </w:tc>
        <w:tc>
          <w:tcPr>
            <w:tcW w:w="1320" w:type="dxa"/>
            <w:vAlign w:val="center"/>
          </w:tcPr>
          <w:p w14:paraId="2F5407F5" w14:textId="77777777" w:rsidR="00F45500" w:rsidRPr="007B192E" w:rsidRDefault="00F45500" w:rsidP="008F7A94">
            <w:pPr>
              <w:jc w:val="center"/>
              <w:rPr>
                <w:rFonts w:ascii="Arial" w:hAnsi="Arial" w:cs="Arial"/>
                <w:color w:val="000000" w:themeColor="text1"/>
                <w:sz w:val="18"/>
                <w:szCs w:val="18"/>
                <w:vertAlign w:val="subscript"/>
              </w:rPr>
            </w:pPr>
            <w:r w:rsidRPr="007B192E">
              <w:rPr>
                <w:rFonts w:ascii="Arial" w:hAnsi="Arial" w:cs="Arial"/>
                <w:i/>
                <w:color w:val="000000" w:themeColor="text1"/>
                <w:sz w:val="18"/>
                <w:szCs w:val="18"/>
              </w:rPr>
              <w:t>WTS</w:t>
            </w:r>
            <w:r w:rsidRPr="007B192E">
              <w:rPr>
                <w:rFonts w:ascii="Arial" w:hAnsi="Arial" w:cs="Arial"/>
                <w:color w:val="000000" w:themeColor="text1"/>
                <w:sz w:val="18"/>
                <w:szCs w:val="18"/>
                <w:vertAlign w:val="subscript"/>
              </w:rPr>
              <w:t>AIR,0,3</w:t>
            </w:r>
          </w:p>
          <w:p w14:paraId="45C1FC3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PRD</w:t>
            </w:r>
            <w:r w:rsidRPr="007B192E">
              <w:rPr>
                <w:rFonts w:ascii="Arial" w:hAnsi="Arial" w:cs="Arial"/>
                <w:color w:val="000000" w:themeColor="text1"/>
                <w:sz w:val="18"/>
                <w:szCs w:val="18"/>
                <w:vertAlign w:val="subscript"/>
              </w:rPr>
              <w:t>AIR 9,0</w:t>
            </w:r>
          </w:p>
        </w:tc>
      </w:tr>
      <w:tr w:rsidR="004D7D23" w:rsidRPr="007B192E" w14:paraId="44DE08CA" w14:textId="77777777" w:rsidTr="008F7A94">
        <w:trPr>
          <w:jc w:val="center"/>
        </w:trPr>
        <w:tc>
          <w:tcPr>
            <w:tcW w:w="2028" w:type="dxa"/>
            <w:vAlign w:val="center"/>
          </w:tcPr>
          <w:p w14:paraId="1FE0539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Wrażliwość na działanie wody</w:t>
            </w:r>
          </w:p>
        </w:tc>
        <w:tc>
          <w:tcPr>
            <w:tcW w:w="1680" w:type="dxa"/>
            <w:vAlign w:val="center"/>
          </w:tcPr>
          <w:p w14:paraId="7BF45140" w14:textId="77777777" w:rsidR="00F45500" w:rsidRPr="007B192E" w:rsidRDefault="00F45500" w:rsidP="008F7A94">
            <w:pPr>
              <w:jc w:val="center"/>
              <w:rPr>
                <w:rFonts w:ascii="Arial" w:hAnsi="Arial" w:cs="Arial"/>
                <w:color w:val="000000" w:themeColor="text1"/>
                <w:sz w:val="18"/>
                <w:szCs w:val="18"/>
              </w:rPr>
            </w:pPr>
          </w:p>
          <w:p w14:paraId="66DDEC5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C.1.1,ubijanie, 2×35 uderzeń</w:t>
            </w:r>
          </w:p>
        </w:tc>
        <w:tc>
          <w:tcPr>
            <w:tcW w:w="2520" w:type="dxa"/>
            <w:vAlign w:val="center"/>
          </w:tcPr>
          <w:p w14:paraId="6AC0118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12697-12 [39], przechowywanie w 40°C z jednym cyklem zamrażania,</w:t>
            </w:r>
          </w:p>
          <w:p w14:paraId="656D5F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badanie w 25°C </w:t>
            </w:r>
            <w:r w:rsidRPr="007B192E">
              <w:rPr>
                <w:rFonts w:ascii="Arial" w:hAnsi="Arial" w:cs="Arial"/>
                <w:color w:val="000000" w:themeColor="text1"/>
                <w:sz w:val="18"/>
                <w:szCs w:val="18"/>
                <w:vertAlign w:val="superscript"/>
              </w:rPr>
              <w:t>b)</w:t>
            </w:r>
          </w:p>
        </w:tc>
        <w:tc>
          <w:tcPr>
            <w:tcW w:w="1320" w:type="dxa"/>
            <w:vAlign w:val="center"/>
          </w:tcPr>
          <w:p w14:paraId="2FE37A78" w14:textId="77777777" w:rsidR="00F45500" w:rsidRPr="007B192E" w:rsidRDefault="00F45500" w:rsidP="008F7A94">
            <w:pPr>
              <w:jc w:val="center"/>
              <w:rPr>
                <w:rFonts w:ascii="Arial" w:hAnsi="Arial" w:cs="Arial"/>
                <w:color w:val="000000" w:themeColor="text1"/>
                <w:sz w:val="18"/>
                <w:szCs w:val="18"/>
                <w:vertAlign w:val="subscript"/>
              </w:rPr>
            </w:pPr>
            <w:r w:rsidRPr="007B192E">
              <w:rPr>
                <w:rFonts w:ascii="Arial" w:hAnsi="Arial" w:cs="Arial"/>
                <w:i/>
                <w:color w:val="000000" w:themeColor="text1"/>
                <w:sz w:val="18"/>
                <w:szCs w:val="18"/>
              </w:rPr>
              <w:t>ITSR</w:t>
            </w:r>
            <w:r w:rsidRPr="007B192E">
              <w:rPr>
                <w:rFonts w:ascii="Arial" w:hAnsi="Arial" w:cs="Arial"/>
                <w:i/>
                <w:color w:val="000000" w:themeColor="text1"/>
                <w:sz w:val="18"/>
                <w:szCs w:val="18"/>
                <w:vertAlign w:val="subscript"/>
              </w:rPr>
              <w:t>70</w:t>
            </w:r>
          </w:p>
        </w:tc>
      </w:tr>
    </w:tbl>
    <w:p w14:paraId="1503F3E5" w14:textId="77777777" w:rsidR="00F45500" w:rsidRPr="007B192E" w:rsidRDefault="00F45500" w:rsidP="00F45500">
      <w:pPr>
        <w:tabs>
          <w:tab w:val="left" w:pos="227"/>
        </w:tabs>
        <w:ind w:left="227" w:hanging="227"/>
        <w:jc w:val="both"/>
        <w:rPr>
          <w:rFonts w:ascii="Arial" w:hAnsi="Arial" w:cs="Arial"/>
          <w:color w:val="000000" w:themeColor="text1"/>
          <w:sz w:val="18"/>
          <w:szCs w:val="18"/>
        </w:rPr>
      </w:pPr>
      <w:r w:rsidRPr="007B192E">
        <w:rPr>
          <w:rFonts w:ascii="Arial" w:hAnsi="Arial" w:cs="Arial"/>
          <w:color w:val="000000" w:themeColor="text1"/>
          <w:sz w:val="18"/>
          <w:szCs w:val="18"/>
        </w:rPr>
        <w:t>a)</w:t>
      </w:r>
      <w:r w:rsidRPr="007B192E">
        <w:rPr>
          <w:rFonts w:ascii="Arial" w:hAnsi="Arial" w:cs="Arial"/>
          <w:color w:val="000000" w:themeColor="text1"/>
          <w:sz w:val="18"/>
          <w:szCs w:val="18"/>
        </w:rPr>
        <w:tab/>
        <w:t xml:space="preserve"> grubość płyty: AC16P, AC22P 60mm, AC32P 80mm,</w:t>
      </w:r>
    </w:p>
    <w:p w14:paraId="53B048BE" w14:textId="77777777" w:rsidR="00F45500" w:rsidRPr="007B192E" w:rsidRDefault="00F45500" w:rsidP="00F45500">
      <w:pPr>
        <w:tabs>
          <w:tab w:val="left" w:pos="227"/>
        </w:tabs>
        <w:ind w:left="227" w:hanging="227"/>
        <w:jc w:val="both"/>
        <w:rPr>
          <w:rFonts w:ascii="Arial" w:hAnsi="Arial" w:cs="Arial"/>
          <w:color w:val="000000" w:themeColor="text1"/>
          <w:sz w:val="18"/>
          <w:szCs w:val="18"/>
        </w:rPr>
      </w:pPr>
      <w:r w:rsidRPr="007B192E">
        <w:rPr>
          <w:rFonts w:ascii="Arial" w:hAnsi="Arial" w:cs="Arial"/>
          <w:color w:val="000000" w:themeColor="text1"/>
          <w:sz w:val="18"/>
          <w:szCs w:val="18"/>
        </w:rPr>
        <w:t>b)</w:t>
      </w:r>
      <w:r w:rsidRPr="007B192E">
        <w:rPr>
          <w:rFonts w:ascii="Arial" w:hAnsi="Arial" w:cs="Arial"/>
          <w:color w:val="000000" w:themeColor="text1"/>
          <w:sz w:val="18"/>
          <w:szCs w:val="18"/>
        </w:rPr>
        <w:tab/>
      </w:r>
      <w:r w:rsidRPr="007B192E">
        <w:rPr>
          <w:rFonts w:ascii="Arial" w:hAnsi="Arial" w:cs="Arial"/>
          <w:color w:val="000000" w:themeColor="text1"/>
          <w:sz w:val="18"/>
          <w:szCs w:val="18"/>
          <w:vertAlign w:val="superscript"/>
        </w:rPr>
        <w:t xml:space="preserve"> </w:t>
      </w:r>
      <w:r w:rsidRPr="007B192E">
        <w:rPr>
          <w:rFonts w:ascii="Arial" w:hAnsi="Arial" w:cs="Arial"/>
          <w:color w:val="000000" w:themeColor="text1"/>
          <w:sz w:val="18"/>
          <w:szCs w:val="18"/>
        </w:rPr>
        <w:t>ujednoliconą procedurę badania odporności na działanie wody podano w WT-2 2014 [82] w załączniku 1,</w:t>
      </w:r>
    </w:p>
    <w:p w14:paraId="2CE395D7" w14:textId="77777777" w:rsidR="00F45500" w:rsidRPr="007B192E" w:rsidRDefault="00F45500" w:rsidP="00F45500">
      <w:pPr>
        <w:tabs>
          <w:tab w:val="left" w:pos="227"/>
        </w:tabs>
        <w:ind w:left="227" w:hanging="227"/>
        <w:jc w:val="both"/>
        <w:rPr>
          <w:rFonts w:ascii="Arial" w:hAnsi="Arial" w:cs="Arial"/>
          <w:color w:val="000000" w:themeColor="text1"/>
          <w:sz w:val="18"/>
          <w:szCs w:val="18"/>
        </w:rPr>
      </w:pPr>
      <w:r w:rsidRPr="007B192E">
        <w:rPr>
          <w:rFonts w:ascii="Arial" w:hAnsi="Arial" w:cs="Arial"/>
          <w:color w:val="000000" w:themeColor="text1"/>
          <w:sz w:val="18"/>
          <w:szCs w:val="18"/>
        </w:rPr>
        <w:t>c)</w:t>
      </w:r>
      <w:r w:rsidRPr="007B192E">
        <w:rPr>
          <w:rFonts w:ascii="Arial" w:hAnsi="Arial" w:cs="Arial"/>
          <w:color w:val="000000" w:themeColor="text1"/>
          <w:sz w:val="18"/>
          <w:szCs w:val="18"/>
        </w:rPr>
        <w:tab/>
        <w:t xml:space="preserve">procedurę kondycjonowania krótkoterminowego </w:t>
      </w:r>
      <w:proofErr w:type="spellStart"/>
      <w:r w:rsidRPr="007B192E">
        <w:rPr>
          <w:rFonts w:ascii="Arial" w:hAnsi="Arial" w:cs="Arial"/>
          <w:color w:val="000000" w:themeColor="text1"/>
          <w:sz w:val="18"/>
          <w:szCs w:val="18"/>
        </w:rPr>
        <w:t>mma</w:t>
      </w:r>
      <w:proofErr w:type="spellEnd"/>
      <w:r w:rsidRPr="007B192E">
        <w:rPr>
          <w:rFonts w:ascii="Arial" w:hAnsi="Arial" w:cs="Arial"/>
          <w:color w:val="000000" w:themeColor="text1"/>
          <w:sz w:val="18"/>
          <w:szCs w:val="18"/>
        </w:rPr>
        <w:t xml:space="preserve"> przed zagęszczeniem próbek podano w WT-2 2014 [82] w załączniku 2.</w:t>
      </w:r>
    </w:p>
    <w:p w14:paraId="31F81367" w14:textId="77777777" w:rsidR="00F45500" w:rsidRPr="007B192E" w:rsidRDefault="002562DC" w:rsidP="005E0E48">
      <w:pPr>
        <w:pStyle w:val="Nagwek2"/>
        <w:rPr>
          <w:i w:val="0"/>
          <w:color w:val="000000" w:themeColor="text1"/>
        </w:rPr>
      </w:pPr>
      <w:bookmarkStart w:id="305" w:name="_Toc413234105"/>
      <w:r w:rsidRPr="007B192E">
        <w:rPr>
          <w:i w:val="0"/>
          <w:color w:val="000000" w:themeColor="text1"/>
        </w:rPr>
        <w:t>3. SPRZĘT</w:t>
      </w:r>
      <w:bookmarkEnd w:id="305"/>
    </w:p>
    <w:p w14:paraId="150D160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3.1. Ogólne wymagania dotyczące sprzętu</w:t>
      </w:r>
    </w:p>
    <w:p w14:paraId="321312E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20C964F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693315E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67DCCF6E" w14:textId="77777777" w:rsidR="00F45500" w:rsidRPr="007B192E" w:rsidRDefault="00F45500" w:rsidP="00F45500">
      <w:pPr>
        <w:ind w:left="360" w:hanging="360"/>
        <w:jc w:val="both"/>
        <w:rPr>
          <w:rFonts w:ascii="Arial" w:hAnsi="Arial" w:cs="Arial"/>
          <w:color w:val="000000" w:themeColor="text1"/>
          <w:sz w:val="18"/>
          <w:szCs w:val="18"/>
        </w:rPr>
      </w:pPr>
      <w:r w:rsidRPr="007B192E">
        <w:rPr>
          <w:rFonts w:ascii="Arial" w:hAnsi="Arial" w:cs="Arial"/>
          <w:color w:val="000000" w:themeColor="text1"/>
          <w:sz w:val="18"/>
          <w:szCs w:val="18"/>
        </w:rPr>
        <w:t>a) wytwórnia (otaczarka</w:t>
      </w:r>
      <w:r w:rsidRPr="007B192E">
        <w:rPr>
          <w:rFonts w:ascii="Arial" w:hAnsi="Arial" w:cs="Arial"/>
          <w:b/>
          <w:color w:val="000000" w:themeColor="text1"/>
          <w:sz w:val="18"/>
          <w:szCs w:val="18"/>
        </w:rPr>
        <w:t>)</w:t>
      </w:r>
      <w:r w:rsidRPr="007B192E">
        <w:rPr>
          <w:rFonts w:ascii="Arial" w:hAnsi="Arial" w:cs="Arial"/>
          <w:color w:val="000000" w:themeColor="text1"/>
          <w:sz w:val="18"/>
          <w:szCs w:val="18"/>
        </w:rPr>
        <w:t xml:space="preserve"> o mieszaniu cyklicznym lub ciągłym, z automatycznym komputerowym sterowaniem </w:t>
      </w:r>
      <w:r w:rsidRPr="007B192E">
        <w:rPr>
          <w:rFonts w:ascii="Arial" w:hAnsi="Arial" w:cs="Arial"/>
          <w:color w:val="000000" w:themeColor="text1"/>
          <w:sz w:val="18"/>
          <w:szCs w:val="18"/>
        </w:rPr>
        <w:lastRenderedPageBreak/>
        <w:t xml:space="preserve">produkcji, do wytwarzania mieszanek mineralno-asfaltowych,  </w:t>
      </w:r>
    </w:p>
    <w:p w14:paraId="1D0EA0DB" w14:textId="77777777" w:rsidR="00F45500" w:rsidRPr="007B192E" w:rsidRDefault="00F45500" w:rsidP="00F45500">
      <w:pPr>
        <w:ind w:left="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p>
    <w:p w14:paraId="553DA8A1" w14:textId="77777777" w:rsidR="00F45500" w:rsidRPr="007B192E" w:rsidRDefault="00F45500" w:rsidP="00F45500">
      <w:pPr>
        <w:ind w:left="360"/>
        <w:jc w:val="both"/>
        <w:rPr>
          <w:rFonts w:ascii="Arial" w:hAnsi="Arial" w:cs="Arial"/>
          <w:color w:val="000000" w:themeColor="text1"/>
          <w:sz w:val="18"/>
          <w:szCs w:val="18"/>
        </w:rPr>
      </w:pPr>
      <w:r w:rsidRPr="007B192E">
        <w:rPr>
          <w:rFonts w:ascii="Arial" w:hAnsi="Arial" w:cs="Arial"/>
          <w:color w:val="000000" w:themeColor="text1"/>
          <w:sz w:val="18"/>
          <w:szCs w:val="18"/>
        </w:rPr>
        <w:t>Wytwórnia powinna być wyposażona w termometry (urządzenia pomiarowe) pozwalające na ciągłe monitorowanie temperatury poszczególnych materiałów, na różnych etapach przygotowywania materiałów, jak i na wyjściu z mieszalnika.</w:t>
      </w:r>
    </w:p>
    <w:p w14:paraId="397B15BC"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układarka gąsienicowa, z elektronicznym sterowaniem równości układanej warstwy,</w:t>
      </w:r>
    </w:p>
    <w:p w14:paraId="41FDA0B1"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skrapiarka,</w:t>
      </w:r>
    </w:p>
    <w:p w14:paraId="3A0A8682"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 xml:space="preserve">walce stalowe gładkie, </w:t>
      </w:r>
    </w:p>
    <w:p w14:paraId="40D70BC2"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 xml:space="preserve">lekka </w:t>
      </w:r>
      <w:proofErr w:type="spellStart"/>
      <w:r w:rsidRPr="007B192E">
        <w:rPr>
          <w:rFonts w:ascii="Arial" w:hAnsi="Arial" w:cs="Arial"/>
          <w:color w:val="000000" w:themeColor="text1"/>
          <w:sz w:val="18"/>
          <w:szCs w:val="18"/>
        </w:rPr>
        <w:t>rozsypywarka</w:t>
      </w:r>
      <w:proofErr w:type="spellEnd"/>
      <w:r w:rsidRPr="007B192E">
        <w:rPr>
          <w:rFonts w:ascii="Arial" w:hAnsi="Arial" w:cs="Arial"/>
          <w:color w:val="000000" w:themeColor="text1"/>
          <w:sz w:val="18"/>
          <w:szCs w:val="18"/>
        </w:rPr>
        <w:t xml:space="preserve"> kruszywa,</w:t>
      </w:r>
    </w:p>
    <w:p w14:paraId="14EAE5D9"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szczotki mechaniczne i/lub inne urządzenia czyszczące,</w:t>
      </w:r>
    </w:p>
    <w:p w14:paraId="12807D8B"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samochody samowyładowcze z przykryciem brezentowym lub termosami,</w:t>
      </w:r>
    </w:p>
    <w:p w14:paraId="665CEA73" w14:textId="77777777" w:rsidR="00F45500" w:rsidRPr="007B192E" w:rsidRDefault="00F45500" w:rsidP="00C12426">
      <w:pPr>
        <w:widowControl/>
        <w:numPr>
          <w:ilvl w:val="0"/>
          <w:numId w:val="225"/>
        </w:numPr>
        <w:tabs>
          <w:tab w:val="clear" w:pos="1077"/>
          <w:tab w:val="num" w:pos="360"/>
        </w:tabs>
        <w:suppressAutoHyphens w:val="0"/>
        <w:autoSpaceDN w:val="0"/>
        <w:adjustRightInd w:val="0"/>
        <w:ind w:hanging="1363"/>
        <w:jc w:val="both"/>
        <w:rPr>
          <w:rFonts w:ascii="Arial" w:hAnsi="Arial" w:cs="Arial"/>
          <w:color w:val="000000" w:themeColor="text1"/>
          <w:sz w:val="18"/>
          <w:szCs w:val="18"/>
        </w:rPr>
      </w:pPr>
      <w:r w:rsidRPr="007B192E">
        <w:rPr>
          <w:rFonts w:ascii="Arial" w:hAnsi="Arial" w:cs="Arial"/>
          <w:color w:val="000000" w:themeColor="text1"/>
          <w:sz w:val="18"/>
          <w:szCs w:val="18"/>
        </w:rPr>
        <w:t>sprzęt drobny.</w:t>
      </w:r>
    </w:p>
    <w:p w14:paraId="159B3D62" w14:textId="77777777" w:rsidR="00F45500" w:rsidRPr="007B192E" w:rsidRDefault="002562DC" w:rsidP="005E0E48">
      <w:pPr>
        <w:pStyle w:val="Nagwek2"/>
        <w:rPr>
          <w:i w:val="0"/>
          <w:color w:val="000000" w:themeColor="text1"/>
        </w:rPr>
      </w:pPr>
      <w:bookmarkStart w:id="306" w:name="_Toc413234106"/>
      <w:r w:rsidRPr="007B192E">
        <w:rPr>
          <w:i w:val="0"/>
          <w:color w:val="000000" w:themeColor="text1"/>
        </w:rPr>
        <w:t>4. TRANSPORT</w:t>
      </w:r>
      <w:bookmarkEnd w:id="306"/>
    </w:p>
    <w:p w14:paraId="7F8E98E3"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4.1. Ogólne wymagania dotyczące transportu</w:t>
      </w:r>
    </w:p>
    <w:p w14:paraId="1C8C36D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r w:rsidRPr="007B192E">
        <w:rPr>
          <w:rFonts w:ascii="Arial" w:hAnsi="Arial" w:cs="Arial"/>
          <w:color w:val="000000" w:themeColor="text1"/>
          <w:sz w:val="18"/>
          <w:szCs w:val="18"/>
        </w:rPr>
        <w:tab/>
      </w:r>
    </w:p>
    <w:p w14:paraId="4A2007F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4.2. Transport materiałów </w:t>
      </w:r>
    </w:p>
    <w:p w14:paraId="49DE0A8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Asfalt i </w:t>
      </w:r>
      <w:proofErr w:type="spellStart"/>
      <w:r w:rsidRPr="007B192E">
        <w:rPr>
          <w:rFonts w:ascii="Arial" w:hAnsi="Arial" w:cs="Arial"/>
          <w:color w:val="000000" w:themeColor="text1"/>
          <w:sz w:val="18"/>
          <w:szCs w:val="18"/>
        </w:rPr>
        <w:t>polimeroasfalt</w:t>
      </w:r>
      <w:proofErr w:type="spellEnd"/>
      <w:r w:rsidRPr="007B192E">
        <w:rPr>
          <w:rFonts w:ascii="Arial" w:hAnsi="Arial" w:cs="Arial"/>
          <w:color w:val="000000" w:themeColor="text1"/>
          <w:sz w:val="18"/>
          <w:szCs w:val="18"/>
        </w:rPr>
        <w:t xml:space="preserve">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6646FD0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Kruszywa można przewozić dowolnymi środkami transportu, w warunkach zabezpieczających je przed zanieczyszczeniem, zmieszaniem z innymi materiałami i nadmiernym zawilgoceniem. </w:t>
      </w:r>
    </w:p>
    <w:p w14:paraId="4C6554B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667027F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Środek adhezyjny, w opakowaniu producenta, może być przewożony dowolnymi środkami transportu z uwzględnieniem zaleceń producenta. Opakowanie powinno być zabezpieczone tak, aby nie uległo uszkodzeniu. </w:t>
      </w:r>
    </w:p>
    <w:p w14:paraId="77BA9BC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7B192E">
        <w:rPr>
          <w:rFonts w:ascii="Arial" w:hAnsi="Arial" w:cs="Arial"/>
          <w:color w:val="000000" w:themeColor="text1"/>
          <w:sz w:val="18"/>
          <w:szCs w:val="18"/>
        </w:rPr>
        <w:t>pH</w:t>
      </w:r>
      <w:proofErr w:type="spellEnd"/>
      <w:r w:rsidRPr="007B192E">
        <w:rPr>
          <w:rFonts w:ascii="Arial" w:hAnsi="Arial" w:cs="Arial"/>
          <w:color w:val="000000" w:themeColor="text1"/>
          <w:sz w:val="18"/>
          <w:szCs w:val="18"/>
        </w:rPr>
        <w:t xml:space="preserve"> ≤ 4).</w:t>
      </w:r>
    </w:p>
    <w:p w14:paraId="4CF7FC9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60A1DCBC" w14:textId="77777777" w:rsidR="00F45500" w:rsidRPr="007B192E" w:rsidRDefault="00F45500" w:rsidP="00F45500">
      <w:pPr>
        <w:ind w:firstLine="709"/>
        <w:jc w:val="both"/>
        <w:rPr>
          <w:rFonts w:ascii="Arial" w:hAnsi="Arial" w:cs="Arial"/>
          <w:color w:val="000000" w:themeColor="text1"/>
          <w:sz w:val="18"/>
          <w:szCs w:val="18"/>
        </w:rPr>
      </w:pPr>
      <w:bookmarkStart w:id="307" w:name="_Toc413234107"/>
      <w:r w:rsidRPr="007B192E">
        <w:rPr>
          <w:rFonts w:ascii="Arial" w:hAnsi="Arial" w:cs="Arial"/>
          <w:color w:val="000000" w:themeColor="text1"/>
          <w:sz w:val="18"/>
          <w:szCs w:val="18"/>
        </w:rPr>
        <w:t xml:space="preserve">Powierzchnie pojemników używanych do transportu mieszanki powinny być czyste, a do zwilżania tych powierzchni można używać tylko środki antyadhezyjne niewpływające szkodliwie na mieszankę. Zabrania się skrapiania skrzyń olejem napędowym lub innymi środkami ropopochodnymi. </w:t>
      </w:r>
    </w:p>
    <w:p w14:paraId="3C9DF4C2" w14:textId="77777777" w:rsidR="00F45500" w:rsidRPr="007B192E" w:rsidRDefault="002562DC" w:rsidP="005E0E48">
      <w:pPr>
        <w:pStyle w:val="Nagwek2"/>
        <w:rPr>
          <w:i w:val="0"/>
          <w:color w:val="000000" w:themeColor="text1"/>
        </w:rPr>
      </w:pPr>
      <w:r w:rsidRPr="007B192E">
        <w:rPr>
          <w:i w:val="0"/>
          <w:color w:val="000000" w:themeColor="text1"/>
        </w:rPr>
        <w:t>5. WYKONANIE ROBÓT</w:t>
      </w:r>
      <w:bookmarkEnd w:id="307"/>
    </w:p>
    <w:p w14:paraId="12C395DD"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5.1. Ogólne zasady wykonania robót</w:t>
      </w:r>
    </w:p>
    <w:p w14:paraId="7458FB86"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14B6456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Projektowanie mieszanki mineralno-asfaltowej</w:t>
      </w:r>
    </w:p>
    <w:p w14:paraId="2F908443" w14:textId="77777777" w:rsidR="00F45500" w:rsidRPr="007B192E" w:rsidRDefault="00F45500" w:rsidP="00F45500">
      <w:pPr>
        <w:ind w:right="-59"/>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dostarczy Inżynierowi do akceptacji projekt składu mieszanki mineralno-asfaltowej, wyniki badań laboratoryjnych oraz próbki materiałów pobrane w obecności Inżyniera do wykonania badań kontrolnych przez Zamawiającego.</w:t>
      </w:r>
    </w:p>
    <w:p w14:paraId="562ED901" w14:textId="77777777" w:rsidR="00F45500" w:rsidRPr="007B192E" w:rsidRDefault="00F45500" w:rsidP="00F45500">
      <w:pPr>
        <w:ind w:right="-59"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Projekt mieszanki mineralno-asfaltowej powinien określać: </w:t>
      </w:r>
    </w:p>
    <w:p w14:paraId="5E47CCF5"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źródło wszystkich zastosowanych materiałów,</w:t>
      </w:r>
    </w:p>
    <w:p w14:paraId="038ECBCB"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proporcje wszystkich składników mieszanki mineralnej,</w:t>
      </w:r>
    </w:p>
    <w:p w14:paraId="182CD6BB"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punkty graniczne uziarnienia,</w:t>
      </w:r>
    </w:p>
    <w:p w14:paraId="0B368F51"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wyniki badań przeprowadzonych w celu określenia właściwości mieszanki i porównanie ich z wymaganiami specyfikacji,</w:t>
      </w:r>
    </w:p>
    <w:p w14:paraId="4724BF90"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wyniki badań dotyczących fizycznych właściwości kruszywa, </w:t>
      </w:r>
    </w:p>
    <w:p w14:paraId="67D5C66F"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temperaturę wytwarzania i układania mieszanki. </w:t>
      </w:r>
    </w:p>
    <w:p w14:paraId="0F2A8956" w14:textId="77777777" w:rsidR="00F45500" w:rsidRPr="007B192E" w:rsidRDefault="00F45500" w:rsidP="00F45500">
      <w:pPr>
        <w:shd w:val="clear" w:color="auto" w:fill="FFFFFF"/>
        <w:ind w:right="2" w:firstLine="709"/>
        <w:jc w:val="both"/>
        <w:rPr>
          <w:rFonts w:ascii="Arial" w:hAnsi="Arial" w:cs="Arial"/>
          <w:color w:val="000000" w:themeColor="text1"/>
          <w:spacing w:val="1"/>
          <w:sz w:val="18"/>
          <w:szCs w:val="18"/>
        </w:rPr>
      </w:pPr>
      <w:r w:rsidRPr="007B192E">
        <w:rPr>
          <w:rFonts w:ascii="Arial" w:hAnsi="Arial" w:cs="Arial"/>
          <w:color w:val="000000" w:themeColor="text1"/>
          <w:spacing w:val="1"/>
          <w:sz w:val="18"/>
          <w:szCs w:val="18"/>
        </w:rPr>
        <w:t xml:space="preserve">W zagęszczaniu próbek laboratoryjnych mieszanek mineralno-asfaltowych należy stosować następujące temperatury mieszanki w zależności stosowanego asfaltu: </w:t>
      </w:r>
    </w:p>
    <w:p w14:paraId="6DE36921" w14:textId="77777777" w:rsidR="00F45500" w:rsidRPr="007B192E" w:rsidRDefault="00F45500" w:rsidP="00C12426">
      <w:pPr>
        <w:widowControl/>
        <w:numPr>
          <w:ilvl w:val="0"/>
          <w:numId w:val="216"/>
        </w:numPr>
        <w:shd w:val="clear" w:color="auto" w:fill="FFFFFF"/>
        <w:tabs>
          <w:tab w:val="clear" w:pos="454"/>
          <w:tab w:val="num" w:pos="360"/>
        </w:tabs>
        <w:suppressAutoHyphens w:val="0"/>
        <w:autoSpaceDN w:val="0"/>
        <w:adjustRightInd w:val="0"/>
        <w:ind w:left="360" w:right="2" w:hanging="303"/>
        <w:jc w:val="both"/>
        <w:rPr>
          <w:rFonts w:ascii="Arial" w:hAnsi="Arial" w:cs="Arial"/>
          <w:color w:val="000000" w:themeColor="text1"/>
          <w:spacing w:val="1"/>
          <w:sz w:val="18"/>
          <w:szCs w:val="18"/>
        </w:rPr>
      </w:pPr>
      <w:r w:rsidRPr="007B192E">
        <w:rPr>
          <w:rFonts w:ascii="Arial" w:hAnsi="Arial" w:cs="Arial"/>
          <w:color w:val="000000" w:themeColor="text1"/>
          <w:spacing w:val="1"/>
          <w:sz w:val="18"/>
          <w:szCs w:val="18"/>
        </w:rPr>
        <w:t>35/50 i 50/70: 135°C±5°C,</w:t>
      </w:r>
    </w:p>
    <w:p w14:paraId="4844FC5E" w14:textId="77777777" w:rsidR="00F45500" w:rsidRPr="007B192E" w:rsidRDefault="00F45500" w:rsidP="00C12426">
      <w:pPr>
        <w:widowControl/>
        <w:numPr>
          <w:ilvl w:val="0"/>
          <w:numId w:val="216"/>
        </w:numPr>
        <w:tabs>
          <w:tab w:val="clear" w:pos="454"/>
          <w:tab w:val="num" w:pos="360"/>
        </w:tabs>
        <w:suppressAutoHyphens w:val="0"/>
        <w:autoSpaceDN w:val="0"/>
        <w:adjustRightInd w:val="0"/>
        <w:ind w:left="360" w:hanging="303"/>
        <w:jc w:val="both"/>
        <w:rPr>
          <w:rFonts w:ascii="Arial" w:hAnsi="Arial" w:cs="Arial"/>
          <w:color w:val="000000" w:themeColor="text1"/>
          <w:sz w:val="18"/>
          <w:szCs w:val="18"/>
        </w:rPr>
      </w:pPr>
      <w:r w:rsidRPr="007B192E">
        <w:rPr>
          <w:rFonts w:ascii="Arial" w:hAnsi="Arial" w:cs="Arial"/>
          <w:color w:val="000000" w:themeColor="text1"/>
          <w:sz w:val="18"/>
          <w:szCs w:val="18"/>
        </w:rPr>
        <w:t>MG 50/70-54/64 I MG 35/50-57/69: 140</w:t>
      </w:r>
      <w:r w:rsidRPr="007B192E">
        <w:rPr>
          <w:rFonts w:ascii="Arial" w:hAnsi="Arial" w:cs="Arial"/>
          <w:color w:val="000000" w:themeColor="text1"/>
          <w:spacing w:val="1"/>
          <w:sz w:val="18"/>
          <w:szCs w:val="18"/>
        </w:rPr>
        <w:t>°</w:t>
      </w:r>
      <w:r w:rsidRPr="007B192E">
        <w:rPr>
          <w:rFonts w:ascii="Arial" w:hAnsi="Arial" w:cs="Arial"/>
          <w:color w:val="000000" w:themeColor="text1"/>
          <w:sz w:val="18"/>
          <w:szCs w:val="18"/>
        </w:rPr>
        <w:t>C</w:t>
      </w:r>
      <w:r w:rsidRPr="007B192E">
        <w:rPr>
          <w:rFonts w:ascii="Arial" w:hAnsi="Arial" w:cs="Arial"/>
          <w:color w:val="000000" w:themeColor="text1"/>
          <w:spacing w:val="1"/>
          <w:sz w:val="18"/>
          <w:szCs w:val="18"/>
        </w:rPr>
        <w:t>±5°C,</w:t>
      </w:r>
      <w:r w:rsidRPr="007B192E">
        <w:rPr>
          <w:rFonts w:ascii="Arial" w:hAnsi="Arial" w:cs="Arial"/>
          <w:color w:val="000000" w:themeColor="text1"/>
          <w:sz w:val="18"/>
          <w:szCs w:val="18"/>
        </w:rPr>
        <w:t xml:space="preserve"> </w:t>
      </w:r>
    </w:p>
    <w:p w14:paraId="199272D9" w14:textId="77777777" w:rsidR="00F45500" w:rsidRPr="007B192E" w:rsidRDefault="00F45500" w:rsidP="00C12426">
      <w:pPr>
        <w:widowControl/>
        <w:numPr>
          <w:ilvl w:val="0"/>
          <w:numId w:val="216"/>
        </w:numPr>
        <w:tabs>
          <w:tab w:val="clear" w:pos="454"/>
          <w:tab w:val="num" w:pos="360"/>
        </w:tabs>
        <w:suppressAutoHyphens w:val="0"/>
        <w:autoSpaceDN w:val="0"/>
        <w:adjustRightInd w:val="0"/>
        <w:ind w:left="360" w:hanging="303"/>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PMB 25/ 55-60, PMB 25/55-80: 145</w:t>
      </w:r>
      <w:r w:rsidRPr="007B192E">
        <w:rPr>
          <w:rFonts w:ascii="Arial" w:hAnsi="Arial" w:cs="Arial"/>
          <w:color w:val="000000" w:themeColor="text1"/>
          <w:spacing w:val="1"/>
          <w:sz w:val="18"/>
          <w:szCs w:val="18"/>
          <w:lang w:val="en-US"/>
        </w:rPr>
        <w:t>°</w:t>
      </w:r>
      <w:r w:rsidRPr="007B192E">
        <w:rPr>
          <w:rFonts w:ascii="Arial" w:hAnsi="Arial" w:cs="Arial"/>
          <w:color w:val="000000" w:themeColor="text1"/>
          <w:sz w:val="18"/>
          <w:szCs w:val="18"/>
          <w:lang w:val="en-US"/>
        </w:rPr>
        <w:t>C</w:t>
      </w:r>
      <w:r w:rsidRPr="007B192E">
        <w:rPr>
          <w:rFonts w:ascii="Arial" w:hAnsi="Arial" w:cs="Arial"/>
          <w:color w:val="000000" w:themeColor="text1"/>
          <w:spacing w:val="1"/>
          <w:sz w:val="18"/>
          <w:szCs w:val="18"/>
          <w:lang w:val="en-US"/>
        </w:rPr>
        <w:t xml:space="preserve">±5°C. </w:t>
      </w:r>
    </w:p>
    <w:p w14:paraId="224CBA5D" w14:textId="77777777" w:rsidR="00F45500" w:rsidRPr="007B192E" w:rsidRDefault="00F45500" w:rsidP="00F45500">
      <w:pPr>
        <w:shd w:val="clear" w:color="auto" w:fill="FFFFFF"/>
        <w:ind w:right="2" w:firstLine="709"/>
        <w:jc w:val="both"/>
        <w:rPr>
          <w:rFonts w:ascii="Arial" w:hAnsi="Arial" w:cs="Arial"/>
          <w:color w:val="000000" w:themeColor="text1"/>
          <w:spacing w:val="2"/>
          <w:sz w:val="18"/>
          <w:szCs w:val="18"/>
        </w:rPr>
      </w:pPr>
      <w:r w:rsidRPr="007B192E">
        <w:rPr>
          <w:rFonts w:ascii="Arial" w:hAnsi="Arial" w:cs="Arial"/>
          <w:color w:val="000000" w:themeColor="text1"/>
          <w:spacing w:val="1"/>
          <w:sz w:val="18"/>
          <w:szCs w:val="18"/>
        </w:rPr>
        <w:lastRenderedPageBreak/>
        <w:t xml:space="preserve">Recepta powinna być zaprojektowana dla konkretnych materiałów, zaakceptowanych przez Inżyniera, do wbudowania i przy wykorzystaniu reprezentatywnych próbek tych materiałów.  </w:t>
      </w:r>
    </w:p>
    <w:p w14:paraId="749638DB" w14:textId="77777777" w:rsidR="00F45500" w:rsidRPr="007B192E" w:rsidRDefault="00F45500" w:rsidP="00F45500">
      <w:pPr>
        <w:shd w:val="clear" w:color="auto" w:fill="FFFFFF"/>
        <w:ind w:right="2" w:firstLine="709"/>
        <w:jc w:val="both"/>
        <w:rPr>
          <w:rFonts w:ascii="Arial" w:hAnsi="Arial" w:cs="Arial"/>
          <w:color w:val="000000" w:themeColor="text1"/>
          <w:spacing w:val="2"/>
          <w:sz w:val="18"/>
          <w:szCs w:val="18"/>
        </w:rPr>
      </w:pPr>
      <w:r w:rsidRPr="007B192E">
        <w:rPr>
          <w:rFonts w:ascii="Arial" w:hAnsi="Arial" w:cs="Arial"/>
          <w:color w:val="000000" w:themeColor="text1"/>
          <w:spacing w:val="2"/>
          <w:sz w:val="18"/>
          <w:szCs w:val="18"/>
        </w:rPr>
        <w:t>Jeżeli mieszanka mineralno-asfaltowa jest dostarczana z kilku wytwórni lub od kilku producentów, to należy zapewnić zgodność typu i wymiaru mieszanki oraz spełnienie wymaganej dokumentacji projektowej.</w:t>
      </w:r>
    </w:p>
    <w:p w14:paraId="421016CE" w14:textId="77777777" w:rsidR="00F45500" w:rsidRPr="007B192E" w:rsidRDefault="00F45500" w:rsidP="00F45500">
      <w:pPr>
        <w:shd w:val="clear" w:color="auto" w:fill="FFFFFF"/>
        <w:ind w:right="2" w:firstLine="709"/>
        <w:jc w:val="both"/>
        <w:rPr>
          <w:rFonts w:ascii="Arial" w:hAnsi="Arial" w:cs="Arial"/>
          <w:color w:val="000000" w:themeColor="text1"/>
          <w:spacing w:val="1"/>
          <w:sz w:val="18"/>
          <w:szCs w:val="18"/>
        </w:rPr>
      </w:pPr>
      <w:r w:rsidRPr="007B192E">
        <w:rPr>
          <w:rFonts w:ascii="Arial" w:hAnsi="Arial" w:cs="Arial"/>
          <w:color w:val="000000" w:themeColor="text1"/>
          <w:spacing w:val="2"/>
          <w:sz w:val="18"/>
          <w:szCs w:val="18"/>
        </w:rPr>
        <w:t xml:space="preserve">Każda zmiana składników mieszanki w czasie trwania robót wymaga akceptacji Inżyniera </w:t>
      </w:r>
      <w:r w:rsidRPr="007B192E">
        <w:rPr>
          <w:rFonts w:ascii="Arial" w:hAnsi="Arial" w:cs="Arial"/>
          <w:color w:val="000000" w:themeColor="text1"/>
          <w:spacing w:val="1"/>
          <w:sz w:val="18"/>
          <w:szCs w:val="18"/>
        </w:rPr>
        <w:t xml:space="preserve">oraz opracowania nowej recepty i jej zatwierdzenia.  </w:t>
      </w:r>
    </w:p>
    <w:p w14:paraId="7E47B06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1F46676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6AF8F50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Zaakceptowana recepta stanowi ważną podstawę produkcji.</w:t>
      </w:r>
    </w:p>
    <w:p w14:paraId="6BDD63B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Wytwarzanie mieszanki mineralno-asfaltowej</w:t>
      </w:r>
    </w:p>
    <w:p w14:paraId="274635E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7B192E">
        <w:rPr>
          <w:rFonts w:ascii="Arial" w:hAnsi="Arial" w:cs="Arial"/>
          <w:color w:val="000000" w:themeColor="text1"/>
          <w:sz w:val="18"/>
          <w:szCs w:val="18"/>
        </w:rPr>
        <w:noBreakHyphen/>
        <w:t xml:space="preserve">EN 13108-21 [55]. </w:t>
      </w:r>
    </w:p>
    <w:p w14:paraId="4B8D8B3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023C48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2.2.</w:t>
      </w:r>
    </w:p>
    <w:p w14:paraId="47385F2A"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Kruszywo (ewentualnie z wypełniaczem) powinno być wysuszone i podgrzane tak, aby mieszanka mineralna uzyskała temperaturę właściwą do otoczenia lepiszczem asfaltowym. Temperatura mieszanki mineralnej nie powinna być wyższa o więcej niż 30°C od najwyższej temperatury mieszanki mineralno-asfaltowej podanej w tablicy 24. W tej tablicy najniższa temperatura dotyczy mieszanki mineralno-asfaltowej dostarczonej na miejsce wbudowania, a najwyższa temperatura dotyczy mieszanki mineralno-asfaltowej bezpośrednio po wytworzeniu w wytwórni.</w:t>
      </w:r>
    </w:p>
    <w:p w14:paraId="58A7B775"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24. Najwyższa i najniższa temperatura mieszanki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4D7D23" w:rsidRPr="007B192E" w14:paraId="697E45A7" w14:textId="77777777" w:rsidTr="008F7A94">
        <w:trPr>
          <w:jc w:val="center"/>
        </w:trPr>
        <w:tc>
          <w:tcPr>
            <w:tcW w:w="2371" w:type="dxa"/>
          </w:tcPr>
          <w:p w14:paraId="3535DE3E"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Lepiszcze asfaltowe</w:t>
            </w:r>
          </w:p>
        </w:tc>
        <w:tc>
          <w:tcPr>
            <w:tcW w:w="2590" w:type="dxa"/>
          </w:tcPr>
          <w:p w14:paraId="6E9BC916"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Temperatura mieszanki [°C]</w:t>
            </w:r>
          </w:p>
        </w:tc>
      </w:tr>
      <w:tr w:rsidR="004D7D23" w:rsidRPr="007B192E" w14:paraId="26067013" w14:textId="77777777" w:rsidTr="008F7A94">
        <w:trPr>
          <w:jc w:val="center"/>
        </w:trPr>
        <w:tc>
          <w:tcPr>
            <w:tcW w:w="2371" w:type="dxa"/>
          </w:tcPr>
          <w:p w14:paraId="2C4310D4" w14:textId="77777777" w:rsidR="00F45500" w:rsidRPr="007B192E" w:rsidRDefault="00F45500" w:rsidP="008F7A94">
            <w:pPr>
              <w:spacing w:before="60"/>
              <w:jc w:val="both"/>
              <w:rPr>
                <w:rFonts w:ascii="Arial" w:hAnsi="Arial" w:cs="Arial"/>
                <w:color w:val="000000" w:themeColor="text1"/>
                <w:sz w:val="18"/>
                <w:szCs w:val="18"/>
                <w:lang w:val="en-US"/>
              </w:rPr>
            </w:pPr>
            <w:proofErr w:type="spellStart"/>
            <w:r w:rsidRPr="007B192E">
              <w:rPr>
                <w:rFonts w:ascii="Arial" w:hAnsi="Arial" w:cs="Arial"/>
                <w:color w:val="000000" w:themeColor="text1"/>
                <w:sz w:val="18"/>
                <w:szCs w:val="18"/>
                <w:lang w:val="en-US"/>
              </w:rPr>
              <w:t>Asfalt</w:t>
            </w:r>
            <w:proofErr w:type="spellEnd"/>
            <w:r w:rsidRPr="007B192E">
              <w:rPr>
                <w:rFonts w:ascii="Arial" w:hAnsi="Arial" w:cs="Arial"/>
                <w:color w:val="000000" w:themeColor="text1"/>
                <w:sz w:val="18"/>
                <w:szCs w:val="18"/>
                <w:lang w:val="en-US"/>
              </w:rPr>
              <w:t xml:space="preserve"> 35/50</w:t>
            </w:r>
          </w:p>
          <w:p w14:paraId="23E963D8" w14:textId="77777777" w:rsidR="00F45500" w:rsidRPr="007B192E" w:rsidRDefault="00F45500" w:rsidP="008F7A94">
            <w:pPr>
              <w:spacing w:before="60"/>
              <w:jc w:val="both"/>
              <w:rPr>
                <w:rFonts w:ascii="Arial" w:hAnsi="Arial" w:cs="Arial"/>
                <w:color w:val="000000" w:themeColor="text1"/>
                <w:sz w:val="18"/>
                <w:szCs w:val="18"/>
                <w:lang w:val="en-US"/>
              </w:rPr>
            </w:pPr>
            <w:proofErr w:type="spellStart"/>
            <w:r w:rsidRPr="007B192E">
              <w:rPr>
                <w:rFonts w:ascii="Arial" w:hAnsi="Arial" w:cs="Arial"/>
                <w:color w:val="000000" w:themeColor="text1"/>
                <w:sz w:val="18"/>
                <w:szCs w:val="18"/>
                <w:lang w:val="en-US"/>
              </w:rPr>
              <w:t>Asfalt</w:t>
            </w:r>
            <w:proofErr w:type="spellEnd"/>
            <w:r w:rsidRPr="007B192E">
              <w:rPr>
                <w:rFonts w:ascii="Arial" w:hAnsi="Arial" w:cs="Arial"/>
                <w:color w:val="000000" w:themeColor="text1"/>
                <w:sz w:val="18"/>
                <w:szCs w:val="18"/>
                <w:lang w:val="en-US"/>
              </w:rPr>
              <w:t xml:space="preserve"> 50/70</w:t>
            </w:r>
          </w:p>
        </w:tc>
        <w:tc>
          <w:tcPr>
            <w:tcW w:w="2590" w:type="dxa"/>
          </w:tcPr>
          <w:p w14:paraId="4BA80C3E" w14:textId="77777777" w:rsidR="00F45500" w:rsidRPr="007B192E" w:rsidRDefault="00F45500" w:rsidP="008F7A94">
            <w:pPr>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od 150 do 190</w:t>
            </w:r>
          </w:p>
          <w:p w14:paraId="08EA77E6" w14:textId="77777777" w:rsidR="00F45500" w:rsidRPr="007B192E" w:rsidRDefault="00F45500" w:rsidP="008F7A94">
            <w:pPr>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od 140 do 180</w:t>
            </w:r>
          </w:p>
        </w:tc>
      </w:tr>
    </w:tbl>
    <w:p w14:paraId="6006413F"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6B01FE80"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Sposób i czas mieszania należy tak dobrać, aby wszystkie kruszywa zostały w całości, równomiernie otoczone lepiszczem i aby dodatki wmieszały się, tworząc jednolitą mieszankę, kolejność dozowania materiałów do mieszalnika ma duże znaczenie dla jakości produkowanej mieszanki.</w:t>
      </w:r>
    </w:p>
    <w:p w14:paraId="468D74E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Dopuszcza się dostawy mieszanek mineralno-asfaltowych z kilku wytwórni, pod warunkiem skoordynowania między sobą deklarowanych przydatności mieszanek (m.in.: typ, rodzaj składników, właściwości objętościowe) z zachowaniem dopuszczalnych różnic ich składu:</w:t>
      </w:r>
    </w:p>
    <w:p w14:paraId="3BCB8ED3" w14:textId="77777777" w:rsidR="00F45500" w:rsidRPr="007B192E" w:rsidRDefault="00F45500" w:rsidP="00C12426">
      <w:pPr>
        <w:widowControl/>
        <w:numPr>
          <w:ilvl w:val="0"/>
          <w:numId w:val="22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zawartość lepiszcza: 0,3% (m/m),</w:t>
      </w:r>
    </w:p>
    <w:p w14:paraId="0B330F9E" w14:textId="77777777" w:rsidR="00F45500" w:rsidRPr="007B192E" w:rsidRDefault="00F45500" w:rsidP="00C12426">
      <w:pPr>
        <w:widowControl/>
        <w:numPr>
          <w:ilvl w:val="0"/>
          <w:numId w:val="22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zawartość kruszywa drobnego: 3,0% (m/m),</w:t>
      </w:r>
    </w:p>
    <w:p w14:paraId="40EAE781" w14:textId="77777777" w:rsidR="00F45500" w:rsidRPr="007B192E" w:rsidRDefault="00F45500" w:rsidP="00C12426">
      <w:pPr>
        <w:widowControl/>
        <w:numPr>
          <w:ilvl w:val="0"/>
          <w:numId w:val="22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zawartość wypełniacza: 1,0% (m/m).</w:t>
      </w:r>
    </w:p>
    <w:p w14:paraId="0EC0282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7CD1A719"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Produkcja powinna być tak zaplanowana, aby nie dopuścić do zbyt długiego przechowywania mieszanki w silosach; należy wykluczyć możliwość szkodliwych zmian. </w:t>
      </w:r>
    </w:p>
    <w:p w14:paraId="1204741A"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Czas przechowywania – magazynowania mieszanki  MMA powinien uwzględniać możliwości wytwórni (sposób podgrzewania silosów gotowej mieszanki MMA i rodzaj izolacji), warunki atmosferyczne  oraz czas transportu na budowę.</w:t>
      </w:r>
    </w:p>
    <w:p w14:paraId="4FE6D36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Przygotowanie podłoża</w:t>
      </w:r>
    </w:p>
    <w:p w14:paraId="6548D49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Podłoże (podbudowa z kruszywa niezwiązanego lub związanego) pod warstwę podbudowy z betonu asfaltowego powinno być na całej powierzchni:</w:t>
      </w:r>
    </w:p>
    <w:p w14:paraId="3611355F"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ustabilizowane i nośne,</w:t>
      </w:r>
    </w:p>
    <w:p w14:paraId="4D39490A"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czyste, bez zanieczyszczenia lub pozostałości luźnego kruszywa,</w:t>
      </w:r>
    </w:p>
    <w:p w14:paraId="29B3E212"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wyprofilowane, równe i bez kolein,</w:t>
      </w:r>
    </w:p>
    <w:p w14:paraId="74F4936B"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suche,</w:t>
      </w:r>
    </w:p>
    <w:p w14:paraId="65C869A1"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skropione emulsją asfaltową lub asfaltem zapewniającym powiązanie warstw.</w:t>
      </w:r>
    </w:p>
    <w:p w14:paraId="548925C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Maksymalne nierówności podłoża pod warstwę podbudowy, nie powinny przekraczać wartości podanych w tablicy 25.</w:t>
      </w:r>
    </w:p>
    <w:p w14:paraId="2C7AE011" w14:textId="77777777" w:rsidR="00F45500" w:rsidRPr="007B192E" w:rsidRDefault="00F45500" w:rsidP="00F45500">
      <w:pPr>
        <w:spacing w:before="120" w:after="120"/>
        <w:ind w:left="1320" w:hanging="132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Tablica 25.</w:t>
      </w:r>
      <w:r w:rsidRPr="007B192E">
        <w:rPr>
          <w:rFonts w:ascii="Arial" w:hAnsi="Arial" w:cs="Arial"/>
          <w:color w:val="000000" w:themeColor="text1"/>
          <w:sz w:val="18"/>
          <w:szCs w:val="18"/>
        </w:rPr>
        <w:tab/>
        <w:t xml:space="preserve">Maksymalne nierówności podłoża pod warstwę podbudowy z betonu asfaltowego (pomiar łatą 4-metrową lub równoważną metodą)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2"/>
        <w:gridCol w:w="5226"/>
        <w:gridCol w:w="2535"/>
      </w:tblGrid>
      <w:tr w:rsidR="004D7D23" w:rsidRPr="007B192E" w14:paraId="33C3BF9C" w14:textId="77777777" w:rsidTr="008F7A94">
        <w:trPr>
          <w:jc w:val="center"/>
        </w:trPr>
        <w:tc>
          <w:tcPr>
            <w:tcW w:w="1242" w:type="dxa"/>
          </w:tcPr>
          <w:p w14:paraId="00F2BC6E" w14:textId="77777777" w:rsidR="00F45500" w:rsidRPr="007B192E" w:rsidRDefault="00F45500" w:rsidP="008F7A94">
            <w:pPr>
              <w:jc w:val="center"/>
              <w:rPr>
                <w:rFonts w:ascii="Arial" w:hAnsi="Arial" w:cs="Arial"/>
                <w:color w:val="000000" w:themeColor="text1"/>
                <w:sz w:val="18"/>
                <w:szCs w:val="18"/>
              </w:rPr>
            </w:pPr>
          </w:p>
          <w:p w14:paraId="7B3369A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Klasa drogi</w:t>
            </w:r>
          </w:p>
        </w:tc>
        <w:tc>
          <w:tcPr>
            <w:tcW w:w="5226" w:type="dxa"/>
          </w:tcPr>
          <w:p w14:paraId="7E6A0802" w14:textId="77777777" w:rsidR="00F45500" w:rsidRPr="007B192E" w:rsidRDefault="00F45500" w:rsidP="008F7A94">
            <w:pPr>
              <w:jc w:val="center"/>
              <w:rPr>
                <w:rFonts w:ascii="Arial" w:hAnsi="Arial" w:cs="Arial"/>
                <w:color w:val="000000" w:themeColor="text1"/>
                <w:sz w:val="18"/>
                <w:szCs w:val="18"/>
              </w:rPr>
            </w:pPr>
          </w:p>
          <w:p w14:paraId="44C22B5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Element nawierzchni</w:t>
            </w:r>
          </w:p>
        </w:tc>
        <w:tc>
          <w:tcPr>
            <w:tcW w:w="2535" w:type="dxa"/>
          </w:tcPr>
          <w:p w14:paraId="680570C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Maksymalna nierówność podłoża pod warstwę podbudowy [mm]</w:t>
            </w:r>
          </w:p>
        </w:tc>
      </w:tr>
      <w:tr w:rsidR="004D7D23" w:rsidRPr="007B192E" w14:paraId="46BEA0F1" w14:textId="77777777" w:rsidTr="008F7A94">
        <w:trPr>
          <w:jc w:val="center"/>
        </w:trPr>
        <w:tc>
          <w:tcPr>
            <w:tcW w:w="1242" w:type="dxa"/>
          </w:tcPr>
          <w:p w14:paraId="779A842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 Z</w:t>
            </w:r>
          </w:p>
        </w:tc>
        <w:tc>
          <w:tcPr>
            <w:tcW w:w="5226" w:type="dxa"/>
          </w:tcPr>
          <w:p w14:paraId="7DCDE7F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Pasy ruchu zasadnicze,</w:t>
            </w:r>
          </w:p>
          <w:p w14:paraId="5F4920A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dodatkowe, włączenia</w:t>
            </w:r>
          </w:p>
          <w:p w14:paraId="1377C2B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i wyłączenia, postojowe,</w:t>
            </w:r>
          </w:p>
          <w:p w14:paraId="747520C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utwardzone pobocza</w:t>
            </w:r>
          </w:p>
          <w:p w14:paraId="4C780ECC" w14:textId="77777777" w:rsidR="00F45500" w:rsidRPr="007B192E" w:rsidRDefault="00F45500" w:rsidP="008F7A94">
            <w:pPr>
              <w:jc w:val="center"/>
              <w:rPr>
                <w:rFonts w:ascii="Arial" w:hAnsi="Arial" w:cs="Arial"/>
                <w:color w:val="000000" w:themeColor="text1"/>
                <w:sz w:val="18"/>
                <w:szCs w:val="18"/>
              </w:rPr>
            </w:pPr>
          </w:p>
        </w:tc>
        <w:tc>
          <w:tcPr>
            <w:tcW w:w="2535" w:type="dxa"/>
          </w:tcPr>
          <w:p w14:paraId="34DC761C" w14:textId="77777777" w:rsidR="00F45500" w:rsidRPr="007B192E" w:rsidRDefault="00F45500" w:rsidP="008F7A94">
            <w:pPr>
              <w:jc w:val="center"/>
              <w:rPr>
                <w:rFonts w:ascii="Arial" w:hAnsi="Arial" w:cs="Arial"/>
                <w:color w:val="000000" w:themeColor="text1"/>
                <w:sz w:val="18"/>
                <w:szCs w:val="18"/>
              </w:rPr>
            </w:pPr>
          </w:p>
          <w:p w14:paraId="08ABED6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r>
      <w:tr w:rsidR="004D7D23" w:rsidRPr="007B192E" w14:paraId="0605518A" w14:textId="77777777" w:rsidTr="008F7A94">
        <w:trPr>
          <w:jc w:val="center"/>
        </w:trPr>
        <w:tc>
          <w:tcPr>
            <w:tcW w:w="1242" w:type="dxa"/>
          </w:tcPr>
          <w:p w14:paraId="1A311D5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 D, place, parkingi</w:t>
            </w:r>
          </w:p>
        </w:tc>
        <w:tc>
          <w:tcPr>
            <w:tcW w:w="5226" w:type="dxa"/>
          </w:tcPr>
          <w:p w14:paraId="693E3EC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Wszystkie pasy ruchu</w:t>
            </w:r>
          </w:p>
          <w:p w14:paraId="13FB6BC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i powierzchnie</w:t>
            </w:r>
          </w:p>
          <w:p w14:paraId="2F61909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przeznaczone do ruchu</w:t>
            </w:r>
          </w:p>
          <w:p w14:paraId="4CF4197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i postoju pojazdów</w:t>
            </w:r>
          </w:p>
          <w:p w14:paraId="4B82B231" w14:textId="77777777" w:rsidR="00F45500" w:rsidRPr="007B192E" w:rsidRDefault="00F45500" w:rsidP="008F7A94">
            <w:pPr>
              <w:jc w:val="center"/>
              <w:rPr>
                <w:rFonts w:ascii="Arial" w:hAnsi="Arial" w:cs="Arial"/>
                <w:color w:val="000000" w:themeColor="text1"/>
                <w:sz w:val="18"/>
                <w:szCs w:val="18"/>
              </w:rPr>
            </w:pPr>
          </w:p>
        </w:tc>
        <w:tc>
          <w:tcPr>
            <w:tcW w:w="2535" w:type="dxa"/>
          </w:tcPr>
          <w:p w14:paraId="6FFADD3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18</w:t>
            </w:r>
          </w:p>
        </w:tc>
      </w:tr>
    </w:tbl>
    <w:p w14:paraId="1515C46C"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nierówności  są większe niż dopuszczalne, to należy wyrównać podłoże.</w:t>
      </w:r>
    </w:p>
    <w:p w14:paraId="7F1D19E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Rzędne wysokościowe podłoża oraz urządzeń usytuowanych w nawierzchni lub ją ograniczających powinny być zgodne z dokumentacją projektową. Z podłoża powinien być zapewniony odpływ wody.</w:t>
      </w:r>
    </w:p>
    <w:p w14:paraId="1A78B03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230D892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celu polepszenia połączenia między warstwami technologicznymi nawierzchni powierzchnia podłoża powinna być w ocenie wizualnej chropowata.</w:t>
      </w:r>
    </w:p>
    <w:p w14:paraId="595335B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Szerokie szczeliny w podłożu należy wypełnić odpowiednim materiałem, np. zalewami drogowymi według PN-EN 14188-1 [67] lub PN-EN 14188-2 [68] albo innymi materiałami według norm lub aprobat technicznych.</w:t>
      </w:r>
    </w:p>
    <w:p w14:paraId="6841AA0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 podłożu wykazującym zniszczenia w postaci siatki spękań zmęczeniowych lub spękań poprzecznych zaleca się stosowanie membrany </w:t>
      </w:r>
      <w:proofErr w:type="spellStart"/>
      <w:r w:rsidRPr="007B192E">
        <w:rPr>
          <w:rFonts w:ascii="Arial" w:hAnsi="Arial" w:cs="Arial"/>
          <w:color w:val="000000" w:themeColor="text1"/>
          <w:sz w:val="18"/>
          <w:szCs w:val="18"/>
        </w:rPr>
        <w:t>przeciwspękaniowej</w:t>
      </w:r>
      <w:proofErr w:type="spellEnd"/>
      <w:r w:rsidRPr="007B192E">
        <w:rPr>
          <w:rFonts w:ascii="Arial" w:hAnsi="Arial" w:cs="Arial"/>
          <w:color w:val="000000" w:themeColor="text1"/>
          <w:sz w:val="18"/>
          <w:szCs w:val="18"/>
        </w:rPr>
        <w:t xml:space="preserve">, np. mieszanki mineralno-asfaltowej, warstwy SAMI lub z </w:t>
      </w:r>
      <w:proofErr w:type="spellStart"/>
      <w:r w:rsidRPr="007B192E">
        <w:rPr>
          <w:rFonts w:ascii="Arial" w:hAnsi="Arial" w:cs="Arial"/>
          <w:color w:val="000000" w:themeColor="text1"/>
          <w:sz w:val="18"/>
          <w:szCs w:val="18"/>
        </w:rPr>
        <w:t>geosyntetyków</w:t>
      </w:r>
      <w:proofErr w:type="spellEnd"/>
      <w:r w:rsidRPr="007B192E">
        <w:rPr>
          <w:rFonts w:ascii="Arial" w:hAnsi="Arial" w:cs="Arial"/>
          <w:color w:val="000000" w:themeColor="text1"/>
          <w:sz w:val="18"/>
          <w:szCs w:val="18"/>
        </w:rPr>
        <w:t xml:space="preserve"> według norm lub aprobat technicznych lub podłoże należy wymienić.</w:t>
      </w:r>
    </w:p>
    <w:p w14:paraId="3A2530A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Przygotowanie podłoża do skropienia emulsją należy wykonać zgodnie z ST D-04.03.01a [2].</w:t>
      </w:r>
    </w:p>
    <w:p w14:paraId="3FC93E0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5.5. Próba technologiczna </w:t>
      </w:r>
    </w:p>
    <w:p w14:paraId="265D82F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6C74F65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Nie dopuszcza się oceniania dokładności pracy otaczarki oraz prawidłowości składu mieszanki mineralnej na podstawie tzw. suchego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z uwagi na możliwą segregację kruszywa.</w:t>
      </w:r>
    </w:p>
    <w:p w14:paraId="5E1B80E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próby technologicznej Wykonawca użyje takich materiałów, jakie będą stosowane do wykonania właściwej mieszanki mineralno-asfaltowej. </w:t>
      </w:r>
    </w:p>
    <w:p w14:paraId="602D36B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czasie wykonywania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4198328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sprawdzenia składu granulometrycznego mieszanki mineralnej i zawartości asfaltu zaleca się pobrać próbki z co najmniej trzeciego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xml:space="preserve"> po uruchomieniu produkcji. Tolerancje zawartości składników mieszanki mineralno-asfaltowej względem składu zaprojektowanego, powinny być zawarte w granicach podanych w punkcie 6.  </w:t>
      </w:r>
    </w:p>
    <w:p w14:paraId="06D6C25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wyprodukowaną po ustabilizowaniu się pracy otaczarki należy zgromadzić w silosie lub załadować na samochód. Próbki do badań należy pobierać ze skrzyni samochodu zgodnie z metodą określoną w PN-EN 12697-27 [44].</w:t>
      </w:r>
    </w:p>
    <w:p w14:paraId="77EACCB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Na podstawie uzyskanych wyników Inżynier podejmuje decyzję o wykonaniu odcinka próbnego.</w:t>
      </w:r>
    </w:p>
    <w:p w14:paraId="05BC500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5.6. Odcinek próbny</w:t>
      </w:r>
    </w:p>
    <w:p w14:paraId="2457551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Zaakceptowanie przez Inżyniera wyników badań próbek z próbnego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4.3, 4.5, 4.6 PN-EN12697-27 [44]. </w:t>
      </w:r>
    </w:p>
    <w:p w14:paraId="45683BC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braku innych uzgodnień z Inżynierem, Wykonawca powinien wykonać odcinek próbny co najmniej na trzy dni przed rozpoczęciem robót, w celu:</w:t>
      </w:r>
    </w:p>
    <w:p w14:paraId="4ACB2F9E" w14:textId="77777777" w:rsidR="00F45500" w:rsidRPr="007B192E"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sprawdzenia czy użyty sprzęt jest właściwy,</w:t>
      </w:r>
    </w:p>
    <w:p w14:paraId="6FEE9BCF" w14:textId="77777777" w:rsidR="00F45500" w:rsidRPr="007B192E"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określenia grubości warstwy mieszanki mineralno-asfaltowej przed zagęszczeniem, koniecznej do uzyskania wymaganej w kontrakcie grubości warstwy,</w:t>
      </w:r>
    </w:p>
    <w:p w14:paraId="2FDC451E" w14:textId="77777777" w:rsidR="00F45500" w:rsidRPr="007B192E"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określenia potrzebnej liczby przejść walców dla uzyskania prawidłowego zagęszczenia warstwy.</w:t>
      </w:r>
    </w:p>
    <w:p w14:paraId="30545F8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takiej próby Wykonawca powinien użyć takich materiałów oraz sprzętu, jaki stosowany będzie do wykonania warstwy nawierzchni. </w:t>
      </w:r>
    </w:p>
    <w:p w14:paraId="2FE25AE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Odcinek próbny powinien być zlokalizowany w miejscu uzgodnionym z Inżynierem. Powierzchnia odcinka próbnego powinna wynosić co najmniej 500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a długość co najmniej 50 m i powinny być tak dobrane, aby na jego podstawie możliwa była ocena prawidłowości wbudowania i zagęszczenia mieszanki mineralno-asfaltowej.</w:t>
      </w:r>
    </w:p>
    <w:p w14:paraId="19C6DA2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Grubość układanej warstwy powinna być zgodna z grubością podaną w dokumentacji projektowej. Ilość  próbek (rdzeni) pobrana z odcinka próbnego powinna być uzgodniona z Inżynierem i oceniona pod względem </w:t>
      </w:r>
      <w:r w:rsidRPr="007B192E">
        <w:rPr>
          <w:rFonts w:ascii="Arial" w:hAnsi="Arial" w:cs="Arial"/>
          <w:color w:val="000000" w:themeColor="text1"/>
          <w:sz w:val="18"/>
          <w:szCs w:val="18"/>
        </w:rPr>
        <w:lastRenderedPageBreak/>
        <w:t xml:space="preserve">zgodności z </w:t>
      </w:r>
      <w:r w:rsidRPr="007B192E">
        <w:rPr>
          <w:rFonts w:ascii="Arial" w:hAnsi="Arial" w:cs="Arial"/>
          <w:color w:val="000000" w:themeColor="text1"/>
          <w:sz w:val="18"/>
          <w:szCs w:val="18"/>
          <w:shd w:val="clear" w:color="auto" w:fill="FFFFFF"/>
        </w:rPr>
        <w:t>wy</w:t>
      </w:r>
      <w:r w:rsidRPr="007B192E">
        <w:rPr>
          <w:rFonts w:ascii="Arial" w:hAnsi="Arial" w:cs="Arial"/>
          <w:color w:val="000000" w:themeColor="text1"/>
          <w:sz w:val="18"/>
          <w:szCs w:val="18"/>
        </w:rPr>
        <w:t xml:space="preserve">maganiami niniejszej specyfikacji. Należy pobrać minimum w dwóch przekrojach poprzecznych po dwie próbki (rdzenie). </w:t>
      </w:r>
    </w:p>
    <w:p w14:paraId="7CAB58B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aby za zgodą Inżyniera, odcinek próbny zlokalizowany był w ciągu zasadniczych prac nawierzchniowych objętych danym kontraktem.</w:t>
      </w:r>
    </w:p>
    <w:p w14:paraId="547742D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może przystąpić do realizacji robót po zaakceptowaniu przez Inżyniera technologii wbudowania oraz wyników z odcinka próbnego.</w:t>
      </w:r>
    </w:p>
    <w:p w14:paraId="7E4B19C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5.7. Połączenie </w:t>
      </w:r>
      <w:proofErr w:type="spellStart"/>
      <w:r w:rsidRPr="007B192E">
        <w:rPr>
          <w:color w:val="000000" w:themeColor="text1"/>
          <w:sz w:val="18"/>
          <w:szCs w:val="18"/>
        </w:rPr>
        <w:t>międzywarstwowe</w:t>
      </w:r>
      <w:proofErr w:type="spellEnd"/>
    </w:p>
    <w:p w14:paraId="2228B69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Uzyskanie wymaganej trwałości nawierzchni jest uzależnione od zapewnienia połączenia między warstwami i ich współpracy w przenoszeniu obciążenia nawierzchni ruchem.</w:t>
      </w:r>
    </w:p>
    <w:p w14:paraId="0EF0B96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Podłoże powinno być skropione lepiszczem. Ma to na celu zwiększenie połączenia między warstwami konstrukcyjnymi oraz zabezpieczenie przed wnikaniem i zaleganiem wody między warstwami. Można odstąpić od wykonania skropienia przy rozkładaniu dwóch warstw asfaltowych w jednym cyklu technologicznym (tzw. połączenia gorące na gorące).</w:t>
      </w:r>
    </w:p>
    <w:p w14:paraId="4405B7B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Warunki wykonania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 xml:space="preserve"> oraz kontrola wykonania skropienia zostały przedstawione w ST D-04.03.01a [2].</w:t>
      </w:r>
    </w:p>
    <w:p w14:paraId="2A66387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5.8. Wbudowanie mieszanki mineralno-asfaltowej </w:t>
      </w:r>
    </w:p>
    <w:p w14:paraId="2E90AAD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 doborze rodzaju mieszanki mineralno-asfaltowej do układu warstw konstrukcyjnych należy zachować zasadę mówiącą, że grubość warstwy musi być co najmniej dwuipółkrotnie większa od wymiaru D kruszywa danej mieszanki (h ≥ 2,5xD).</w:t>
      </w:r>
    </w:p>
    <w:p w14:paraId="7EF68E6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53C2349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Mieszankę mineralno-asfaltową można wbudowywać na podłożu przygotowanym zgodnie z zapisami w punktach 5.4 i 5.7. </w:t>
      </w:r>
    </w:p>
    <w:p w14:paraId="5C68C57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Temperatura podłoża pod rozkładaną warstwę nie może być niższa niż  +5°C.</w:t>
      </w:r>
    </w:p>
    <w:p w14:paraId="3A6D72E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Transport mieszanki mineralno-asfaltowej asfaltowej powinien być zgodny z zaleceniami podanymi w punkcie 4.2. </w:t>
      </w:r>
    </w:p>
    <w:p w14:paraId="13DDD2A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Prace związane z wbudowaniem mieszanki mineralno-asfaltowej należy tak zaplanować, </w:t>
      </w:r>
    </w:p>
    <w:p w14:paraId="3FE5FB4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aby: </w:t>
      </w:r>
    </w:p>
    <w:p w14:paraId="74E57A47" w14:textId="77777777" w:rsidR="00F45500" w:rsidRPr="007B192E" w:rsidRDefault="00F45500" w:rsidP="00C12426">
      <w:pPr>
        <w:widowControl/>
        <w:numPr>
          <w:ilvl w:val="0"/>
          <w:numId w:val="231"/>
        </w:numPr>
        <w:suppressAutoHyphens w:val="0"/>
        <w:overflowPunct/>
        <w:autoSpaceDE/>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2290EB6F" w14:textId="77777777" w:rsidR="00F45500" w:rsidRPr="007B192E" w:rsidRDefault="00F45500" w:rsidP="00C12426">
      <w:pPr>
        <w:widowControl/>
        <w:numPr>
          <w:ilvl w:val="0"/>
          <w:numId w:val="231"/>
        </w:numPr>
        <w:suppressAutoHyphens w:val="0"/>
        <w:overflowPunct/>
        <w:autoSpaceDE/>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dzienne działki robocze (tj. odcinki nawierzchni na których mieszanka mineralno-asfaltowa jest wbudowywana jednego dnia) powinny być możliwie jak najdłuższe min. 200 m, </w:t>
      </w:r>
    </w:p>
    <w:p w14:paraId="2CA4BBB2" w14:textId="77777777" w:rsidR="00F45500" w:rsidRPr="007B192E" w:rsidRDefault="00F45500" w:rsidP="00C12426">
      <w:pPr>
        <w:widowControl/>
        <w:numPr>
          <w:ilvl w:val="0"/>
          <w:numId w:val="231"/>
        </w:numPr>
        <w:suppressAutoHyphens w:val="0"/>
        <w:overflowPunct/>
        <w:autoSpaceDE/>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organizacja dostaw mieszanki powinna zapewnić pracę rozkładarki bez zatrzymań. </w:t>
      </w:r>
    </w:p>
    <w:p w14:paraId="46C1623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Mieszankę mineralno-asfaltową asfaltową należy wbudowywać w odpowiednich warunkach atmosferycznych.  Nie wolno wbudowywać betonu asfaltowego  gdy na podłożu tworzy się zamknięty film wodny. </w:t>
      </w:r>
    </w:p>
    <w:p w14:paraId="03E2E8C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Temperatura otoczenia w ciągu doby nie powinna być niższa od temperatury podanej w tablicy 26.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opadów atmosferycznych.</w:t>
      </w:r>
    </w:p>
    <w:p w14:paraId="3308BE4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Podczas budowy nawierzchni należy dążyć do ułożenia wszystkich warstw przed sezonem zimowym, aby zapewnić szczelność nawierzchni i jej odporność na działanie wody i mrozu. Jeżeli w wyjątkowym przypadku zachodzi konieczność pozostawienia na zimę warstwy podbudowy, to należy ją powierzchniowo uszczelnić w celu zabezpieczenia przed szkodliwym działaniem wody, mrozu i ewentualnie środków odladzających.</w:t>
      </w:r>
    </w:p>
    <w:p w14:paraId="7177CB0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wypadku stosowania mieszanek mineralno-asfaltowych z dodatkiem obniżającym temperaturę mieszania i wbudowania należy indywidualnie określić wymagane warunki otoczenia. </w:t>
      </w:r>
    </w:p>
    <w:p w14:paraId="1BB3EE2F" w14:textId="77777777" w:rsidR="00F45500" w:rsidRPr="007B192E" w:rsidRDefault="00F45500" w:rsidP="00F45500">
      <w:pPr>
        <w:spacing w:before="120" w:after="120"/>
        <w:ind w:left="1200" w:hanging="1200"/>
        <w:jc w:val="both"/>
        <w:rPr>
          <w:rFonts w:ascii="Arial" w:hAnsi="Arial" w:cs="Arial"/>
          <w:color w:val="000000" w:themeColor="text1"/>
          <w:sz w:val="18"/>
          <w:szCs w:val="18"/>
        </w:rPr>
      </w:pPr>
      <w:r w:rsidRPr="007B192E">
        <w:rPr>
          <w:rFonts w:ascii="Arial" w:hAnsi="Arial" w:cs="Arial"/>
          <w:color w:val="000000" w:themeColor="text1"/>
          <w:sz w:val="18"/>
          <w:szCs w:val="18"/>
        </w:rPr>
        <w:t>Tablica 26. Minimalna temperatura otoczenia na wysokości 2 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0"/>
        <w:gridCol w:w="4111"/>
      </w:tblGrid>
      <w:tr w:rsidR="004D7D23" w:rsidRPr="007B192E" w14:paraId="4661DA88" w14:textId="77777777" w:rsidTr="008F7A94">
        <w:trPr>
          <w:trHeight w:val="562"/>
          <w:jc w:val="center"/>
        </w:trPr>
        <w:tc>
          <w:tcPr>
            <w:tcW w:w="3960" w:type="dxa"/>
            <w:vAlign w:val="center"/>
          </w:tcPr>
          <w:p w14:paraId="60C54EA0"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Rodzaj robót</w:t>
            </w:r>
          </w:p>
        </w:tc>
        <w:tc>
          <w:tcPr>
            <w:tcW w:w="4111" w:type="dxa"/>
            <w:vAlign w:val="center"/>
          </w:tcPr>
          <w:p w14:paraId="0C6629E4"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Minimalna temperatura powietrza  [°C]</w:t>
            </w:r>
          </w:p>
        </w:tc>
      </w:tr>
      <w:tr w:rsidR="004D7D23" w:rsidRPr="007B192E" w14:paraId="365E1AFB" w14:textId="77777777" w:rsidTr="008F7A94">
        <w:trPr>
          <w:jc w:val="center"/>
        </w:trPr>
        <w:tc>
          <w:tcPr>
            <w:tcW w:w="3960" w:type="dxa"/>
            <w:vAlign w:val="center"/>
          </w:tcPr>
          <w:p w14:paraId="330970EB"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Podbudowa</w:t>
            </w:r>
          </w:p>
        </w:tc>
        <w:tc>
          <w:tcPr>
            <w:tcW w:w="4111" w:type="dxa"/>
            <w:vAlign w:val="center"/>
          </w:tcPr>
          <w:p w14:paraId="0C3DB53A"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0°C (-3°C*)</w:t>
            </w:r>
          </w:p>
        </w:tc>
      </w:tr>
    </w:tbl>
    <w:p w14:paraId="533DEFC4" w14:textId="77777777" w:rsidR="00F45500" w:rsidRPr="007B192E" w:rsidRDefault="00F45500" w:rsidP="00F45500">
      <w:pPr>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 Do decyzji Inżyniera, przy czym temperatura podłoża powinna wynosić co najmniej 5°C.</w:t>
      </w:r>
      <w:r w:rsidRPr="007B192E">
        <w:rPr>
          <w:rFonts w:ascii="Arial" w:hAnsi="Arial" w:cs="Arial"/>
          <w:color w:val="000000" w:themeColor="text1"/>
          <w:sz w:val="18"/>
          <w:szCs w:val="18"/>
        </w:rPr>
        <w:tab/>
      </w:r>
    </w:p>
    <w:p w14:paraId="0A241137"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Mieszanka mineralno-asfaltowa powinna być wbudowywana rozkładarką wyposażoną w układ automatycznego sterowania grubości warstwy i utrzymywania niwelety zgodnie z dokumentacją projektową. W miejscach niedostępnych dla sprzętu dopuszcza się wbudowywanie ręczne. </w:t>
      </w:r>
    </w:p>
    <w:p w14:paraId="24B52AB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Grubość wykonywanej warstwy powinna być sprawdzana co 25 m, w co najmniej trzech miejscach (w osi i przy brzegach warstwy).</w:t>
      </w:r>
    </w:p>
    <w:p w14:paraId="5535AAF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Warstwy wałowane powinny być równomiernie zagęszczone ciężkimi walcami drogowymi. Do warstw z betonu asfaltowego należy stosować walce drogowe stalowe gładkie z możliwością wibracji, oscylacji lub walce ogumione. </w:t>
      </w:r>
    </w:p>
    <w:p w14:paraId="06ECADC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 wykonanych warstwach podbudowy i warstwie wiążącej powinien odbywać się wyłącznie ruch pojazdów związanych z układaniem następnej warstwy. W przypadku konieczności dopuszczenia innego ruchu należy zastosować zabiegi zabezpieczające uzyskanie wymaganego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w:t>
      </w:r>
    </w:p>
    <w:p w14:paraId="40D49D2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bookmarkStart w:id="308" w:name="_Toc413234108"/>
      <w:r w:rsidRPr="007B192E">
        <w:rPr>
          <w:color w:val="000000" w:themeColor="text1"/>
          <w:sz w:val="18"/>
          <w:szCs w:val="18"/>
        </w:rPr>
        <w:t>5.9. Połączenia technologiczne</w:t>
      </w:r>
    </w:p>
    <w:p w14:paraId="379D37B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Połączenia technologiczne należy wykonywać jako</w:t>
      </w:r>
    </w:p>
    <w:p w14:paraId="256FEFFB" w14:textId="77777777" w:rsidR="00F45500" w:rsidRPr="007B192E" w:rsidRDefault="00F45500" w:rsidP="00C12426">
      <w:pPr>
        <w:widowControl/>
        <w:numPr>
          <w:ilvl w:val="0"/>
          <w:numId w:val="230"/>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złącza podłużne i poprzeczne (wg definicji p. 1.4.17.),</w:t>
      </w:r>
    </w:p>
    <w:p w14:paraId="52562B0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Połączenia technologiczne powinny być jednorodne i szczelne.   </w:t>
      </w:r>
    </w:p>
    <w:p w14:paraId="4EBC8F64"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5.9.1.</w:t>
      </w:r>
      <w:r w:rsidRPr="007B192E">
        <w:rPr>
          <w:rFonts w:ascii="Arial" w:hAnsi="Arial" w:cs="Arial"/>
          <w:color w:val="000000" w:themeColor="text1"/>
          <w:sz w:val="18"/>
          <w:szCs w:val="18"/>
        </w:rPr>
        <w:t xml:space="preserve"> Wykonanie złączy</w:t>
      </w:r>
    </w:p>
    <w:p w14:paraId="32D5DAD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5.9.1.1. Sposób wykonania złączy - wymagania ogólne</w:t>
      </w:r>
    </w:p>
    <w:p w14:paraId="5139A9C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w warstwach nawierzchni powinny być wykonywane w linii prostej.</w:t>
      </w:r>
    </w:p>
    <w:p w14:paraId="2C32DCD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podłużnego nie można umiejscawiać w śladach kół.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14:paraId="364EB14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powinny być całkowicie związane, a powierzchnie przylegających warstw powinny być w jednym poziomie.</w:t>
      </w:r>
    </w:p>
    <w:p w14:paraId="03F462E4"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5.9.1.2. Technologia rozkładania „gorące przy gorącym”</w:t>
      </w:r>
    </w:p>
    <w:p w14:paraId="518273B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149EC1E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29815CC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 tej metodzie nie stosuje się dodatkowych materiałów do złączy.</w:t>
      </w:r>
    </w:p>
    <w:p w14:paraId="62D168C1"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 5.9.1.3. Technologia rozkładania „gorące przy zimnym” </w:t>
      </w:r>
    </w:p>
    <w:p w14:paraId="16AC96D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7624ABE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7B192E">
        <w:rPr>
          <w:rFonts w:ascii="Arial" w:hAnsi="Arial" w:cs="Arial"/>
          <w:color w:val="000000" w:themeColor="text1"/>
          <w:sz w:val="18"/>
          <w:szCs w:val="18"/>
        </w:rPr>
        <w:t>tj.pod</w:t>
      </w:r>
      <w:proofErr w:type="spellEnd"/>
      <w:r w:rsidRPr="007B192E">
        <w:rPr>
          <w:rFonts w:ascii="Arial" w:hAnsi="Arial" w:cs="Arial"/>
          <w:color w:val="000000" w:themeColor="text1"/>
          <w:sz w:val="18"/>
          <w:szCs w:val="18"/>
        </w:rPr>
        <w:t xml:space="preserve"> kątem 70-80˚ w stosunku do warstwy niżej leżącej). Skos wykonany „na gorąco”, powinien być uformowany podczas układania pierwszego pasa ruchu, przy zastosowaniu rolki dociskowej lub noża talerzowego.</w:t>
      </w:r>
    </w:p>
    <w:p w14:paraId="77E45E7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przylepną taśmą bitumiczną lub pastą zgodnie z wymaganiami i w ilości podanej w punktach 5.9.1.5.  i 5.9.1.6.</w:t>
      </w:r>
    </w:p>
    <w:p w14:paraId="0F07E98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Drugi pas powinien być wykonywany z zakładem 2-3 cm licząc od górnej krawędzi złącza, zachodzącym na pas wykonany wcześniej.</w:t>
      </w:r>
    </w:p>
    <w:p w14:paraId="3D957BE3"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5.9.1.4. Zakończenie działki roboczej </w:t>
      </w:r>
    </w:p>
    <w:p w14:paraId="2ABE89A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Zakończenie działki roboczej należy wykonać w sposób i przy pomocy urządzeń zapewniających uzyskanie nieregularnej powierzchni spoiny (przy pomocy wstawianej kantówki lub frezarki). Zakończenie działki roboczej należy wykonać prostopadle do osi drogi. Krawędź działki roboczej jest równocześnie krawędzią poprzeczną złącza.</w:t>
      </w:r>
    </w:p>
    <w:p w14:paraId="6AB2E15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poprzeczne między działkami roboczymi układanych pasów kolejnych warstw technologicznych należy przesunąć względem siebie o co najmniej 3 m w kierunku podłużnym do osi jezdni.</w:t>
      </w:r>
    </w:p>
    <w:p w14:paraId="6B7BD079" w14:textId="77777777" w:rsidR="00F45500" w:rsidRPr="007B192E" w:rsidRDefault="00F45500" w:rsidP="00F45500">
      <w:pPr>
        <w:spacing w:before="120" w:after="120"/>
        <w:jc w:val="both"/>
        <w:rPr>
          <w:rFonts w:ascii="Arial" w:hAnsi="Arial" w:cs="Arial"/>
          <w:b/>
          <w:color w:val="000000" w:themeColor="text1"/>
          <w:sz w:val="18"/>
          <w:szCs w:val="18"/>
        </w:rPr>
      </w:pPr>
      <w:r w:rsidRPr="007B192E">
        <w:rPr>
          <w:rFonts w:ascii="Arial" w:hAnsi="Arial" w:cs="Arial"/>
          <w:color w:val="000000" w:themeColor="text1"/>
          <w:sz w:val="18"/>
          <w:szCs w:val="18"/>
        </w:rPr>
        <w:t>5.9.1.5.</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Wymagania wobec wbudowania taśm bitumicznych</w:t>
      </w:r>
    </w:p>
    <w:p w14:paraId="07F9943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Minimalna wysokość taśmy wynosi 4 cm. Grubość taśmy powinna wynosić 10 mm.</w:t>
      </w:r>
    </w:p>
    <w:p w14:paraId="0CB6D46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Krawędź boczna złącza podłużnego powinna być uformowana zgodnie z opisem w punkcie 5.9.1.3. Krawędź boczna złącza poprzecznego powinna być uformowana w taki sposób i za pomocą urządzeń umożliwiających uzyskanie nieregularnej powierzchni.</w:t>
      </w:r>
    </w:p>
    <w:p w14:paraId="5CFE1FA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Powierzchnie krawędzi do których klejona będzie taśma, powinny być czyste i suche. Przed przyklejeniem taśmy w metodzie „gorące przy zimnym”, krawędzie „zimnej” warstwy na całkowitej grubości, należy zagruntować zgodnie z zaleceniami producenta</w:t>
      </w:r>
    </w:p>
    <w:p w14:paraId="1C11D73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taśmy.</w:t>
      </w:r>
    </w:p>
    <w:p w14:paraId="73790DC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Taśma bitumiczna powinna być wstępnie przyklejona do zimnej krawędzi złącza pokrywając 2/3 wysokości warstwy licząc od górnej powierzchni.</w:t>
      </w:r>
    </w:p>
    <w:p w14:paraId="06124DC2" w14:textId="77777777" w:rsidR="00F45500" w:rsidRPr="007B192E" w:rsidRDefault="00F45500" w:rsidP="00F45500">
      <w:pPr>
        <w:spacing w:before="120" w:after="120"/>
        <w:jc w:val="both"/>
        <w:rPr>
          <w:rFonts w:ascii="Arial" w:hAnsi="Arial" w:cs="Arial"/>
          <w:b/>
          <w:color w:val="000000" w:themeColor="text1"/>
          <w:sz w:val="18"/>
          <w:szCs w:val="18"/>
        </w:rPr>
      </w:pPr>
      <w:r w:rsidRPr="007B192E">
        <w:rPr>
          <w:rFonts w:ascii="Arial" w:hAnsi="Arial" w:cs="Arial"/>
          <w:color w:val="000000" w:themeColor="text1"/>
          <w:sz w:val="18"/>
          <w:szCs w:val="18"/>
        </w:rPr>
        <w:t>5.9.1.6.</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Wymagania wobec wbudowywania past bitumicznych</w:t>
      </w:r>
    </w:p>
    <w:p w14:paraId="073DC37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Przygotowanie krawędzi bocznych jak w przypadku stosowania taśm bitumicznych.</w:t>
      </w:r>
    </w:p>
    <w:p w14:paraId="677FE08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Pasta powinna być nanoszona mechanicznie z zapewnieniem równomiernego jej rozprowadzenia na bocznej krawędzi w ilości 3 - 4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(warstwa o grubości 3 - 4 mm przy gęstości około 1,0 g/cm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w:t>
      </w:r>
    </w:p>
    <w:p w14:paraId="2FD66FE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ręczne nanoszenie past w miejscach niedostępnych.</w:t>
      </w:r>
    </w:p>
    <w:p w14:paraId="508F628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5.10. Krawędzie </w:t>
      </w:r>
    </w:p>
    <w:p w14:paraId="27C3DA0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7B192E">
        <w:rPr>
          <w:rFonts w:ascii="Arial" w:hAnsi="Arial" w:cs="Arial"/>
          <w:color w:val="000000" w:themeColor="text1"/>
          <w:sz w:val="18"/>
          <w:szCs w:val="18"/>
        </w:rPr>
        <w:t>tzw</w:t>
      </w:r>
      <w:proofErr w:type="spellEnd"/>
      <w:r w:rsidRPr="007B192E">
        <w:rPr>
          <w:rFonts w:ascii="Arial" w:hAnsi="Arial" w:cs="Arial"/>
          <w:color w:val="000000" w:themeColor="text1"/>
          <w:sz w:val="18"/>
          <w:szCs w:val="18"/>
        </w:rPr>
        <w:t xml:space="preserve"> „buta” („na gorąco”).</w:t>
      </w:r>
    </w:p>
    <w:p w14:paraId="1F909B4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krawędzie nie zostały uformowane na gorąco krawędzie należy wyfrezować na zimno.</w:t>
      </w:r>
    </w:p>
    <w:p w14:paraId="09A1F75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 wykonaniu nawierzchni asfaltowej o jednostronnym nachyleniu jezdni należy uszczelnić krawędź </w:t>
      </w:r>
      <w:r w:rsidRPr="007B192E">
        <w:rPr>
          <w:rFonts w:ascii="Arial" w:hAnsi="Arial" w:cs="Arial"/>
          <w:color w:val="000000" w:themeColor="text1"/>
          <w:sz w:val="18"/>
          <w:szCs w:val="18"/>
        </w:rPr>
        <w:lastRenderedPageBreak/>
        <w:t>położoną wyżej (niżej położona krawędź powinna zostać nieuszczelniona).</w:t>
      </w:r>
    </w:p>
    <w:p w14:paraId="259AAAC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nawierzchni o dwustronnym nachyleniu (przekrój daszkowy) decyzję o potrzebie i sposobie uszczelnienia krawędzi zewnętrznych podejmie Projektant w uzgodnieniu z Inżynierem.</w:t>
      </w:r>
    </w:p>
    <w:p w14:paraId="399797B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Krawędzie zewnętrzne oraz powierzchnie odsadzek poziomych należy uszczelnić przez pokrycie gorącym asfaltem w ilości:</w:t>
      </w:r>
    </w:p>
    <w:p w14:paraId="07A55E58" w14:textId="77777777" w:rsidR="00F45500" w:rsidRPr="007B192E" w:rsidRDefault="00F45500" w:rsidP="00C12426">
      <w:pPr>
        <w:widowControl/>
        <w:numPr>
          <w:ilvl w:val="0"/>
          <w:numId w:val="232"/>
        </w:numPr>
        <w:suppressAutoHyphens w:val="0"/>
        <w:overflowPunct/>
        <w:autoSpaceDN w:val="0"/>
        <w:adjustRightInd w:val="0"/>
        <w:ind w:left="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powierzchnie odsadzek - 1,5 kg/m2,</w:t>
      </w:r>
    </w:p>
    <w:p w14:paraId="6E211548" w14:textId="77777777" w:rsidR="00F45500" w:rsidRPr="007B192E" w:rsidRDefault="00F45500" w:rsidP="00C12426">
      <w:pPr>
        <w:widowControl/>
        <w:numPr>
          <w:ilvl w:val="0"/>
          <w:numId w:val="232"/>
        </w:numPr>
        <w:suppressAutoHyphens w:val="0"/>
        <w:overflowPunct/>
        <w:autoSpaceDN w:val="0"/>
        <w:adjustRightInd w:val="0"/>
        <w:ind w:left="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krawędzie zewnętrzne - 4 kg/m2.</w:t>
      </w:r>
    </w:p>
    <w:p w14:paraId="063A57A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Gorący asfalt może być nanoszony w kilku przejściach roboczych. Do uszczelniania krawędzi zewnętrznych należy stosować asfalt drogowy według PN-EN 12591 [24], asfalt modyfikowany polimerami według PN-EN 14023[66], asfalt wielorodzajowy wg PN-EN 13924-2[65], albo inne lepiszcza według norm lub aprobat technicznych. Uszczelnienie krawędzi zewnętrznej należy wykonać gorącym lepiszczem.</w:t>
      </w:r>
    </w:p>
    <w:p w14:paraId="07417C1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Lepiszcze powinno być naniesione odpowiednio szybko tak, aby krawędzie nie uległy zabrudzeniu. Niżej położona krawędź (z wyjątkiem strefy zmiany przechyłki) powinna pozostać nieuszczelniona. </w:t>
      </w:r>
    </w:p>
    <w:p w14:paraId="7642FAD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14:paraId="029ECF13" w14:textId="77777777" w:rsidR="00F45500" w:rsidRPr="007B192E" w:rsidRDefault="002562DC" w:rsidP="005E0E48">
      <w:pPr>
        <w:pStyle w:val="Nagwek2"/>
        <w:rPr>
          <w:i w:val="0"/>
          <w:color w:val="000000" w:themeColor="text1"/>
        </w:rPr>
      </w:pPr>
      <w:r w:rsidRPr="007B192E">
        <w:rPr>
          <w:i w:val="0"/>
          <w:color w:val="000000" w:themeColor="text1"/>
        </w:rPr>
        <w:t>6. KONTROLA JAKOŚCI ROBÓT</w:t>
      </w:r>
      <w:bookmarkEnd w:id="308"/>
    </w:p>
    <w:p w14:paraId="217AB6D7"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6.1. Ogólne zasady kontroli jakości robót</w:t>
      </w:r>
    </w:p>
    <w:p w14:paraId="7BC50CA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51835C80"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6.2. Badania przed przystąpieniem do robót</w:t>
      </w:r>
    </w:p>
    <w:p w14:paraId="378081D4"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6.2.1.</w:t>
      </w:r>
      <w:r w:rsidRPr="007B192E">
        <w:rPr>
          <w:rFonts w:ascii="Arial" w:hAnsi="Arial" w:cs="Arial"/>
          <w:color w:val="000000" w:themeColor="text1"/>
          <w:sz w:val="18"/>
          <w:szCs w:val="18"/>
        </w:rPr>
        <w:t xml:space="preserve"> Dokumenty i wyniki badań materiałów</w:t>
      </w:r>
    </w:p>
    <w:p w14:paraId="580167FF"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Przed przystąpieniem do robót Wykonawca powinien: </w:t>
      </w:r>
    </w:p>
    <w:p w14:paraId="48FF948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0FF0DDCD"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wykonać własne badania właściwości materiałów przeznaczonych do wykonania robót, określone przez Inżyniera.</w:t>
      </w:r>
    </w:p>
    <w:p w14:paraId="2679B925"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26C098B5"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przypadku zmiany rodzaju i właściwości materiałów budowlanych należy ponownie wykazać ich przydatność do przewidywanego celu.  </w:t>
      </w:r>
    </w:p>
    <w:p w14:paraId="45AF308B"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6.2.2.</w:t>
      </w:r>
      <w:r w:rsidRPr="007B192E">
        <w:rPr>
          <w:rFonts w:ascii="Arial" w:hAnsi="Arial" w:cs="Arial"/>
          <w:color w:val="000000" w:themeColor="text1"/>
          <w:sz w:val="18"/>
          <w:szCs w:val="18"/>
        </w:rPr>
        <w:t xml:space="preserve"> Badanie typu </w:t>
      </w:r>
    </w:p>
    <w:p w14:paraId="6CE627B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548DEAB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Badanie typu powinno zawierać:</w:t>
      </w:r>
    </w:p>
    <w:p w14:paraId="637390C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 informacje ogólne:</w:t>
      </w:r>
    </w:p>
    <w:p w14:paraId="63870C7F"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nazwę i adres producenta mieszanki mineralno-asfaltowej,</w:t>
      </w:r>
    </w:p>
    <w:p w14:paraId="4EF73FEC"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datę wydania,</w:t>
      </w:r>
    </w:p>
    <w:p w14:paraId="7E5C2E20"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nazwę wytwórni produkującej mieszankę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 xml:space="preserve"> –asfaltową,</w:t>
      </w:r>
    </w:p>
    <w:p w14:paraId="31628952"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określenie typu mieszanki i kategorii, z którymi jest deklarowana zgodność,</w:t>
      </w:r>
    </w:p>
    <w:p w14:paraId="2C3AE6D5"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zestawienie metod przygotowania próbek oraz metod i warunków badania poszczególnych właściwości,</w:t>
      </w:r>
    </w:p>
    <w:p w14:paraId="6AB63D4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b) informacje o składnikach:</w:t>
      </w:r>
    </w:p>
    <w:p w14:paraId="6C5922E8"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każdy wymiar kruszywa: źródło i rodzaj</w:t>
      </w:r>
    </w:p>
    <w:p w14:paraId="329D09E1"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lepiszcze: typ i rodzaj,</w:t>
      </w:r>
    </w:p>
    <w:p w14:paraId="4D90D048"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wypełniacz: źródło i rodzaj,</w:t>
      </w:r>
    </w:p>
    <w:p w14:paraId="4793484D"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dodatki: źródło i rodzaj,</w:t>
      </w:r>
    </w:p>
    <w:p w14:paraId="78498C42" w14:textId="77777777" w:rsidR="00F45500" w:rsidRPr="007B192E" w:rsidRDefault="00F45500" w:rsidP="00C12426">
      <w:pPr>
        <w:widowControl/>
        <w:numPr>
          <w:ilvl w:val="0"/>
          <w:numId w:val="22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wszystkie składniki: wyniki badań zgodnie z zestawieniem podanym w tablicy 27,</w:t>
      </w:r>
    </w:p>
    <w:p w14:paraId="3896BB76"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27. Rodzaj i liczba badań składników mieszanki mineralno-asfaltowej</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920"/>
        <w:gridCol w:w="2760"/>
        <w:gridCol w:w="1878"/>
      </w:tblGrid>
      <w:tr w:rsidR="004D7D23" w:rsidRPr="007B192E" w14:paraId="7227307B" w14:textId="77777777" w:rsidTr="008F7A94">
        <w:trPr>
          <w:jc w:val="center"/>
        </w:trPr>
        <w:tc>
          <w:tcPr>
            <w:tcW w:w="2268" w:type="dxa"/>
            <w:vAlign w:val="center"/>
          </w:tcPr>
          <w:p w14:paraId="09A25E89"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Składnik</w:t>
            </w:r>
          </w:p>
        </w:tc>
        <w:tc>
          <w:tcPr>
            <w:tcW w:w="1920" w:type="dxa"/>
            <w:vAlign w:val="center"/>
          </w:tcPr>
          <w:p w14:paraId="351157E1"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760" w:type="dxa"/>
            <w:vAlign w:val="center"/>
          </w:tcPr>
          <w:p w14:paraId="75652FB9"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Metoda badania</w:t>
            </w:r>
          </w:p>
        </w:tc>
        <w:tc>
          <w:tcPr>
            <w:tcW w:w="1878" w:type="dxa"/>
            <w:vAlign w:val="center"/>
          </w:tcPr>
          <w:p w14:paraId="45E4B601"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Liczba badań</w:t>
            </w:r>
          </w:p>
        </w:tc>
      </w:tr>
      <w:tr w:rsidR="004D7D23" w:rsidRPr="007B192E" w14:paraId="74C8E3AD" w14:textId="77777777" w:rsidTr="008F7A94">
        <w:trPr>
          <w:jc w:val="center"/>
        </w:trPr>
        <w:tc>
          <w:tcPr>
            <w:tcW w:w="2268" w:type="dxa"/>
            <w:vMerge w:val="restart"/>
            <w:vAlign w:val="center"/>
          </w:tcPr>
          <w:p w14:paraId="647BE30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Kruszywo</w:t>
            </w:r>
          </w:p>
          <w:p w14:paraId="7FC0952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13043 [50])</w:t>
            </w:r>
          </w:p>
        </w:tc>
        <w:tc>
          <w:tcPr>
            <w:tcW w:w="1920" w:type="dxa"/>
            <w:vAlign w:val="center"/>
          </w:tcPr>
          <w:p w14:paraId="1A27A3D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Uziarnienie</w:t>
            </w:r>
          </w:p>
        </w:tc>
        <w:tc>
          <w:tcPr>
            <w:tcW w:w="2760" w:type="dxa"/>
            <w:vAlign w:val="center"/>
          </w:tcPr>
          <w:p w14:paraId="7DC4FD1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933-1 [6]</w:t>
            </w:r>
          </w:p>
        </w:tc>
        <w:tc>
          <w:tcPr>
            <w:tcW w:w="1878" w:type="dxa"/>
            <w:vAlign w:val="center"/>
          </w:tcPr>
          <w:p w14:paraId="092F407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 na frakcję</w:t>
            </w:r>
          </w:p>
        </w:tc>
      </w:tr>
      <w:tr w:rsidR="004D7D23" w:rsidRPr="007B192E" w14:paraId="250F674C" w14:textId="77777777" w:rsidTr="008F7A94">
        <w:trPr>
          <w:jc w:val="center"/>
        </w:trPr>
        <w:tc>
          <w:tcPr>
            <w:tcW w:w="2268" w:type="dxa"/>
            <w:vMerge/>
            <w:vAlign w:val="center"/>
          </w:tcPr>
          <w:p w14:paraId="59D36ADE"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1EB7ACC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Gęstość</w:t>
            </w:r>
          </w:p>
        </w:tc>
        <w:tc>
          <w:tcPr>
            <w:tcW w:w="2760" w:type="dxa"/>
            <w:vAlign w:val="center"/>
          </w:tcPr>
          <w:p w14:paraId="076C17E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1097-6 [17]</w:t>
            </w:r>
          </w:p>
        </w:tc>
        <w:tc>
          <w:tcPr>
            <w:tcW w:w="1878" w:type="dxa"/>
            <w:vAlign w:val="center"/>
          </w:tcPr>
          <w:p w14:paraId="58DCAE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 na frakcję</w:t>
            </w:r>
          </w:p>
        </w:tc>
      </w:tr>
      <w:tr w:rsidR="004D7D23" w:rsidRPr="007B192E" w14:paraId="79C19472" w14:textId="77777777" w:rsidTr="008F7A94">
        <w:trPr>
          <w:jc w:val="center"/>
        </w:trPr>
        <w:tc>
          <w:tcPr>
            <w:tcW w:w="2268" w:type="dxa"/>
            <w:vMerge w:val="restart"/>
            <w:vAlign w:val="center"/>
          </w:tcPr>
          <w:p w14:paraId="5AFA984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Lepiszcze</w:t>
            </w:r>
          </w:p>
          <w:p w14:paraId="5AB0316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12591 [24], PN-EN 13924-2[65], PN-EN 14023 [66])</w:t>
            </w:r>
          </w:p>
        </w:tc>
        <w:tc>
          <w:tcPr>
            <w:tcW w:w="1920" w:type="dxa"/>
            <w:vAlign w:val="center"/>
          </w:tcPr>
          <w:p w14:paraId="34635DC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Penetracja lub temperatura mięknienia</w:t>
            </w:r>
          </w:p>
        </w:tc>
        <w:tc>
          <w:tcPr>
            <w:tcW w:w="2760" w:type="dxa"/>
            <w:vAlign w:val="center"/>
          </w:tcPr>
          <w:p w14:paraId="6311B20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1426 [21] lub</w:t>
            </w:r>
          </w:p>
          <w:p w14:paraId="38E861E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1878" w:type="dxa"/>
            <w:vAlign w:val="center"/>
          </w:tcPr>
          <w:p w14:paraId="45FFE7AE" w14:textId="77777777" w:rsidR="00F45500" w:rsidRPr="007B192E" w:rsidRDefault="00F45500" w:rsidP="008F7A94">
            <w:pPr>
              <w:jc w:val="center"/>
              <w:rPr>
                <w:rFonts w:ascii="Arial" w:hAnsi="Arial" w:cs="Arial"/>
                <w:color w:val="000000" w:themeColor="text1"/>
                <w:sz w:val="18"/>
                <w:szCs w:val="18"/>
              </w:rPr>
            </w:pPr>
          </w:p>
          <w:p w14:paraId="0567CA1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437B64FD" w14:textId="77777777" w:rsidTr="008F7A94">
        <w:trPr>
          <w:jc w:val="center"/>
        </w:trPr>
        <w:tc>
          <w:tcPr>
            <w:tcW w:w="2268" w:type="dxa"/>
            <w:vMerge/>
            <w:vAlign w:val="center"/>
          </w:tcPr>
          <w:p w14:paraId="1268D86C"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5B435637" w14:textId="77777777" w:rsidR="00F45500" w:rsidRPr="007B192E" w:rsidRDefault="00F45500" w:rsidP="008F7A94">
            <w:pPr>
              <w:jc w:val="center"/>
              <w:rPr>
                <w:rFonts w:ascii="Arial" w:hAnsi="Arial" w:cs="Arial"/>
                <w:color w:val="000000" w:themeColor="text1"/>
                <w:sz w:val="18"/>
                <w:szCs w:val="18"/>
                <w:vertAlign w:val="superscript"/>
              </w:rPr>
            </w:pPr>
            <w:r w:rsidRPr="007B192E">
              <w:rPr>
                <w:rFonts w:ascii="Arial" w:hAnsi="Arial" w:cs="Arial"/>
                <w:color w:val="000000" w:themeColor="text1"/>
                <w:sz w:val="18"/>
                <w:szCs w:val="18"/>
              </w:rPr>
              <w:t>Nawrót sprężysty</w:t>
            </w:r>
            <w:r w:rsidRPr="007B192E">
              <w:rPr>
                <w:rFonts w:ascii="Arial" w:hAnsi="Arial" w:cs="Arial"/>
                <w:color w:val="000000" w:themeColor="text1"/>
                <w:sz w:val="18"/>
                <w:szCs w:val="18"/>
                <w:vertAlign w:val="superscript"/>
              </w:rPr>
              <w:t>*)</w:t>
            </w:r>
          </w:p>
        </w:tc>
        <w:tc>
          <w:tcPr>
            <w:tcW w:w="2760" w:type="dxa"/>
            <w:vAlign w:val="center"/>
          </w:tcPr>
          <w:p w14:paraId="414F518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13398 [58]</w:t>
            </w:r>
          </w:p>
        </w:tc>
        <w:tc>
          <w:tcPr>
            <w:tcW w:w="1878" w:type="dxa"/>
            <w:vAlign w:val="center"/>
          </w:tcPr>
          <w:p w14:paraId="1AF85256"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4F44636C" w14:textId="77777777" w:rsidTr="008F7A94">
        <w:trPr>
          <w:jc w:val="center"/>
        </w:trPr>
        <w:tc>
          <w:tcPr>
            <w:tcW w:w="2268" w:type="dxa"/>
            <w:vMerge w:val="restart"/>
            <w:vAlign w:val="center"/>
          </w:tcPr>
          <w:p w14:paraId="6FDE1D2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Wypełniacz</w:t>
            </w:r>
          </w:p>
          <w:p w14:paraId="3710E91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13043 [50])</w:t>
            </w:r>
          </w:p>
        </w:tc>
        <w:tc>
          <w:tcPr>
            <w:tcW w:w="1920" w:type="dxa"/>
            <w:vAlign w:val="center"/>
          </w:tcPr>
          <w:p w14:paraId="1ECBBAE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Uziarnienie</w:t>
            </w:r>
          </w:p>
        </w:tc>
        <w:tc>
          <w:tcPr>
            <w:tcW w:w="2760" w:type="dxa"/>
            <w:vAlign w:val="center"/>
          </w:tcPr>
          <w:p w14:paraId="08CE00B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933-10 [12]</w:t>
            </w:r>
          </w:p>
        </w:tc>
        <w:tc>
          <w:tcPr>
            <w:tcW w:w="1878" w:type="dxa"/>
            <w:vAlign w:val="center"/>
          </w:tcPr>
          <w:p w14:paraId="61FD58C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20711CA0" w14:textId="77777777" w:rsidTr="008F7A94">
        <w:trPr>
          <w:jc w:val="center"/>
        </w:trPr>
        <w:tc>
          <w:tcPr>
            <w:tcW w:w="2268" w:type="dxa"/>
            <w:vMerge/>
            <w:vAlign w:val="center"/>
          </w:tcPr>
          <w:p w14:paraId="0DA713DC"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5DB1886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Gęstość</w:t>
            </w:r>
          </w:p>
        </w:tc>
        <w:tc>
          <w:tcPr>
            <w:tcW w:w="2760" w:type="dxa"/>
            <w:vAlign w:val="center"/>
          </w:tcPr>
          <w:p w14:paraId="7ECBD5E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1097-7 [18]</w:t>
            </w:r>
          </w:p>
        </w:tc>
        <w:tc>
          <w:tcPr>
            <w:tcW w:w="1878" w:type="dxa"/>
            <w:vAlign w:val="center"/>
          </w:tcPr>
          <w:p w14:paraId="6CDAC98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4C115AD5" w14:textId="77777777" w:rsidTr="008F7A94">
        <w:trPr>
          <w:jc w:val="center"/>
        </w:trPr>
        <w:tc>
          <w:tcPr>
            <w:tcW w:w="2268" w:type="dxa"/>
            <w:vAlign w:val="center"/>
          </w:tcPr>
          <w:p w14:paraId="2E63F9F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Dodatki</w:t>
            </w:r>
          </w:p>
        </w:tc>
        <w:tc>
          <w:tcPr>
            <w:tcW w:w="1920" w:type="dxa"/>
            <w:vAlign w:val="center"/>
          </w:tcPr>
          <w:p w14:paraId="4C7982B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Typ</w:t>
            </w:r>
          </w:p>
        </w:tc>
        <w:tc>
          <w:tcPr>
            <w:tcW w:w="2760" w:type="dxa"/>
            <w:vAlign w:val="center"/>
          </w:tcPr>
          <w:p w14:paraId="6C99C98D" w14:textId="77777777" w:rsidR="00F45500" w:rsidRPr="007B192E" w:rsidRDefault="00F45500" w:rsidP="008F7A94">
            <w:pPr>
              <w:jc w:val="center"/>
              <w:rPr>
                <w:rFonts w:ascii="Arial" w:hAnsi="Arial" w:cs="Arial"/>
                <w:color w:val="000000" w:themeColor="text1"/>
                <w:sz w:val="18"/>
                <w:szCs w:val="18"/>
              </w:rPr>
            </w:pPr>
          </w:p>
        </w:tc>
        <w:tc>
          <w:tcPr>
            <w:tcW w:w="1878" w:type="dxa"/>
            <w:vAlign w:val="center"/>
          </w:tcPr>
          <w:p w14:paraId="62D62334" w14:textId="77777777" w:rsidR="00F45500" w:rsidRPr="007B192E" w:rsidRDefault="00F45500" w:rsidP="008F7A94">
            <w:pPr>
              <w:jc w:val="center"/>
              <w:rPr>
                <w:rFonts w:ascii="Arial" w:hAnsi="Arial" w:cs="Arial"/>
                <w:color w:val="000000" w:themeColor="text1"/>
                <w:sz w:val="18"/>
                <w:szCs w:val="18"/>
              </w:rPr>
            </w:pPr>
          </w:p>
        </w:tc>
      </w:tr>
      <w:tr w:rsidR="004D7D23" w:rsidRPr="007B192E" w14:paraId="781A123F" w14:textId="77777777" w:rsidTr="008F7A94">
        <w:trPr>
          <w:jc w:val="center"/>
        </w:trPr>
        <w:tc>
          <w:tcPr>
            <w:tcW w:w="2268" w:type="dxa"/>
            <w:vMerge w:val="restart"/>
            <w:vAlign w:val="center"/>
          </w:tcPr>
          <w:p w14:paraId="50D6682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Granulat asfaltowy**)</w:t>
            </w:r>
          </w:p>
        </w:tc>
        <w:tc>
          <w:tcPr>
            <w:tcW w:w="1920" w:type="dxa"/>
            <w:vAlign w:val="center"/>
          </w:tcPr>
          <w:p w14:paraId="4C66AB0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Uziarnienie</w:t>
            </w:r>
          </w:p>
        </w:tc>
        <w:tc>
          <w:tcPr>
            <w:tcW w:w="2760" w:type="dxa"/>
            <w:vAlign w:val="center"/>
          </w:tcPr>
          <w:p w14:paraId="19BB5BD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12697-2 [32]</w:t>
            </w:r>
          </w:p>
        </w:tc>
        <w:tc>
          <w:tcPr>
            <w:tcW w:w="1878" w:type="dxa"/>
            <w:vAlign w:val="center"/>
          </w:tcPr>
          <w:p w14:paraId="43BE56F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5AC08FAA" w14:textId="77777777" w:rsidTr="008F7A94">
        <w:trPr>
          <w:jc w:val="center"/>
        </w:trPr>
        <w:tc>
          <w:tcPr>
            <w:tcW w:w="2268" w:type="dxa"/>
            <w:vMerge/>
            <w:vAlign w:val="center"/>
          </w:tcPr>
          <w:p w14:paraId="1B3AEBA8"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3E6F4DB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lepiszcza</w:t>
            </w:r>
          </w:p>
        </w:tc>
        <w:tc>
          <w:tcPr>
            <w:tcW w:w="2760" w:type="dxa"/>
            <w:vAlign w:val="center"/>
          </w:tcPr>
          <w:p w14:paraId="4F065753"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PN-EN 12697-1 [31]</w:t>
            </w:r>
          </w:p>
        </w:tc>
        <w:tc>
          <w:tcPr>
            <w:tcW w:w="1878" w:type="dxa"/>
            <w:vAlign w:val="center"/>
          </w:tcPr>
          <w:p w14:paraId="4150FB2C"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76BBF2C4" w14:textId="77777777" w:rsidTr="008F7A94">
        <w:trPr>
          <w:jc w:val="center"/>
        </w:trPr>
        <w:tc>
          <w:tcPr>
            <w:tcW w:w="2268" w:type="dxa"/>
            <w:vMerge/>
            <w:vAlign w:val="center"/>
          </w:tcPr>
          <w:p w14:paraId="28544DF1"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453EE09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Penetracja odzyskanego lepiszcza</w:t>
            </w:r>
          </w:p>
        </w:tc>
        <w:tc>
          <w:tcPr>
            <w:tcW w:w="2760" w:type="dxa"/>
            <w:vAlign w:val="center"/>
          </w:tcPr>
          <w:p w14:paraId="183A794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12697-3 [33] lub PN-EN 12697-4 [34] oraz PN-EN 1426 [21]</w:t>
            </w:r>
          </w:p>
        </w:tc>
        <w:tc>
          <w:tcPr>
            <w:tcW w:w="1878" w:type="dxa"/>
            <w:vAlign w:val="center"/>
          </w:tcPr>
          <w:p w14:paraId="164BD87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31B78D32" w14:textId="77777777" w:rsidTr="008F7A94">
        <w:trPr>
          <w:jc w:val="center"/>
        </w:trPr>
        <w:tc>
          <w:tcPr>
            <w:tcW w:w="2268" w:type="dxa"/>
            <w:vMerge/>
            <w:vAlign w:val="center"/>
          </w:tcPr>
          <w:p w14:paraId="235D497C"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4CD8CC5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Temperatura mięknienia lepiszcza</w:t>
            </w:r>
          </w:p>
        </w:tc>
        <w:tc>
          <w:tcPr>
            <w:tcW w:w="2760" w:type="dxa"/>
            <w:vAlign w:val="center"/>
          </w:tcPr>
          <w:p w14:paraId="3423616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12697-3 [33] lub PN-EN 12697-4 [34] oraz PN-EN 1427 [22]</w:t>
            </w:r>
          </w:p>
        </w:tc>
        <w:tc>
          <w:tcPr>
            <w:tcW w:w="1878" w:type="dxa"/>
            <w:vAlign w:val="center"/>
          </w:tcPr>
          <w:p w14:paraId="4C5D3AD5" w14:textId="77777777" w:rsidR="00F45500" w:rsidRPr="007B192E" w:rsidRDefault="00F45500" w:rsidP="008F7A94">
            <w:pPr>
              <w:jc w:val="center"/>
              <w:rPr>
                <w:rFonts w:ascii="Arial" w:hAnsi="Arial" w:cs="Arial"/>
                <w:color w:val="000000" w:themeColor="text1"/>
                <w:sz w:val="18"/>
                <w:szCs w:val="18"/>
              </w:rPr>
            </w:pPr>
          </w:p>
          <w:p w14:paraId="2FA6EBF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7F87777F" w14:textId="77777777" w:rsidTr="008F7A94">
        <w:trPr>
          <w:jc w:val="center"/>
        </w:trPr>
        <w:tc>
          <w:tcPr>
            <w:tcW w:w="2268" w:type="dxa"/>
            <w:vMerge/>
            <w:vAlign w:val="center"/>
          </w:tcPr>
          <w:p w14:paraId="69B0738E" w14:textId="77777777" w:rsidR="00F45500" w:rsidRPr="007B192E" w:rsidRDefault="00F45500" w:rsidP="008F7A94">
            <w:pPr>
              <w:jc w:val="center"/>
              <w:rPr>
                <w:rFonts w:ascii="Arial" w:hAnsi="Arial" w:cs="Arial"/>
                <w:color w:val="000000" w:themeColor="text1"/>
                <w:sz w:val="18"/>
                <w:szCs w:val="18"/>
              </w:rPr>
            </w:pPr>
          </w:p>
        </w:tc>
        <w:tc>
          <w:tcPr>
            <w:tcW w:w="1920" w:type="dxa"/>
            <w:vAlign w:val="center"/>
          </w:tcPr>
          <w:p w14:paraId="314DF7D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gęstość</w:t>
            </w:r>
          </w:p>
        </w:tc>
        <w:tc>
          <w:tcPr>
            <w:tcW w:w="2760" w:type="dxa"/>
            <w:vAlign w:val="center"/>
          </w:tcPr>
          <w:p w14:paraId="172A94A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12697-5 [35]</w:t>
            </w:r>
          </w:p>
        </w:tc>
        <w:tc>
          <w:tcPr>
            <w:tcW w:w="1878" w:type="dxa"/>
            <w:vAlign w:val="center"/>
          </w:tcPr>
          <w:p w14:paraId="5794B8E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bl>
    <w:p w14:paraId="0B0038B4" w14:textId="77777777" w:rsidR="00F45500" w:rsidRPr="007B192E" w:rsidRDefault="00F45500" w:rsidP="00F45500">
      <w:pPr>
        <w:tabs>
          <w:tab w:val="left" w:pos="5865"/>
        </w:tabs>
        <w:jc w:val="both"/>
        <w:rPr>
          <w:rFonts w:ascii="Arial" w:hAnsi="Arial" w:cs="Arial"/>
          <w:color w:val="000000" w:themeColor="text1"/>
          <w:sz w:val="18"/>
          <w:szCs w:val="18"/>
        </w:rPr>
      </w:pPr>
      <w:r w:rsidRPr="007B192E">
        <w:rPr>
          <w:rFonts w:ascii="Arial" w:hAnsi="Arial" w:cs="Arial"/>
          <w:color w:val="000000" w:themeColor="text1"/>
          <w:sz w:val="18"/>
          <w:szCs w:val="18"/>
        </w:rPr>
        <w:t>*)    dotyczy jedynie lepiszczy wg PN-EN 14023 [66],</w:t>
      </w:r>
      <w:r w:rsidRPr="007B192E">
        <w:rPr>
          <w:rFonts w:ascii="Arial" w:hAnsi="Arial" w:cs="Arial"/>
          <w:color w:val="000000" w:themeColor="text1"/>
          <w:sz w:val="18"/>
          <w:szCs w:val="18"/>
        </w:rPr>
        <w:tab/>
      </w:r>
    </w:p>
    <w:p w14:paraId="228C04B8" w14:textId="77777777" w:rsidR="00F45500" w:rsidRPr="007B192E" w:rsidRDefault="00F45500" w:rsidP="00F45500">
      <w:pPr>
        <w:ind w:left="480" w:hanging="480"/>
        <w:jc w:val="both"/>
        <w:rPr>
          <w:rFonts w:ascii="Arial" w:hAnsi="Arial" w:cs="Arial"/>
          <w:color w:val="000000" w:themeColor="text1"/>
          <w:sz w:val="18"/>
          <w:szCs w:val="18"/>
        </w:rPr>
      </w:pPr>
      <w:r w:rsidRPr="007B192E">
        <w:rPr>
          <w:rFonts w:ascii="Arial" w:hAnsi="Arial" w:cs="Arial"/>
          <w:color w:val="000000" w:themeColor="text1"/>
          <w:sz w:val="18"/>
          <w:szCs w:val="18"/>
        </w:rPr>
        <w:t>**) sprawdzane właściwości powinny być odpowiednie do procentowego dodatku; przy małym procentowym dodatku stosuje się minimum wymagań.</w:t>
      </w:r>
    </w:p>
    <w:p w14:paraId="709DCA94"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c) informacje o mieszance mineralno-asfaltowej:</w:t>
      </w:r>
    </w:p>
    <w:p w14:paraId="70717165" w14:textId="77777777" w:rsidR="00F45500" w:rsidRPr="007B192E" w:rsidRDefault="00F45500" w:rsidP="00C12426">
      <w:pPr>
        <w:widowControl/>
        <w:numPr>
          <w:ilvl w:val="0"/>
          <w:numId w:val="22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skład mieszaki podany jako wejściowy (w przypadku walidacji w laboratorium) lub wyjściowy skład (w wypadku walidacji produkcji),</w:t>
      </w:r>
    </w:p>
    <w:p w14:paraId="4B18239B" w14:textId="77777777" w:rsidR="00F45500" w:rsidRPr="007B192E" w:rsidRDefault="00F45500" w:rsidP="00C12426">
      <w:pPr>
        <w:widowControl/>
        <w:numPr>
          <w:ilvl w:val="0"/>
          <w:numId w:val="22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wyniki badań zgodnie z zestawieniem podanym w tablicy 28.</w:t>
      </w:r>
    </w:p>
    <w:p w14:paraId="781ACB25" w14:textId="77777777" w:rsidR="00F45500" w:rsidRPr="007B192E" w:rsidRDefault="00F45500" w:rsidP="00F45500">
      <w:pPr>
        <w:rPr>
          <w:rFonts w:ascii="Arial" w:hAnsi="Arial" w:cs="Arial"/>
          <w:color w:val="000000" w:themeColor="text1"/>
          <w:sz w:val="18"/>
          <w:szCs w:val="18"/>
        </w:rPr>
      </w:pPr>
    </w:p>
    <w:p w14:paraId="36F0427A"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28. Rodzaj i liczba badań mieszanki mineralno-asfaltowej</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6"/>
        <w:gridCol w:w="3260"/>
        <w:gridCol w:w="1672"/>
      </w:tblGrid>
      <w:tr w:rsidR="004D7D23" w:rsidRPr="007B192E" w14:paraId="7BC68F96" w14:textId="77777777" w:rsidTr="008F7A94">
        <w:trPr>
          <w:jc w:val="center"/>
        </w:trPr>
        <w:tc>
          <w:tcPr>
            <w:tcW w:w="3936" w:type="dxa"/>
            <w:vAlign w:val="center"/>
          </w:tcPr>
          <w:p w14:paraId="3A331BD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3260" w:type="dxa"/>
            <w:vAlign w:val="center"/>
          </w:tcPr>
          <w:p w14:paraId="55C0A315"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Metoda badania</w:t>
            </w:r>
          </w:p>
        </w:tc>
        <w:tc>
          <w:tcPr>
            <w:tcW w:w="1672" w:type="dxa"/>
            <w:vAlign w:val="center"/>
          </w:tcPr>
          <w:p w14:paraId="5A3D4680"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Liczba badań</w:t>
            </w:r>
          </w:p>
        </w:tc>
      </w:tr>
      <w:tr w:rsidR="004D7D23" w:rsidRPr="007B192E" w14:paraId="0B0BCB39" w14:textId="77777777" w:rsidTr="008F7A94">
        <w:trPr>
          <w:jc w:val="center"/>
        </w:trPr>
        <w:tc>
          <w:tcPr>
            <w:tcW w:w="3936" w:type="dxa"/>
            <w:vAlign w:val="center"/>
          </w:tcPr>
          <w:p w14:paraId="0B7F6DB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lepiszcza (obowiązkowa)</w:t>
            </w:r>
          </w:p>
        </w:tc>
        <w:tc>
          <w:tcPr>
            <w:tcW w:w="3260" w:type="dxa"/>
            <w:vAlign w:val="center"/>
          </w:tcPr>
          <w:p w14:paraId="32A0176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12697-1[31]</w:t>
            </w:r>
          </w:p>
          <w:p w14:paraId="42AEF78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12697-39 [46]</w:t>
            </w:r>
          </w:p>
        </w:tc>
        <w:tc>
          <w:tcPr>
            <w:tcW w:w="1672" w:type="dxa"/>
            <w:vAlign w:val="center"/>
          </w:tcPr>
          <w:p w14:paraId="4D59D9F8"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29AE9E5F" w14:textId="77777777" w:rsidTr="008F7A94">
        <w:trPr>
          <w:jc w:val="center"/>
        </w:trPr>
        <w:tc>
          <w:tcPr>
            <w:tcW w:w="3936" w:type="dxa"/>
            <w:vAlign w:val="center"/>
          </w:tcPr>
          <w:p w14:paraId="5E801229"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Uziarnienie (obowiązkowa)</w:t>
            </w:r>
          </w:p>
        </w:tc>
        <w:tc>
          <w:tcPr>
            <w:tcW w:w="3260" w:type="dxa"/>
            <w:vAlign w:val="center"/>
          </w:tcPr>
          <w:p w14:paraId="7245A188"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12697-2 [32]</w:t>
            </w:r>
          </w:p>
        </w:tc>
        <w:tc>
          <w:tcPr>
            <w:tcW w:w="1672" w:type="dxa"/>
            <w:vAlign w:val="center"/>
          </w:tcPr>
          <w:p w14:paraId="7452DB29"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6C975AF5" w14:textId="77777777" w:rsidTr="008F7A94">
        <w:trPr>
          <w:jc w:val="center"/>
        </w:trPr>
        <w:tc>
          <w:tcPr>
            <w:tcW w:w="3936" w:type="dxa"/>
            <w:vAlign w:val="center"/>
          </w:tcPr>
          <w:p w14:paraId="2AFE5A5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Zawartość wolnych przestrzeni łącznie z VFB i VMA przy </w:t>
            </w:r>
            <w:proofErr w:type="spellStart"/>
            <w:r w:rsidRPr="007B192E">
              <w:rPr>
                <w:rFonts w:ascii="Arial" w:hAnsi="Arial" w:cs="Arial"/>
                <w:color w:val="000000" w:themeColor="text1"/>
                <w:sz w:val="18"/>
                <w:szCs w:val="18"/>
              </w:rPr>
              <w:t>wyma-ganej</w:t>
            </w:r>
            <w:proofErr w:type="spellEnd"/>
            <w:r w:rsidRPr="007B192E">
              <w:rPr>
                <w:rFonts w:ascii="Arial" w:hAnsi="Arial" w:cs="Arial"/>
                <w:color w:val="000000" w:themeColor="text1"/>
                <w:sz w:val="18"/>
                <w:szCs w:val="18"/>
              </w:rPr>
              <w:t xml:space="preserve"> zawartości wolnych przestrzeni V</w:t>
            </w:r>
            <w:r w:rsidRPr="007B192E">
              <w:rPr>
                <w:rFonts w:ascii="Arial" w:hAnsi="Arial" w:cs="Arial"/>
                <w:color w:val="000000" w:themeColor="text1"/>
                <w:sz w:val="18"/>
                <w:szCs w:val="18"/>
                <w:vertAlign w:val="subscript"/>
              </w:rPr>
              <w:t>max</w:t>
            </w:r>
            <w:r w:rsidRPr="007B192E">
              <w:rPr>
                <w:rFonts w:ascii="Arial" w:hAnsi="Arial" w:cs="Arial"/>
                <w:color w:val="000000" w:themeColor="text1"/>
                <w:sz w:val="18"/>
                <w:szCs w:val="18"/>
              </w:rPr>
              <w:t>≤7% (obowiązkowa)</w:t>
            </w:r>
          </w:p>
        </w:tc>
        <w:tc>
          <w:tcPr>
            <w:tcW w:w="3260" w:type="dxa"/>
            <w:vAlign w:val="center"/>
          </w:tcPr>
          <w:p w14:paraId="7ADC551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12697-8[37]</w:t>
            </w:r>
          </w:p>
          <w:p w14:paraId="71B8D72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Gęstość objętościowa wg PN-EN 12697-6 [36], metoda B, w stanie nasyconym </w:t>
            </w:r>
            <w:proofErr w:type="spellStart"/>
            <w:r w:rsidRPr="007B192E">
              <w:rPr>
                <w:rFonts w:ascii="Arial" w:hAnsi="Arial" w:cs="Arial"/>
                <w:color w:val="000000" w:themeColor="text1"/>
                <w:sz w:val="18"/>
                <w:szCs w:val="18"/>
              </w:rPr>
              <w:t>powierzch-niowo</w:t>
            </w:r>
            <w:proofErr w:type="spellEnd"/>
            <w:r w:rsidRPr="007B192E">
              <w:rPr>
                <w:rFonts w:ascii="Arial" w:hAnsi="Arial" w:cs="Arial"/>
                <w:color w:val="000000" w:themeColor="text1"/>
                <w:sz w:val="18"/>
                <w:szCs w:val="18"/>
              </w:rPr>
              <w:t xml:space="preserve"> suchym.</w:t>
            </w:r>
          </w:p>
          <w:p w14:paraId="5B23BD6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Gęstość wg PN-EN 12697-5 [35], metoda A w wodzie</w:t>
            </w:r>
          </w:p>
        </w:tc>
        <w:tc>
          <w:tcPr>
            <w:tcW w:w="1672" w:type="dxa"/>
            <w:vAlign w:val="center"/>
          </w:tcPr>
          <w:p w14:paraId="0524F89A" w14:textId="77777777" w:rsidR="00F45500" w:rsidRPr="007B192E" w:rsidRDefault="00F45500" w:rsidP="008F7A94">
            <w:pPr>
              <w:jc w:val="center"/>
              <w:rPr>
                <w:rFonts w:ascii="Arial" w:hAnsi="Arial" w:cs="Arial"/>
                <w:color w:val="000000" w:themeColor="text1"/>
                <w:sz w:val="18"/>
                <w:szCs w:val="18"/>
              </w:rPr>
            </w:pPr>
          </w:p>
          <w:p w14:paraId="7661CE8F" w14:textId="77777777" w:rsidR="00F45500" w:rsidRPr="007B192E" w:rsidRDefault="00F45500" w:rsidP="008F7A94">
            <w:pPr>
              <w:jc w:val="center"/>
              <w:rPr>
                <w:rFonts w:ascii="Arial" w:hAnsi="Arial" w:cs="Arial"/>
                <w:color w:val="000000" w:themeColor="text1"/>
                <w:sz w:val="18"/>
                <w:szCs w:val="18"/>
              </w:rPr>
            </w:pPr>
          </w:p>
          <w:p w14:paraId="213E4102" w14:textId="77777777" w:rsidR="00F45500" w:rsidRPr="007B192E" w:rsidRDefault="00F45500" w:rsidP="008F7A94">
            <w:pPr>
              <w:jc w:val="center"/>
              <w:rPr>
                <w:rFonts w:ascii="Arial" w:hAnsi="Arial" w:cs="Arial"/>
                <w:color w:val="000000" w:themeColor="text1"/>
                <w:sz w:val="18"/>
                <w:szCs w:val="18"/>
              </w:rPr>
            </w:pPr>
          </w:p>
          <w:p w14:paraId="6C50A35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03CF8685" w14:textId="77777777" w:rsidTr="008F7A94">
        <w:trPr>
          <w:jc w:val="center"/>
        </w:trPr>
        <w:tc>
          <w:tcPr>
            <w:tcW w:w="3936" w:type="dxa"/>
            <w:vAlign w:val="center"/>
          </w:tcPr>
          <w:p w14:paraId="058949B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Wrażliwość na działanie wody (powiązana funkcjonalnie)</w:t>
            </w:r>
          </w:p>
        </w:tc>
        <w:tc>
          <w:tcPr>
            <w:tcW w:w="3260" w:type="dxa"/>
            <w:vAlign w:val="center"/>
          </w:tcPr>
          <w:p w14:paraId="7EDE9E50"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PN-EN 12697-12 [39]</w:t>
            </w:r>
          </w:p>
        </w:tc>
        <w:tc>
          <w:tcPr>
            <w:tcW w:w="1672" w:type="dxa"/>
            <w:vAlign w:val="center"/>
          </w:tcPr>
          <w:p w14:paraId="3D6C6E48"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5511E051" w14:textId="77777777" w:rsidTr="008F7A94">
        <w:trPr>
          <w:jc w:val="center"/>
        </w:trPr>
        <w:tc>
          <w:tcPr>
            <w:tcW w:w="3936" w:type="dxa"/>
            <w:vAlign w:val="center"/>
          </w:tcPr>
          <w:p w14:paraId="4B683EE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Odporność na deformacje trwałe (powiązana funkcjonalnie), dotyczy betonu asfaltowego </w:t>
            </w:r>
            <w:proofErr w:type="spellStart"/>
            <w:r w:rsidRPr="007B192E">
              <w:rPr>
                <w:rFonts w:ascii="Arial" w:hAnsi="Arial" w:cs="Arial"/>
                <w:color w:val="000000" w:themeColor="text1"/>
                <w:sz w:val="18"/>
                <w:szCs w:val="18"/>
              </w:rPr>
              <w:t>zaprojekto-wanego</w:t>
            </w:r>
            <w:proofErr w:type="spellEnd"/>
            <w:r w:rsidRPr="007B192E">
              <w:rPr>
                <w:rFonts w:ascii="Arial" w:hAnsi="Arial" w:cs="Arial"/>
                <w:color w:val="000000" w:themeColor="text1"/>
                <w:sz w:val="18"/>
                <w:szCs w:val="18"/>
              </w:rPr>
              <w:t xml:space="preserve"> do maksymalnego </w:t>
            </w:r>
            <w:proofErr w:type="spellStart"/>
            <w:r w:rsidRPr="007B192E">
              <w:rPr>
                <w:rFonts w:ascii="Arial" w:hAnsi="Arial" w:cs="Arial"/>
                <w:color w:val="000000" w:themeColor="text1"/>
                <w:sz w:val="18"/>
                <w:szCs w:val="18"/>
              </w:rPr>
              <w:t>obcią-żenia</w:t>
            </w:r>
            <w:proofErr w:type="spellEnd"/>
            <w:r w:rsidRPr="007B192E">
              <w:rPr>
                <w:rFonts w:ascii="Arial" w:hAnsi="Arial" w:cs="Arial"/>
                <w:color w:val="000000" w:themeColor="text1"/>
                <w:sz w:val="18"/>
                <w:szCs w:val="18"/>
              </w:rPr>
              <w:t xml:space="preserve"> osi poniżej 130 </w:t>
            </w:r>
            <w:proofErr w:type="spellStart"/>
            <w:r w:rsidRPr="007B192E">
              <w:rPr>
                <w:rFonts w:ascii="Arial" w:hAnsi="Arial" w:cs="Arial"/>
                <w:color w:val="000000" w:themeColor="text1"/>
                <w:sz w:val="18"/>
                <w:szCs w:val="18"/>
              </w:rPr>
              <w:t>kN</w:t>
            </w:r>
            <w:proofErr w:type="spellEnd"/>
          </w:p>
        </w:tc>
        <w:tc>
          <w:tcPr>
            <w:tcW w:w="3260" w:type="dxa"/>
            <w:vAlign w:val="center"/>
          </w:tcPr>
          <w:p w14:paraId="79432D8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12697-22 [41]</w:t>
            </w:r>
          </w:p>
          <w:p w14:paraId="213600D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mały aparat, metoda B w powietrzu, przy wymaganej temperaturze</w:t>
            </w:r>
          </w:p>
        </w:tc>
        <w:tc>
          <w:tcPr>
            <w:tcW w:w="1672" w:type="dxa"/>
            <w:vAlign w:val="center"/>
          </w:tcPr>
          <w:p w14:paraId="2FCBE4F2" w14:textId="77777777" w:rsidR="00F45500" w:rsidRPr="007B192E" w:rsidRDefault="00F45500" w:rsidP="008F7A94">
            <w:pPr>
              <w:jc w:val="center"/>
              <w:rPr>
                <w:rFonts w:ascii="Arial" w:hAnsi="Arial" w:cs="Arial"/>
                <w:color w:val="000000" w:themeColor="text1"/>
                <w:sz w:val="18"/>
                <w:szCs w:val="18"/>
              </w:rPr>
            </w:pPr>
          </w:p>
          <w:p w14:paraId="3C1AD668" w14:textId="77777777" w:rsidR="00F45500" w:rsidRPr="007B192E" w:rsidRDefault="00F45500" w:rsidP="008F7A94">
            <w:pPr>
              <w:jc w:val="center"/>
              <w:rPr>
                <w:rFonts w:ascii="Arial" w:hAnsi="Arial" w:cs="Arial"/>
                <w:color w:val="000000" w:themeColor="text1"/>
                <w:sz w:val="18"/>
                <w:szCs w:val="18"/>
              </w:rPr>
            </w:pPr>
          </w:p>
          <w:p w14:paraId="6CA019F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57907BB7" w14:textId="77777777" w:rsidTr="008F7A94">
        <w:trPr>
          <w:jc w:val="center"/>
        </w:trPr>
        <w:tc>
          <w:tcPr>
            <w:tcW w:w="3936" w:type="dxa"/>
            <w:vAlign w:val="center"/>
          </w:tcPr>
          <w:p w14:paraId="29D7625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Sztywność (funkcjonalna)</w:t>
            </w:r>
          </w:p>
        </w:tc>
        <w:tc>
          <w:tcPr>
            <w:tcW w:w="3260" w:type="dxa"/>
            <w:vAlign w:val="center"/>
          </w:tcPr>
          <w:p w14:paraId="46E5429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12697-26 [43]</w:t>
            </w:r>
          </w:p>
        </w:tc>
        <w:tc>
          <w:tcPr>
            <w:tcW w:w="1672" w:type="dxa"/>
            <w:vAlign w:val="center"/>
          </w:tcPr>
          <w:p w14:paraId="64381BD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348CBEC2" w14:textId="77777777" w:rsidTr="008F7A94">
        <w:trPr>
          <w:jc w:val="center"/>
        </w:trPr>
        <w:tc>
          <w:tcPr>
            <w:tcW w:w="3936" w:type="dxa"/>
            <w:vAlign w:val="center"/>
          </w:tcPr>
          <w:p w14:paraId="5CE7044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Zmęczenie (funkcjonalna) do nawierzchni zaprojektowanych wg kryterium opartym na cztero-punktowym zginaniu</w:t>
            </w:r>
          </w:p>
        </w:tc>
        <w:tc>
          <w:tcPr>
            <w:tcW w:w="3260" w:type="dxa"/>
            <w:vAlign w:val="center"/>
          </w:tcPr>
          <w:p w14:paraId="259D0299" w14:textId="77777777" w:rsidR="00F45500" w:rsidRPr="007B192E" w:rsidRDefault="00F45500" w:rsidP="008F7A94">
            <w:pPr>
              <w:spacing w:before="240"/>
              <w:jc w:val="center"/>
              <w:rPr>
                <w:rFonts w:ascii="Arial" w:hAnsi="Arial" w:cs="Arial"/>
                <w:color w:val="000000" w:themeColor="text1"/>
                <w:sz w:val="18"/>
                <w:szCs w:val="18"/>
              </w:rPr>
            </w:pPr>
            <w:r w:rsidRPr="007B192E">
              <w:rPr>
                <w:rFonts w:ascii="Arial" w:hAnsi="Arial" w:cs="Arial"/>
                <w:color w:val="000000" w:themeColor="text1"/>
                <w:sz w:val="18"/>
                <w:szCs w:val="18"/>
              </w:rPr>
              <w:t>PN-EN 12697-24 [42] Załącznik D</w:t>
            </w:r>
          </w:p>
        </w:tc>
        <w:tc>
          <w:tcPr>
            <w:tcW w:w="1672" w:type="dxa"/>
            <w:vAlign w:val="center"/>
          </w:tcPr>
          <w:p w14:paraId="13796E6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2DD5B3C1" w14:textId="77777777" w:rsidTr="008F7A94">
        <w:trPr>
          <w:jc w:val="center"/>
        </w:trPr>
        <w:tc>
          <w:tcPr>
            <w:tcW w:w="3936" w:type="dxa"/>
            <w:vAlign w:val="center"/>
          </w:tcPr>
          <w:p w14:paraId="167ED67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Odporność na paliwo (powiązana funkcjonalnie)</w:t>
            </w:r>
          </w:p>
        </w:tc>
        <w:tc>
          <w:tcPr>
            <w:tcW w:w="3260" w:type="dxa"/>
            <w:vAlign w:val="center"/>
          </w:tcPr>
          <w:p w14:paraId="1AF58F36"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PN-EN 12697-43 [49]</w:t>
            </w:r>
          </w:p>
        </w:tc>
        <w:tc>
          <w:tcPr>
            <w:tcW w:w="1672" w:type="dxa"/>
            <w:vAlign w:val="center"/>
          </w:tcPr>
          <w:p w14:paraId="5983BC2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6DDF8578" w14:textId="77777777" w:rsidTr="008F7A94">
        <w:trPr>
          <w:jc w:val="center"/>
        </w:trPr>
        <w:tc>
          <w:tcPr>
            <w:tcW w:w="3936" w:type="dxa"/>
            <w:vAlign w:val="center"/>
          </w:tcPr>
          <w:p w14:paraId="7A5DC48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Odporność na środki odladzające (powiązana funkcjonalnie)</w:t>
            </w:r>
          </w:p>
        </w:tc>
        <w:tc>
          <w:tcPr>
            <w:tcW w:w="3260" w:type="dxa"/>
            <w:vAlign w:val="center"/>
          </w:tcPr>
          <w:p w14:paraId="7A4A8CC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12697-41 [47]</w:t>
            </w:r>
          </w:p>
        </w:tc>
        <w:tc>
          <w:tcPr>
            <w:tcW w:w="1672" w:type="dxa"/>
            <w:vAlign w:val="center"/>
          </w:tcPr>
          <w:p w14:paraId="190848D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bl>
    <w:p w14:paraId="3310483A"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Badanie typu należy przeprowadzić zgodnie z PN-EN 13108-20 [54] przy pierwszym wprowadzeniu mieszanek mineralno-asfaltowych do obrotu i powinno być powtórzone w wypadku: </w:t>
      </w:r>
    </w:p>
    <w:p w14:paraId="12AFA7D3"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upływu trzech lat,</w:t>
      </w:r>
    </w:p>
    <w:p w14:paraId="77C5F974"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złoża kruszywa,</w:t>
      </w:r>
    </w:p>
    <w:p w14:paraId="00FFD300"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rodzaju kruszywa (typu petrograficznego),</w:t>
      </w:r>
    </w:p>
    <w:p w14:paraId="714E6437"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zmiany kategorii kruszywa grubego, jak definiowano w PN-EN 13043 [50], jednej z następujących właściwości: kształtu, udziału ziaren częściowo </w:t>
      </w:r>
      <w:proofErr w:type="spellStart"/>
      <w:r w:rsidRPr="007B192E">
        <w:rPr>
          <w:rFonts w:ascii="Arial" w:hAnsi="Arial" w:cs="Arial"/>
          <w:color w:val="000000" w:themeColor="text1"/>
          <w:sz w:val="18"/>
          <w:szCs w:val="18"/>
        </w:rPr>
        <w:t>przekruszonych</w:t>
      </w:r>
      <w:proofErr w:type="spellEnd"/>
      <w:r w:rsidRPr="007B192E">
        <w:rPr>
          <w:rFonts w:ascii="Arial" w:hAnsi="Arial" w:cs="Arial"/>
          <w:color w:val="000000" w:themeColor="text1"/>
          <w:sz w:val="18"/>
          <w:szCs w:val="18"/>
        </w:rPr>
        <w:t>, odporności na rozdrabnianie, odporności na ścieranie lub kanciastości kruszywa drobnego,</w:t>
      </w:r>
    </w:p>
    <w:p w14:paraId="67677B2E"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gęstości ziaren (średnia ważona) o więcej niż 0,05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w:t>
      </w:r>
    </w:p>
    <w:p w14:paraId="07ED79FE"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rodzaju lepiszcza,</w:t>
      </w:r>
    </w:p>
    <w:p w14:paraId="3C6DB66D"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typu mineralogicznego wypełniacza.</w:t>
      </w:r>
    </w:p>
    <w:p w14:paraId="57FC536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06198904"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6.3. Badania w czasie robót</w:t>
      </w:r>
    </w:p>
    <w:p w14:paraId="1CAA2111"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6.3.1. </w:t>
      </w:r>
      <w:r w:rsidRPr="007B192E">
        <w:rPr>
          <w:rFonts w:ascii="Arial" w:hAnsi="Arial" w:cs="Arial"/>
          <w:color w:val="000000" w:themeColor="text1"/>
          <w:sz w:val="18"/>
          <w:szCs w:val="18"/>
        </w:rPr>
        <w:t>Uwagi ogólne</w:t>
      </w:r>
    </w:p>
    <w:p w14:paraId="45C34F0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dzielą się na:</w:t>
      </w:r>
    </w:p>
    <w:p w14:paraId="70BAE4A7" w14:textId="77777777" w:rsidR="00F45500" w:rsidRPr="007B192E"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badania Wykonawcy (w ramach własnego nadzoru),</w:t>
      </w:r>
    </w:p>
    <w:p w14:paraId="4CE2CE35" w14:textId="77777777" w:rsidR="00F45500" w:rsidRPr="007B192E"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badania kontrolne (w ramach nadzoru Zleceniodawcy – Inżyniera).</w:t>
      </w:r>
    </w:p>
    <w:p w14:paraId="340DA4B1" w14:textId="77777777" w:rsidR="00F45500" w:rsidRPr="007B192E"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dodatkowe,</w:t>
      </w:r>
    </w:p>
    <w:p w14:paraId="0A73E130" w14:textId="77777777" w:rsidR="00F45500" w:rsidRPr="007B192E"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arbitrażowe.</w:t>
      </w:r>
    </w:p>
    <w:p w14:paraId="1A929B79"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lastRenderedPageBreak/>
        <w:t xml:space="preserve">6.3.2. </w:t>
      </w:r>
      <w:r w:rsidRPr="007B192E">
        <w:rPr>
          <w:rFonts w:ascii="Arial" w:hAnsi="Arial" w:cs="Arial"/>
          <w:color w:val="000000" w:themeColor="text1"/>
          <w:sz w:val="18"/>
          <w:szCs w:val="18"/>
        </w:rPr>
        <w:t>Badania Wykonawcy</w:t>
      </w:r>
    </w:p>
    <w:p w14:paraId="05632ACE"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6.3.2.1. Badania w czasie wytwarzania mieszanki mineralno-asfaltowej </w:t>
      </w:r>
    </w:p>
    <w:p w14:paraId="486DDD0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Wykonawcy w czasie wytwarzania mieszanki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–asfaltowej powinny być wykonywane w ramach zakładowej kontroli produkcji, zgodnie z normą PN-EN 13108-21 [55].</w:t>
      </w:r>
    </w:p>
    <w:p w14:paraId="39C443B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Zakres badań Wykonawcy w systemie zakładowej kontroli produkcji obejmuje:</w:t>
      </w:r>
    </w:p>
    <w:p w14:paraId="39674B01" w14:textId="77777777" w:rsidR="00F45500" w:rsidRPr="007B192E"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materiałów wsadowych do mieszanki mineralno-asfaltowej (asfaltów, kruszyw wypełniacza  i dodatków), </w:t>
      </w:r>
    </w:p>
    <w:p w14:paraId="4AB538AF" w14:textId="77777777" w:rsidR="00F45500" w:rsidRPr="007B192E"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badanie składu i właściwości mieszanki mineralno-asfaltowej.</w:t>
      </w:r>
    </w:p>
    <w:p w14:paraId="254C6AD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Częstotliwość oraz zakres badań i pomiarów w czasie wytwarzania mieszanki mineralno-asfaltowej powinno być zgodne z certyfikowanym systemem ZKP. </w:t>
      </w:r>
    </w:p>
    <w:p w14:paraId="7FAA9436"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6.3.2.2.  Badania w czasie wykonywania warstwy asfaltowej i badania gotowej warstwy</w:t>
      </w:r>
      <w:r w:rsidRPr="007B192E">
        <w:rPr>
          <w:rFonts w:ascii="Arial" w:hAnsi="Arial" w:cs="Arial"/>
          <w:color w:val="000000" w:themeColor="text1"/>
          <w:sz w:val="18"/>
          <w:szCs w:val="18"/>
        </w:rPr>
        <w:tab/>
      </w:r>
    </w:p>
    <w:p w14:paraId="4E04D5F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2A91A32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302BCB2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6.5.</w:t>
      </w:r>
    </w:p>
    <w:p w14:paraId="1B1D90C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Zakres badań Wykonawcy związany z wykonywaniem nawierzchni:</w:t>
      </w:r>
    </w:p>
    <w:p w14:paraId="5847F490"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powietrza,</w:t>
      </w:r>
    </w:p>
    <w:p w14:paraId="5B7E2315"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mieszanki mineralno-asfaltowej podczas wykonywania nawierzchni (wg PN-EN 12697-13 [40]),</w:t>
      </w:r>
    </w:p>
    <w:p w14:paraId="1114D69E"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mieszanki mineralno-asfaltowej,</w:t>
      </w:r>
    </w:p>
    <w:p w14:paraId="677A13C8"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wykaz ilości materiałów lub grubości wykonanej warstwy,</w:t>
      </w:r>
    </w:p>
    <w:p w14:paraId="5155DC30"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spadku poprzecznego warstwy asfaltowej,</w:t>
      </w:r>
    </w:p>
    <w:p w14:paraId="65ECF2EE"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pomiar równości warstwy asfaltowej (wg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6.5.4),</w:t>
      </w:r>
    </w:p>
    <w:p w14:paraId="4E3077F7"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parametrów geometrycznych poboczy,</w:t>
      </w:r>
    </w:p>
    <w:p w14:paraId="347720F6"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jednorodności powierzchni warstwy,</w:t>
      </w:r>
    </w:p>
    <w:p w14:paraId="59385C3A"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jakości wykonania połączeń technologicznych.</w:t>
      </w:r>
    </w:p>
    <w:p w14:paraId="6236F542"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6.3.3.  </w:t>
      </w:r>
      <w:r w:rsidRPr="007B192E">
        <w:rPr>
          <w:rFonts w:ascii="Arial" w:hAnsi="Arial" w:cs="Arial"/>
          <w:color w:val="000000" w:themeColor="text1"/>
          <w:sz w:val="18"/>
          <w:szCs w:val="18"/>
        </w:rPr>
        <w:t>Badania kontrolne Zamawiającego</w:t>
      </w:r>
    </w:p>
    <w:p w14:paraId="716BDD2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52105538" w14:textId="77777777" w:rsidR="00F45500" w:rsidRPr="007B192E" w:rsidRDefault="00F45500" w:rsidP="00F45500">
      <w:pPr>
        <w:pStyle w:val="Wcicienormalne"/>
        <w:ind w:left="0" w:firstLine="709"/>
        <w:rPr>
          <w:rFonts w:ascii="Arial" w:hAnsi="Arial"/>
          <w:color w:val="000000" w:themeColor="text1"/>
          <w:sz w:val="18"/>
          <w:szCs w:val="18"/>
        </w:rPr>
      </w:pPr>
      <w:r w:rsidRPr="007B192E">
        <w:rPr>
          <w:rFonts w:ascii="Arial" w:hAnsi="Arial"/>
          <w:color w:val="000000" w:themeColor="text1"/>
          <w:sz w:val="18"/>
          <w:szCs w:val="18"/>
        </w:rPr>
        <w:t xml:space="preserve">Rodzaj i zakres badań kontrolnych Zamawiającego mieszanki mineralno-asfaltowej i wykonanej warstwy jest następujący: </w:t>
      </w:r>
    </w:p>
    <w:p w14:paraId="57A231C4" w14:textId="77777777" w:rsidR="00F45500" w:rsidRPr="007B192E" w:rsidRDefault="00F45500" w:rsidP="00C12426">
      <w:pPr>
        <w:widowControl/>
        <w:numPr>
          <w:ilvl w:val="0"/>
          <w:numId w:val="220"/>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badania materiałów wsadowych do mieszanki mineralno-asfaltowej (asfaltów, kruszyw, wypełniacza  i dodatków).</w:t>
      </w:r>
    </w:p>
    <w:p w14:paraId="045BFFAD" w14:textId="77777777" w:rsidR="00F45500" w:rsidRPr="007B192E" w:rsidRDefault="00F45500" w:rsidP="00F45500">
      <w:pPr>
        <w:pStyle w:val="Wcicienormalne"/>
        <w:ind w:left="0" w:firstLine="709"/>
        <w:rPr>
          <w:rFonts w:ascii="Arial" w:hAnsi="Arial"/>
          <w:color w:val="000000" w:themeColor="text1"/>
          <w:sz w:val="18"/>
          <w:szCs w:val="18"/>
        </w:rPr>
      </w:pPr>
      <w:r w:rsidRPr="007B192E">
        <w:rPr>
          <w:rFonts w:ascii="Arial" w:hAnsi="Arial"/>
          <w:color w:val="000000" w:themeColor="text1"/>
          <w:sz w:val="18"/>
          <w:szCs w:val="18"/>
        </w:rPr>
        <w:t xml:space="preserve">Mieszanka mineralno-asfaltowa </w:t>
      </w:r>
      <w:r w:rsidRPr="007B192E">
        <w:rPr>
          <w:rFonts w:ascii="Arial" w:hAnsi="Arial"/>
          <w:color w:val="000000" w:themeColor="text1"/>
          <w:sz w:val="18"/>
          <w:szCs w:val="18"/>
          <w:vertAlign w:val="superscript"/>
        </w:rPr>
        <w:t>a)</w:t>
      </w:r>
      <w:r w:rsidRPr="007B192E">
        <w:rPr>
          <w:rFonts w:ascii="Arial" w:hAnsi="Arial"/>
          <w:color w:val="000000" w:themeColor="text1"/>
          <w:sz w:val="18"/>
          <w:szCs w:val="18"/>
        </w:rPr>
        <w:t>:</w:t>
      </w:r>
    </w:p>
    <w:p w14:paraId="586C50A9"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uziarnienie,</w:t>
      </w:r>
    </w:p>
    <w:p w14:paraId="4E5F41CE"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zawartość lepiszcza,</w:t>
      </w:r>
    </w:p>
    <w:p w14:paraId="376C5095"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temperatura mięknienia odzyskanego lepiszcza,</w:t>
      </w:r>
    </w:p>
    <w:p w14:paraId="515C2850"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gęstość i zawartość wolnych przestrzeni próbki.</w:t>
      </w:r>
    </w:p>
    <w:p w14:paraId="57836A2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Warunki technologiczne wbudowywania mieszanki mineralno-asfaltowej:</w:t>
      </w:r>
    </w:p>
    <w:p w14:paraId="678BC230" w14:textId="77777777" w:rsidR="00F45500" w:rsidRPr="007B192E"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powietrza podczas pobrania  próby do badań,</w:t>
      </w:r>
    </w:p>
    <w:p w14:paraId="77A5A6D7" w14:textId="77777777" w:rsidR="00F45500" w:rsidRPr="007B192E"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mieszanki mineralno-asfaltowej,</w:t>
      </w:r>
    </w:p>
    <w:p w14:paraId="28FE8C87" w14:textId="77777777" w:rsidR="00F45500" w:rsidRPr="007B192E"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dostarczonej mieszanki mineralno-asfaltowej.</w:t>
      </w:r>
    </w:p>
    <w:p w14:paraId="4861EBC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Wykonana warstwa:</w:t>
      </w:r>
    </w:p>
    <w:p w14:paraId="6F9F6891"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wskaźnik zagęszczenia</w:t>
      </w:r>
    </w:p>
    <w:p w14:paraId="517B67C1"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grubość warstwy lub ilość zużytego materiału,</w:t>
      </w:r>
    </w:p>
    <w:p w14:paraId="0648324E"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równość podłużna i poprzeczna,</w:t>
      </w:r>
    </w:p>
    <w:p w14:paraId="1ABE8FFD"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spadki poprzeczne,</w:t>
      </w:r>
    </w:p>
    <w:p w14:paraId="1BA6927D"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zawartość wolnych przestrzeni,</w:t>
      </w:r>
    </w:p>
    <w:p w14:paraId="604E7404"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złącza technologiczne,</w:t>
      </w:r>
    </w:p>
    <w:p w14:paraId="3CC5968B"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szerokość warstwy,</w:t>
      </w:r>
    </w:p>
    <w:p w14:paraId="032D2B37"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rzędne wysokościowe,</w:t>
      </w:r>
    </w:p>
    <w:p w14:paraId="76DF92DA"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ukształtowanie osi w planie,</w:t>
      </w:r>
    </w:p>
    <w:p w14:paraId="7A11A609"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ocena wizualna warstwy.</w:t>
      </w:r>
    </w:p>
    <w:p w14:paraId="121BAD52" w14:textId="77777777" w:rsidR="00F45500" w:rsidRPr="007B192E" w:rsidRDefault="00F45500" w:rsidP="00F45500">
      <w:pPr>
        <w:keepNext/>
        <w:jc w:val="both"/>
        <w:rPr>
          <w:rFonts w:ascii="Arial" w:hAnsi="Arial" w:cs="Arial"/>
          <w:b/>
          <w:color w:val="000000" w:themeColor="text1"/>
          <w:sz w:val="18"/>
          <w:szCs w:val="18"/>
        </w:rPr>
      </w:pPr>
      <w:r w:rsidRPr="007B192E">
        <w:rPr>
          <w:rFonts w:ascii="Arial" w:hAnsi="Arial" w:cs="Arial"/>
          <w:color w:val="000000" w:themeColor="text1"/>
          <w:sz w:val="18"/>
          <w:szCs w:val="18"/>
          <w:vertAlign w:val="superscript"/>
        </w:rPr>
        <w:lastRenderedPageBreak/>
        <w:t>a)</w:t>
      </w:r>
      <w:r w:rsidRPr="007B192E">
        <w:rPr>
          <w:rFonts w:ascii="Arial" w:hAnsi="Arial" w:cs="Arial"/>
          <w:color w:val="000000" w:themeColor="text1"/>
          <w:sz w:val="18"/>
          <w:szCs w:val="18"/>
        </w:rPr>
        <w:t xml:space="preserve">   w razie potrzeby specjalne kruszywa i dodatki.</w:t>
      </w:r>
    </w:p>
    <w:p w14:paraId="4AD4D49E" w14:textId="77777777" w:rsidR="00F45500" w:rsidRPr="007B192E" w:rsidRDefault="00F45500" w:rsidP="00F45500">
      <w:pPr>
        <w:keepNext/>
        <w:spacing w:before="120" w:after="120"/>
        <w:jc w:val="both"/>
        <w:rPr>
          <w:rFonts w:ascii="Arial" w:hAnsi="Arial" w:cs="Arial"/>
          <w:b/>
          <w:color w:val="000000" w:themeColor="text1"/>
          <w:sz w:val="18"/>
          <w:szCs w:val="18"/>
        </w:rPr>
      </w:pPr>
      <w:r w:rsidRPr="007B192E">
        <w:rPr>
          <w:rFonts w:ascii="Arial" w:hAnsi="Arial" w:cs="Arial"/>
          <w:b/>
          <w:color w:val="000000" w:themeColor="text1"/>
          <w:sz w:val="18"/>
          <w:szCs w:val="18"/>
        </w:rPr>
        <w:t>6.3.4.</w:t>
      </w:r>
      <w:r w:rsidRPr="007B192E">
        <w:rPr>
          <w:rFonts w:ascii="Arial" w:hAnsi="Arial" w:cs="Arial"/>
          <w:color w:val="000000" w:themeColor="text1"/>
          <w:sz w:val="18"/>
          <w:szCs w:val="18"/>
        </w:rPr>
        <w:t xml:space="preserve"> </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Badanie materiałów wsadowych</w:t>
      </w:r>
    </w:p>
    <w:p w14:paraId="61ED833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materiałów wsadowych należy oceniać na podstawie badań pobranych próbek w miejscu produkcji  mieszanki mineralno-asfaltowej. </w:t>
      </w:r>
    </w:p>
    <w:p w14:paraId="6FCFE2A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oceny jakości materiałów wsadowych mieszanki mineralno-asfaltowej, za zgodą nadzoru i Zamawiającego mogą posłużyć wyniki badań wykonanych w ramach zakładowej kontroli produkcji. </w:t>
      </w:r>
    </w:p>
    <w:p w14:paraId="1537A678"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6.3.5.</w:t>
      </w:r>
      <w:r w:rsidRPr="007B192E">
        <w:rPr>
          <w:rFonts w:ascii="Arial" w:hAnsi="Arial" w:cs="Arial"/>
          <w:color w:val="000000" w:themeColor="text1"/>
          <w:sz w:val="18"/>
          <w:szCs w:val="18"/>
        </w:rPr>
        <w:t xml:space="preserve"> </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Kruszywa i wypełniacz</w:t>
      </w:r>
    </w:p>
    <w:p w14:paraId="12FA1640"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 kruszywa należy pobrać i zbadać średnie próbki. Wielkość pobranej średniej próbki nie może być mniejsza niż: </w:t>
      </w:r>
    </w:p>
    <w:p w14:paraId="1F3441C2"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wypełniacz</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t>2 kg,</w:t>
      </w:r>
    </w:p>
    <w:p w14:paraId="32CB8545"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kruszywa o uziarnieniu do 8 mm</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5 kg,</w:t>
      </w:r>
    </w:p>
    <w:p w14:paraId="44C48115"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kruszywa o uziarnieniu powyżej 8 mm</w:t>
      </w:r>
      <w:r w:rsidRPr="007B192E">
        <w:rPr>
          <w:rFonts w:ascii="Arial" w:hAnsi="Arial" w:cs="Arial"/>
          <w:color w:val="000000" w:themeColor="text1"/>
          <w:sz w:val="18"/>
          <w:szCs w:val="18"/>
        </w:rPr>
        <w:tab/>
        <w:t xml:space="preserve">          15 kg.</w:t>
      </w:r>
    </w:p>
    <w:p w14:paraId="4198D460" w14:textId="77777777" w:rsidR="00F45500" w:rsidRPr="007B192E" w:rsidRDefault="00F45500" w:rsidP="00F45500">
      <w:pPr>
        <w:tabs>
          <w:tab w:val="left" w:pos="426"/>
        </w:tabs>
        <w:ind w:right="-57"/>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 xml:space="preserve">Wypełniacz i kruszywa powinny spełniać wymagania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2.4.</w:t>
      </w:r>
    </w:p>
    <w:p w14:paraId="1F18473C"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6.3.6.</w:t>
      </w:r>
      <w:r w:rsidRPr="007B192E">
        <w:rPr>
          <w:rFonts w:ascii="Arial" w:hAnsi="Arial" w:cs="Arial"/>
          <w:color w:val="000000" w:themeColor="text1"/>
          <w:sz w:val="18"/>
          <w:szCs w:val="18"/>
        </w:rPr>
        <w:t xml:space="preserve">  Lepiszcze </w:t>
      </w:r>
    </w:p>
    <w:p w14:paraId="017192E8"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14:paraId="7D1D740B"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powinny spełniać wymagania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2.3.</w:t>
      </w:r>
    </w:p>
    <w:p w14:paraId="6DF9B8D0"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6.3.7.</w:t>
      </w:r>
      <w:r w:rsidRPr="007B192E">
        <w:rPr>
          <w:rFonts w:ascii="Arial" w:hAnsi="Arial" w:cs="Arial"/>
          <w:color w:val="000000" w:themeColor="text1"/>
          <w:sz w:val="18"/>
          <w:szCs w:val="18"/>
        </w:rPr>
        <w:t xml:space="preserve">  Materiały do uszczelniania połączeń </w:t>
      </w:r>
    </w:p>
    <w:p w14:paraId="203401D2"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Z lepiszcza lub materiałów termoplastycznych należy pobrać próbki średnie składające się z 3 próbek częściowych po 2 kg. Z tego jedną próbkę częściową należy poddać badaniom. Ponadto należy pobrać i zbadać kolejną próbkę, jeżeli zewnętrzny wygląd (jednolitość, kolor, połysk, zapach, zanieczyszczenia) może budzić obawy.</w:t>
      </w:r>
    </w:p>
    <w:p w14:paraId="06368B51"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Materiały do uszczelniania połączeń powinny spełniać wymagania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2.7.</w:t>
      </w:r>
    </w:p>
    <w:p w14:paraId="758B547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6.4.  Badania mieszanki mineralno-asfaltowej  </w:t>
      </w:r>
    </w:p>
    <w:p w14:paraId="7D34B30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69C5AE6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oceny jakości mieszanki mineralno-asfaltowej za zgodą nadzoru i Zamawiającego mogą posłużyć wyniki badań wykonanych w ramach zakładowej kontroli produkcji.  </w:t>
      </w:r>
    </w:p>
    <w:p w14:paraId="5FC04D3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6F5EAF0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1E6DE2BC"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6.4.1.</w:t>
      </w:r>
      <w:r w:rsidRPr="007B192E">
        <w:rPr>
          <w:rFonts w:ascii="Arial" w:hAnsi="Arial" w:cs="Arial"/>
          <w:color w:val="000000" w:themeColor="text1"/>
          <w:sz w:val="18"/>
          <w:szCs w:val="18"/>
        </w:rPr>
        <w:t xml:space="preserve"> Uziarnienie </w:t>
      </w:r>
    </w:p>
    <w:p w14:paraId="78A00083" w14:textId="77777777" w:rsidR="00F45500" w:rsidRPr="007B192E" w:rsidRDefault="00F45500" w:rsidP="00F45500">
      <w:pPr>
        <w:ind w:firstLine="567"/>
        <w:jc w:val="both"/>
        <w:rPr>
          <w:rFonts w:ascii="Arial" w:hAnsi="Arial" w:cs="Arial"/>
          <w:color w:val="000000" w:themeColor="text1"/>
          <w:sz w:val="18"/>
          <w:szCs w:val="18"/>
        </w:rPr>
      </w:pPr>
      <w:r w:rsidRPr="007B192E">
        <w:rPr>
          <w:rFonts w:ascii="Arial" w:hAnsi="Arial" w:cs="Arial"/>
          <w:color w:val="000000" w:themeColor="text1"/>
          <w:sz w:val="18"/>
          <w:szCs w:val="18"/>
        </w:rPr>
        <w:t>Po wykonaniu ekstrakcji lepiszcza należy przeprowadzić kontrolę uziarnienia mieszanki kruszywa mineralnego wg PN-EN 12697-2 [32]. Uziarnienie każdej próbki pobranej z luźnej mieszanki mineralno-asfaltowej nie może odbiegać od wartości projektowanej, z uwzględnieniem dopuszczalnych odchyłek podanych poniżej.</w:t>
      </w:r>
    </w:p>
    <w:p w14:paraId="2D40A6F7" w14:textId="77777777" w:rsidR="00F45500" w:rsidRPr="007B192E" w:rsidRDefault="00F45500" w:rsidP="00F45500">
      <w:pPr>
        <w:ind w:firstLine="567"/>
        <w:jc w:val="both"/>
        <w:rPr>
          <w:rFonts w:ascii="Arial" w:hAnsi="Arial" w:cs="Arial"/>
          <w:color w:val="000000" w:themeColor="text1"/>
          <w:sz w:val="18"/>
          <w:szCs w:val="18"/>
        </w:rPr>
      </w:pPr>
    </w:p>
    <w:p w14:paraId="2452117F"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Dopuszczalne odchyłki dotyczące pojedynczego wyniku badania, zawartość kruszywa o wymiarze &lt; 0,063 mm, ±2,0% (dla KR 1-2)</w:t>
      </w:r>
    </w:p>
    <w:p w14:paraId="7B75FEB7"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Dopuszczalne odchyłki dotyczące pojedynczego wyniku badania, zawartość kruszywa o wymiarze &lt; 0,063 mm, ±1,5% (dla KR </w:t>
      </w:r>
      <w:r w:rsidRPr="007B192E">
        <w:rPr>
          <w:rFonts w:ascii="Arial" w:hAnsi="Arial" w:cs="Arial"/>
          <w:color w:val="000000" w:themeColor="text1"/>
          <w:sz w:val="18"/>
          <w:szCs w:val="18"/>
        </w:rPr>
        <w:t>≥</w:t>
      </w:r>
      <w:r w:rsidRPr="007B192E">
        <w:rPr>
          <w:rFonts w:ascii="Arial" w:hAnsi="Arial" w:cs="Arial"/>
          <w:color w:val="000000" w:themeColor="text1"/>
          <w:sz w:val="18"/>
          <w:szCs w:val="18"/>
          <w:lang w:eastAsia="pl-PL"/>
        </w:rPr>
        <w:t xml:space="preserve"> 3)</w:t>
      </w:r>
    </w:p>
    <w:p w14:paraId="78B99A8E"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Dopuszczalne odchyłki dotyczące pojedynczego wyniku badania, zawartość kruszywa o wymiarze &lt; 0,125 mm, ±2,0% </w:t>
      </w:r>
    </w:p>
    <w:p w14:paraId="036B1EF8"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Dopuszczalne odchyłki dotyczące pojedynczego wyniku badania, zawartość kruszywa o wymiarze &lt; 2 mm, ±3,0% </w:t>
      </w:r>
    </w:p>
    <w:p w14:paraId="3F8FBA6E"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Dopuszczalne odchyłki dotyczące pojedynczego wyniku badania, zawartość kruszywa grubego o wymiarze D/2 lub sito charakterystyczne dla kruszywa grubego, ±3%</w:t>
      </w:r>
    </w:p>
    <w:p w14:paraId="07EFD97E"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Dopuszczalne odchyłki dotyczące pojedynczego wyniku badania, zawartość ziaren grubych D ±3%. (mieszanki drobnoziarniste ≤16mm)</w:t>
      </w:r>
    </w:p>
    <w:p w14:paraId="17776DD9" w14:textId="77777777" w:rsidR="00F45500" w:rsidRPr="007B192E" w:rsidRDefault="00F45500" w:rsidP="00BA5651">
      <w:pPr>
        <w:widowControl/>
        <w:numPr>
          <w:ilvl w:val="0"/>
          <w:numId w:val="253"/>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Dopuszczalne odchyłki dotyczące pojedynczego wyniku badania, zawartość ziaren grubych D ±4%. (mieszanki gruboziarniste &gt;16mm)</w:t>
      </w:r>
    </w:p>
    <w:p w14:paraId="5BBDE4B6" w14:textId="77777777" w:rsidR="00F45500" w:rsidRPr="007B192E" w:rsidRDefault="00F45500" w:rsidP="00F45500">
      <w:pPr>
        <w:ind w:left="360"/>
        <w:jc w:val="both"/>
        <w:rPr>
          <w:rFonts w:ascii="Arial" w:hAnsi="Arial" w:cs="Arial"/>
          <w:color w:val="000000" w:themeColor="text1"/>
          <w:sz w:val="18"/>
          <w:szCs w:val="18"/>
        </w:rPr>
      </w:pPr>
    </w:p>
    <w:p w14:paraId="1EFC13E1" w14:textId="77777777" w:rsidR="00F45500" w:rsidRPr="007B192E" w:rsidRDefault="00F45500" w:rsidP="00F45500">
      <w:pPr>
        <w:ind w:left="360"/>
        <w:jc w:val="both"/>
        <w:rPr>
          <w:rFonts w:ascii="Arial" w:hAnsi="Arial" w:cs="Arial"/>
          <w:color w:val="000000" w:themeColor="text1"/>
          <w:sz w:val="18"/>
          <w:szCs w:val="18"/>
        </w:rPr>
      </w:pPr>
      <w:r w:rsidRPr="007B192E">
        <w:rPr>
          <w:rFonts w:ascii="Arial" w:hAnsi="Arial" w:cs="Arial"/>
          <w:color w:val="000000" w:themeColor="text1"/>
          <w:sz w:val="18"/>
          <w:szCs w:val="18"/>
        </w:rPr>
        <w:t>Wymagania dotyczące udziału kruszywa grubego, drobnego i wypełniaczy powinny być spełnione jednocześnie.</w:t>
      </w:r>
    </w:p>
    <w:p w14:paraId="47935895" w14:textId="77777777" w:rsidR="00F45500" w:rsidRPr="007B192E" w:rsidRDefault="00F45500" w:rsidP="00F45500">
      <w:pPr>
        <w:jc w:val="both"/>
        <w:rPr>
          <w:rFonts w:ascii="Arial" w:hAnsi="Arial" w:cs="Arial"/>
          <w:color w:val="000000" w:themeColor="text1"/>
          <w:sz w:val="18"/>
          <w:szCs w:val="18"/>
        </w:rPr>
      </w:pPr>
    </w:p>
    <w:p w14:paraId="7ABA2EA8"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6.4.2.</w:t>
      </w:r>
      <w:r w:rsidRPr="007B192E">
        <w:rPr>
          <w:rFonts w:ascii="Arial" w:hAnsi="Arial" w:cs="Arial"/>
          <w:color w:val="000000" w:themeColor="text1"/>
          <w:sz w:val="18"/>
          <w:szCs w:val="18"/>
        </w:rPr>
        <w:t xml:space="preserve">  Zawartość lepiszcza </w:t>
      </w:r>
    </w:p>
    <w:p w14:paraId="539CDDC3"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Badanie polega na wykonaniu ekstrakcji lepiszcza, zgodnie z PN-EN 12697-1 [31], z próbki pobranej z mieszanki mineralno-asfaltowej. Zawartość rozpuszczalnego lepiszcza z każdej pobranej próbki nie może odbiegać od wartości projektowanych, z uwzględnieniem dopuszczalnej odchyłki ±0,3%</w:t>
      </w:r>
    </w:p>
    <w:p w14:paraId="43F4700F" w14:textId="77777777" w:rsidR="00F45500" w:rsidRPr="007B192E" w:rsidRDefault="00F45500" w:rsidP="00F45500">
      <w:pPr>
        <w:jc w:val="both"/>
        <w:rPr>
          <w:rFonts w:ascii="Arial" w:hAnsi="Arial" w:cs="Arial"/>
          <w:color w:val="000000" w:themeColor="text1"/>
          <w:sz w:val="18"/>
          <w:szCs w:val="18"/>
        </w:rPr>
      </w:pPr>
    </w:p>
    <w:p w14:paraId="137BD0B6"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6.4.3.</w:t>
      </w:r>
      <w:r w:rsidRPr="007B192E">
        <w:rPr>
          <w:rFonts w:ascii="Arial" w:hAnsi="Arial" w:cs="Arial"/>
          <w:color w:val="000000" w:themeColor="text1"/>
          <w:sz w:val="18"/>
          <w:szCs w:val="18"/>
        </w:rPr>
        <w:t xml:space="preserve">  Temperatura mięknienia lepiszcza </w:t>
      </w:r>
    </w:p>
    <w:p w14:paraId="100280C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Dla asfaltów drogowych zgodnych z PN-EN 12591[24] oraz wielorodzajowych zgodnych z PN-EN 13924-2 [65] [65a], temperatura mięknienia lepiszcza odzyskanego, nie może być większa niż maksymalna wartość </w:t>
      </w:r>
      <w:r w:rsidRPr="007B192E">
        <w:rPr>
          <w:rFonts w:ascii="Arial" w:hAnsi="Arial" w:cs="Arial"/>
          <w:color w:val="000000" w:themeColor="text1"/>
          <w:sz w:val="18"/>
          <w:szCs w:val="18"/>
        </w:rPr>
        <w:lastRenderedPageBreak/>
        <w:t>temperatury mięknienia, o więcej niż dopuszczalny wzrost temperatury mięknienia po starzeniu metodą RTFOT podany w normie (przykładowo dla MG 50/70-54/64 jest to: 64°C +10°C = 74°C).</w:t>
      </w:r>
    </w:p>
    <w:p w14:paraId="4B122D2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Jeżeli w składzie mieszanki mineralno-asfaltowej jest </w:t>
      </w:r>
      <w:proofErr w:type="spellStart"/>
      <w:r w:rsidRPr="007B192E">
        <w:rPr>
          <w:rFonts w:ascii="Arial" w:hAnsi="Arial" w:cs="Arial"/>
          <w:color w:val="000000" w:themeColor="text1"/>
          <w:sz w:val="18"/>
          <w:szCs w:val="18"/>
        </w:rPr>
        <w:t>grantulat</w:t>
      </w:r>
      <w:proofErr w:type="spellEnd"/>
      <w:r w:rsidRPr="007B192E">
        <w:rPr>
          <w:rFonts w:ascii="Arial" w:hAnsi="Arial" w:cs="Arial"/>
          <w:color w:val="000000" w:themeColor="text1"/>
          <w:sz w:val="18"/>
          <w:szCs w:val="18"/>
        </w:rPr>
        <w:t xml:space="preserve"> asfaltowy, to temperatura mięknienia wyekstrahowanego lepiszcza nie może przekroczyć temperatur mięknienia </w:t>
      </w:r>
      <w:proofErr w:type="spellStart"/>
      <w:r w:rsidRPr="007B192E">
        <w:rPr>
          <w:rFonts w:ascii="Arial" w:hAnsi="Arial" w:cs="Arial"/>
          <w:color w:val="000000" w:themeColor="text1"/>
          <w:sz w:val="18"/>
          <w:szCs w:val="18"/>
        </w:rPr>
        <w:t>T</w:t>
      </w:r>
      <w:r w:rsidRPr="007B192E">
        <w:rPr>
          <w:rFonts w:ascii="Arial" w:hAnsi="Arial" w:cs="Arial"/>
          <w:color w:val="000000" w:themeColor="text1"/>
          <w:sz w:val="18"/>
          <w:szCs w:val="18"/>
          <w:vertAlign w:val="subscript"/>
        </w:rPr>
        <w:t>R&amp;Bmix</w:t>
      </w:r>
      <w:proofErr w:type="spellEnd"/>
      <w:r w:rsidRPr="007B192E">
        <w:rPr>
          <w:rFonts w:ascii="Arial" w:hAnsi="Arial" w:cs="Arial"/>
          <w:color w:val="000000" w:themeColor="text1"/>
          <w:sz w:val="18"/>
          <w:szCs w:val="18"/>
        </w:rPr>
        <w:t>, podanej w badaniu typu o więcej niż 8°C.</w:t>
      </w:r>
    </w:p>
    <w:p w14:paraId="135AFE1F"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6.4.4.</w:t>
      </w:r>
      <w:r w:rsidRPr="007B192E">
        <w:rPr>
          <w:rFonts w:ascii="Arial" w:hAnsi="Arial" w:cs="Arial"/>
          <w:color w:val="000000" w:themeColor="text1"/>
          <w:sz w:val="18"/>
          <w:szCs w:val="18"/>
        </w:rPr>
        <w:t xml:space="preserve">  Gęstość i zawartość wolnych przestrzeni</w:t>
      </w:r>
    </w:p>
    <w:p w14:paraId="24D3B3A5"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Zawartość wolnych przestrzeni w próbce Marshalla pobranej z mieszanki mineralno-asfaltowej lub wyjątkowo powtórnie rozgrzanej próbki pobranej z nawierzchni nie może wykroczyć poza wartości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2.11 o więcej niż 2,0% (v/v).</w:t>
      </w:r>
    </w:p>
    <w:p w14:paraId="689F863F"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6.4.5. </w:t>
      </w:r>
      <w:r w:rsidRPr="007B192E">
        <w:rPr>
          <w:rFonts w:ascii="Arial" w:hAnsi="Arial" w:cs="Arial"/>
          <w:color w:val="000000" w:themeColor="text1"/>
          <w:sz w:val="18"/>
          <w:szCs w:val="18"/>
        </w:rPr>
        <w:t xml:space="preserve">Warunki technologiczne wbudowywania mieszanki mineralno-asfaltowej </w:t>
      </w:r>
    </w:p>
    <w:p w14:paraId="4AEE1FC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powietrza powinna być mierzona przed i w czasie robót; nie powinna być mniejsza niż podano w tablicy 26.  </w:t>
      </w:r>
    </w:p>
    <w:p w14:paraId="2C4565D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7D61A9F2"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Pomiar temperatury mieszanki  mineralno-asfaltowej należy wykonać zgodnie z wymaganiami normy PN-EN 12697-13 [40]. </w:t>
      </w:r>
    </w:p>
    <w:p w14:paraId="26C1A0E0" w14:textId="77777777" w:rsidR="00F45500" w:rsidRPr="007B192E" w:rsidRDefault="00F45500" w:rsidP="00F45500">
      <w:pPr>
        <w:ind w:firstLine="709"/>
        <w:jc w:val="both"/>
        <w:rPr>
          <w:rFonts w:ascii="Arial" w:hAnsi="Arial" w:cs="Arial"/>
          <w:b/>
          <w:color w:val="000000" w:themeColor="text1"/>
          <w:sz w:val="18"/>
          <w:szCs w:val="18"/>
        </w:rPr>
      </w:pPr>
      <w:r w:rsidRPr="007B192E">
        <w:rPr>
          <w:rFonts w:ascii="Arial" w:hAnsi="Arial" w:cs="Arial"/>
          <w:color w:val="000000" w:themeColor="text1"/>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6D4583D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6.5. Wykonana warstwa</w:t>
      </w:r>
    </w:p>
    <w:p w14:paraId="1EE0DB54" w14:textId="77777777" w:rsidR="00F45500" w:rsidRPr="007B192E" w:rsidRDefault="00F45500" w:rsidP="00F45500">
      <w:pPr>
        <w:spacing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6.5.1.</w:t>
      </w:r>
      <w:r w:rsidRPr="007B192E">
        <w:rPr>
          <w:rFonts w:ascii="Arial" w:hAnsi="Arial" w:cs="Arial"/>
          <w:color w:val="000000" w:themeColor="text1"/>
          <w:sz w:val="18"/>
          <w:szCs w:val="18"/>
        </w:rPr>
        <w:t xml:space="preserve"> Wskaźnik zagęszczenia i zawartość wolnych przestrzeni </w:t>
      </w:r>
    </w:p>
    <w:p w14:paraId="334AECC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Zagęszczenie wykonanej warstwy wyrażone wskaźnikiem zagęszczenia oraz zawartością wolnych przestrzeni nie może przekroczyć wartości dopuszczalnych  podanych w tablicy 32. Dotyczy to każdego pojedynczego oznaczenia danej właściwości.</w:t>
      </w:r>
    </w:p>
    <w:p w14:paraId="5C6A37C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Określenie gęstości objętościowej należy wykonywać według PN-EN 12697-6 [36].</w:t>
      </w:r>
    </w:p>
    <w:p w14:paraId="71EBA570"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32.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9"/>
        <w:gridCol w:w="1589"/>
        <w:gridCol w:w="1469"/>
        <w:gridCol w:w="2131"/>
      </w:tblGrid>
      <w:tr w:rsidR="004D7D23" w:rsidRPr="007B192E" w14:paraId="171211F4" w14:textId="77777777" w:rsidTr="008F7A94">
        <w:trPr>
          <w:jc w:val="center"/>
        </w:trPr>
        <w:tc>
          <w:tcPr>
            <w:tcW w:w="1589" w:type="dxa"/>
            <w:vAlign w:val="center"/>
          </w:tcPr>
          <w:p w14:paraId="78369E17"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Warstwa</w:t>
            </w:r>
          </w:p>
        </w:tc>
        <w:tc>
          <w:tcPr>
            <w:tcW w:w="1589" w:type="dxa"/>
            <w:vAlign w:val="center"/>
          </w:tcPr>
          <w:p w14:paraId="625BC17A" w14:textId="77777777" w:rsidR="00F45500" w:rsidRPr="007B192E" w:rsidRDefault="00F45500" w:rsidP="008F7A94">
            <w:pPr>
              <w:jc w:val="center"/>
              <w:rPr>
                <w:rFonts w:ascii="Arial" w:hAnsi="Arial" w:cs="Arial"/>
                <w:color w:val="000000" w:themeColor="text1"/>
                <w:sz w:val="18"/>
                <w:szCs w:val="18"/>
              </w:rPr>
            </w:pPr>
          </w:p>
          <w:p w14:paraId="751A5F8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Typ i wymiar mieszanki</w:t>
            </w:r>
          </w:p>
        </w:tc>
        <w:tc>
          <w:tcPr>
            <w:tcW w:w="1469" w:type="dxa"/>
            <w:vAlign w:val="center"/>
          </w:tcPr>
          <w:p w14:paraId="0FCFA1B3"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Wskaźnik zagęszczenia</w:t>
            </w:r>
          </w:p>
          <w:p w14:paraId="2B7B19F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2131" w:type="dxa"/>
            <w:vAlign w:val="center"/>
          </w:tcPr>
          <w:p w14:paraId="2CA096B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wolnych przestrzeni w warstwie</w:t>
            </w:r>
          </w:p>
          <w:p w14:paraId="27C3A15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[%(v/v)]</w:t>
            </w:r>
          </w:p>
        </w:tc>
      </w:tr>
      <w:tr w:rsidR="00F45500" w:rsidRPr="007B192E" w14:paraId="7515FBC5" w14:textId="77777777" w:rsidTr="008F7A94">
        <w:trPr>
          <w:trHeight w:val="1134"/>
          <w:jc w:val="center"/>
        </w:trPr>
        <w:tc>
          <w:tcPr>
            <w:tcW w:w="1589" w:type="dxa"/>
            <w:vAlign w:val="center"/>
          </w:tcPr>
          <w:p w14:paraId="2B4774B7"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Podbudowa</w:t>
            </w:r>
          </w:p>
        </w:tc>
        <w:tc>
          <w:tcPr>
            <w:tcW w:w="1589" w:type="dxa"/>
            <w:vAlign w:val="center"/>
          </w:tcPr>
          <w:p w14:paraId="6F55575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AC 22 P, KR3-KR7</w:t>
            </w:r>
          </w:p>
        </w:tc>
        <w:tc>
          <w:tcPr>
            <w:tcW w:w="1469" w:type="dxa"/>
            <w:vAlign w:val="center"/>
          </w:tcPr>
          <w:p w14:paraId="38055E2E" w14:textId="77777777" w:rsidR="00F45500" w:rsidRPr="007B192E" w:rsidRDefault="00F45500" w:rsidP="008F7A94">
            <w:pPr>
              <w:spacing w:before="120" w:after="60"/>
              <w:jc w:val="center"/>
              <w:rPr>
                <w:rFonts w:ascii="Arial" w:hAnsi="Arial" w:cs="Arial"/>
                <w:color w:val="000000" w:themeColor="text1"/>
                <w:sz w:val="18"/>
                <w:szCs w:val="18"/>
              </w:rPr>
            </w:pPr>
            <w:r w:rsidRPr="007B192E">
              <w:rPr>
                <w:rFonts w:ascii="Arial" w:hAnsi="Arial" w:cs="Arial"/>
                <w:color w:val="000000" w:themeColor="text1"/>
                <w:sz w:val="18"/>
                <w:szCs w:val="18"/>
              </w:rPr>
              <w:t>≥ 98</w:t>
            </w:r>
          </w:p>
        </w:tc>
        <w:tc>
          <w:tcPr>
            <w:tcW w:w="2131" w:type="dxa"/>
            <w:vAlign w:val="center"/>
          </w:tcPr>
          <w:p w14:paraId="40FAEAFE"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3,0÷8,0</w:t>
            </w:r>
          </w:p>
        </w:tc>
      </w:tr>
    </w:tbl>
    <w:p w14:paraId="6768AB2D" w14:textId="77777777" w:rsidR="00F45500" w:rsidRPr="007B192E" w:rsidRDefault="00F45500" w:rsidP="00F45500">
      <w:pPr>
        <w:spacing w:after="120"/>
        <w:ind w:right="-57"/>
        <w:jc w:val="both"/>
        <w:rPr>
          <w:rFonts w:ascii="Arial" w:hAnsi="Arial" w:cs="Arial"/>
          <w:color w:val="000000" w:themeColor="text1"/>
          <w:sz w:val="18"/>
          <w:szCs w:val="18"/>
        </w:rPr>
      </w:pPr>
    </w:p>
    <w:p w14:paraId="357BCBDE" w14:textId="77777777" w:rsidR="00F45500" w:rsidRPr="007B192E" w:rsidRDefault="00F45500" w:rsidP="00F45500">
      <w:pPr>
        <w:spacing w:after="120"/>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Wskaźnik zagęszczenia i zawartość wolnych przestrzeni  należy badać dla każdej warstwy i na każde rozpoczęte 6000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nawierzchni jedna próbka; w razie potrzeby liczba próbek może zostać zwiększona (np. nawierzchnie dróg w terenie zabudowy, nawierzchnie mostowe). </w:t>
      </w:r>
    </w:p>
    <w:p w14:paraId="6948DA6A" w14:textId="77777777" w:rsidR="00F45500" w:rsidRPr="007B192E" w:rsidRDefault="00F45500" w:rsidP="00F45500">
      <w:pPr>
        <w:spacing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 6.5.2.</w:t>
      </w:r>
      <w:r w:rsidRPr="007B192E">
        <w:rPr>
          <w:rFonts w:ascii="Arial" w:hAnsi="Arial" w:cs="Arial"/>
          <w:color w:val="000000" w:themeColor="text1"/>
          <w:sz w:val="18"/>
          <w:szCs w:val="18"/>
        </w:rPr>
        <w:t xml:space="preserve"> Grubość warstwy </w:t>
      </w:r>
    </w:p>
    <w:p w14:paraId="2AEFFB6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[45] mogą odbiegać od projektu o wartości podane w tablicy 33.</w:t>
      </w:r>
    </w:p>
    <w:p w14:paraId="538BC780" w14:textId="77777777" w:rsidR="00F45500" w:rsidRPr="007B192E" w:rsidRDefault="00F45500" w:rsidP="00F45500">
      <w:pPr>
        <w:spacing w:before="120" w:after="120"/>
        <w:ind w:left="992" w:hanging="992"/>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33. Dopuszczalne odchyłki grubości warstwy [%] </w:t>
      </w:r>
    </w:p>
    <w:tbl>
      <w:tblPr>
        <w:tblW w:w="9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2264"/>
        <w:gridCol w:w="2331"/>
      </w:tblGrid>
      <w:tr w:rsidR="004D7D23" w:rsidRPr="007B192E" w14:paraId="1F847332" w14:textId="77777777" w:rsidTr="008F7A94">
        <w:trPr>
          <w:jc w:val="center"/>
        </w:trPr>
        <w:tc>
          <w:tcPr>
            <w:tcW w:w="4644" w:type="dxa"/>
            <w:vAlign w:val="center"/>
          </w:tcPr>
          <w:p w14:paraId="34715EB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Warunki oceny</w:t>
            </w:r>
          </w:p>
        </w:tc>
        <w:tc>
          <w:tcPr>
            <w:tcW w:w="2264" w:type="dxa"/>
            <w:vAlign w:val="center"/>
          </w:tcPr>
          <w:p w14:paraId="7C4BEE9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Pakiet: warstwa </w:t>
            </w:r>
            <w:proofErr w:type="spellStart"/>
            <w:r w:rsidRPr="007B192E">
              <w:rPr>
                <w:rFonts w:ascii="Arial" w:hAnsi="Arial" w:cs="Arial"/>
                <w:color w:val="000000" w:themeColor="text1"/>
                <w:sz w:val="18"/>
                <w:szCs w:val="18"/>
              </w:rPr>
              <w:t>ścieralna+wiążąca</w:t>
            </w:r>
            <w:proofErr w:type="spellEnd"/>
            <w:r w:rsidRPr="007B192E">
              <w:rPr>
                <w:rFonts w:ascii="Arial" w:hAnsi="Arial" w:cs="Arial"/>
                <w:color w:val="000000" w:themeColor="text1"/>
                <w:sz w:val="18"/>
                <w:szCs w:val="18"/>
              </w:rPr>
              <w:t xml:space="preserve"> +podbudowa asfaltowa razem</w:t>
            </w:r>
          </w:p>
        </w:tc>
        <w:tc>
          <w:tcPr>
            <w:tcW w:w="2331" w:type="dxa"/>
            <w:vAlign w:val="center"/>
          </w:tcPr>
          <w:p w14:paraId="080E169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podbudowy</w:t>
            </w:r>
          </w:p>
        </w:tc>
      </w:tr>
      <w:tr w:rsidR="004D7D23" w:rsidRPr="007B192E" w14:paraId="52636039" w14:textId="77777777" w:rsidTr="008F7A94">
        <w:trPr>
          <w:trHeight w:val="608"/>
          <w:jc w:val="center"/>
        </w:trPr>
        <w:tc>
          <w:tcPr>
            <w:tcW w:w="4644" w:type="dxa"/>
            <w:vAlign w:val="center"/>
          </w:tcPr>
          <w:p w14:paraId="374419AF" w14:textId="77777777" w:rsidR="00F45500" w:rsidRPr="007B192E" w:rsidRDefault="00F45500" w:rsidP="008F7A94">
            <w:pPr>
              <w:ind w:left="426" w:hanging="426"/>
              <w:jc w:val="center"/>
              <w:rPr>
                <w:rFonts w:ascii="Arial" w:hAnsi="Arial" w:cs="Arial"/>
                <w:color w:val="000000" w:themeColor="text1"/>
                <w:sz w:val="18"/>
                <w:szCs w:val="18"/>
              </w:rPr>
            </w:pPr>
            <w:r w:rsidRPr="007B192E">
              <w:rPr>
                <w:rFonts w:ascii="Arial" w:hAnsi="Arial" w:cs="Arial"/>
                <w:color w:val="000000" w:themeColor="text1"/>
                <w:sz w:val="18"/>
                <w:szCs w:val="18"/>
              </w:rPr>
              <w:t>Dla wartości średniej grubości wbudowanej warstwy z całego odcinka budowy</w:t>
            </w:r>
          </w:p>
        </w:tc>
        <w:tc>
          <w:tcPr>
            <w:tcW w:w="2264" w:type="dxa"/>
            <w:vAlign w:val="center"/>
          </w:tcPr>
          <w:p w14:paraId="4A9A243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Nie dopuszcza się zaniżenia grubości</w:t>
            </w:r>
          </w:p>
        </w:tc>
        <w:tc>
          <w:tcPr>
            <w:tcW w:w="2331" w:type="dxa"/>
            <w:vAlign w:val="center"/>
          </w:tcPr>
          <w:p w14:paraId="166C436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Nie dopuszcza się zaniżenia grubości</w:t>
            </w:r>
          </w:p>
        </w:tc>
      </w:tr>
      <w:tr w:rsidR="004D7D23" w:rsidRPr="007B192E" w14:paraId="403F11F3" w14:textId="77777777" w:rsidTr="008F7A94">
        <w:trPr>
          <w:jc w:val="center"/>
        </w:trPr>
        <w:tc>
          <w:tcPr>
            <w:tcW w:w="4644" w:type="dxa"/>
            <w:vAlign w:val="center"/>
          </w:tcPr>
          <w:p w14:paraId="496F4A51"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Dla wartości pojedynczych wyników pomiarów grubości wbudowanej warstwy</w:t>
            </w:r>
          </w:p>
        </w:tc>
        <w:tc>
          <w:tcPr>
            <w:tcW w:w="2264" w:type="dxa"/>
            <w:vAlign w:val="center"/>
          </w:tcPr>
          <w:p w14:paraId="4D82D693"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0÷10%, ale nie więcej niż 1,0 cm</w:t>
            </w:r>
          </w:p>
        </w:tc>
        <w:tc>
          <w:tcPr>
            <w:tcW w:w="2331" w:type="dxa"/>
            <w:vAlign w:val="center"/>
          </w:tcPr>
          <w:p w14:paraId="2F6E9461"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0÷10%</w:t>
            </w:r>
          </w:p>
        </w:tc>
      </w:tr>
    </w:tbl>
    <w:p w14:paraId="4EA06068"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Zwiększone grubości poszczególnych warstw będą zaliczane jako wyrównanie ewentualnych niedoborów niżej leżącej warstwy.</w:t>
      </w:r>
    </w:p>
    <w:p w14:paraId="799F5A6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Należy sprawdzić zachowanie zasady mówiącej, że grubość warstwy musi być co najmniej dwuipółkrotnie większa od wymiaru D kruszywa danej mieszanki (h ≥ 2,5×D).</w:t>
      </w:r>
    </w:p>
    <w:p w14:paraId="715C45C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W przypadku warstwy podbudowy wykonywanej z mieszanki mineralno-asfaltowej o projektowanej grubości powyżej 14 cm dopuszcza się wykonywanie warstwy w dwóch warstwach technologicznych. Warstwy technologiczne muszą być wykonywane z tej samej mieszanki mineralno-asfaltowej, a grubości tych warstw muszą być zbliżone. Pomiędzy warstwami technologicznymi musi być zachowana czepność </w:t>
      </w:r>
      <w:proofErr w:type="spellStart"/>
      <w:r w:rsidRPr="007B192E">
        <w:rPr>
          <w:rFonts w:ascii="Arial" w:hAnsi="Arial" w:cs="Arial"/>
          <w:color w:val="000000" w:themeColor="text1"/>
          <w:sz w:val="18"/>
          <w:szCs w:val="18"/>
        </w:rPr>
        <w:t>międzywarstwowa</w:t>
      </w:r>
      <w:proofErr w:type="spellEnd"/>
      <w:r w:rsidRPr="007B192E">
        <w:rPr>
          <w:rFonts w:ascii="Arial" w:hAnsi="Arial" w:cs="Arial"/>
          <w:color w:val="000000" w:themeColor="text1"/>
          <w:sz w:val="18"/>
          <w:szCs w:val="18"/>
        </w:rPr>
        <w:t xml:space="preserve"> zgodnie z ST D-04.03.01a [2]. Wszystkie wymagane wartości parametrów warstwy podbudowy wykonanej w jednym cyklu (warstwy technologicznej) muszą spełniać wymagania stawiane warstwie podbudowy.</w:t>
      </w:r>
    </w:p>
    <w:p w14:paraId="7BEF041E"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6.5.3.</w:t>
      </w:r>
      <w:r w:rsidRPr="007B192E">
        <w:rPr>
          <w:rFonts w:ascii="Arial" w:hAnsi="Arial" w:cs="Arial"/>
          <w:color w:val="000000" w:themeColor="text1"/>
          <w:sz w:val="18"/>
          <w:szCs w:val="18"/>
        </w:rPr>
        <w:t xml:space="preserve"> Spadki poprzeczne</w:t>
      </w:r>
    </w:p>
    <w:p w14:paraId="1B7DDEB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Spadki poprzeczne nawierzchni należy badać nie rzadziej niż co 20 m oraz w punktach głównych łuków poziomych.</w:t>
      </w:r>
    </w:p>
    <w:p w14:paraId="46D6215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Spadki poprzeczne powinny być zgodne z dokumentacją projektową, z tolerancją       </w:t>
      </w:r>
      <w:r w:rsidRPr="007B192E">
        <w:rPr>
          <w:rFonts w:ascii="Arial" w:hAnsi="Arial" w:cs="Arial"/>
          <w:color w:val="000000" w:themeColor="text1"/>
          <w:sz w:val="18"/>
          <w:szCs w:val="18"/>
        </w:rPr>
        <w:sym w:font="Symbol" w:char="00B1"/>
      </w:r>
      <w:r w:rsidRPr="007B192E">
        <w:rPr>
          <w:rFonts w:ascii="Arial" w:hAnsi="Arial" w:cs="Arial"/>
          <w:color w:val="000000" w:themeColor="text1"/>
          <w:sz w:val="18"/>
          <w:szCs w:val="18"/>
        </w:rPr>
        <w:t xml:space="preserve"> 0,5%.  </w:t>
      </w:r>
    </w:p>
    <w:p w14:paraId="1FCAFBE7"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6.5.4.</w:t>
      </w:r>
      <w:r w:rsidRPr="007B192E">
        <w:rPr>
          <w:rFonts w:ascii="Arial" w:hAnsi="Arial" w:cs="Arial"/>
          <w:color w:val="000000" w:themeColor="text1"/>
          <w:sz w:val="18"/>
          <w:szCs w:val="18"/>
        </w:rPr>
        <w:t xml:space="preserve"> Równość podłużna i poprzeczna</w:t>
      </w:r>
    </w:p>
    <w:p w14:paraId="492E7DD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 Równość podłużna</w:t>
      </w:r>
      <w:r w:rsidRPr="007B192E">
        <w:rPr>
          <w:rFonts w:ascii="Arial" w:hAnsi="Arial" w:cs="Arial"/>
          <w:color w:val="000000" w:themeColor="text1"/>
          <w:sz w:val="18"/>
          <w:szCs w:val="18"/>
        </w:rPr>
        <w:tab/>
      </w:r>
    </w:p>
    <w:p w14:paraId="179EB8C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oceny równości podłużnej podbudowy nawierzchni dróg wszystkich klas należy stosować metodę pomiaru ciągłego równoważną użyciu łaty i klina np. z wykorzystaniem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umożliwiającego wyznaczanie odchyleń równości podłużnej jako największej odległości (prześwitu) pomiędzy teoretyczną linią łączącą spody kółek jezdnych urządzenia a mierzoną powierzchnią warstwy [mm].</w:t>
      </w:r>
    </w:p>
    <w:p w14:paraId="3F22DCE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miejscach niedostępnych dla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xml:space="preserve"> pomiar równości podłużnej warstw nawierzchni należy wykonać w sposób ciągły z użyciem łaty i klina. Długość łaty w pomiarze równości podłużnej powinna wynosić 4 m.</w:t>
      </w:r>
    </w:p>
    <w:p w14:paraId="3780FEA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Maksymalne wartości odchyleń równości podłużnej dla warstwy oznaczone pomiarem ciągłym równoważnym użyciu łaty i klina np. z wykorzystaniem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łaty i klina określa tablica 34.</w:t>
      </w:r>
    </w:p>
    <w:p w14:paraId="6AB7299B" w14:textId="77777777" w:rsidR="00F45500" w:rsidRPr="007B192E" w:rsidRDefault="00F45500" w:rsidP="00F45500">
      <w:pPr>
        <w:tabs>
          <w:tab w:val="left" w:pos="1276"/>
        </w:tabs>
        <w:spacing w:before="120" w:after="120"/>
        <w:ind w:left="1276" w:hanging="1276"/>
        <w:jc w:val="both"/>
        <w:rPr>
          <w:rFonts w:ascii="Arial" w:hAnsi="Arial" w:cs="Arial"/>
          <w:color w:val="000000" w:themeColor="text1"/>
          <w:sz w:val="18"/>
          <w:szCs w:val="18"/>
        </w:rPr>
      </w:pPr>
      <w:r w:rsidRPr="007B192E">
        <w:rPr>
          <w:rFonts w:ascii="Arial" w:hAnsi="Arial" w:cs="Arial"/>
          <w:bCs/>
          <w:color w:val="000000" w:themeColor="text1"/>
          <w:sz w:val="18"/>
          <w:szCs w:val="18"/>
        </w:rPr>
        <w:t>Tablica 34.</w:t>
      </w:r>
      <w:r w:rsidRPr="007B192E">
        <w:rPr>
          <w:rFonts w:ascii="Arial" w:hAnsi="Arial" w:cs="Arial"/>
          <w:bCs/>
          <w:color w:val="000000" w:themeColor="text1"/>
          <w:sz w:val="18"/>
          <w:szCs w:val="18"/>
        </w:rPr>
        <w:tab/>
        <w:t>Maksymalne wartości odchyleń równości podłużnej dla podbudowy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395"/>
        <w:gridCol w:w="2693"/>
      </w:tblGrid>
      <w:tr w:rsidR="004D7D23" w:rsidRPr="007B192E" w14:paraId="526536F7" w14:textId="77777777" w:rsidTr="008F7A94">
        <w:trPr>
          <w:jc w:val="center"/>
        </w:trPr>
        <w:tc>
          <w:tcPr>
            <w:tcW w:w="1809" w:type="dxa"/>
            <w:vAlign w:val="center"/>
          </w:tcPr>
          <w:p w14:paraId="0FC41BB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Klasa drogi</w:t>
            </w:r>
          </w:p>
        </w:tc>
        <w:tc>
          <w:tcPr>
            <w:tcW w:w="4395" w:type="dxa"/>
            <w:vAlign w:val="center"/>
          </w:tcPr>
          <w:p w14:paraId="71671CD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Element nawierzchni</w:t>
            </w:r>
          </w:p>
        </w:tc>
        <w:tc>
          <w:tcPr>
            <w:tcW w:w="2693" w:type="dxa"/>
            <w:vAlign w:val="center"/>
          </w:tcPr>
          <w:p w14:paraId="1BCAE94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Maksymalne wartości odchyleń równości podłużnej warstwy [mm] dla podbudowy</w:t>
            </w:r>
          </w:p>
        </w:tc>
      </w:tr>
      <w:tr w:rsidR="004D7D23" w:rsidRPr="007B192E" w14:paraId="4CD843B4" w14:textId="77777777" w:rsidTr="008F7A94">
        <w:trPr>
          <w:jc w:val="center"/>
        </w:trPr>
        <w:tc>
          <w:tcPr>
            <w:tcW w:w="1809" w:type="dxa"/>
            <w:vAlign w:val="center"/>
          </w:tcPr>
          <w:p w14:paraId="0FFA959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G,Z</w:t>
            </w:r>
          </w:p>
        </w:tc>
        <w:tc>
          <w:tcPr>
            <w:tcW w:w="4395" w:type="dxa"/>
            <w:vAlign w:val="center"/>
          </w:tcPr>
          <w:p w14:paraId="1B48D4D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Pasy ruchu zasadnicze, dodatkowe,</w:t>
            </w:r>
          </w:p>
          <w:p w14:paraId="5419E49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włączenia i wyłączenia, postojowe,</w:t>
            </w:r>
          </w:p>
          <w:p w14:paraId="00626BD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jezdnie łącznic, utwardzone pobocza</w:t>
            </w:r>
          </w:p>
        </w:tc>
        <w:tc>
          <w:tcPr>
            <w:tcW w:w="2693" w:type="dxa"/>
            <w:vAlign w:val="center"/>
          </w:tcPr>
          <w:p w14:paraId="5ACEDBE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r>
      <w:tr w:rsidR="004D7D23" w:rsidRPr="007B192E" w14:paraId="47BBAADD" w14:textId="77777777" w:rsidTr="008F7A94">
        <w:trPr>
          <w:jc w:val="center"/>
        </w:trPr>
        <w:tc>
          <w:tcPr>
            <w:tcW w:w="1809" w:type="dxa"/>
            <w:vAlign w:val="center"/>
          </w:tcPr>
          <w:p w14:paraId="1FAA3D7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L,D, place parkingi,</w:t>
            </w:r>
          </w:p>
        </w:tc>
        <w:tc>
          <w:tcPr>
            <w:tcW w:w="4395" w:type="dxa"/>
            <w:vAlign w:val="center"/>
          </w:tcPr>
          <w:p w14:paraId="6105A9D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Wszystkie pasy ruchu i powierzchnie przeznaczone do ruchu i postoju pojazdów</w:t>
            </w:r>
          </w:p>
        </w:tc>
        <w:tc>
          <w:tcPr>
            <w:tcW w:w="2693" w:type="dxa"/>
            <w:vAlign w:val="center"/>
          </w:tcPr>
          <w:p w14:paraId="3152921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r>
    </w:tbl>
    <w:p w14:paraId="0596BBB4" w14:textId="77777777" w:rsidR="00F45500" w:rsidRPr="007B192E" w:rsidRDefault="00F45500" w:rsidP="00F45500">
      <w:pPr>
        <w:spacing w:before="120"/>
        <w:ind w:left="66"/>
        <w:jc w:val="both"/>
        <w:rPr>
          <w:rFonts w:ascii="Arial" w:hAnsi="Arial" w:cs="Arial"/>
          <w:color w:val="000000" w:themeColor="text1"/>
          <w:sz w:val="18"/>
          <w:szCs w:val="18"/>
        </w:rPr>
      </w:pPr>
      <w:r w:rsidRPr="007B192E">
        <w:rPr>
          <w:rFonts w:ascii="Arial" w:hAnsi="Arial" w:cs="Arial"/>
          <w:color w:val="000000" w:themeColor="text1"/>
          <w:sz w:val="18"/>
          <w:szCs w:val="18"/>
        </w:rPr>
        <w:t>b) Równość poprzeczna</w:t>
      </w:r>
    </w:p>
    <w:p w14:paraId="02AB8C9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0A3CFFB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miejscach niedostępnych dla profilografu pomiar równości poprzecznej warstw nawierzchni należy wykonać z użyciem łaty i klina. Długość łaty w pomiarze równości poprzecznej powinna wynosić 2 m. Pomiar powinien być wykonywany nie rzadziej niż co 5 m.</w:t>
      </w:r>
    </w:p>
    <w:p w14:paraId="612A727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Maksymalne wartości odchyleń równości poprzecznej określa tablica 35.</w:t>
      </w:r>
    </w:p>
    <w:p w14:paraId="3476E491" w14:textId="77777777" w:rsidR="00F45500" w:rsidRPr="007B192E" w:rsidRDefault="00F45500" w:rsidP="00F45500">
      <w:pPr>
        <w:rPr>
          <w:rFonts w:ascii="Arial" w:hAnsi="Arial" w:cs="Arial"/>
          <w:bCs/>
          <w:color w:val="000000" w:themeColor="text1"/>
          <w:sz w:val="18"/>
          <w:szCs w:val="18"/>
        </w:rPr>
      </w:pPr>
    </w:p>
    <w:p w14:paraId="502B5DF3"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Cs/>
          <w:color w:val="000000" w:themeColor="text1"/>
          <w:sz w:val="18"/>
          <w:szCs w:val="18"/>
        </w:rPr>
        <w:t>Tablica 35. Maksymalne wartości odchyleń równości poprzecznej dla podbudowy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395"/>
        <w:gridCol w:w="2693"/>
      </w:tblGrid>
      <w:tr w:rsidR="004D7D23" w:rsidRPr="007B192E" w14:paraId="16BB1F70" w14:textId="77777777" w:rsidTr="008F7A94">
        <w:trPr>
          <w:jc w:val="center"/>
        </w:trPr>
        <w:tc>
          <w:tcPr>
            <w:tcW w:w="1809" w:type="dxa"/>
            <w:vAlign w:val="center"/>
          </w:tcPr>
          <w:p w14:paraId="2AC013D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Klasa drogi</w:t>
            </w:r>
          </w:p>
        </w:tc>
        <w:tc>
          <w:tcPr>
            <w:tcW w:w="4395" w:type="dxa"/>
            <w:vAlign w:val="center"/>
          </w:tcPr>
          <w:p w14:paraId="25C6BDE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Element nawierzchni</w:t>
            </w:r>
          </w:p>
        </w:tc>
        <w:tc>
          <w:tcPr>
            <w:tcW w:w="2693" w:type="dxa"/>
            <w:vAlign w:val="center"/>
          </w:tcPr>
          <w:p w14:paraId="5471399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Maksymalne wartości odchyleń równości poprzecznej warstwy [mm] dla podbudowy</w:t>
            </w:r>
          </w:p>
        </w:tc>
      </w:tr>
      <w:tr w:rsidR="004D7D23" w:rsidRPr="007B192E" w14:paraId="3404D901" w14:textId="77777777" w:rsidTr="008F7A94">
        <w:trPr>
          <w:jc w:val="center"/>
        </w:trPr>
        <w:tc>
          <w:tcPr>
            <w:tcW w:w="1809" w:type="dxa"/>
            <w:vAlign w:val="center"/>
          </w:tcPr>
          <w:p w14:paraId="23B1CD6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G,Z</w:t>
            </w:r>
          </w:p>
        </w:tc>
        <w:tc>
          <w:tcPr>
            <w:tcW w:w="4395" w:type="dxa"/>
            <w:vAlign w:val="center"/>
          </w:tcPr>
          <w:p w14:paraId="7721A75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Pasy ruchu zasadnicze, dodatkowe,</w:t>
            </w:r>
          </w:p>
          <w:p w14:paraId="611E3E1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włączenia i wyłączenia, postojowe,</w:t>
            </w:r>
          </w:p>
          <w:p w14:paraId="60404E0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jezdnie łącznic, utwardzone pobocza</w:t>
            </w:r>
          </w:p>
        </w:tc>
        <w:tc>
          <w:tcPr>
            <w:tcW w:w="2693" w:type="dxa"/>
            <w:vAlign w:val="center"/>
          </w:tcPr>
          <w:p w14:paraId="1DFDFDF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r>
      <w:tr w:rsidR="00F45500" w:rsidRPr="007B192E" w14:paraId="2DEE1EAB" w14:textId="77777777" w:rsidTr="008F7A94">
        <w:trPr>
          <w:jc w:val="center"/>
        </w:trPr>
        <w:tc>
          <w:tcPr>
            <w:tcW w:w="1809" w:type="dxa"/>
            <w:vAlign w:val="center"/>
          </w:tcPr>
          <w:p w14:paraId="3905C0E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L,D, place parkingi,</w:t>
            </w:r>
          </w:p>
        </w:tc>
        <w:tc>
          <w:tcPr>
            <w:tcW w:w="4395" w:type="dxa"/>
            <w:vAlign w:val="center"/>
          </w:tcPr>
          <w:p w14:paraId="2CC6009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Wszystkie pasy ruchu i powierzchnie przeznaczone do ruchu i postoju pojazdów</w:t>
            </w:r>
          </w:p>
        </w:tc>
        <w:tc>
          <w:tcPr>
            <w:tcW w:w="2693" w:type="dxa"/>
            <w:vAlign w:val="center"/>
          </w:tcPr>
          <w:p w14:paraId="43123E5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r>
    </w:tbl>
    <w:p w14:paraId="231B4D28" w14:textId="77777777" w:rsidR="00F45500" w:rsidRPr="007B192E" w:rsidRDefault="00F45500" w:rsidP="00F45500">
      <w:pPr>
        <w:jc w:val="both"/>
        <w:rPr>
          <w:rFonts w:ascii="Arial" w:hAnsi="Arial" w:cs="Arial"/>
          <w:color w:val="000000" w:themeColor="text1"/>
          <w:sz w:val="18"/>
          <w:szCs w:val="18"/>
        </w:rPr>
      </w:pPr>
    </w:p>
    <w:p w14:paraId="696BB27F" w14:textId="77777777" w:rsidR="00F45500" w:rsidRPr="007B192E" w:rsidRDefault="00F45500" w:rsidP="00F45500">
      <w:pPr>
        <w:keepNext/>
        <w:jc w:val="both"/>
        <w:rPr>
          <w:rFonts w:ascii="Arial" w:hAnsi="Arial" w:cs="Arial"/>
          <w:color w:val="000000" w:themeColor="text1"/>
          <w:sz w:val="18"/>
          <w:szCs w:val="18"/>
        </w:rPr>
      </w:pPr>
      <w:r w:rsidRPr="007B192E">
        <w:rPr>
          <w:rFonts w:ascii="Arial" w:hAnsi="Arial" w:cs="Arial"/>
          <w:b/>
          <w:color w:val="000000" w:themeColor="text1"/>
          <w:sz w:val="18"/>
          <w:szCs w:val="18"/>
        </w:rPr>
        <w:t>6.5.5.</w:t>
      </w:r>
      <w:r w:rsidRPr="007B192E">
        <w:rPr>
          <w:rFonts w:ascii="Arial" w:hAnsi="Arial" w:cs="Arial"/>
          <w:color w:val="000000" w:themeColor="text1"/>
          <w:sz w:val="18"/>
          <w:szCs w:val="18"/>
        </w:rPr>
        <w:t xml:space="preserve"> Złącza technologiczne </w:t>
      </w:r>
    </w:p>
    <w:p w14:paraId="63ABB07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podłużne i poprzeczne, sprawdzone wizualnie, powinny być równe i związane, wykonane w linii prostej, równolegle lub prostopadle do osi drogi. Przylegające warstwy powinny być w jednym poziomie.</w:t>
      </w:r>
    </w:p>
    <w:p w14:paraId="4C9DA883"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6.5.6.</w:t>
      </w:r>
      <w:r w:rsidRPr="007B192E">
        <w:rPr>
          <w:rFonts w:ascii="Arial" w:hAnsi="Arial" w:cs="Arial"/>
          <w:color w:val="000000" w:themeColor="text1"/>
          <w:sz w:val="18"/>
          <w:szCs w:val="18"/>
        </w:rPr>
        <w:t xml:space="preserve"> Szerokość warstwy </w:t>
      </w:r>
    </w:p>
    <w:p w14:paraId="575676EA"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w:t>
      </w:r>
    </w:p>
    <w:p w14:paraId="2B1CDA3B" w14:textId="77777777" w:rsidR="00F45500" w:rsidRPr="007B192E" w:rsidRDefault="00F45500" w:rsidP="00F45500">
      <w:pPr>
        <w:keepNext/>
        <w:numPr>
          <w:ilvl w:val="12"/>
          <w:numId w:val="0"/>
        </w:num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6.5.7.</w:t>
      </w:r>
      <w:r w:rsidRPr="007B192E">
        <w:rPr>
          <w:rFonts w:ascii="Arial" w:hAnsi="Arial" w:cs="Arial"/>
          <w:color w:val="000000" w:themeColor="text1"/>
          <w:sz w:val="18"/>
          <w:szCs w:val="18"/>
        </w:rPr>
        <w:t xml:space="preserve"> Rzędne wysokościowe </w:t>
      </w:r>
    </w:p>
    <w:p w14:paraId="0CECE08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Rzędne wysokościowe, mierzone co 10 m na prostych i co 10 m na osi podłużnej i krawędziach, powinny być zgodne z dokumentacją projektową, z dopuszczalną tolerancją      ± 1 cm, przy czym co najmniej 95% </w:t>
      </w:r>
      <w:r w:rsidRPr="007B192E">
        <w:rPr>
          <w:rFonts w:ascii="Arial" w:hAnsi="Arial" w:cs="Arial"/>
          <w:color w:val="000000" w:themeColor="text1"/>
          <w:sz w:val="18"/>
          <w:szCs w:val="18"/>
        </w:rPr>
        <w:lastRenderedPageBreak/>
        <w:t>wykonanych pomiarów nie może przekraczać przedziału dopuszczalnych odchyleń.</w:t>
      </w:r>
    </w:p>
    <w:p w14:paraId="766D6AE2"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6.5. 8.</w:t>
      </w:r>
      <w:r w:rsidRPr="007B192E">
        <w:rPr>
          <w:rFonts w:ascii="Arial" w:hAnsi="Arial" w:cs="Arial"/>
          <w:color w:val="000000" w:themeColor="text1"/>
          <w:sz w:val="18"/>
          <w:szCs w:val="18"/>
        </w:rPr>
        <w:t xml:space="preserve"> Ukształtowanie osi w planie </w:t>
      </w:r>
    </w:p>
    <w:p w14:paraId="5EAA5EE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Ukształtowanie osi w planie, mierzone co 100 m, nie powinno różnić się od dokumentacji projektowej o więcej niż ± 5 cm.</w:t>
      </w:r>
    </w:p>
    <w:p w14:paraId="4906C477"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6.5.9.</w:t>
      </w:r>
      <w:r w:rsidRPr="007B192E">
        <w:rPr>
          <w:rFonts w:ascii="Arial" w:hAnsi="Arial" w:cs="Arial"/>
          <w:color w:val="000000" w:themeColor="text1"/>
          <w:sz w:val="18"/>
          <w:szCs w:val="18"/>
        </w:rPr>
        <w:t xml:space="preserve"> Ocena wizualna warstwy </w:t>
      </w:r>
    </w:p>
    <w:p w14:paraId="23ABE43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Wygląd zewnętrzny warstwy, sprawdzony wizualnie, powinien być jednorodny, bez spękań, deformacji, plam i </w:t>
      </w:r>
      <w:proofErr w:type="spellStart"/>
      <w:r w:rsidRPr="007B192E">
        <w:rPr>
          <w:rFonts w:ascii="Arial" w:hAnsi="Arial" w:cs="Arial"/>
          <w:color w:val="000000" w:themeColor="text1"/>
          <w:sz w:val="18"/>
          <w:szCs w:val="18"/>
        </w:rPr>
        <w:t>wykruszeń</w:t>
      </w:r>
      <w:proofErr w:type="spellEnd"/>
      <w:r w:rsidRPr="007B192E">
        <w:rPr>
          <w:rFonts w:ascii="Arial" w:hAnsi="Arial" w:cs="Arial"/>
          <w:color w:val="000000" w:themeColor="text1"/>
          <w:sz w:val="18"/>
          <w:szCs w:val="18"/>
        </w:rPr>
        <w:t>.</w:t>
      </w:r>
    </w:p>
    <w:p w14:paraId="145E194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6.6. Badania kontrolne dodatkowe</w:t>
      </w:r>
    </w:p>
    <w:p w14:paraId="78FC545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wypadku uznania, że jeden z wyników badań kontrolnych nie jest reprezentatywny dla ocenianego odcinka budowy, Wykonawca ma prawo żądać przeprowadzenia badań kontrolnych dodatkowych.</w:t>
      </w:r>
    </w:p>
    <w:p w14:paraId="033D6DF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66B18D0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 odbioru uwzględniane są wyniki badań kontrolnych i badań kontrolnych dodatkowych do wyznaczonych odcinków częściowych.</w:t>
      </w:r>
    </w:p>
    <w:p w14:paraId="447B302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Koszty badań kontrolnych dodatkowych zażądanych przez Wykonawcę ponosi Wykonawca.</w:t>
      </w:r>
    </w:p>
    <w:p w14:paraId="44F2983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6.7. Badania arbitrażowe</w:t>
      </w:r>
    </w:p>
    <w:p w14:paraId="29C6463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arbitrażowe są powtórzeniem badań kontrolnych, co do których istnieją uzasadnione wątpliwości ze strony Inżyniera lub Wykonawcy (np. na podstawie własnych badań).</w:t>
      </w:r>
    </w:p>
    <w:p w14:paraId="36810D8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arbitrażowe wykonuje na wniosek strony kontraktu niezależne laboratorium, które nie wykonywało badań kontrolnych.</w:t>
      </w:r>
    </w:p>
    <w:p w14:paraId="0FF050C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Koszty badań arbitrażowych wraz ze wszystkimi kosztami ubocznymi ponosi strona, na której niekorzyść przemawia wynik badania.</w:t>
      </w:r>
    </w:p>
    <w:p w14:paraId="1156C0C0" w14:textId="77777777" w:rsidR="00F45500" w:rsidRPr="007B192E" w:rsidRDefault="002562DC" w:rsidP="005E0E48">
      <w:pPr>
        <w:pStyle w:val="Nagwek2"/>
        <w:rPr>
          <w:i w:val="0"/>
          <w:color w:val="000000" w:themeColor="text1"/>
        </w:rPr>
      </w:pPr>
      <w:bookmarkStart w:id="309" w:name="_Toc413234109"/>
      <w:r w:rsidRPr="007B192E">
        <w:rPr>
          <w:i w:val="0"/>
          <w:color w:val="000000" w:themeColor="text1"/>
        </w:rPr>
        <w:t>7. OBMIAR ROBÓT</w:t>
      </w:r>
      <w:bookmarkEnd w:id="309"/>
    </w:p>
    <w:p w14:paraId="482D47E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7.1. Ogólne zasady obmiaru robót</w:t>
      </w:r>
    </w:p>
    <w:p w14:paraId="0C2C9E66"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26C55FFC"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7.2. Jednostka obmiarowa</w:t>
      </w:r>
    </w:p>
    <w:p w14:paraId="7D00117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wykonanej warstwy podbudowy z betonu asfaltowego (ACP).</w:t>
      </w:r>
    </w:p>
    <w:p w14:paraId="06AB4160" w14:textId="77777777" w:rsidR="00F45500" w:rsidRPr="007B192E" w:rsidRDefault="002562DC" w:rsidP="005E0E48">
      <w:pPr>
        <w:pStyle w:val="Nagwek2"/>
        <w:rPr>
          <w:i w:val="0"/>
          <w:color w:val="000000" w:themeColor="text1"/>
        </w:rPr>
      </w:pPr>
      <w:bookmarkStart w:id="310" w:name="_Toc413234110"/>
      <w:r w:rsidRPr="007B192E">
        <w:rPr>
          <w:i w:val="0"/>
          <w:color w:val="000000" w:themeColor="text1"/>
        </w:rPr>
        <w:t>8. ODBIÓR ROBÓT</w:t>
      </w:r>
      <w:bookmarkEnd w:id="310"/>
    </w:p>
    <w:p w14:paraId="72F7C16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25C4BD0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Roboty uznaje się za wykonane zgodnie z dokumentacją projektową, ST                  i wymaganiami Inżyniera, jeżeli wszystkie pomiary i badania z zachowaniem tolerancji według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 dały wyniki pozytywne.</w:t>
      </w:r>
    </w:p>
    <w:p w14:paraId="07959423" w14:textId="77777777" w:rsidR="00F45500" w:rsidRPr="007B192E" w:rsidRDefault="002562DC" w:rsidP="005E0E48">
      <w:pPr>
        <w:pStyle w:val="Nagwek2"/>
        <w:rPr>
          <w:i w:val="0"/>
          <w:color w:val="000000" w:themeColor="text1"/>
        </w:rPr>
      </w:pPr>
      <w:bookmarkStart w:id="311" w:name="_Toc413234111"/>
      <w:r w:rsidRPr="007B192E">
        <w:rPr>
          <w:i w:val="0"/>
          <w:color w:val="000000" w:themeColor="text1"/>
        </w:rPr>
        <w:t>9. PODSTAWA PŁATNOŚCI</w:t>
      </w:r>
      <w:bookmarkEnd w:id="311"/>
    </w:p>
    <w:p w14:paraId="1060B23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9.1. Ogólne ustalenia dotyczące podstawy płatności</w:t>
      </w:r>
    </w:p>
    <w:p w14:paraId="68A1EE5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2740DA25"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9.2. Cena jednostki obmiarowej</w:t>
      </w:r>
    </w:p>
    <w:p w14:paraId="7DFD77C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warstwy podbudowy z betonu asfaltowego (AC P) obejmuje:</w:t>
      </w:r>
    </w:p>
    <w:p w14:paraId="7FEA2D24"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55D2C27A"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117B9AAA"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oczyszczenie i skropienie podłoża,</w:t>
      </w:r>
    </w:p>
    <w:p w14:paraId="4DE9252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0443284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opracowanie recepty laboratoryjnej,</w:t>
      </w:r>
    </w:p>
    <w:p w14:paraId="1F6C0C5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wykonanie próby technologicznej i odcinka próbnego,</w:t>
      </w:r>
    </w:p>
    <w:p w14:paraId="0F2277C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wyprodukowanie mieszanki betonu asfaltowego i jej transport na miejsce wbudowania,</w:t>
      </w:r>
    </w:p>
    <w:p w14:paraId="385A68D5"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posmarowanie lepiszczem lub pokrycie taśmą asfaltową krawędzi urządzeń obcych i krawężników,</w:t>
      </w:r>
    </w:p>
    <w:p w14:paraId="7F749528"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rozłożenie i zagęszczenie mieszanki betonu asfaltowego,</w:t>
      </w:r>
    </w:p>
    <w:p w14:paraId="368B214F"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obcięcie krawędzi i posmarowanie lepiszczem,</w:t>
      </w:r>
    </w:p>
    <w:p w14:paraId="12899E4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wymaganych w specyfikacji technicznej,</w:t>
      </w:r>
    </w:p>
    <w:p w14:paraId="4488F330" w14:textId="77777777" w:rsidR="00F45500" w:rsidRPr="007B192E"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7B192E">
        <w:rPr>
          <w:rFonts w:ascii="Arial" w:hAnsi="Arial" w:cs="Arial"/>
          <w:color w:val="000000" w:themeColor="text1"/>
          <w:sz w:val="18"/>
          <w:szCs w:val="18"/>
        </w:rPr>
        <w:t>odwiezienie sprzętu.</w:t>
      </w:r>
    </w:p>
    <w:p w14:paraId="54E64E8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225F85E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45A1E316"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6E91A4D9"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prace towarzyszące, które są niezbędne do wykonania robót podstawowych, niezaliczane do robót tymczasowych, jak geodezyjne wytyczenie robót itd.</w:t>
      </w:r>
    </w:p>
    <w:p w14:paraId="646DFB36" w14:textId="77777777" w:rsidR="00F45500" w:rsidRPr="007B192E" w:rsidRDefault="002562DC" w:rsidP="005E0E48">
      <w:pPr>
        <w:pStyle w:val="Nagwek2"/>
        <w:rPr>
          <w:i w:val="0"/>
          <w:color w:val="000000" w:themeColor="text1"/>
        </w:rPr>
      </w:pPr>
      <w:bookmarkStart w:id="312" w:name="_Toc413234112"/>
      <w:r w:rsidRPr="007B192E">
        <w:rPr>
          <w:i w:val="0"/>
          <w:color w:val="000000" w:themeColor="text1"/>
        </w:rPr>
        <w:t>10. PRZEPISY ZWIĄZANE</w:t>
      </w:r>
      <w:bookmarkEnd w:id="312"/>
    </w:p>
    <w:p w14:paraId="6A4B337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637"/>
        <w:gridCol w:w="1953"/>
        <w:gridCol w:w="6240"/>
      </w:tblGrid>
      <w:tr w:rsidR="004D7D23" w:rsidRPr="007B192E" w14:paraId="766E90F0" w14:textId="77777777" w:rsidTr="008F7A94">
        <w:tc>
          <w:tcPr>
            <w:tcW w:w="637" w:type="dxa"/>
          </w:tcPr>
          <w:p w14:paraId="6203195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953" w:type="dxa"/>
          </w:tcPr>
          <w:p w14:paraId="2BEF79F8" w14:textId="77777777" w:rsidR="00F45500" w:rsidRPr="007B192E" w:rsidRDefault="00072856"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w:t>
            </w:r>
            <w:r w:rsidR="00F45500" w:rsidRPr="007B192E">
              <w:rPr>
                <w:rFonts w:ascii="Arial" w:hAnsi="Arial" w:cs="Arial"/>
                <w:color w:val="000000" w:themeColor="text1"/>
                <w:sz w:val="18"/>
                <w:szCs w:val="18"/>
              </w:rPr>
              <w:t>00.00.00</w:t>
            </w:r>
          </w:p>
        </w:tc>
        <w:tc>
          <w:tcPr>
            <w:tcW w:w="6240" w:type="dxa"/>
          </w:tcPr>
          <w:p w14:paraId="1D26D9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4A85E6A8" w14:textId="77777777" w:rsidTr="008F7A94">
        <w:tc>
          <w:tcPr>
            <w:tcW w:w="637" w:type="dxa"/>
          </w:tcPr>
          <w:p w14:paraId="0ABB4F9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953" w:type="dxa"/>
          </w:tcPr>
          <w:p w14:paraId="4EE7EA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D-04.03.01a</w:t>
            </w:r>
          </w:p>
        </w:tc>
        <w:tc>
          <w:tcPr>
            <w:tcW w:w="6240" w:type="dxa"/>
          </w:tcPr>
          <w:p w14:paraId="322B84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Połączenie </w:t>
            </w:r>
            <w:proofErr w:type="spellStart"/>
            <w:r w:rsidRPr="007B192E">
              <w:rPr>
                <w:rFonts w:ascii="Arial" w:hAnsi="Arial" w:cs="Arial"/>
                <w:color w:val="000000" w:themeColor="text1"/>
                <w:sz w:val="18"/>
                <w:szCs w:val="18"/>
              </w:rPr>
              <w:t>międzywarstwowe</w:t>
            </w:r>
            <w:proofErr w:type="spellEnd"/>
            <w:r w:rsidRPr="007B192E">
              <w:rPr>
                <w:rFonts w:ascii="Arial" w:hAnsi="Arial" w:cs="Arial"/>
                <w:color w:val="000000" w:themeColor="text1"/>
                <w:sz w:val="18"/>
                <w:szCs w:val="18"/>
              </w:rPr>
              <w:t xml:space="preserve"> nawierzchni drogowej emulsją asfaltową</w:t>
            </w:r>
          </w:p>
        </w:tc>
      </w:tr>
    </w:tbl>
    <w:p w14:paraId="0DEE869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10.2. Normy</w:t>
      </w:r>
    </w:p>
    <w:p w14:paraId="12ACF963"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(Zestawienie zawiera dodatkowo normy PN-EN związane z badaniami materiałów występujących w niniejszej ST)</w:t>
      </w:r>
    </w:p>
    <w:tbl>
      <w:tblPr>
        <w:tblW w:w="0" w:type="auto"/>
        <w:tblLayout w:type="fixed"/>
        <w:tblLook w:val="01E0" w:firstRow="1" w:lastRow="1" w:firstColumn="1" w:lastColumn="1" w:noHBand="0" w:noVBand="0"/>
      </w:tblPr>
      <w:tblGrid>
        <w:gridCol w:w="675"/>
        <w:gridCol w:w="1985"/>
        <w:gridCol w:w="6237"/>
      </w:tblGrid>
      <w:tr w:rsidR="004D7D23" w:rsidRPr="007B192E" w14:paraId="42D5A053" w14:textId="77777777" w:rsidTr="008F7A94">
        <w:tc>
          <w:tcPr>
            <w:tcW w:w="675" w:type="dxa"/>
          </w:tcPr>
          <w:p w14:paraId="10E811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985" w:type="dxa"/>
          </w:tcPr>
          <w:p w14:paraId="320185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196-2</w:t>
            </w:r>
          </w:p>
        </w:tc>
        <w:tc>
          <w:tcPr>
            <w:tcW w:w="6237" w:type="dxa"/>
          </w:tcPr>
          <w:p w14:paraId="7F60E24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Metody badania cementu - Część 2: Analiza chemiczna cementu</w:t>
            </w:r>
          </w:p>
        </w:tc>
      </w:tr>
      <w:tr w:rsidR="004D7D23" w:rsidRPr="007B192E" w14:paraId="1A252EF7" w14:textId="77777777" w:rsidTr="008F7A94">
        <w:tc>
          <w:tcPr>
            <w:tcW w:w="675" w:type="dxa"/>
          </w:tcPr>
          <w:p w14:paraId="1874649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985" w:type="dxa"/>
          </w:tcPr>
          <w:p w14:paraId="4444104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459-2</w:t>
            </w:r>
          </w:p>
        </w:tc>
        <w:tc>
          <w:tcPr>
            <w:tcW w:w="6237" w:type="dxa"/>
          </w:tcPr>
          <w:p w14:paraId="0230832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Wapno budowlane – Część 2: Metody badań</w:t>
            </w:r>
          </w:p>
        </w:tc>
      </w:tr>
      <w:tr w:rsidR="004D7D23" w:rsidRPr="007B192E" w14:paraId="173A9B37" w14:textId="77777777" w:rsidTr="008F7A94">
        <w:tc>
          <w:tcPr>
            <w:tcW w:w="675" w:type="dxa"/>
          </w:tcPr>
          <w:p w14:paraId="1F87768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985" w:type="dxa"/>
          </w:tcPr>
          <w:p w14:paraId="2AD9E2E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932-3</w:t>
            </w:r>
          </w:p>
        </w:tc>
        <w:tc>
          <w:tcPr>
            <w:tcW w:w="6237" w:type="dxa"/>
          </w:tcPr>
          <w:p w14:paraId="03E22F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podstawowych właściwości kruszyw – Procedura i terminologia uproszczonego opisu petrograficznego</w:t>
            </w:r>
          </w:p>
        </w:tc>
      </w:tr>
      <w:tr w:rsidR="004D7D23" w:rsidRPr="007B192E" w14:paraId="47B9AFA3" w14:textId="77777777" w:rsidTr="008F7A94">
        <w:tc>
          <w:tcPr>
            <w:tcW w:w="675" w:type="dxa"/>
          </w:tcPr>
          <w:p w14:paraId="3E6149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985" w:type="dxa"/>
          </w:tcPr>
          <w:p w14:paraId="355FA9C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933-1</w:t>
            </w:r>
          </w:p>
        </w:tc>
        <w:tc>
          <w:tcPr>
            <w:tcW w:w="6237" w:type="dxa"/>
          </w:tcPr>
          <w:p w14:paraId="320011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1: Oznaczanie składu ziarnowego – Metoda przesiewania</w:t>
            </w:r>
          </w:p>
        </w:tc>
      </w:tr>
      <w:tr w:rsidR="004D7D23" w:rsidRPr="007B192E" w14:paraId="2F155B3D" w14:textId="77777777" w:rsidTr="008F7A94">
        <w:tc>
          <w:tcPr>
            <w:tcW w:w="675" w:type="dxa"/>
          </w:tcPr>
          <w:p w14:paraId="3993D9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1985" w:type="dxa"/>
          </w:tcPr>
          <w:p w14:paraId="77FBBE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933-3</w:t>
            </w:r>
          </w:p>
        </w:tc>
        <w:tc>
          <w:tcPr>
            <w:tcW w:w="6237" w:type="dxa"/>
          </w:tcPr>
          <w:p w14:paraId="0FC5B74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Część 3: Oznaczanie kształtu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za pomocą wskaźnika płaskości</w:t>
            </w:r>
          </w:p>
        </w:tc>
      </w:tr>
      <w:tr w:rsidR="004D7D23" w:rsidRPr="007B192E" w14:paraId="288F9A8E" w14:textId="77777777" w:rsidTr="008F7A94">
        <w:tc>
          <w:tcPr>
            <w:tcW w:w="675" w:type="dxa"/>
          </w:tcPr>
          <w:p w14:paraId="615A06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985" w:type="dxa"/>
          </w:tcPr>
          <w:p w14:paraId="55B1B62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933-4</w:t>
            </w:r>
          </w:p>
        </w:tc>
        <w:tc>
          <w:tcPr>
            <w:tcW w:w="6237" w:type="dxa"/>
          </w:tcPr>
          <w:p w14:paraId="1DA6F1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Część 4: Oznaczanie kształtu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 Wskaźnik kształtu</w:t>
            </w:r>
          </w:p>
        </w:tc>
      </w:tr>
      <w:tr w:rsidR="004D7D23" w:rsidRPr="007B192E" w14:paraId="07E32041" w14:textId="77777777" w:rsidTr="008F7A94">
        <w:tc>
          <w:tcPr>
            <w:tcW w:w="675" w:type="dxa"/>
          </w:tcPr>
          <w:p w14:paraId="28290BD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1985" w:type="dxa"/>
          </w:tcPr>
          <w:p w14:paraId="49B8BB5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933-5</w:t>
            </w:r>
          </w:p>
        </w:tc>
        <w:tc>
          <w:tcPr>
            <w:tcW w:w="6237" w:type="dxa"/>
          </w:tcPr>
          <w:p w14:paraId="4EF77F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Oznaczanie procentowej zawartości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o powierzchniach powstałych w wyniku </w:t>
            </w:r>
            <w:proofErr w:type="spellStart"/>
            <w:r w:rsidRPr="007B192E">
              <w:rPr>
                <w:rFonts w:ascii="Arial" w:hAnsi="Arial" w:cs="Arial"/>
                <w:color w:val="000000" w:themeColor="text1"/>
                <w:sz w:val="18"/>
                <w:szCs w:val="18"/>
              </w:rPr>
              <w:t>przekruszenia</w:t>
            </w:r>
            <w:proofErr w:type="spellEnd"/>
            <w:r w:rsidRPr="007B192E">
              <w:rPr>
                <w:rFonts w:ascii="Arial" w:hAnsi="Arial" w:cs="Arial"/>
                <w:color w:val="000000" w:themeColor="text1"/>
                <w:sz w:val="18"/>
                <w:szCs w:val="18"/>
              </w:rPr>
              <w:t xml:space="preserve"> lub łamania kruszyw grubych</w:t>
            </w:r>
          </w:p>
        </w:tc>
      </w:tr>
      <w:tr w:rsidR="004D7D23" w:rsidRPr="007B192E" w14:paraId="609E2F1D" w14:textId="77777777" w:rsidTr="008F7A94">
        <w:tc>
          <w:tcPr>
            <w:tcW w:w="675" w:type="dxa"/>
          </w:tcPr>
          <w:p w14:paraId="2F590D6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985" w:type="dxa"/>
          </w:tcPr>
          <w:p w14:paraId="0664975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933-6</w:t>
            </w:r>
          </w:p>
        </w:tc>
        <w:tc>
          <w:tcPr>
            <w:tcW w:w="6237" w:type="dxa"/>
          </w:tcPr>
          <w:p w14:paraId="5C0FAE4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6: Ocena właściwości powierzchni – Wskaźnik przepływu kruszyw</w:t>
            </w:r>
          </w:p>
        </w:tc>
      </w:tr>
      <w:tr w:rsidR="004D7D23" w:rsidRPr="007B192E" w14:paraId="15049410" w14:textId="77777777" w:rsidTr="008F7A94">
        <w:tc>
          <w:tcPr>
            <w:tcW w:w="675" w:type="dxa"/>
          </w:tcPr>
          <w:p w14:paraId="2F824A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1985" w:type="dxa"/>
          </w:tcPr>
          <w:p w14:paraId="346CDC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933-9</w:t>
            </w:r>
          </w:p>
        </w:tc>
        <w:tc>
          <w:tcPr>
            <w:tcW w:w="6237" w:type="dxa"/>
          </w:tcPr>
          <w:p w14:paraId="4F629BE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9: Ocena zawartości drobnych cząstek – Badania błękitem metylenowym</w:t>
            </w:r>
          </w:p>
        </w:tc>
      </w:tr>
      <w:tr w:rsidR="004D7D23" w:rsidRPr="007B192E" w14:paraId="2825A013" w14:textId="77777777" w:rsidTr="008F7A94">
        <w:tc>
          <w:tcPr>
            <w:tcW w:w="675" w:type="dxa"/>
          </w:tcPr>
          <w:p w14:paraId="6BB0EF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985" w:type="dxa"/>
          </w:tcPr>
          <w:p w14:paraId="7DEC319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933-10</w:t>
            </w:r>
          </w:p>
        </w:tc>
        <w:tc>
          <w:tcPr>
            <w:tcW w:w="6237" w:type="dxa"/>
          </w:tcPr>
          <w:p w14:paraId="693819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10: Ocena zawartości drobnych cząstek – Uziarnienie wypełniaczy (przesiewanie w strumieniu powietrza)</w:t>
            </w:r>
          </w:p>
        </w:tc>
      </w:tr>
      <w:tr w:rsidR="004D7D23" w:rsidRPr="007B192E" w14:paraId="7DE31CE8" w14:textId="77777777" w:rsidTr="008F7A94">
        <w:tc>
          <w:tcPr>
            <w:tcW w:w="675" w:type="dxa"/>
          </w:tcPr>
          <w:p w14:paraId="467AD4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1985" w:type="dxa"/>
          </w:tcPr>
          <w:p w14:paraId="7124727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1097-2</w:t>
            </w:r>
          </w:p>
        </w:tc>
        <w:tc>
          <w:tcPr>
            <w:tcW w:w="6237" w:type="dxa"/>
          </w:tcPr>
          <w:p w14:paraId="1E49523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2: Metody oznaczania odporności na rozdrabnianie</w:t>
            </w:r>
          </w:p>
        </w:tc>
      </w:tr>
      <w:tr w:rsidR="004D7D23" w:rsidRPr="007B192E" w14:paraId="3BE5175B" w14:textId="77777777" w:rsidTr="008F7A94">
        <w:tc>
          <w:tcPr>
            <w:tcW w:w="675" w:type="dxa"/>
          </w:tcPr>
          <w:p w14:paraId="0CD8DAD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1985" w:type="dxa"/>
          </w:tcPr>
          <w:p w14:paraId="764FDC3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1097-3</w:t>
            </w:r>
          </w:p>
        </w:tc>
        <w:tc>
          <w:tcPr>
            <w:tcW w:w="6237" w:type="dxa"/>
          </w:tcPr>
          <w:p w14:paraId="70C11F9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Oznaczanie gęstości nasypowej i jamistości</w:t>
            </w:r>
          </w:p>
        </w:tc>
      </w:tr>
      <w:tr w:rsidR="004D7D23" w:rsidRPr="007B192E" w14:paraId="3DF7740D" w14:textId="77777777" w:rsidTr="008F7A94">
        <w:tc>
          <w:tcPr>
            <w:tcW w:w="675" w:type="dxa"/>
          </w:tcPr>
          <w:p w14:paraId="5EBDC68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1985" w:type="dxa"/>
          </w:tcPr>
          <w:p w14:paraId="317582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1097-4</w:t>
            </w:r>
          </w:p>
        </w:tc>
        <w:tc>
          <w:tcPr>
            <w:tcW w:w="6237" w:type="dxa"/>
          </w:tcPr>
          <w:p w14:paraId="0411E7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4: Oznaczanie pustych przestrzeni suchego, zagęszczonego wypełniacza</w:t>
            </w:r>
          </w:p>
        </w:tc>
      </w:tr>
      <w:tr w:rsidR="004D7D23" w:rsidRPr="007B192E" w14:paraId="77EE271C" w14:textId="77777777" w:rsidTr="008F7A94">
        <w:tc>
          <w:tcPr>
            <w:tcW w:w="675" w:type="dxa"/>
          </w:tcPr>
          <w:p w14:paraId="592BEDD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1985" w:type="dxa"/>
          </w:tcPr>
          <w:p w14:paraId="05511A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1097-5</w:t>
            </w:r>
          </w:p>
        </w:tc>
        <w:tc>
          <w:tcPr>
            <w:tcW w:w="6237" w:type="dxa"/>
          </w:tcPr>
          <w:p w14:paraId="1377D9E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5: Oznaczanie zawartości wody przez suszenie w suszarce z wentylacją</w:t>
            </w:r>
          </w:p>
        </w:tc>
      </w:tr>
      <w:tr w:rsidR="004D7D23" w:rsidRPr="007B192E" w14:paraId="71D971E0" w14:textId="77777777" w:rsidTr="008F7A94">
        <w:tc>
          <w:tcPr>
            <w:tcW w:w="675" w:type="dxa"/>
          </w:tcPr>
          <w:p w14:paraId="065F5AF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17.</w:t>
            </w:r>
          </w:p>
        </w:tc>
        <w:tc>
          <w:tcPr>
            <w:tcW w:w="1985" w:type="dxa"/>
          </w:tcPr>
          <w:p w14:paraId="133201C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1097-6</w:t>
            </w:r>
          </w:p>
        </w:tc>
        <w:tc>
          <w:tcPr>
            <w:tcW w:w="6237" w:type="dxa"/>
          </w:tcPr>
          <w:p w14:paraId="007A609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mechanicznych i fizycznych właściwości kruszyw –Część 6: Oznaczanie gęstości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i nasiąkliwości</w:t>
            </w:r>
          </w:p>
        </w:tc>
      </w:tr>
      <w:tr w:rsidR="004D7D23" w:rsidRPr="007B192E" w14:paraId="4D0E4C0F" w14:textId="77777777" w:rsidTr="008F7A94">
        <w:tc>
          <w:tcPr>
            <w:tcW w:w="675" w:type="dxa"/>
          </w:tcPr>
          <w:p w14:paraId="3DF28E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18.</w:t>
            </w:r>
          </w:p>
        </w:tc>
        <w:tc>
          <w:tcPr>
            <w:tcW w:w="1985" w:type="dxa"/>
          </w:tcPr>
          <w:p w14:paraId="1D506C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1097-7</w:t>
            </w:r>
          </w:p>
        </w:tc>
        <w:tc>
          <w:tcPr>
            <w:tcW w:w="6237" w:type="dxa"/>
          </w:tcPr>
          <w:p w14:paraId="316A10A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7: Oznaczanie gęstości wypełniacza – Metoda piknometryczna</w:t>
            </w:r>
          </w:p>
        </w:tc>
      </w:tr>
      <w:tr w:rsidR="004D7D23" w:rsidRPr="007B192E" w14:paraId="4C1838DD" w14:textId="77777777" w:rsidTr="008F7A94">
        <w:tc>
          <w:tcPr>
            <w:tcW w:w="675" w:type="dxa"/>
          </w:tcPr>
          <w:p w14:paraId="3888B06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19.</w:t>
            </w:r>
          </w:p>
        </w:tc>
        <w:tc>
          <w:tcPr>
            <w:tcW w:w="1985" w:type="dxa"/>
          </w:tcPr>
          <w:p w14:paraId="6EE4D1F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1367-1</w:t>
            </w:r>
          </w:p>
        </w:tc>
        <w:tc>
          <w:tcPr>
            <w:tcW w:w="6237" w:type="dxa"/>
          </w:tcPr>
          <w:p w14:paraId="5B57A3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1: Oznaczanie mrozoodporności</w:t>
            </w:r>
          </w:p>
        </w:tc>
      </w:tr>
      <w:tr w:rsidR="004D7D23" w:rsidRPr="007B192E" w14:paraId="1D1DFA7A" w14:textId="77777777" w:rsidTr="008F7A94">
        <w:tc>
          <w:tcPr>
            <w:tcW w:w="675" w:type="dxa"/>
          </w:tcPr>
          <w:p w14:paraId="584A67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985" w:type="dxa"/>
          </w:tcPr>
          <w:p w14:paraId="396325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1367-3</w:t>
            </w:r>
          </w:p>
        </w:tc>
        <w:tc>
          <w:tcPr>
            <w:tcW w:w="6237" w:type="dxa"/>
          </w:tcPr>
          <w:p w14:paraId="2BA6126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4D7D23" w:rsidRPr="007B192E" w14:paraId="3A8EFF6D" w14:textId="77777777" w:rsidTr="008F7A94">
        <w:tc>
          <w:tcPr>
            <w:tcW w:w="675" w:type="dxa"/>
          </w:tcPr>
          <w:p w14:paraId="221EDF1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21.</w:t>
            </w:r>
          </w:p>
        </w:tc>
        <w:tc>
          <w:tcPr>
            <w:tcW w:w="1985" w:type="dxa"/>
          </w:tcPr>
          <w:p w14:paraId="1561DEE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1426</w:t>
            </w:r>
          </w:p>
        </w:tc>
        <w:tc>
          <w:tcPr>
            <w:tcW w:w="6237" w:type="dxa"/>
          </w:tcPr>
          <w:p w14:paraId="66B14A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Oznaczanie penetracji igłą</w:t>
            </w:r>
          </w:p>
        </w:tc>
      </w:tr>
      <w:tr w:rsidR="004D7D23" w:rsidRPr="007B192E" w14:paraId="751E0C60" w14:textId="77777777" w:rsidTr="008F7A94">
        <w:tc>
          <w:tcPr>
            <w:tcW w:w="675" w:type="dxa"/>
          </w:tcPr>
          <w:p w14:paraId="1AE9BC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22. </w:t>
            </w:r>
          </w:p>
        </w:tc>
        <w:tc>
          <w:tcPr>
            <w:tcW w:w="1985" w:type="dxa"/>
          </w:tcPr>
          <w:p w14:paraId="13F0AA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w:t>
            </w:r>
          </w:p>
        </w:tc>
        <w:tc>
          <w:tcPr>
            <w:tcW w:w="6237" w:type="dxa"/>
          </w:tcPr>
          <w:p w14:paraId="12C044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Oznaczanie temperatury mięknienia – Metoda Pierścień i Kula</w:t>
            </w:r>
          </w:p>
        </w:tc>
      </w:tr>
      <w:tr w:rsidR="004D7D23" w:rsidRPr="007B192E" w14:paraId="52AAE9E8" w14:textId="77777777" w:rsidTr="008F7A94">
        <w:tc>
          <w:tcPr>
            <w:tcW w:w="675" w:type="dxa"/>
          </w:tcPr>
          <w:p w14:paraId="1CCDAD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23.</w:t>
            </w:r>
          </w:p>
        </w:tc>
        <w:tc>
          <w:tcPr>
            <w:tcW w:w="1985" w:type="dxa"/>
          </w:tcPr>
          <w:p w14:paraId="1973734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1744-1</w:t>
            </w:r>
          </w:p>
        </w:tc>
        <w:tc>
          <w:tcPr>
            <w:tcW w:w="6237" w:type="dxa"/>
          </w:tcPr>
          <w:p w14:paraId="7D1967A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chemicznych właściwości kruszyw – Analiza chemiczna</w:t>
            </w:r>
          </w:p>
        </w:tc>
      </w:tr>
      <w:tr w:rsidR="004D7D23" w:rsidRPr="007B192E" w14:paraId="427C2318" w14:textId="77777777" w:rsidTr="008F7A94">
        <w:tc>
          <w:tcPr>
            <w:tcW w:w="675" w:type="dxa"/>
          </w:tcPr>
          <w:p w14:paraId="01DC3A9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985" w:type="dxa"/>
          </w:tcPr>
          <w:p w14:paraId="78C01CA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12591</w:t>
            </w:r>
          </w:p>
        </w:tc>
        <w:tc>
          <w:tcPr>
            <w:tcW w:w="6237" w:type="dxa"/>
          </w:tcPr>
          <w:p w14:paraId="7D18FBA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Wymagania dla asfaltów drogowych</w:t>
            </w:r>
          </w:p>
        </w:tc>
      </w:tr>
      <w:tr w:rsidR="004D7D23" w:rsidRPr="007B192E" w14:paraId="096BD534" w14:textId="77777777" w:rsidTr="008F7A94">
        <w:tc>
          <w:tcPr>
            <w:tcW w:w="675" w:type="dxa"/>
          </w:tcPr>
          <w:p w14:paraId="2F5B245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1985" w:type="dxa"/>
          </w:tcPr>
          <w:p w14:paraId="568CEDA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12592</w:t>
            </w:r>
          </w:p>
        </w:tc>
        <w:tc>
          <w:tcPr>
            <w:tcW w:w="6237" w:type="dxa"/>
          </w:tcPr>
          <w:p w14:paraId="7786CC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Oznaczanie rozpuszczalności</w:t>
            </w:r>
          </w:p>
        </w:tc>
      </w:tr>
      <w:tr w:rsidR="004D7D23" w:rsidRPr="007B192E" w14:paraId="0D0D0EEE" w14:textId="77777777" w:rsidTr="008F7A94">
        <w:tc>
          <w:tcPr>
            <w:tcW w:w="675" w:type="dxa"/>
          </w:tcPr>
          <w:p w14:paraId="08DEE1C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26.</w:t>
            </w:r>
          </w:p>
        </w:tc>
        <w:tc>
          <w:tcPr>
            <w:tcW w:w="1985" w:type="dxa"/>
          </w:tcPr>
          <w:p w14:paraId="6987E6A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12593</w:t>
            </w:r>
          </w:p>
        </w:tc>
        <w:tc>
          <w:tcPr>
            <w:tcW w:w="6237" w:type="dxa"/>
          </w:tcPr>
          <w:p w14:paraId="1DA9902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produkty asfaltowe – Oznaczanie temperatury łamliwości </w:t>
            </w:r>
            <w:proofErr w:type="spellStart"/>
            <w:r w:rsidRPr="007B192E">
              <w:rPr>
                <w:rFonts w:ascii="Arial" w:hAnsi="Arial" w:cs="Arial"/>
                <w:color w:val="000000" w:themeColor="text1"/>
                <w:sz w:val="18"/>
                <w:szCs w:val="18"/>
              </w:rPr>
              <w:t>Fraassa</w:t>
            </w:r>
            <w:proofErr w:type="spellEnd"/>
          </w:p>
        </w:tc>
      </w:tr>
      <w:tr w:rsidR="004D7D23" w:rsidRPr="007B192E" w14:paraId="7A1C1FBA" w14:textId="77777777" w:rsidTr="008F7A94">
        <w:tc>
          <w:tcPr>
            <w:tcW w:w="675" w:type="dxa"/>
          </w:tcPr>
          <w:p w14:paraId="4902683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27.</w:t>
            </w:r>
          </w:p>
        </w:tc>
        <w:tc>
          <w:tcPr>
            <w:tcW w:w="1985" w:type="dxa"/>
          </w:tcPr>
          <w:p w14:paraId="7C66240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12595</w:t>
            </w:r>
          </w:p>
        </w:tc>
        <w:tc>
          <w:tcPr>
            <w:tcW w:w="6237" w:type="dxa"/>
          </w:tcPr>
          <w:p w14:paraId="75813D5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lepkości kinematycznej</w:t>
            </w:r>
          </w:p>
        </w:tc>
      </w:tr>
      <w:tr w:rsidR="004D7D23" w:rsidRPr="007B192E" w14:paraId="3B90F18D" w14:textId="77777777" w:rsidTr="008F7A94">
        <w:tc>
          <w:tcPr>
            <w:tcW w:w="675" w:type="dxa"/>
          </w:tcPr>
          <w:p w14:paraId="23FA280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28.</w:t>
            </w:r>
          </w:p>
        </w:tc>
        <w:tc>
          <w:tcPr>
            <w:tcW w:w="1985" w:type="dxa"/>
          </w:tcPr>
          <w:p w14:paraId="4EDE0EA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12596</w:t>
            </w:r>
          </w:p>
        </w:tc>
        <w:tc>
          <w:tcPr>
            <w:tcW w:w="6237" w:type="dxa"/>
          </w:tcPr>
          <w:p w14:paraId="37E3DC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lepkości dynamicznej metodą próżniowej kapilary</w:t>
            </w:r>
          </w:p>
        </w:tc>
      </w:tr>
      <w:tr w:rsidR="00F45500" w:rsidRPr="007B192E" w14:paraId="188E2A6C" w14:textId="77777777" w:rsidTr="008F7A94">
        <w:tc>
          <w:tcPr>
            <w:tcW w:w="675" w:type="dxa"/>
          </w:tcPr>
          <w:p w14:paraId="428F90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29.</w:t>
            </w:r>
          </w:p>
        </w:tc>
        <w:tc>
          <w:tcPr>
            <w:tcW w:w="1985" w:type="dxa"/>
          </w:tcPr>
          <w:p w14:paraId="18A2B12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12607-1</w:t>
            </w:r>
          </w:p>
        </w:tc>
        <w:tc>
          <w:tcPr>
            <w:tcW w:w="6237" w:type="dxa"/>
          </w:tcPr>
          <w:p w14:paraId="34721B4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produkty asfaltowe – Oznaczanie odporności na twardnienie pod wpływem ciepła i powietrza – Część 1: Metoda RTFOT </w:t>
            </w:r>
          </w:p>
        </w:tc>
      </w:tr>
    </w:tbl>
    <w:p w14:paraId="20FE35B9" w14:textId="77777777" w:rsidR="00F45500" w:rsidRPr="007B192E" w:rsidRDefault="00F45500" w:rsidP="00F45500">
      <w:pPr>
        <w:jc w:val="both"/>
        <w:rPr>
          <w:rFonts w:ascii="Arial" w:hAnsi="Arial" w:cs="Arial"/>
          <w:color w:val="000000" w:themeColor="text1"/>
          <w:sz w:val="18"/>
          <w:szCs w:val="18"/>
        </w:rPr>
      </w:pPr>
    </w:p>
    <w:tbl>
      <w:tblPr>
        <w:tblW w:w="0" w:type="auto"/>
        <w:tblLayout w:type="fixed"/>
        <w:tblLook w:val="01E0" w:firstRow="1" w:lastRow="1" w:firstColumn="1" w:lastColumn="1" w:noHBand="0" w:noVBand="0"/>
      </w:tblPr>
      <w:tblGrid>
        <w:gridCol w:w="675"/>
        <w:gridCol w:w="1985"/>
        <w:gridCol w:w="6095"/>
      </w:tblGrid>
      <w:tr w:rsidR="004D7D23" w:rsidRPr="007B192E" w14:paraId="32F47A0C" w14:textId="77777777" w:rsidTr="008F7A94">
        <w:tc>
          <w:tcPr>
            <w:tcW w:w="675" w:type="dxa"/>
          </w:tcPr>
          <w:p w14:paraId="535FAE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1985" w:type="dxa"/>
          </w:tcPr>
          <w:p w14:paraId="18B3A2F5" w14:textId="77777777" w:rsidR="00F45500" w:rsidRPr="007B192E" w:rsidRDefault="00F45500" w:rsidP="008F7A94">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PN-EN 12607-3</w:t>
            </w:r>
          </w:p>
        </w:tc>
        <w:tc>
          <w:tcPr>
            <w:tcW w:w="6095" w:type="dxa"/>
          </w:tcPr>
          <w:p w14:paraId="3E7F412F" w14:textId="77777777" w:rsidR="00F45500" w:rsidRPr="007B192E" w:rsidRDefault="00F45500" w:rsidP="008F7A94">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Asfalty i produkty asfaltowe – Oznaczanie odporności na twardnienie pod wpływem ciepła i powietrza – Część 3: Metoda RFT</w:t>
            </w:r>
          </w:p>
        </w:tc>
      </w:tr>
      <w:tr w:rsidR="004D7D23" w:rsidRPr="007B192E" w14:paraId="047F2EFF" w14:textId="77777777" w:rsidTr="008F7A94">
        <w:tc>
          <w:tcPr>
            <w:tcW w:w="675" w:type="dxa"/>
          </w:tcPr>
          <w:p w14:paraId="67FAED4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31.</w:t>
            </w:r>
          </w:p>
        </w:tc>
        <w:tc>
          <w:tcPr>
            <w:tcW w:w="1985" w:type="dxa"/>
          </w:tcPr>
          <w:p w14:paraId="206CE1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w:t>
            </w:r>
          </w:p>
        </w:tc>
        <w:tc>
          <w:tcPr>
            <w:tcW w:w="6095" w:type="dxa"/>
          </w:tcPr>
          <w:p w14:paraId="0C03AF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1: Zawartość lepiszcza rozpuszczalnego</w:t>
            </w:r>
          </w:p>
        </w:tc>
      </w:tr>
      <w:tr w:rsidR="004D7D23" w:rsidRPr="007B192E" w14:paraId="49ADA7D1" w14:textId="77777777" w:rsidTr="008F7A94">
        <w:tc>
          <w:tcPr>
            <w:tcW w:w="675" w:type="dxa"/>
          </w:tcPr>
          <w:p w14:paraId="1E3AA17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32.</w:t>
            </w:r>
          </w:p>
        </w:tc>
        <w:tc>
          <w:tcPr>
            <w:tcW w:w="1985" w:type="dxa"/>
          </w:tcPr>
          <w:p w14:paraId="4A5107E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w:t>
            </w:r>
          </w:p>
        </w:tc>
        <w:tc>
          <w:tcPr>
            <w:tcW w:w="6095" w:type="dxa"/>
          </w:tcPr>
          <w:p w14:paraId="21A81EA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 Oznaczanie składu ziarnowego</w:t>
            </w:r>
          </w:p>
        </w:tc>
      </w:tr>
      <w:tr w:rsidR="004D7D23" w:rsidRPr="007B192E" w14:paraId="66C26B66" w14:textId="77777777" w:rsidTr="008F7A94">
        <w:tc>
          <w:tcPr>
            <w:tcW w:w="675" w:type="dxa"/>
          </w:tcPr>
          <w:p w14:paraId="260BD6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33.</w:t>
            </w:r>
          </w:p>
        </w:tc>
        <w:tc>
          <w:tcPr>
            <w:tcW w:w="1985" w:type="dxa"/>
          </w:tcPr>
          <w:p w14:paraId="2F1E302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12697-3</w:t>
            </w:r>
          </w:p>
        </w:tc>
        <w:tc>
          <w:tcPr>
            <w:tcW w:w="6095" w:type="dxa"/>
          </w:tcPr>
          <w:p w14:paraId="342ABDD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3: Odzyskiwanie asfaltu: Wyparka obrotowa</w:t>
            </w:r>
          </w:p>
        </w:tc>
      </w:tr>
      <w:tr w:rsidR="004D7D23" w:rsidRPr="007B192E" w14:paraId="77928640" w14:textId="77777777" w:rsidTr="008F7A94">
        <w:tc>
          <w:tcPr>
            <w:tcW w:w="675" w:type="dxa"/>
          </w:tcPr>
          <w:p w14:paraId="4B9F17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34.</w:t>
            </w:r>
          </w:p>
        </w:tc>
        <w:tc>
          <w:tcPr>
            <w:tcW w:w="1985" w:type="dxa"/>
          </w:tcPr>
          <w:p w14:paraId="31431B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12697-4</w:t>
            </w:r>
          </w:p>
        </w:tc>
        <w:tc>
          <w:tcPr>
            <w:tcW w:w="6095" w:type="dxa"/>
          </w:tcPr>
          <w:p w14:paraId="767EBFD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w:t>
            </w:r>
            <w:r w:rsidRPr="007B192E">
              <w:rPr>
                <w:rFonts w:ascii="Arial" w:hAnsi="Arial" w:cs="Arial"/>
                <w:color w:val="000000" w:themeColor="text1"/>
                <w:sz w:val="18"/>
                <w:szCs w:val="18"/>
              </w:rPr>
              <w:lastRenderedPageBreak/>
              <w:t>asfaltowych na gorąco - Część 4: Odzyskiwanie asfaltu -- Kolumna do destylacji frakcyjnej</w:t>
            </w:r>
          </w:p>
        </w:tc>
      </w:tr>
      <w:tr w:rsidR="004D7D23" w:rsidRPr="007B192E" w14:paraId="633486CD" w14:textId="77777777" w:rsidTr="008F7A94">
        <w:tc>
          <w:tcPr>
            <w:tcW w:w="675" w:type="dxa"/>
          </w:tcPr>
          <w:p w14:paraId="4B353BD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35.</w:t>
            </w:r>
          </w:p>
        </w:tc>
        <w:tc>
          <w:tcPr>
            <w:tcW w:w="1985" w:type="dxa"/>
          </w:tcPr>
          <w:p w14:paraId="5446557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12697-5</w:t>
            </w:r>
          </w:p>
        </w:tc>
        <w:tc>
          <w:tcPr>
            <w:tcW w:w="6095" w:type="dxa"/>
          </w:tcPr>
          <w:p w14:paraId="2948A6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5: Oznaczanie gęstości</w:t>
            </w:r>
          </w:p>
        </w:tc>
      </w:tr>
      <w:tr w:rsidR="004D7D23" w:rsidRPr="007B192E" w14:paraId="36FED5CA" w14:textId="77777777" w:rsidTr="008F7A94">
        <w:tc>
          <w:tcPr>
            <w:tcW w:w="675" w:type="dxa"/>
          </w:tcPr>
          <w:p w14:paraId="71244F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36.</w:t>
            </w:r>
          </w:p>
        </w:tc>
        <w:tc>
          <w:tcPr>
            <w:tcW w:w="1985" w:type="dxa"/>
          </w:tcPr>
          <w:p w14:paraId="1905D4B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12697-6</w:t>
            </w:r>
          </w:p>
        </w:tc>
        <w:tc>
          <w:tcPr>
            <w:tcW w:w="6095" w:type="dxa"/>
          </w:tcPr>
          <w:p w14:paraId="0FBF3F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6: Oznaczanie gęstości objętościowej próbek mieszanki mineralno-asfaltowej</w:t>
            </w:r>
          </w:p>
        </w:tc>
      </w:tr>
      <w:tr w:rsidR="004D7D23" w:rsidRPr="007B192E" w14:paraId="01772C6C" w14:textId="77777777" w:rsidTr="008F7A94">
        <w:tc>
          <w:tcPr>
            <w:tcW w:w="675" w:type="dxa"/>
          </w:tcPr>
          <w:p w14:paraId="695C83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37.</w:t>
            </w:r>
          </w:p>
        </w:tc>
        <w:tc>
          <w:tcPr>
            <w:tcW w:w="1985" w:type="dxa"/>
          </w:tcPr>
          <w:p w14:paraId="1D1D17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12697-8</w:t>
            </w:r>
          </w:p>
        </w:tc>
        <w:tc>
          <w:tcPr>
            <w:tcW w:w="6095" w:type="dxa"/>
          </w:tcPr>
          <w:p w14:paraId="001A06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8: Oznaczanie zawartości wolnej przestrzeni</w:t>
            </w:r>
          </w:p>
        </w:tc>
      </w:tr>
      <w:tr w:rsidR="004D7D23" w:rsidRPr="007B192E" w14:paraId="0DC73979" w14:textId="77777777" w:rsidTr="008F7A94">
        <w:tc>
          <w:tcPr>
            <w:tcW w:w="675" w:type="dxa"/>
          </w:tcPr>
          <w:p w14:paraId="53EFE4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38.</w:t>
            </w:r>
          </w:p>
        </w:tc>
        <w:tc>
          <w:tcPr>
            <w:tcW w:w="1985" w:type="dxa"/>
          </w:tcPr>
          <w:p w14:paraId="351482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12697-11</w:t>
            </w:r>
          </w:p>
        </w:tc>
        <w:tc>
          <w:tcPr>
            <w:tcW w:w="6095" w:type="dxa"/>
          </w:tcPr>
          <w:p w14:paraId="6EE2CC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11: Oznaczanie powinowactwa pomiędzy kruszywem i asfaltem</w:t>
            </w:r>
          </w:p>
        </w:tc>
      </w:tr>
      <w:tr w:rsidR="004D7D23" w:rsidRPr="007B192E" w14:paraId="69BF2CB5" w14:textId="77777777" w:rsidTr="008F7A94">
        <w:tc>
          <w:tcPr>
            <w:tcW w:w="675" w:type="dxa"/>
          </w:tcPr>
          <w:p w14:paraId="2EF48C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39.</w:t>
            </w:r>
          </w:p>
        </w:tc>
        <w:tc>
          <w:tcPr>
            <w:tcW w:w="1985" w:type="dxa"/>
          </w:tcPr>
          <w:p w14:paraId="76B492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12697-12</w:t>
            </w:r>
          </w:p>
        </w:tc>
        <w:tc>
          <w:tcPr>
            <w:tcW w:w="6095" w:type="dxa"/>
          </w:tcPr>
          <w:p w14:paraId="08741E6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12: Określanie wrażliwości próbek asfaltowych na wodę</w:t>
            </w:r>
          </w:p>
        </w:tc>
      </w:tr>
      <w:tr w:rsidR="004D7D23" w:rsidRPr="007B192E" w14:paraId="3950D709" w14:textId="77777777" w:rsidTr="008F7A94">
        <w:tc>
          <w:tcPr>
            <w:tcW w:w="675" w:type="dxa"/>
          </w:tcPr>
          <w:p w14:paraId="66230D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1985" w:type="dxa"/>
          </w:tcPr>
          <w:p w14:paraId="69B8516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12697-13</w:t>
            </w:r>
          </w:p>
        </w:tc>
        <w:tc>
          <w:tcPr>
            <w:tcW w:w="6095" w:type="dxa"/>
          </w:tcPr>
          <w:p w14:paraId="5F1810F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13: Pomiar temperatury</w:t>
            </w:r>
          </w:p>
        </w:tc>
      </w:tr>
      <w:tr w:rsidR="004D7D23" w:rsidRPr="007B192E" w14:paraId="6EC587AD" w14:textId="77777777" w:rsidTr="008F7A94">
        <w:tc>
          <w:tcPr>
            <w:tcW w:w="675" w:type="dxa"/>
          </w:tcPr>
          <w:p w14:paraId="6D564A4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41.</w:t>
            </w:r>
          </w:p>
        </w:tc>
        <w:tc>
          <w:tcPr>
            <w:tcW w:w="1985" w:type="dxa"/>
          </w:tcPr>
          <w:p w14:paraId="226CC07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12697-22</w:t>
            </w:r>
          </w:p>
        </w:tc>
        <w:tc>
          <w:tcPr>
            <w:tcW w:w="6095" w:type="dxa"/>
          </w:tcPr>
          <w:p w14:paraId="411F748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22: Koleinowanie</w:t>
            </w:r>
          </w:p>
        </w:tc>
      </w:tr>
      <w:tr w:rsidR="004D7D23" w:rsidRPr="007B192E" w14:paraId="40AC736C" w14:textId="77777777" w:rsidTr="008F7A94">
        <w:tc>
          <w:tcPr>
            <w:tcW w:w="675" w:type="dxa"/>
          </w:tcPr>
          <w:p w14:paraId="2AF2D9A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42.</w:t>
            </w:r>
          </w:p>
        </w:tc>
        <w:tc>
          <w:tcPr>
            <w:tcW w:w="1985" w:type="dxa"/>
          </w:tcPr>
          <w:p w14:paraId="4193D0F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12697-24</w:t>
            </w:r>
          </w:p>
        </w:tc>
        <w:tc>
          <w:tcPr>
            <w:tcW w:w="6095" w:type="dxa"/>
          </w:tcPr>
          <w:p w14:paraId="5EC4D85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24: Odporność na zmęczenie</w:t>
            </w:r>
          </w:p>
        </w:tc>
      </w:tr>
      <w:tr w:rsidR="004D7D23" w:rsidRPr="007B192E" w14:paraId="66230AD8" w14:textId="77777777" w:rsidTr="008F7A94">
        <w:tc>
          <w:tcPr>
            <w:tcW w:w="675" w:type="dxa"/>
          </w:tcPr>
          <w:p w14:paraId="32D4CCB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43.</w:t>
            </w:r>
          </w:p>
        </w:tc>
        <w:tc>
          <w:tcPr>
            <w:tcW w:w="1985" w:type="dxa"/>
          </w:tcPr>
          <w:p w14:paraId="28BDE06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12697-26</w:t>
            </w:r>
          </w:p>
        </w:tc>
        <w:tc>
          <w:tcPr>
            <w:tcW w:w="6095" w:type="dxa"/>
          </w:tcPr>
          <w:p w14:paraId="175655B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26: Sztywność</w:t>
            </w:r>
          </w:p>
        </w:tc>
      </w:tr>
      <w:tr w:rsidR="004D7D23" w:rsidRPr="007B192E" w14:paraId="1459B66E" w14:textId="77777777" w:rsidTr="008F7A94">
        <w:tc>
          <w:tcPr>
            <w:tcW w:w="675" w:type="dxa"/>
          </w:tcPr>
          <w:p w14:paraId="6963F79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44.</w:t>
            </w:r>
          </w:p>
        </w:tc>
        <w:tc>
          <w:tcPr>
            <w:tcW w:w="1985" w:type="dxa"/>
          </w:tcPr>
          <w:p w14:paraId="3B1EC7C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12697-27</w:t>
            </w:r>
          </w:p>
        </w:tc>
        <w:tc>
          <w:tcPr>
            <w:tcW w:w="6095" w:type="dxa"/>
          </w:tcPr>
          <w:p w14:paraId="26E403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27: Pobieranie próbek</w:t>
            </w:r>
          </w:p>
        </w:tc>
      </w:tr>
      <w:tr w:rsidR="00F45500" w:rsidRPr="007B192E" w14:paraId="42F093D2" w14:textId="77777777" w:rsidTr="008F7A94">
        <w:tc>
          <w:tcPr>
            <w:tcW w:w="675" w:type="dxa"/>
          </w:tcPr>
          <w:p w14:paraId="50B843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w:t>
            </w:r>
          </w:p>
        </w:tc>
        <w:tc>
          <w:tcPr>
            <w:tcW w:w="1985" w:type="dxa"/>
          </w:tcPr>
          <w:p w14:paraId="480144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12697-36</w:t>
            </w:r>
          </w:p>
        </w:tc>
        <w:tc>
          <w:tcPr>
            <w:tcW w:w="6095" w:type="dxa"/>
          </w:tcPr>
          <w:p w14:paraId="73B0065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36: Oznaczanie grubości nawierzchni asfaltowych</w:t>
            </w:r>
          </w:p>
        </w:tc>
      </w:tr>
    </w:tbl>
    <w:p w14:paraId="2263B323" w14:textId="77777777" w:rsidR="00F45500" w:rsidRPr="007B192E" w:rsidRDefault="00F45500" w:rsidP="00F45500">
      <w:pPr>
        <w:jc w:val="both"/>
        <w:rPr>
          <w:rFonts w:ascii="Arial" w:hAnsi="Arial" w:cs="Arial"/>
          <w:color w:val="000000" w:themeColor="text1"/>
          <w:sz w:val="18"/>
          <w:szCs w:val="18"/>
        </w:rPr>
      </w:pPr>
    </w:p>
    <w:tbl>
      <w:tblPr>
        <w:tblW w:w="0" w:type="auto"/>
        <w:tblLayout w:type="fixed"/>
        <w:tblLook w:val="01E0" w:firstRow="1" w:lastRow="1" w:firstColumn="1" w:lastColumn="1" w:noHBand="0" w:noVBand="0"/>
      </w:tblPr>
      <w:tblGrid>
        <w:gridCol w:w="675"/>
        <w:gridCol w:w="1985"/>
        <w:gridCol w:w="6095"/>
      </w:tblGrid>
      <w:tr w:rsidR="004D7D23" w:rsidRPr="007B192E" w14:paraId="0D976C1F" w14:textId="77777777" w:rsidTr="008F7A94">
        <w:tc>
          <w:tcPr>
            <w:tcW w:w="675" w:type="dxa"/>
          </w:tcPr>
          <w:p w14:paraId="65DC030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46.</w:t>
            </w:r>
          </w:p>
        </w:tc>
        <w:tc>
          <w:tcPr>
            <w:tcW w:w="1985" w:type="dxa"/>
          </w:tcPr>
          <w:p w14:paraId="446C2D8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12697-39</w:t>
            </w:r>
          </w:p>
        </w:tc>
        <w:tc>
          <w:tcPr>
            <w:tcW w:w="6095" w:type="dxa"/>
          </w:tcPr>
          <w:p w14:paraId="051B910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39: Oznaczanie zawartości lepiszcza metodą spalania</w:t>
            </w:r>
          </w:p>
        </w:tc>
      </w:tr>
      <w:tr w:rsidR="004D7D23" w:rsidRPr="007B192E" w14:paraId="71673A59" w14:textId="77777777" w:rsidTr="008F7A94">
        <w:tc>
          <w:tcPr>
            <w:tcW w:w="675" w:type="dxa"/>
          </w:tcPr>
          <w:p w14:paraId="051BAC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47.</w:t>
            </w:r>
          </w:p>
        </w:tc>
        <w:tc>
          <w:tcPr>
            <w:tcW w:w="1985" w:type="dxa"/>
          </w:tcPr>
          <w:p w14:paraId="11A3E01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12697-41</w:t>
            </w:r>
          </w:p>
        </w:tc>
        <w:tc>
          <w:tcPr>
            <w:tcW w:w="6095" w:type="dxa"/>
          </w:tcPr>
          <w:p w14:paraId="56D982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41: Odporność na płyny zapobiegające oblodzeniu</w:t>
            </w:r>
          </w:p>
        </w:tc>
      </w:tr>
      <w:tr w:rsidR="004D7D23" w:rsidRPr="007B192E" w14:paraId="78319AC6" w14:textId="77777777" w:rsidTr="008F7A94">
        <w:tc>
          <w:tcPr>
            <w:tcW w:w="675" w:type="dxa"/>
          </w:tcPr>
          <w:p w14:paraId="20366BC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48.</w:t>
            </w:r>
          </w:p>
        </w:tc>
        <w:tc>
          <w:tcPr>
            <w:tcW w:w="1985" w:type="dxa"/>
          </w:tcPr>
          <w:p w14:paraId="62D0BC0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12697-42</w:t>
            </w:r>
          </w:p>
        </w:tc>
        <w:tc>
          <w:tcPr>
            <w:tcW w:w="6095" w:type="dxa"/>
          </w:tcPr>
          <w:p w14:paraId="7CCA4E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42: Zawartość części obcych w destrukcie asfaltowym</w:t>
            </w:r>
          </w:p>
        </w:tc>
      </w:tr>
      <w:tr w:rsidR="004D7D23" w:rsidRPr="007B192E" w14:paraId="01874DBE" w14:textId="77777777" w:rsidTr="008F7A94">
        <w:tc>
          <w:tcPr>
            <w:tcW w:w="675" w:type="dxa"/>
          </w:tcPr>
          <w:p w14:paraId="220B92E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49.</w:t>
            </w:r>
          </w:p>
        </w:tc>
        <w:tc>
          <w:tcPr>
            <w:tcW w:w="1985" w:type="dxa"/>
          </w:tcPr>
          <w:p w14:paraId="310F23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12697-43</w:t>
            </w:r>
          </w:p>
        </w:tc>
        <w:tc>
          <w:tcPr>
            <w:tcW w:w="6095" w:type="dxa"/>
          </w:tcPr>
          <w:p w14:paraId="2CD1A3D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43: Odporność na paliwo</w:t>
            </w:r>
          </w:p>
        </w:tc>
      </w:tr>
      <w:tr w:rsidR="004D7D23" w:rsidRPr="007B192E" w14:paraId="3F4DDE19" w14:textId="77777777" w:rsidTr="008F7A94">
        <w:tc>
          <w:tcPr>
            <w:tcW w:w="675" w:type="dxa"/>
          </w:tcPr>
          <w:p w14:paraId="3EBE354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50.</w:t>
            </w:r>
          </w:p>
        </w:tc>
        <w:tc>
          <w:tcPr>
            <w:tcW w:w="1985" w:type="dxa"/>
          </w:tcPr>
          <w:p w14:paraId="220FF5E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13043</w:t>
            </w:r>
          </w:p>
        </w:tc>
        <w:tc>
          <w:tcPr>
            <w:tcW w:w="6095" w:type="dxa"/>
          </w:tcPr>
          <w:p w14:paraId="5958D0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Kruszywa do mieszanek bitumicznych i powierzchniowych utrwaleń stosowanych na drogach, lotniskach i innych powierzchniach przeznaczonych do ruchu</w:t>
            </w:r>
          </w:p>
        </w:tc>
      </w:tr>
      <w:tr w:rsidR="004D7D23" w:rsidRPr="007B192E" w14:paraId="1025445F" w14:textId="77777777" w:rsidTr="008F7A94">
        <w:tc>
          <w:tcPr>
            <w:tcW w:w="675" w:type="dxa"/>
          </w:tcPr>
          <w:p w14:paraId="294E38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51.</w:t>
            </w:r>
          </w:p>
        </w:tc>
        <w:tc>
          <w:tcPr>
            <w:tcW w:w="1985" w:type="dxa"/>
          </w:tcPr>
          <w:p w14:paraId="38D3C0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13108-1</w:t>
            </w:r>
          </w:p>
        </w:tc>
        <w:tc>
          <w:tcPr>
            <w:tcW w:w="6095" w:type="dxa"/>
          </w:tcPr>
          <w:p w14:paraId="2E97C9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1: Beton asfaltowy</w:t>
            </w:r>
          </w:p>
        </w:tc>
      </w:tr>
      <w:tr w:rsidR="004D7D23" w:rsidRPr="007B192E" w14:paraId="5762C4FF" w14:textId="77777777" w:rsidTr="008F7A94">
        <w:tc>
          <w:tcPr>
            <w:tcW w:w="675" w:type="dxa"/>
          </w:tcPr>
          <w:p w14:paraId="00BC98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52.</w:t>
            </w:r>
          </w:p>
        </w:tc>
        <w:tc>
          <w:tcPr>
            <w:tcW w:w="1985" w:type="dxa"/>
          </w:tcPr>
          <w:p w14:paraId="5E4285B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13108-4</w:t>
            </w:r>
          </w:p>
        </w:tc>
        <w:tc>
          <w:tcPr>
            <w:tcW w:w="6095" w:type="dxa"/>
          </w:tcPr>
          <w:p w14:paraId="3910DFB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4: Mieszanka HRA</w:t>
            </w:r>
          </w:p>
        </w:tc>
      </w:tr>
      <w:tr w:rsidR="004D7D23" w:rsidRPr="007B192E" w14:paraId="34958A00" w14:textId="77777777" w:rsidTr="008F7A94">
        <w:tc>
          <w:tcPr>
            <w:tcW w:w="675" w:type="dxa"/>
          </w:tcPr>
          <w:p w14:paraId="032C44D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53.</w:t>
            </w:r>
          </w:p>
        </w:tc>
        <w:tc>
          <w:tcPr>
            <w:tcW w:w="1985" w:type="dxa"/>
          </w:tcPr>
          <w:p w14:paraId="545A2D5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13108-8</w:t>
            </w:r>
          </w:p>
        </w:tc>
        <w:tc>
          <w:tcPr>
            <w:tcW w:w="6095" w:type="dxa"/>
          </w:tcPr>
          <w:p w14:paraId="228A741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8: Destrukt asfaltowy</w:t>
            </w:r>
          </w:p>
        </w:tc>
      </w:tr>
      <w:tr w:rsidR="004D7D23" w:rsidRPr="007B192E" w14:paraId="76E41862" w14:textId="77777777" w:rsidTr="008F7A94">
        <w:tc>
          <w:tcPr>
            <w:tcW w:w="675" w:type="dxa"/>
          </w:tcPr>
          <w:p w14:paraId="67DBF9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54.</w:t>
            </w:r>
          </w:p>
        </w:tc>
        <w:tc>
          <w:tcPr>
            <w:tcW w:w="1985" w:type="dxa"/>
          </w:tcPr>
          <w:p w14:paraId="7CFD3CE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13108-20</w:t>
            </w:r>
          </w:p>
        </w:tc>
        <w:tc>
          <w:tcPr>
            <w:tcW w:w="6095" w:type="dxa"/>
          </w:tcPr>
          <w:p w14:paraId="1A16C72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20: Badanie typu</w:t>
            </w:r>
          </w:p>
        </w:tc>
      </w:tr>
      <w:tr w:rsidR="004D7D23" w:rsidRPr="007B192E" w14:paraId="40DE68DF" w14:textId="77777777" w:rsidTr="008F7A94">
        <w:tc>
          <w:tcPr>
            <w:tcW w:w="675" w:type="dxa"/>
          </w:tcPr>
          <w:p w14:paraId="27885E4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55.</w:t>
            </w:r>
          </w:p>
        </w:tc>
        <w:tc>
          <w:tcPr>
            <w:tcW w:w="1985" w:type="dxa"/>
          </w:tcPr>
          <w:p w14:paraId="35960BE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13108-21</w:t>
            </w:r>
          </w:p>
        </w:tc>
        <w:tc>
          <w:tcPr>
            <w:tcW w:w="6095" w:type="dxa"/>
          </w:tcPr>
          <w:p w14:paraId="58549B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21: Zakładowa kontrola produkcji</w:t>
            </w:r>
          </w:p>
        </w:tc>
      </w:tr>
      <w:tr w:rsidR="004D7D23" w:rsidRPr="007B192E" w14:paraId="58627A12" w14:textId="77777777" w:rsidTr="008F7A94">
        <w:tc>
          <w:tcPr>
            <w:tcW w:w="675" w:type="dxa"/>
          </w:tcPr>
          <w:p w14:paraId="2F6A18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56.</w:t>
            </w:r>
          </w:p>
        </w:tc>
        <w:tc>
          <w:tcPr>
            <w:tcW w:w="1985" w:type="dxa"/>
          </w:tcPr>
          <w:p w14:paraId="1428259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13179-1</w:t>
            </w:r>
          </w:p>
        </w:tc>
        <w:tc>
          <w:tcPr>
            <w:tcW w:w="6095" w:type="dxa"/>
          </w:tcPr>
          <w:p w14:paraId="633737B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kruszyw wypełniających stosowanych do mieszanek bitumicznych – Część 1: Badanie metodą pierścienia delta i kuli</w:t>
            </w:r>
          </w:p>
        </w:tc>
      </w:tr>
      <w:tr w:rsidR="004D7D23" w:rsidRPr="007B192E" w14:paraId="7EBA26D4" w14:textId="77777777" w:rsidTr="008F7A94">
        <w:tc>
          <w:tcPr>
            <w:tcW w:w="675" w:type="dxa"/>
          </w:tcPr>
          <w:p w14:paraId="54F1DC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57.</w:t>
            </w:r>
          </w:p>
        </w:tc>
        <w:tc>
          <w:tcPr>
            <w:tcW w:w="1985" w:type="dxa"/>
          </w:tcPr>
          <w:p w14:paraId="5DAAE3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13179-2</w:t>
            </w:r>
          </w:p>
        </w:tc>
        <w:tc>
          <w:tcPr>
            <w:tcW w:w="6095" w:type="dxa"/>
          </w:tcPr>
          <w:p w14:paraId="7FF5408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kruszyw wypełniających stosowanych do mieszanek bitumicznych – Część 2: Liczba bitumiczna</w:t>
            </w:r>
          </w:p>
        </w:tc>
      </w:tr>
      <w:tr w:rsidR="004D7D23" w:rsidRPr="007B192E" w14:paraId="62118B39" w14:textId="77777777" w:rsidTr="008F7A94">
        <w:tc>
          <w:tcPr>
            <w:tcW w:w="675" w:type="dxa"/>
          </w:tcPr>
          <w:p w14:paraId="467089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58.</w:t>
            </w:r>
          </w:p>
        </w:tc>
        <w:tc>
          <w:tcPr>
            <w:tcW w:w="1985" w:type="dxa"/>
          </w:tcPr>
          <w:p w14:paraId="6656ED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13398</w:t>
            </w:r>
          </w:p>
        </w:tc>
        <w:tc>
          <w:tcPr>
            <w:tcW w:w="6095" w:type="dxa"/>
          </w:tcPr>
          <w:p w14:paraId="2FF195E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nawrotu sprężystego asfaltów modyfikowanych</w:t>
            </w:r>
          </w:p>
        </w:tc>
      </w:tr>
      <w:tr w:rsidR="004D7D23" w:rsidRPr="007B192E" w14:paraId="4FB97926" w14:textId="77777777" w:rsidTr="008F7A94">
        <w:tc>
          <w:tcPr>
            <w:tcW w:w="675" w:type="dxa"/>
          </w:tcPr>
          <w:p w14:paraId="5616F9A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59.</w:t>
            </w:r>
          </w:p>
        </w:tc>
        <w:tc>
          <w:tcPr>
            <w:tcW w:w="1985" w:type="dxa"/>
          </w:tcPr>
          <w:p w14:paraId="4A743D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13399</w:t>
            </w:r>
          </w:p>
        </w:tc>
        <w:tc>
          <w:tcPr>
            <w:tcW w:w="6095" w:type="dxa"/>
          </w:tcPr>
          <w:p w14:paraId="6863978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stabilności podczas magazynowania asfaltów modyfikowanych</w:t>
            </w:r>
          </w:p>
        </w:tc>
      </w:tr>
      <w:tr w:rsidR="004D7D23" w:rsidRPr="007B192E" w14:paraId="2B195036" w14:textId="77777777" w:rsidTr="008F7A94">
        <w:tc>
          <w:tcPr>
            <w:tcW w:w="675" w:type="dxa"/>
          </w:tcPr>
          <w:p w14:paraId="196995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60.</w:t>
            </w:r>
          </w:p>
        </w:tc>
        <w:tc>
          <w:tcPr>
            <w:tcW w:w="1985" w:type="dxa"/>
          </w:tcPr>
          <w:p w14:paraId="02A6870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13587</w:t>
            </w:r>
          </w:p>
        </w:tc>
        <w:tc>
          <w:tcPr>
            <w:tcW w:w="6095" w:type="dxa"/>
          </w:tcPr>
          <w:p w14:paraId="49966E7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właściwości mechanicznych lepiszczy asfaltowych metodą rozciągania</w:t>
            </w:r>
          </w:p>
        </w:tc>
      </w:tr>
      <w:tr w:rsidR="004D7D23" w:rsidRPr="007B192E" w14:paraId="2CA2FD6E" w14:textId="77777777" w:rsidTr="008F7A94">
        <w:tc>
          <w:tcPr>
            <w:tcW w:w="675" w:type="dxa"/>
          </w:tcPr>
          <w:p w14:paraId="0526E4D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61.</w:t>
            </w:r>
          </w:p>
        </w:tc>
        <w:tc>
          <w:tcPr>
            <w:tcW w:w="1985" w:type="dxa"/>
          </w:tcPr>
          <w:p w14:paraId="4025A89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13588</w:t>
            </w:r>
          </w:p>
        </w:tc>
        <w:tc>
          <w:tcPr>
            <w:tcW w:w="6095" w:type="dxa"/>
          </w:tcPr>
          <w:p w14:paraId="7FC110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kohezji lepiszczy asfaltowych metodą testu wahadłowego</w:t>
            </w:r>
          </w:p>
        </w:tc>
      </w:tr>
      <w:tr w:rsidR="004D7D23" w:rsidRPr="007B192E" w14:paraId="4C4AFEDC" w14:textId="77777777" w:rsidTr="008F7A94">
        <w:tc>
          <w:tcPr>
            <w:tcW w:w="675" w:type="dxa"/>
          </w:tcPr>
          <w:p w14:paraId="03E1336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62.</w:t>
            </w:r>
          </w:p>
        </w:tc>
        <w:tc>
          <w:tcPr>
            <w:tcW w:w="1985" w:type="dxa"/>
          </w:tcPr>
          <w:p w14:paraId="717E23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13589</w:t>
            </w:r>
          </w:p>
        </w:tc>
        <w:tc>
          <w:tcPr>
            <w:tcW w:w="6095" w:type="dxa"/>
          </w:tcPr>
          <w:p w14:paraId="0F3055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lepiszcza asfaltowe – Oznaczanie siły rozciągania asfaltów modyfikowanych – Metoda z </w:t>
            </w:r>
            <w:proofErr w:type="spellStart"/>
            <w:r w:rsidRPr="007B192E">
              <w:rPr>
                <w:rFonts w:ascii="Arial" w:hAnsi="Arial" w:cs="Arial"/>
                <w:color w:val="000000" w:themeColor="text1"/>
                <w:sz w:val="18"/>
                <w:szCs w:val="18"/>
              </w:rPr>
              <w:t>duktylometrem</w:t>
            </w:r>
            <w:proofErr w:type="spellEnd"/>
          </w:p>
        </w:tc>
      </w:tr>
      <w:tr w:rsidR="004D7D23" w:rsidRPr="007B192E" w14:paraId="5EA0A226" w14:textId="77777777" w:rsidTr="008F7A94">
        <w:tc>
          <w:tcPr>
            <w:tcW w:w="675" w:type="dxa"/>
          </w:tcPr>
          <w:p w14:paraId="74200ED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63.</w:t>
            </w:r>
          </w:p>
        </w:tc>
        <w:tc>
          <w:tcPr>
            <w:tcW w:w="1985" w:type="dxa"/>
          </w:tcPr>
          <w:p w14:paraId="0CE654E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13703</w:t>
            </w:r>
          </w:p>
        </w:tc>
        <w:tc>
          <w:tcPr>
            <w:tcW w:w="6095" w:type="dxa"/>
          </w:tcPr>
          <w:p w14:paraId="7B53F31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energii odkształcenia</w:t>
            </w:r>
          </w:p>
        </w:tc>
      </w:tr>
      <w:tr w:rsidR="004D7D23" w:rsidRPr="007B192E" w14:paraId="4F1CCEF0" w14:textId="77777777" w:rsidTr="008F7A94">
        <w:tc>
          <w:tcPr>
            <w:tcW w:w="675" w:type="dxa"/>
          </w:tcPr>
          <w:p w14:paraId="5379770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64.</w:t>
            </w:r>
          </w:p>
        </w:tc>
        <w:tc>
          <w:tcPr>
            <w:tcW w:w="1985" w:type="dxa"/>
          </w:tcPr>
          <w:p w14:paraId="75D81E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13808</w:t>
            </w:r>
          </w:p>
        </w:tc>
        <w:tc>
          <w:tcPr>
            <w:tcW w:w="6095" w:type="dxa"/>
          </w:tcPr>
          <w:p w14:paraId="7F1B230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specyfikacji kationowych emulsji asfaltowych</w:t>
            </w:r>
          </w:p>
        </w:tc>
      </w:tr>
      <w:tr w:rsidR="00F45500" w:rsidRPr="007B192E" w14:paraId="78E54CAB" w14:textId="77777777" w:rsidTr="008F7A94">
        <w:tc>
          <w:tcPr>
            <w:tcW w:w="675" w:type="dxa"/>
          </w:tcPr>
          <w:p w14:paraId="1F3BBAF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64a.</w:t>
            </w:r>
          </w:p>
        </w:tc>
        <w:tc>
          <w:tcPr>
            <w:tcW w:w="1985" w:type="dxa"/>
          </w:tcPr>
          <w:p w14:paraId="518026D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13808:2013-10/Ap1:2014-07</w:t>
            </w:r>
          </w:p>
        </w:tc>
        <w:tc>
          <w:tcPr>
            <w:tcW w:w="6095" w:type="dxa"/>
          </w:tcPr>
          <w:p w14:paraId="3C5DE34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specyfikacji kationowych emulsji asfaltowych. Załącznik krajowy NA</w:t>
            </w:r>
          </w:p>
        </w:tc>
      </w:tr>
    </w:tbl>
    <w:p w14:paraId="0FBB4492" w14:textId="77777777" w:rsidR="00F45500" w:rsidRPr="007B192E" w:rsidRDefault="00F45500" w:rsidP="00F45500">
      <w:pPr>
        <w:jc w:val="both"/>
        <w:rPr>
          <w:rFonts w:ascii="Arial" w:hAnsi="Arial" w:cs="Arial"/>
          <w:color w:val="000000" w:themeColor="text1"/>
          <w:sz w:val="18"/>
          <w:szCs w:val="18"/>
        </w:rPr>
      </w:pPr>
    </w:p>
    <w:tbl>
      <w:tblPr>
        <w:tblW w:w="0" w:type="auto"/>
        <w:tblLayout w:type="fixed"/>
        <w:tblLook w:val="01E0" w:firstRow="1" w:lastRow="1" w:firstColumn="1" w:lastColumn="1" w:noHBand="0" w:noVBand="0"/>
      </w:tblPr>
      <w:tblGrid>
        <w:gridCol w:w="675"/>
        <w:gridCol w:w="1985"/>
        <w:gridCol w:w="6095"/>
      </w:tblGrid>
      <w:tr w:rsidR="004D7D23" w:rsidRPr="007B192E" w14:paraId="25BECE54" w14:textId="77777777" w:rsidTr="008F7A94">
        <w:tc>
          <w:tcPr>
            <w:tcW w:w="675" w:type="dxa"/>
          </w:tcPr>
          <w:p w14:paraId="1E423FA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65.</w:t>
            </w:r>
          </w:p>
        </w:tc>
        <w:tc>
          <w:tcPr>
            <w:tcW w:w="1985" w:type="dxa"/>
          </w:tcPr>
          <w:p w14:paraId="6E9190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13924-2</w:t>
            </w:r>
          </w:p>
        </w:tc>
        <w:tc>
          <w:tcPr>
            <w:tcW w:w="6095" w:type="dxa"/>
          </w:tcPr>
          <w:p w14:paraId="6170216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lepiszcza asfaltowe - Zasady klasyfikacji asfaltów drogowych specjalnych - Część 2: Asfalty drogowe wielorodzajowe </w:t>
            </w:r>
          </w:p>
        </w:tc>
      </w:tr>
      <w:tr w:rsidR="004D7D23" w:rsidRPr="007B192E" w14:paraId="27FA9D30" w14:textId="77777777" w:rsidTr="008F7A94">
        <w:tc>
          <w:tcPr>
            <w:tcW w:w="675" w:type="dxa"/>
          </w:tcPr>
          <w:p w14:paraId="23FE38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65a.</w:t>
            </w:r>
          </w:p>
        </w:tc>
        <w:tc>
          <w:tcPr>
            <w:tcW w:w="1985" w:type="dxa"/>
          </w:tcPr>
          <w:p w14:paraId="6AD59A23"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PN-EN 13924-2:</w:t>
            </w:r>
          </w:p>
          <w:p w14:paraId="1F871B1E"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2014-04/Ap1:</w:t>
            </w:r>
          </w:p>
          <w:p w14:paraId="1D27FEAE"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 xml:space="preserve">2014-07 </w:t>
            </w:r>
            <w:proofErr w:type="spellStart"/>
            <w:r w:rsidRPr="007B192E">
              <w:rPr>
                <w:rFonts w:ascii="Arial" w:hAnsi="Arial" w:cs="Arial"/>
                <w:color w:val="000000" w:themeColor="text1"/>
                <w:sz w:val="18"/>
                <w:szCs w:val="18"/>
                <w:lang w:val="en-US"/>
              </w:rPr>
              <w:t>i</w:t>
            </w:r>
            <w:proofErr w:type="spellEnd"/>
            <w:r w:rsidRPr="007B192E">
              <w:rPr>
                <w:rFonts w:ascii="Arial" w:hAnsi="Arial" w:cs="Arial"/>
                <w:color w:val="000000" w:themeColor="text1"/>
                <w:sz w:val="18"/>
                <w:szCs w:val="18"/>
                <w:lang w:val="en-US"/>
              </w:rPr>
              <w:t xml:space="preserve"> PN-EN 13924-2:2014-04/Ap2:2015-09E</w:t>
            </w:r>
          </w:p>
        </w:tc>
        <w:tc>
          <w:tcPr>
            <w:tcW w:w="6095" w:type="dxa"/>
          </w:tcPr>
          <w:p w14:paraId="2262163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klasyfikacji asfaltów drogowych specjalnych - Część 2: Asfalty drogowe wielorodzajowe. Załącznik krajowy NA</w:t>
            </w:r>
          </w:p>
        </w:tc>
      </w:tr>
      <w:tr w:rsidR="004D7D23" w:rsidRPr="007B192E" w14:paraId="6DCE2535" w14:textId="77777777" w:rsidTr="008F7A94">
        <w:tc>
          <w:tcPr>
            <w:tcW w:w="675" w:type="dxa"/>
          </w:tcPr>
          <w:p w14:paraId="546CFB2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66.</w:t>
            </w:r>
          </w:p>
        </w:tc>
        <w:tc>
          <w:tcPr>
            <w:tcW w:w="1985" w:type="dxa"/>
          </w:tcPr>
          <w:p w14:paraId="73ECC4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14023</w:t>
            </w:r>
          </w:p>
        </w:tc>
        <w:tc>
          <w:tcPr>
            <w:tcW w:w="6095" w:type="dxa"/>
          </w:tcPr>
          <w:p w14:paraId="5D46523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specyfikacji asfaltów modyfikowanych polimerami</w:t>
            </w:r>
          </w:p>
        </w:tc>
      </w:tr>
      <w:tr w:rsidR="004D7D23" w:rsidRPr="007B192E" w14:paraId="6B43DD05" w14:textId="77777777" w:rsidTr="008F7A94">
        <w:tc>
          <w:tcPr>
            <w:tcW w:w="675" w:type="dxa"/>
          </w:tcPr>
          <w:p w14:paraId="187658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66a.</w:t>
            </w:r>
          </w:p>
        </w:tc>
        <w:tc>
          <w:tcPr>
            <w:tcW w:w="1985" w:type="dxa"/>
          </w:tcPr>
          <w:p w14:paraId="0F39250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14023:2011/Ap1:</w:t>
            </w:r>
          </w:p>
          <w:p w14:paraId="1E4D9F96" w14:textId="77777777" w:rsidR="00F45500" w:rsidRPr="007B192E" w:rsidRDefault="00F45500" w:rsidP="008F7A94">
            <w:pPr>
              <w:jc w:val="both"/>
              <w:rPr>
                <w:rFonts w:ascii="Arial" w:hAnsi="Arial" w:cs="Arial"/>
                <w:color w:val="000000" w:themeColor="text1"/>
                <w:sz w:val="18"/>
                <w:szCs w:val="18"/>
                <w:highlight w:val="yellow"/>
              </w:rPr>
            </w:pPr>
            <w:r w:rsidRPr="007B192E">
              <w:rPr>
                <w:rFonts w:ascii="Arial" w:hAnsi="Arial" w:cs="Arial"/>
                <w:color w:val="000000" w:themeColor="text1"/>
                <w:sz w:val="18"/>
                <w:szCs w:val="18"/>
              </w:rPr>
              <w:t>2014-04</w:t>
            </w:r>
          </w:p>
        </w:tc>
        <w:tc>
          <w:tcPr>
            <w:tcW w:w="6095" w:type="dxa"/>
          </w:tcPr>
          <w:p w14:paraId="22EFF98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klasyfikacji asfaltów modyfikowanych polimerami. Załącznik krajowy NA</w:t>
            </w:r>
          </w:p>
        </w:tc>
      </w:tr>
      <w:tr w:rsidR="004D7D23" w:rsidRPr="007B192E" w14:paraId="56D45FD2" w14:textId="77777777" w:rsidTr="008F7A94">
        <w:tc>
          <w:tcPr>
            <w:tcW w:w="675" w:type="dxa"/>
          </w:tcPr>
          <w:p w14:paraId="2582FF2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67.</w:t>
            </w:r>
          </w:p>
        </w:tc>
        <w:tc>
          <w:tcPr>
            <w:tcW w:w="1985" w:type="dxa"/>
          </w:tcPr>
          <w:p w14:paraId="2D8267A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14188-1</w:t>
            </w:r>
          </w:p>
        </w:tc>
        <w:tc>
          <w:tcPr>
            <w:tcW w:w="6095" w:type="dxa"/>
          </w:tcPr>
          <w:p w14:paraId="7ECE991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Wypełniacze szczelin i zalewy drogowe – Część 1: Wymagania wobec zalew drogowych na gorąco</w:t>
            </w:r>
          </w:p>
        </w:tc>
      </w:tr>
      <w:tr w:rsidR="004D7D23" w:rsidRPr="007B192E" w14:paraId="77445C52" w14:textId="77777777" w:rsidTr="008F7A94">
        <w:tc>
          <w:tcPr>
            <w:tcW w:w="675" w:type="dxa"/>
          </w:tcPr>
          <w:p w14:paraId="2C6CF25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68.</w:t>
            </w:r>
          </w:p>
        </w:tc>
        <w:tc>
          <w:tcPr>
            <w:tcW w:w="1985" w:type="dxa"/>
          </w:tcPr>
          <w:p w14:paraId="6A9A323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14188-2</w:t>
            </w:r>
          </w:p>
        </w:tc>
        <w:tc>
          <w:tcPr>
            <w:tcW w:w="6095" w:type="dxa"/>
          </w:tcPr>
          <w:p w14:paraId="388592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Wypełniacze szczelin i zalewy drogowe – Część 2: Wymagania wobec zalew drogowych na zimno</w:t>
            </w:r>
          </w:p>
        </w:tc>
      </w:tr>
      <w:tr w:rsidR="004D7D23" w:rsidRPr="007B192E" w14:paraId="364AB204" w14:textId="77777777" w:rsidTr="008F7A94">
        <w:tc>
          <w:tcPr>
            <w:tcW w:w="675" w:type="dxa"/>
          </w:tcPr>
          <w:p w14:paraId="1496AF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69.</w:t>
            </w:r>
          </w:p>
        </w:tc>
        <w:tc>
          <w:tcPr>
            <w:tcW w:w="1985" w:type="dxa"/>
          </w:tcPr>
          <w:p w14:paraId="73D96E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22592</w:t>
            </w:r>
          </w:p>
        </w:tc>
        <w:tc>
          <w:tcPr>
            <w:tcW w:w="6095" w:type="dxa"/>
          </w:tcPr>
          <w:p w14:paraId="7763449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Przetwory naftowe – Oznaczanie temperatury zapłonu i palenia – Pomiar metodą otwartego tygla Clevelanda</w:t>
            </w:r>
          </w:p>
        </w:tc>
      </w:tr>
      <w:tr w:rsidR="004D7D23" w:rsidRPr="007B192E" w14:paraId="0093764B" w14:textId="77777777" w:rsidTr="008F7A94">
        <w:tc>
          <w:tcPr>
            <w:tcW w:w="675" w:type="dxa"/>
          </w:tcPr>
          <w:p w14:paraId="6A9C0B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70.</w:t>
            </w:r>
          </w:p>
        </w:tc>
        <w:tc>
          <w:tcPr>
            <w:tcW w:w="1985" w:type="dxa"/>
          </w:tcPr>
          <w:p w14:paraId="7F76366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ISO 2592</w:t>
            </w:r>
          </w:p>
        </w:tc>
        <w:tc>
          <w:tcPr>
            <w:tcW w:w="6095" w:type="dxa"/>
          </w:tcPr>
          <w:p w14:paraId="75134D9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Oznaczanie temperatury zapłonu i palenia – Metoda otwartego tygla Clevelanda</w:t>
            </w:r>
          </w:p>
        </w:tc>
      </w:tr>
      <w:tr w:rsidR="004D7D23" w:rsidRPr="007B192E" w14:paraId="477BB377" w14:textId="77777777" w:rsidTr="008F7A94">
        <w:tc>
          <w:tcPr>
            <w:tcW w:w="675" w:type="dxa"/>
          </w:tcPr>
          <w:p w14:paraId="342DBA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71.</w:t>
            </w:r>
          </w:p>
        </w:tc>
        <w:tc>
          <w:tcPr>
            <w:tcW w:w="1985" w:type="dxa"/>
          </w:tcPr>
          <w:p w14:paraId="5963C34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13880-2</w:t>
            </w:r>
          </w:p>
        </w:tc>
        <w:tc>
          <w:tcPr>
            <w:tcW w:w="6095" w:type="dxa"/>
          </w:tcPr>
          <w:p w14:paraId="634775B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2: Metoda badania dla określenia penetracji stożka w temperaturze 25 C</w:t>
            </w:r>
          </w:p>
        </w:tc>
      </w:tr>
      <w:tr w:rsidR="004D7D23" w:rsidRPr="007B192E" w14:paraId="305515DD" w14:textId="77777777" w:rsidTr="008F7A94">
        <w:tc>
          <w:tcPr>
            <w:tcW w:w="675" w:type="dxa"/>
          </w:tcPr>
          <w:p w14:paraId="6FA0A8B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72.</w:t>
            </w:r>
          </w:p>
        </w:tc>
        <w:tc>
          <w:tcPr>
            <w:tcW w:w="1985" w:type="dxa"/>
          </w:tcPr>
          <w:p w14:paraId="0175F93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13880-3</w:t>
            </w:r>
          </w:p>
        </w:tc>
        <w:tc>
          <w:tcPr>
            <w:tcW w:w="6095" w:type="dxa"/>
          </w:tcPr>
          <w:p w14:paraId="25E72A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3: Metoda badania określająca penetrację i odprężenie sprężyste (odbojność)</w:t>
            </w:r>
          </w:p>
        </w:tc>
      </w:tr>
      <w:tr w:rsidR="004D7D23" w:rsidRPr="007B192E" w14:paraId="0EA915C3" w14:textId="77777777" w:rsidTr="008F7A94">
        <w:tc>
          <w:tcPr>
            <w:tcW w:w="675" w:type="dxa"/>
          </w:tcPr>
          <w:p w14:paraId="4B347D3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73.</w:t>
            </w:r>
          </w:p>
        </w:tc>
        <w:tc>
          <w:tcPr>
            <w:tcW w:w="1985" w:type="dxa"/>
          </w:tcPr>
          <w:p w14:paraId="37B472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13880-5</w:t>
            </w:r>
          </w:p>
        </w:tc>
        <w:tc>
          <w:tcPr>
            <w:tcW w:w="6095" w:type="dxa"/>
          </w:tcPr>
          <w:p w14:paraId="209852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5: Metody badań do oznaczania odporności na spływanie</w:t>
            </w:r>
          </w:p>
        </w:tc>
      </w:tr>
      <w:tr w:rsidR="004D7D23" w:rsidRPr="007B192E" w14:paraId="53FF5DB9" w14:textId="77777777" w:rsidTr="008F7A94">
        <w:tc>
          <w:tcPr>
            <w:tcW w:w="675" w:type="dxa"/>
          </w:tcPr>
          <w:p w14:paraId="07B49BE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74.</w:t>
            </w:r>
          </w:p>
        </w:tc>
        <w:tc>
          <w:tcPr>
            <w:tcW w:w="1985" w:type="dxa"/>
          </w:tcPr>
          <w:p w14:paraId="36CEB4E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13880-6</w:t>
            </w:r>
          </w:p>
        </w:tc>
        <w:tc>
          <w:tcPr>
            <w:tcW w:w="6095" w:type="dxa"/>
          </w:tcPr>
          <w:p w14:paraId="32FDF7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6: Metoda przygotowania próbek do badania</w:t>
            </w:r>
          </w:p>
        </w:tc>
      </w:tr>
      <w:tr w:rsidR="004D7D23" w:rsidRPr="007B192E" w14:paraId="01CC7C0F" w14:textId="77777777" w:rsidTr="008F7A94">
        <w:tc>
          <w:tcPr>
            <w:tcW w:w="675" w:type="dxa"/>
          </w:tcPr>
          <w:p w14:paraId="06BB51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75.</w:t>
            </w:r>
          </w:p>
        </w:tc>
        <w:tc>
          <w:tcPr>
            <w:tcW w:w="1985" w:type="dxa"/>
          </w:tcPr>
          <w:p w14:paraId="5B3D3BB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13880-13</w:t>
            </w:r>
          </w:p>
        </w:tc>
        <w:tc>
          <w:tcPr>
            <w:tcW w:w="6095" w:type="dxa"/>
          </w:tcPr>
          <w:p w14:paraId="572A034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13: Metoda badania służąca do określenia wydłużenia nieciągłego (próba przyczepności)</w:t>
            </w:r>
          </w:p>
        </w:tc>
      </w:tr>
      <w:tr w:rsidR="004D7D23" w:rsidRPr="007B192E" w14:paraId="02C55C3A" w14:textId="77777777" w:rsidTr="008F7A94">
        <w:tc>
          <w:tcPr>
            <w:tcW w:w="675" w:type="dxa"/>
          </w:tcPr>
          <w:p w14:paraId="1CC006F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76.</w:t>
            </w:r>
          </w:p>
        </w:tc>
        <w:tc>
          <w:tcPr>
            <w:tcW w:w="1985" w:type="dxa"/>
          </w:tcPr>
          <w:p w14:paraId="0DD72D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DIN 52123</w:t>
            </w:r>
          </w:p>
        </w:tc>
        <w:tc>
          <w:tcPr>
            <w:tcW w:w="6095" w:type="dxa"/>
          </w:tcPr>
          <w:p w14:paraId="130A0743" w14:textId="77777777" w:rsidR="00F45500" w:rsidRPr="007B192E" w:rsidRDefault="00F45500" w:rsidP="00F45500">
            <w:pPr>
              <w:pStyle w:val="Nagwek2"/>
              <w:numPr>
                <w:ilvl w:val="1"/>
                <w:numId w:val="30"/>
              </w:numPr>
              <w:overflowPunct/>
              <w:autoSpaceDE/>
              <w:spacing w:before="0" w:after="0"/>
              <w:jc w:val="both"/>
              <w:textAlignment w:val="auto"/>
              <w:rPr>
                <w:color w:val="000000" w:themeColor="text1"/>
                <w:sz w:val="18"/>
                <w:szCs w:val="18"/>
              </w:rPr>
            </w:pPr>
            <w:proofErr w:type="spellStart"/>
            <w:r w:rsidRPr="007B192E">
              <w:rPr>
                <w:rStyle w:val="value"/>
                <w:rFonts w:eastAsia="Lucida Sans Unicode"/>
                <w:b w:val="0"/>
                <w:color w:val="000000" w:themeColor="text1"/>
                <w:sz w:val="18"/>
                <w:szCs w:val="18"/>
              </w:rPr>
              <w:t>Prüfung</w:t>
            </w:r>
            <w:proofErr w:type="spellEnd"/>
            <w:r w:rsidRPr="007B192E">
              <w:rPr>
                <w:rStyle w:val="value"/>
                <w:rFonts w:eastAsia="Lucida Sans Unicode"/>
                <w:b w:val="0"/>
                <w:color w:val="000000" w:themeColor="text1"/>
                <w:sz w:val="18"/>
                <w:szCs w:val="18"/>
              </w:rPr>
              <w:t xml:space="preserve"> von Bitumen- </w:t>
            </w:r>
            <w:proofErr w:type="spellStart"/>
            <w:r w:rsidRPr="007B192E">
              <w:rPr>
                <w:rStyle w:val="value"/>
                <w:rFonts w:eastAsia="Lucida Sans Unicode"/>
                <w:b w:val="0"/>
                <w:color w:val="000000" w:themeColor="text1"/>
                <w:sz w:val="18"/>
                <w:szCs w:val="18"/>
              </w:rPr>
              <w:t>und</w:t>
            </w:r>
            <w:proofErr w:type="spellEnd"/>
            <w:r w:rsidRPr="007B192E">
              <w:rPr>
                <w:rStyle w:val="value"/>
                <w:rFonts w:eastAsia="Lucida Sans Unicode"/>
                <w:b w:val="0"/>
                <w:color w:val="000000" w:themeColor="text1"/>
                <w:sz w:val="18"/>
                <w:szCs w:val="18"/>
              </w:rPr>
              <w:t xml:space="preserve"> </w:t>
            </w:r>
            <w:proofErr w:type="spellStart"/>
            <w:r w:rsidRPr="007B192E">
              <w:rPr>
                <w:rStyle w:val="value"/>
                <w:rFonts w:eastAsia="Lucida Sans Unicode"/>
                <w:b w:val="0"/>
                <w:color w:val="000000" w:themeColor="text1"/>
                <w:sz w:val="18"/>
                <w:szCs w:val="18"/>
              </w:rPr>
              <w:t>Polymerbitumenbahnen</w:t>
            </w:r>
            <w:proofErr w:type="spellEnd"/>
            <w:r w:rsidRPr="007B192E">
              <w:rPr>
                <w:rStyle w:val="value"/>
                <w:rFonts w:eastAsia="Lucida Sans Unicode"/>
                <w:b w:val="0"/>
                <w:color w:val="000000" w:themeColor="text1"/>
                <w:sz w:val="18"/>
                <w:szCs w:val="18"/>
              </w:rPr>
              <w:t xml:space="preserve"> (Badanie taśm bitumicznych i polimerowo-bitumicznych)</w:t>
            </w:r>
          </w:p>
        </w:tc>
      </w:tr>
      <w:tr w:rsidR="004D7D23" w:rsidRPr="007B192E" w14:paraId="167D3532" w14:textId="77777777" w:rsidTr="008F7A94">
        <w:tc>
          <w:tcPr>
            <w:tcW w:w="675" w:type="dxa"/>
          </w:tcPr>
          <w:p w14:paraId="686FCA1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77.</w:t>
            </w:r>
          </w:p>
        </w:tc>
        <w:tc>
          <w:tcPr>
            <w:tcW w:w="1985" w:type="dxa"/>
          </w:tcPr>
          <w:p w14:paraId="23A927A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1425</w:t>
            </w:r>
          </w:p>
        </w:tc>
        <w:tc>
          <w:tcPr>
            <w:tcW w:w="6095" w:type="dxa"/>
          </w:tcPr>
          <w:p w14:paraId="2B632B34" w14:textId="77777777" w:rsidR="00F45500" w:rsidRPr="007B192E" w:rsidRDefault="00F45500" w:rsidP="00F45500">
            <w:pPr>
              <w:pStyle w:val="Nagwek2"/>
              <w:numPr>
                <w:ilvl w:val="1"/>
                <w:numId w:val="30"/>
              </w:numPr>
              <w:overflowPunct/>
              <w:autoSpaceDE/>
              <w:spacing w:before="0" w:after="0"/>
              <w:jc w:val="both"/>
              <w:textAlignment w:val="auto"/>
              <w:rPr>
                <w:rStyle w:val="value"/>
                <w:rFonts w:eastAsia="Lucida Sans Unicode"/>
                <w:b w:val="0"/>
                <w:color w:val="000000" w:themeColor="text1"/>
                <w:sz w:val="18"/>
                <w:szCs w:val="18"/>
              </w:rPr>
            </w:pPr>
            <w:r w:rsidRPr="007B192E">
              <w:rPr>
                <w:b w:val="0"/>
                <w:color w:val="000000" w:themeColor="text1"/>
                <w:sz w:val="18"/>
                <w:szCs w:val="18"/>
              </w:rPr>
              <w:t>Asfalty i lepiszcza asfaltowe -- Ocena organoleptyczna</w:t>
            </w:r>
          </w:p>
        </w:tc>
      </w:tr>
      <w:tr w:rsidR="004D7D23" w:rsidRPr="007B192E" w14:paraId="39D5A1C8" w14:textId="77777777" w:rsidTr="008F7A94">
        <w:tc>
          <w:tcPr>
            <w:tcW w:w="675" w:type="dxa"/>
          </w:tcPr>
          <w:p w14:paraId="5C6E87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78.</w:t>
            </w:r>
          </w:p>
        </w:tc>
        <w:tc>
          <w:tcPr>
            <w:tcW w:w="1985" w:type="dxa"/>
          </w:tcPr>
          <w:p w14:paraId="17588AE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1428</w:t>
            </w:r>
          </w:p>
        </w:tc>
        <w:tc>
          <w:tcPr>
            <w:tcW w:w="6095" w:type="dxa"/>
          </w:tcPr>
          <w:p w14:paraId="3AD5DEEB"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Asfalty i lepiszcza asfaltowe -- Oznaczanie zawartości wody w emulsjach asfaltowych -- Metoda destylacji azeotropowej</w:t>
            </w:r>
          </w:p>
        </w:tc>
      </w:tr>
      <w:tr w:rsidR="004D7D23" w:rsidRPr="007B192E" w14:paraId="7E95003F" w14:textId="77777777" w:rsidTr="008F7A94">
        <w:tc>
          <w:tcPr>
            <w:tcW w:w="675" w:type="dxa"/>
          </w:tcPr>
          <w:p w14:paraId="53AC494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79.</w:t>
            </w:r>
          </w:p>
        </w:tc>
        <w:tc>
          <w:tcPr>
            <w:tcW w:w="1985" w:type="dxa"/>
          </w:tcPr>
          <w:p w14:paraId="1383F78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13074-1</w:t>
            </w:r>
          </w:p>
        </w:tc>
        <w:tc>
          <w:tcPr>
            <w:tcW w:w="6095" w:type="dxa"/>
          </w:tcPr>
          <w:p w14:paraId="48BC65A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Odzyskiwanie lepiszcza z emulsji asfaltowych lub asfaltów upłynnionych lub fluksowanych -- Część 1: Odzyskiwanie metodą odparowania</w:t>
            </w:r>
          </w:p>
        </w:tc>
      </w:tr>
      <w:tr w:rsidR="004D7D23" w:rsidRPr="007B192E" w14:paraId="2405D335" w14:textId="77777777" w:rsidTr="008F7A94">
        <w:tc>
          <w:tcPr>
            <w:tcW w:w="675" w:type="dxa"/>
          </w:tcPr>
          <w:p w14:paraId="35377AC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80.</w:t>
            </w:r>
          </w:p>
        </w:tc>
        <w:tc>
          <w:tcPr>
            <w:tcW w:w="1985" w:type="dxa"/>
          </w:tcPr>
          <w:p w14:paraId="2C6D20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13074-2</w:t>
            </w:r>
          </w:p>
        </w:tc>
        <w:tc>
          <w:tcPr>
            <w:tcW w:w="6095" w:type="dxa"/>
          </w:tcPr>
          <w:p w14:paraId="717EAED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Odzyskiwanie lepiszcza z emulsji asfaltowych lub asfaltów upłynnionych lub fluksowanych -- Część 2: Stabilizacja po odzyskaniu metodą odparowania</w:t>
            </w:r>
          </w:p>
        </w:tc>
      </w:tr>
    </w:tbl>
    <w:p w14:paraId="0E846A2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10.3. Wymagania techniczne i katalogi</w:t>
      </w:r>
    </w:p>
    <w:p w14:paraId="08E9221A" w14:textId="77777777" w:rsidR="00F45500" w:rsidRPr="007B192E"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72CE014E" w14:textId="77777777" w:rsidR="00F45500" w:rsidRPr="007B192E"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64150093" w14:textId="77777777" w:rsidR="00F45500" w:rsidRPr="007B192E"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14C3EF55" w14:textId="77777777" w:rsidR="00F45500" w:rsidRPr="007B192E"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Katalog typowych konstrukcji nawierzchni podatnych i półsztywnych. Załącznik do Zarządzenia nr 31 Generalnego Dyrektora Dróg Krajowych i Autostrad z dnia 16 czerwca 2014 r.</w:t>
      </w:r>
    </w:p>
    <w:p w14:paraId="3BC140E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10.4. Inne dokumenty</w:t>
      </w:r>
    </w:p>
    <w:p w14:paraId="7FE2EFFF" w14:textId="77777777" w:rsidR="00F45500" w:rsidRPr="007B192E"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(jednolity tekst Dz.U. z 2016, poz. 124)</w:t>
      </w:r>
    </w:p>
    <w:p w14:paraId="401DF7EE" w14:textId="77777777" w:rsidR="00F45500" w:rsidRPr="007B192E" w:rsidRDefault="00F45500" w:rsidP="00C12426">
      <w:pPr>
        <w:widowControl/>
        <w:numPr>
          <w:ilvl w:val="0"/>
          <w:numId w:val="233"/>
        </w:numPr>
        <w:tabs>
          <w:tab w:val="left" w:pos="426"/>
        </w:tabs>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 xml:space="preserve">Ustawa z dnia 19 sierpnia 2011 r. o przewozie drogowym towarów niebezpiecznych (Dz.U. nr 227, poz. 1367 z </w:t>
      </w:r>
      <w:proofErr w:type="spellStart"/>
      <w:r w:rsidRPr="007B192E">
        <w:rPr>
          <w:rFonts w:ascii="Arial" w:hAnsi="Arial" w:cs="Arial"/>
          <w:color w:val="000000" w:themeColor="text1"/>
          <w:sz w:val="18"/>
          <w:szCs w:val="18"/>
        </w:rPr>
        <w:t>późn</w:t>
      </w:r>
      <w:proofErr w:type="spellEnd"/>
      <w:r w:rsidRPr="007B192E">
        <w:rPr>
          <w:rFonts w:ascii="Arial" w:hAnsi="Arial" w:cs="Arial"/>
          <w:color w:val="000000" w:themeColor="text1"/>
          <w:sz w:val="18"/>
          <w:szCs w:val="18"/>
        </w:rPr>
        <w:t>. zm.)</w:t>
      </w:r>
    </w:p>
    <w:p w14:paraId="58BD4DAF" w14:textId="77777777" w:rsidR="00F45500" w:rsidRPr="007B192E" w:rsidRDefault="00F45500" w:rsidP="00F45500">
      <w:pPr>
        <w:rPr>
          <w:rFonts w:ascii="Arial" w:hAnsi="Arial" w:cs="Arial"/>
          <w:b/>
          <w:bCs/>
          <w:color w:val="000000" w:themeColor="text1"/>
          <w:sz w:val="32"/>
          <w:szCs w:val="32"/>
        </w:rPr>
      </w:pPr>
      <w:r w:rsidRPr="007B192E">
        <w:rPr>
          <w:rFonts w:ascii="Arial" w:hAnsi="Arial" w:cs="Arial"/>
          <w:b/>
          <w:bCs/>
          <w:color w:val="000000" w:themeColor="text1"/>
          <w:sz w:val="32"/>
          <w:szCs w:val="32"/>
        </w:rPr>
        <w:br w:type="page"/>
      </w:r>
    </w:p>
    <w:p w14:paraId="715A25D0" w14:textId="77777777" w:rsidR="00F45500" w:rsidRPr="007B192E" w:rsidRDefault="00072856" w:rsidP="002562DC">
      <w:pPr>
        <w:pStyle w:val="Nagwek1"/>
        <w:jc w:val="center"/>
        <w:rPr>
          <w:color w:val="000000" w:themeColor="text1"/>
          <w:szCs w:val="28"/>
        </w:rPr>
      </w:pPr>
      <w:bookmarkStart w:id="313" w:name="_Toc138757108"/>
      <w:bookmarkStart w:id="314" w:name="_Toc163481057"/>
      <w:r w:rsidRPr="007B192E">
        <w:rPr>
          <w:color w:val="000000" w:themeColor="text1"/>
          <w:sz w:val="40"/>
          <w:szCs w:val="28"/>
        </w:rPr>
        <w:lastRenderedPageBreak/>
        <w:t>D-</w:t>
      </w:r>
      <w:r w:rsidR="002562DC" w:rsidRPr="007B192E">
        <w:rPr>
          <w:color w:val="000000" w:themeColor="text1"/>
          <w:sz w:val="40"/>
          <w:szCs w:val="28"/>
        </w:rPr>
        <w:t xml:space="preserve">05.03.05a </w:t>
      </w:r>
      <w:r w:rsidR="00F45500" w:rsidRPr="007B192E">
        <w:rPr>
          <w:color w:val="000000" w:themeColor="text1"/>
          <w:sz w:val="40"/>
        </w:rPr>
        <w:t>NAWIERZCHNIA  Z  BETONU ASFALTOWEGO.</w:t>
      </w:r>
      <w:r w:rsidR="002562DC" w:rsidRPr="007B192E">
        <w:rPr>
          <w:color w:val="000000" w:themeColor="text1"/>
          <w:sz w:val="40"/>
          <w:szCs w:val="28"/>
        </w:rPr>
        <w:t xml:space="preserve"> </w:t>
      </w:r>
      <w:r w:rsidR="00F45500" w:rsidRPr="007B192E">
        <w:rPr>
          <w:color w:val="000000" w:themeColor="text1"/>
          <w:sz w:val="40"/>
        </w:rPr>
        <w:t>WARSTWA ŚCIERALNA</w:t>
      </w:r>
      <w:bookmarkEnd w:id="313"/>
      <w:bookmarkEnd w:id="314"/>
    </w:p>
    <w:p w14:paraId="2A698457" w14:textId="77777777" w:rsidR="00F45500" w:rsidRPr="007B192E" w:rsidRDefault="00F45500" w:rsidP="00B9283B">
      <w:pPr>
        <w:pStyle w:val="Nagwek2"/>
        <w:rPr>
          <w:i w:val="0"/>
          <w:color w:val="000000" w:themeColor="text1"/>
        </w:rPr>
      </w:pPr>
      <w:r w:rsidRPr="007B192E">
        <w:rPr>
          <w:i w:val="0"/>
          <w:color w:val="000000" w:themeColor="text1"/>
        </w:rPr>
        <w:t>1. WSTĘP</w:t>
      </w:r>
    </w:p>
    <w:p w14:paraId="2D06C71D" w14:textId="77777777" w:rsidR="00F45500" w:rsidRPr="007B192E" w:rsidRDefault="00F45500" w:rsidP="00F45500">
      <w:pPr>
        <w:pStyle w:val="Standardowytekst"/>
        <w:rPr>
          <w:rFonts w:ascii="Arial" w:hAnsi="Arial" w:cs="Arial"/>
          <w:color w:val="000000" w:themeColor="text1"/>
          <w:sz w:val="18"/>
          <w:szCs w:val="18"/>
        </w:rPr>
      </w:pPr>
      <w:r w:rsidRPr="007B192E">
        <w:rPr>
          <w:rFonts w:ascii="Arial" w:hAnsi="Arial" w:cs="Arial"/>
          <w:color w:val="000000" w:themeColor="text1"/>
          <w:sz w:val="18"/>
          <w:szCs w:val="18"/>
        </w:rPr>
        <w:tab/>
        <w:t>Przedmiotem niniejszej specyfikacji technicznej (ST) są wymagania dotyczące wykonania i odbioru robót związanych z wykonaniem warstwy ścieralnej z betonu asfaltowego dla KR1-KR4.</w:t>
      </w:r>
    </w:p>
    <w:p w14:paraId="78115E47" w14:textId="77777777" w:rsidR="00F45500" w:rsidRPr="007B192E" w:rsidRDefault="00F45500" w:rsidP="00B9283B">
      <w:pPr>
        <w:pStyle w:val="Nagwek2"/>
        <w:rPr>
          <w:i w:val="0"/>
          <w:color w:val="000000" w:themeColor="text1"/>
        </w:rPr>
      </w:pPr>
      <w:r w:rsidRPr="007B192E">
        <w:rPr>
          <w:i w:val="0"/>
          <w:color w:val="000000" w:themeColor="text1"/>
        </w:rPr>
        <w:t xml:space="preserve">2. MATERIAŁY </w:t>
      </w:r>
    </w:p>
    <w:p w14:paraId="4D5AB33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2B9A34B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2.</w:t>
      </w:r>
    </w:p>
    <w:p w14:paraId="55E48A3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3B9691D5" w14:textId="77777777" w:rsidR="00F45500" w:rsidRPr="007B192E" w:rsidRDefault="00F45500" w:rsidP="00F45500">
      <w:pPr>
        <w:pStyle w:val="StylIwony"/>
        <w:spacing w:before="0" w:after="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Wbudowywana mieszanka mineralno-asfaltowa może pochodzić z kilku wytwórni pod warunkiem, że jest produkowana z tych samych materiałów (o ustalonej przydatności ) i w oparciu o takie samo badanie typu.</w:t>
      </w:r>
    </w:p>
    <w:p w14:paraId="1A6560E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Lepiszcza asfaltowe</w:t>
      </w:r>
    </w:p>
    <w:p w14:paraId="3E439DE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Należy stosować asfalty drogowe wg PN-EN 12591 [24] lub </w:t>
      </w:r>
      <w:proofErr w:type="spellStart"/>
      <w:r w:rsidRPr="007B192E">
        <w:rPr>
          <w:rFonts w:ascii="Arial" w:hAnsi="Arial" w:cs="Arial"/>
          <w:color w:val="000000" w:themeColor="text1"/>
          <w:sz w:val="18"/>
          <w:szCs w:val="18"/>
        </w:rPr>
        <w:t>polimeroasfalty</w:t>
      </w:r>
      <w:proofErr w:type="spellEnd"/>
      <w:r w:rsidRPr="007B192E">
        <w:rPr>
          <w:rFonts w:ascii="Arial" w:hAnsi="Arial" w:cs="Arial"/>
          <w:color w:val="000000" w:themeColor="text1"/>
          <w:sz w:val="18"/>
          <w:szCs w:val="18"/>
        </w:rPr>
        <w:t xml:space="preserve"> wg PN-EN 14023 [64] [64a] oraz asfalty drogowe wielorodzajowe wg PN-EN 13924-2 [63] [63a]. </w:t>
      </w:r>
    </w:p>
    <w:p w14:paraId="430D061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Rodzaje stosowanych </w:t>
      </w:r>
      <w:proofErr w:type="spellStart"/>
      <w:r w:rsidRPr="007B192E">
        <w:rPr>
          <w:rFonts w:ascii="Arial" w:hAnsi="Arial" w:cs="Arial"/>
          <w:color w:val="000000" w:themeColor="text1"/>
          <w:sz w:val="18"/>
          <w:szCs w:val="18"/>
        </w:rPr>
        <w:t>lepiszcz</w:t>
      </w:r>
      <w:proofErr w:type="spellEnd"/>
      <w:r w:rsidRPr="007B192E">
        <w:rPr>
          <w:rFonts w:ascii="Arial" w:hAnsi="Arial" w:cs="Arial"/>
          <w:color w:val="000000" w:themeColor="text1"/>
          <w:sz w:val="18"/>
          <w:szCs w:val="18"/>
        </w:rPr>
        <w:t xml:space="preserve"> asfaltowych podano w tablicy 2. Oprócz </w:t>
      </w:r>
      <w:proofErr w:type="spellStart"/>
      <w:r w:rsidRPr="007B192E">
        <w:rPr>
          <w:rFonts w:ascii="Arial" w:hAnsi="Arial" w:cs="Arial"/>
          <w:color w:val="000000" w:themeColor="text1"/>
          <w:sz w:val="18"/>
          <w:szCs w:val="18"/>
        </w:rPr>
        <w:t>lepiszcz</w:t>
      </w:r>
      <w:proofErr w:type="spellEnd"/>
      <w:r w:rsidRPr="007B192E">
        <w:rPr>
          <w:rFonts w:ascii="Arial" w:hAnsi="Arial" w:cs="Arial"/>
          <w:color w:val="000000" w:themeColor="text1"/>
          <w:sz w:val="18"/>
          <w:szCs w:val="18"/>
        </w:rPr>
        <w:t xml:space="preserve"> wymienionych w tablicy 2 można stosować inne lepiszcza nienormowe według aprobat technicznych.</w:t>
      </w:r>
    </w:p>
    <w:p w14:paraId="65AFD7DA" w14:textId="77777777" w:rsidR="00F45500" w:rsidRPr="007B192E" w:rsidRDefault="00F45500" w:rsidP="00F45500">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Tablica 2. Zalecane  lepiszcza asfaltowe do warstwy ścieralnej z betonu asfaltowego</w:t>
      </w:r>
    </w:p>
    <w:tbl>
      <w:tblPr>
        <w:tblW w:w="87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4D7D23" w:rsidRPr="007B192E" w14:paraId="7C8AD832" w14:textId="77777777" w:rsidTr="008F7A94">
        <w:trPr>
          <w:jc w:val="center"/>
        </w:trPr>
        <w:tc>
          <w:tcPr>
            <w:tcW w:w="1548" w:type="dxa"/>
            <w:vMerge w:val="restart"/>
            <w:vAlign w:val="center"/>
          </w:tcPr>
          <w:p w14:paraId="25F8C02E" w14:textId="77777777" w:rsidR="00F45500" w:rsidRPr="007B192E" w:rsidRDefault="00F45500" w:rsidP="008F7A94">
            <w:p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Kategoria</w:t>
            </w:r>
          </w:p>
          <w:p w14:paraId="52F17376" w14:textId="77777777" w:rsidR="00F45500" w:rsidRPr="007B192E" w:rsidRDefault="00F45500" w:rsidP="008F7A94">
            <w:pPr>
              <w:spacing w:after="60"/>
              <w:jc w:val="center"/>
              <w:rPr>
                <w:rFonts w:ascii="Arial" w:hAnsi="Arial" w:cs="Arial"/>
                <w:color w:val="000000" w:themeColor="text1"/>
                <w:sz w:val="18"/>
                <w:szCs w:val="18"/>
              </w:rPr>
            </w:pPr>
            <w:r w:rsidRPr="007B192E">
              <w:rPr>
                <w:rFonts w:ascii="Arial" w:hAnsi="Arial" w:cs="Arial"/>
                <w:color w:val="000000" w:themeColor="text1"/>
                <w:sz w:val="18"/>
                <w:szCs w:val="18"/>
              </w:rPr>
              <w:t>ruchu</w:t>
            </w:r>
          </w:p>
        </w:tc>
        <w:tc>
          <w:tcPr>
            <w:tcW w:w="2457" w:type="dxa"/>
            <w:vMerge w:val="restart"/>
            <w:vAlign w:val="center"/>
          </w:tcPr>
          <w:p w14:paraId="13E74C0A" w14:textId="77777777" w:rsidR="00F45500" w:rsidRPr="007B192E" w:rsidRDefault="00F45500" w:rsidP="008F7A94">
            <w:p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Mieszanka</w:t>
            </w:r>
          </w:p>
          <w:p w14:paraId="2B5CCAC4" w14:textId="77777777" w:rsidR="00F45500" w:rsidRPr="007B192E" w:rsidRDefault="00F45500" w:rsidP="008F7A94">
            <w:pPr>
              <w:spacing w:after="60"/>
              <w:jc w:val="center"/>
              <w:rPr>
                <w:rFonts w:ascii="Arial" w:hAnsi="Arial" w:cs="Arial"/>
                <w:color w:val="000000" w:themeColor="text1"/>
                <w:sz w:val="18"/>
                <w:szCs w:val="18"/>
              </w:rPr>
            </w:pPr>
            <w:r w:rsidRPr="007B192E">
              <w:rPr>
                <w:rFonts w:ascii="Arial" w:hAnsi="Arial" w:cs="Arial"/>
                <w:color w:val="000000" w:themeColor="text1"/>
                <w:sz w:val="18"/>
                <w:szCs w:val="18"/>
              </w:rPr>
              <w:t>ACS</w:t>
            </w:r>
          </w:p>
        </w:tc>
        <w:tc>
          <w:tcPr>
            <w:tcW w:w="4703" w:type="dxa"/>
            <w:gridSpan w:val="2"/>
            <w:vAlign w:val="center"/>
          </w:tcPr>
          <w:p w14:paraId="21DB7E59" w14:textId="77777777" w:rsidR="00F45500" w:rsidRPr="007B192E" w:rsidRDefault="00F45500" w:rsidP="008F7A94">
            <w:pPr>
              <w:spacing w:before="60"/>
              <w:jc w:val="center"/>
              <w:rPr>
                <w:rFonts w:ascii="Arial" w:hAnsi="Arial" w:cs="Arial"/>
                <w:color w:val="000000" w:themeColor="text1"/>
                <w:sz w:val="18"/>
                <w:szCs w:val="18"/>
              </w:rPr>
            </w:pPr>
            <w:r w:rsidRPr="007B192E">
              <w:rPr>
                <w:rFonts w:ascii="Arial" w:hAnsi="Arial" w:cs="Arial"/>
                <w:color w:val="000000" w:themeColor="text1"/>
                <w:sz w:val="18"/>
                <w:szCs w:val="18"/>
              </w:rPr>
              <w:t>Gatunek lepiszcza</w:t>
            </w:r>
          </w:p>
        </w:tc>
      </w:tr>
      <w:tr w:rsidR="004D7D23" w:rsidRPr="007B192E" w14:paraId="09CB8B55" w14:textId="77777777" w:rsidTr="008F7A94">
        <w:trPr>
          <w:jc w:val="center"/>
        </w:trPr>
        <w:tc>
          <w:tcPr>
            <w:tcW w:w="1548" w:type="dxa"/>
            <w:vMerge/>
            <w:vAlign w:val="center"/>
          </w:tcPr>
          <w:p w14:paraId="7594FB62" w14:textId="77777777" w:rsidR="00F45500" w:rsidRPr="007B192E" w:rsidRDefault="00F45500" w:rsidP="008F7A94">
            <w:pPr>
              <w:spacing w:after="60"/>
              <w:jc w:val="center"/>
              <w:rPr>
                <w:rFonts w:ascii="Arial" w:hAnsi="Arial" w:cs="Arial"/>
                <w:color w:val="000000" w:themeColor="text1"/>
                <w:sz w:val="18"/>
                <w:szCs w:val="18"/>
              </w:rPr>
            </w:pPr>
          </w:p>
        </w:tc>
        <w:tc>
          <w:tcPr>
            <w:tcW w:w="2457" w:type="dxa"/>
            <w:vMerge/>
            <w:vAlign w:val="center"/>
          </w:tcPr>
          <w:p w14:paraId="6F7CDD4E" w14:textId="77777777" w:rsidR="00F45500" w:rsidRPr="007B192E" w:rsidRDefault="00F45500" w:rsidP="008F7A94">
            <w:pPr>
              <w:spacing w:after="60"/>
              <w:jc w:val="center"/>
              <w:rPr>
                <w:rFonts w:ascii="Arial" w:hAnsi="Arial" w:cs="Arial"/>
                <w:color w:val="000000" w:themeColor="text1"/>
                <w:sz w:val="18"/>
                <w:szCs w:val="18"/>
              </w:rPr>
            </w:pPr>
          </w:p>
        </w:tc>
        <w:tc>
          <w:tcPr>
            <w:tcW w:w="2344" w:type="dxa"/>
            <w:vAlign w:val="center"/>
          </w:tcPr>
          <w:p w14:paraId="2442D92C" w14:textId="77777777" w:rsidR="00F45500" w:rsidRPr="007B192E" w:rsidRDefault="00F45500" w:rsidP="008F7A94">
            <w:pPr>
              <w:spacing w:after="60"/>
              <w:jc w:val="center"/>
              <w:rPr>
                <w:rFonts w:ascii="Arial" w:hAnsi="Arial" w:cs="Arial"/>
                <w:color w:val="000000" w:themeColor="text1"/>
                <w:sz w:val="18"/>
                <w:szCs w:val="18"/>
              </w:rPr>
            </w:pPr>
            <w:r w:rsidRPr="007B192E">
              <w:rPr>
                <w:rFonts w:ascii="Arial" w:hAnsi="Arial" w:cs="Arial"/>
                <w:color w:val="000000" w:themeColor="text1"/>
                <w:sz w:val="18"/>
                <w:szCs w:val="18"/>
              </w:rPr>
              <w:t>asfalt drogowy</w:t>
            </w:r>
          </w:p>
        </w:tc>
        <w:tc>
          <w:tcPr>
            <w:tcW w:w="2359" w:type="dxa"/>
            <w:vAlign w:val="center"/>
          </w:tcPr>
          <w:p w14:paraId="33922CC0" w14:textId="77777777" w:rsidR="00F45500" w:rsidRPr="007B192E" w:rsidRDefault="00F45500" w:rsidP="008F7A94">
            <w:pPr>
              <w:spacing w:after="60"/>
              <w:jc w:val="center"/>
              <w:rPr>
                <w:rFonts w:ascii="Arial" w:hAnsi="Arial" w:cs="Arial"/>
                <w:color w:val="000000" w:themeColor="text1"/>
                <w:sz w:val="18"/>
                <w:szCs w:val="18"/>
              </w:rPr>
            </w:pPr>
            <w:proofErr w:type="spellStart"/>
            <w:r w:rsidRPr="007B192E">
              <w:rPr>
                <w:rFonts w:ascii="Arial" w:hAnsi="Arial" w:cs="Arial"/>
                <w:color w:val="000000" w:themeColor="text1"/>
                <w:sz w:val="18"/>
                <w:szCs w:val="18"/>
              </w:rPr>
              <w:t>polimeroasfalt</w:t>
            </w:r>
            <w:proofErr w:type="spellEnd"/>
          </w:p>
        </w:tc>
      </w:tr>
      <w:tr w:rsidR="00F45500" w:rsidRPr="007B192E" w14:paraId="2E112D1A" w14:textId="77777777" w:rsidTr="008F7A94">
        <w:trPr>
          <w:jc w:val="center"/>
        </w:trPr>
        <w:tc>
          <w:tcPr>
            <w:tcW w:w="1548" w:type="dxa"/>
            <w:vAlign w:val="center"/>
          </w:tcPr>
          <w:p w14:paraId="60ACFD97" w14:textId="77777777" w:rsidR="00F45500" w:rsidRPr="007B192E" w:rsidRDefault="00F45500" w:rsidP="008F7A94">
            <w:pPr>
              <w:spacing w:before="180" w:after="60"/>
              <w:jc w:val="center"/>
              <w:rPr>
                <w:rFonts w:ascii="Arial" w:hAnsi="Arial" w:cs="Arial"/>
                <w:color w:val="000000" w:themeColor="text1"/>
                <w:sz w:val="18"/>
                <w:szCs w:val="18"/>
              </w:rPr>
            </w:pPr>
            <w:r w:rsidRPr="007B192E">
              <w:rPr>
                <w:rFonts w:ascii="Arial" w:hAnsi="Arial" w:cs="Arial"/>
                <w:color w:val="000000" w:themeColor="text1"/>
                <w:sz w:val="18"/>
                <w:szCs w:val="18"/>
              </w:rPr>
              <w:t>KR3 – KR4</w:t>
            </w:r>
          </w:p>
        </w:tc>
        <w:tc>
          <w:tcPr>
            <w:tcW w:w="2457" w:type="dxa"/>
            <w:vAlign w:val="center"/>
          </w:tcPr>
          <w:p w14:paraId="67896F28" w14:textId="77777777" w:rsidR="00F45500" w:rsidRPr="007B192E" w:rsidRDefault="00F45500" w:rsidP="008F7A94">
            <w:pPr>
              <w:spacing w:before="180" w:after="60"/>
              <w:jc w:val="center"/>
              <w:rPr>
                <w:rFonts w:ascii="Arial" w:hAnsi="Arial" w:cs="Arial"/>
                <w:color w:val="000000" w:themeColor="text1"/>
                <w:sz w:val="18"/>
                <w:szCs w:val="18"/>
              </w:rPr>
            </w:pPr>
            <w:r w:rsidRPr="007B192E">
              <w:rPr>
                <w:rFonts w:ascii="Arial" w:hAnsi="Arial" w:cs="Arial"/>
                <w:color w:val="000000" w:themeColor="text1"/>
                <w:sz w:val="18"/>
                <w:szCs w:val="18"/>
              </w:rPr>
              <w:t>AC11S</w:t>
            </w:r>
          </w:p>
        </w:tc>
        <w:tc>
          <w:tcPr>
            <w:tcW w:w="2344" w:type="dxa"/>
            <w:vAlign w:val="center"/>
          </w:tcPr>
          <w:p w14:paraId="1E7A418D" w14:textId="77777777" w:rsidR="00F45500" w:rsidRPr="007B192E" w:rsidRDefault="00F45500" w:rsidP="008F7A94">
            <w:pPr>
              <w:spacing w:after="60"/>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2359" w:type="dxa"/>
            <w:tcBorders>
              <w:bottom w:val="single" w:sz="4" w:space="0" w:color="auto"/>
            </w:tcBorders>
            <w:vAlign w:val="center"/>
          </w:tcPr>
          <w:p w14:paraId="533186E7" w14:textId="77777777" w:rsidR="00F45500" w:rsidRPr="007B192E" w:rsidRDefault="00F45500" w:rsidP="008F7A94">
            <w:pPr>
              <w:spacing w:after="60"/>
              <w:jc w:val="center"/>
              <w:rPr>
                <w:rFonts w:ascii="Arial" w:hAnsi="Arial" w:cs="Arial"/>
                <w:color w:val="000000" w:themeColor="text1"/>
                <w:sz w:val="18"/>
                <w:szCs w:val="18"/>
              </w:rPr>
            </w:pPr>
            <w:r w:rsidRPr="007B192E">
              <w:rPr>
                <w:rFonts w:ascii="Arial" w:hAnsi="Arial" w:cs="Arial"/>
                <w:color w:val="000000" w:themeColor="text1"/>
                <w:sz w:val="18"/>
                <w:szCs w:val="18"/>
              </w:rPr>
              <w:t>PMB 45/80-65</w:t>
            </w:r>
          </w:p>
        </w:tc>
      </w:tr>
    </w:tbl>
    <w:p w14:paraId="63FC0879" w14:textId="77777777" w:rsidR="00F45500" w:rsidRPr="007B192E" w:rsidRDefault="00F45500" w:rsidP="00F45500">
      <w:pPr>
        <w:ind w:left="993" w:hanging="993"/>
        <w:jc w:val="both"/>
        <w:rPr>
          <w:rFonts w:ascii="Arial" w:hAnsi="Arial" w:cs="Arial"/>
          <w:color w:val="000000" w:themeColor="text1"/>
          <w:sz w:val="18"/>
          <w:szCs w:val="18"/>
        </w:rPr>
      </w:pPr>
    </w:p>
    <w:p w14:paraId="56DDF57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drogowe powinny spełniać wymagania podane w tablicy 3.  </w:t>
      </w:r>
      <w:proofErr w:type="spellStart"/>
      <w:r w:rsidRPr="007B192E">
        <w:rPr>
          <w:rFonts w:ascii="Arial" w:hAnsi="Arial" w:cs="Arial"/>
          <w:color w:val="000000" w:themeColor="text1"/>
          <w:sz w:val="18"/>
          <w:szCs w:val="18"/>
        </w:rPr>
        <w:t>Polimeroasfalty</w:t>
      </w:r>
      <w:proofErr w:type="spellEnd"/>
      <w:r w:rsidRPr="007B192E">
        <w:rPr>
          <w:rFonts w:ascii="Arial" w:hAnsi="Arial" w:cs="Arial"/>
          <w:color w:val="000000" w:themeColor="text1"/>
          <w:sz w:val="18"/>
          <w:szCs w:val="18"/>
        </w:rPr>
        <w:t xml:space="preserve">  powinny spełniać wymagania podane  w tablicy 4. Asfalt wielorodzajowy powinien spełniać wymagania podane w tablicy 5.</w:t>
      </w:r>
    </w:p>
    <w:p w14:paraId="1C1F3C43" w14:textId="77777777" w:rsidR="00F45500" w:rsidRPr="007B192E" w:rsidRDefault="00F45500" w:rsidP="00F45500">
      <w:pPr>
        <w:tabs>
          <w:tab w:val="left" w:pos="993"/>
        </w:tabs>
        <w:spacing w:before="240" w:after="120"/>
        <w:ind w:left="992" w:hanging="992"/>
        <w:jc w:val="both"/>
        <w:rPr>
          <w:rFonts w:ascii="Arial" w:hAnsi="Arial" w:cs="Arial"/>
          <w:color w:val="000000" w:themeColor="text1"/>
          <w:sz w:val="18"/>
          <w:szCs w:val="18"/>
        </w:rPr>
      </w:pPr>
      <w:r w:rsidRPr="007B192E">
        <w:rPr>
          <w:rFonts w:ascii="Arial" w:hAnsi="Arial" w:cs="Arial"/>
          <w:color w:val="000000" w:themeColor="text1"/>
          <w:sz w:val="18"/>
          <w:szCs w:val="18"/>
        </w:rPr>
        <w:t>Tablica 4.</w:t>
      </w:r>
      <w:r w:rsidRPr="007B192E">
        <w:rPr>
          <w:rFonts w:ascii="Arial" w:hAnsi="Arial" w:cs="Arial"/>
          <w:color w:val="000000" w:themeColor="text1"/>
          <w:sz w:val="18"/>
          <w:szCs w:val="18"/>
        </w:rPr>
        <w:tab/>
        <w:t>Wymagania wobec asfaltów modyfikowanych polimerami (</w:t>
      </w:r>
      <w:proofErr w:type="spellStart"/>
      <w:r w:rsidRPr="007B192E">
        <w:rPr>
          <w:rFonts w:ascii="Arial" w:hAnsi="Arial" w:cs="Arial"/>
          <w:color w:val="000000" w:themeColor="text1"/>
          <w:sz w:val="18"/>
          <w:szCs w:val="18"/>
        </w:rPr>
        <w:t>polimeroasfaltów</w:t>
      </w:r>
      <w:proofErr w:type="spellEnd"/>
      <w:r w:rsidRPr="007B192E">
        <w:rPr>
          <w:rFonts w:ascii="Arial" w:hAnsi="Arial" w:cs="Arial"/>
          <w:color w:val="000000" w:themeColor="text1"/>
          <w:sz w:val="18"/>
          <w:szCs w:val="18"/>
        </w:rPr>
        <w:t>) wg PN-EN 14023:2011/Ap1:2014-04 [64a]</w:t>
      </w:r>
    </w:p>
    <w:tbl>
      <w:tblPr>
        <w:tblW w:w="89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27"/>
        <w:gridCol w:w="1276"/>
        <w:gridCol w:w="850"/>
        <w:gridCol w:w="851"/>
        <w:gridCol w:w="850"/>
        <w:gridCol w:w="709"/>
        <w:gridCol w:w="851"/>
        <w:gridCol w:w="708"/>
        <w:gridCol w:w="851"/>
        <w:gridCol w:w="709"/>
      </w:tblGrid>
      <w:tr w:rsidR="004D7D23" w:rsidRPr="007B192E" w14:paraId="629819B2" w14:textId="77777777" w:rsidTr="008F7A94">
        <w:trPr>
          <w:jc w:val="center"/>
        </w:trPr>
        <w:tc>
          <w:tcPr>
            <w:tcW w:w="1327" w:type="dxa"/>
            <w:vMerge w:val="restart"/>
            <w:vAlign w:val="center"/>
          </w:tcPr>
          <w:p w14:paraId="7557A23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Wymaganie</w:t>
            </w:r>
          </w:p>
          <w:p w14:paraId="3DF7FE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podstawowe</w:t>
            </w:r>
          </w:p>
        </w:tc>
        <w:tc>
          <w:tcPr>
            <w:tcW w:w="1276" w:type="dxa"/>
            <w:vMerge w:val="restart"/>
            <w:vAlign w:val="center"/>
          </w:tcPr>
          <w:p w14:paraId="6DE8E75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850" w:type="dxa"/>
            <w:vMerge w:val="restart"/>
            <w:vAlign w:val="center"/>
          </w:tcPr>
          <w:p w14:paraId="1AFF56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Metoda</w:t>
            </w:r>
          </w:p>
          <w:p w14:paraId="50B12BC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w:t>
            </w:r>
          </w:p>
        </w:tc>
        <w:tc>
          <w:tcPr>
            <w:tcW w:w="851" w:type="dxa"/>
            <w:vMerge w:val="restart"/>
            <w:vAlign w:val="center"/>
          </w:tcPr>
          <w:p w14:paraId="37E8FABC"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Jed</w:t>
            </w:r>
            <w:proofErr w:type="spellEnd"/>
            <w:r w:rsidRPr="007B192E">
              <w:rPr>
                <w:rFonts w:ascii="Arial" w:hAnsi="Arial" w:cs="Arial"/>
                <w:color w:val="000000" w:themeColor="text1"/>
                <w:sz w:val="18"/>
                <w:szCs w:val="18"/>
              </w:rPr>
              <w:t>-</w:t>
            </w:r>
          </w:p>
          <w:p w14:paraId="7FE7D3C9"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nostka</w:t>
            </w:r>
            <w:proofErr w:type="spellEnd"/>
          </w:p>
        </w:tc>
        <w:tc>
          <w:tcPr>
            <w:tcW w:w="4678" w:type="dxa"/>
            <w:gridSpan w:val="6"/>
          </w:tcPr>
          <w:p w14:paraId="7BB4CF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Gatunki asfaltów modyfikowanych polimerami (PMB)</w:t>
            </w:r>
          </w:p>
        </w:tc>
      </w:tr>
      <w:tr w:rsidR="004D7D23" w:rsidRPr="007B192E" w14:paraId="20BB339C" w14:textId="77777777" w:rsidTr="008F7A94">
        <w:trPr>
          <w:jc w:val="center"/>
        </w:trPr>
        <w:tc>
          <w:tcPr>
            <w:tcW w:w="1327" w:type="dxa"/>
            <w:vMerge/>
          </w:tcPr>
          <w:p w14:paraId="001EA09A" w14:textId="77777777" w:rsidR="00F45500" w:rsidRPr="007B192E" w:rsidRDefault="00F45500" w:rsidP="008F7A94">
            <w:pPr>
              <w:jc w:val="both"/>
              <w:rPr>
                <w:rFonts w:ascii="Arial" w:hAnsi="Arial" w:cs="Arial"/>
                <w:color w:val="000000" w:themeColor="text1"/>
                <w:sz w:val="18"/>
                <w:szCs w:val="18"/>
              </w:rPr>
            </w:pPr>
          </w:p>
        </w:tc>
        <w:tc>
          <w:tcPr>
            <w:tcW w:w="1276" w:type="dxa"/>
            <w:vMerge/>
          </w:tcPr>
          <w:p w14:paraId="3203ECBE" w14:textId="77777777" w:rsidR="00F45500" w:rsidRPr="007B192E" w:rsidRDefault="00F45500" w:rsidP="008F7A94">
            <w:pPr>
              <w:jc w:val="both"/>
              <w:rPr>
                <w:rFonts w:ascii="Arial" w:hAnsi="Arial" w:cs="Arial"/>
                <w:color w:val="000000" w:themeColor="text1"/>
                <w:sz w:val="18"/>
                <w:szCs w:val="18"/>
              </w:rPr>
            </w:pPr>
          </w:p>
        </w:tc>
        <w:tc>
          <w:tcPr>
            <w:tcW w:w="850" w:type="dxa"/>
            <w:vMerge/>
          </w:tcPr>
          <w:p w14:paraId="5B9E02B9" w14:textId="77777777" w:rsidR="00F45500" w:rsidRPr="007B192E" w:rsidRDefault="00F45500" w:rsidP="008F7A94">
            <w:pPr>
              <w:jc w:val="both"/>
              <w:rPr>
                <w:rFonts w:ascii="Arial" w:hAnsi="Arial" w:cs="Arial"/>
                <w:color w:val="000000" w:themeColor="text1"/>
                <w:sz w:val="18"/>
                <w:szCs w:val="18"/>
              </w:rPr>
            </w:pPr>
          </w:p>
        </w:tc>
        <w:tc>
          <w:tcPr>
            <w:tcW w:w="851" w:type="dxa"/>
            <w:vMerge/>
          </w:tcPr>
          <w:p w14:paraId="57DB694B" w14:textId="77777777" w:rsidR="00F45500" w:rsidRPr="007B192E" w:rsidRDefault="00F45500" w:rsidP="008F7A94">
            <w:pPr>
              <w:jc w:val="both"/>
              <w:rPr>
                <w:rFonts w:ascii="Arial" w:hAnsi="Arial" w:cs="Arial"/>
                <w:color w:val="000000" w:themeColor="text1"/>
                <w:sz w:val="18"/>
                <w:szCs w:val="18"/>
              </w:rPr>
            </w:pPr>
          </w:p>
        </w:tc>
        <w:tc>
          <w:tcPr>
            <w:tcW w:w="1559" w:type="dxa"/>
            <w:gridSpan w:val="2"/>
          </w:tcPr>
          <w:p w14:paraId="1763464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45/80 – 55</w:t>
            </w:r>
          </w:p>
        </w:tc>
        <w:tc>
          <w:tcPr>
            <w:tcW w:w="1559" w:type="dxa"/>
            <w:gridSpan w:val="2"/>
          </w:tcPr>
          <w:p w14:paraId="568BD81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45/80 – 65</w:t>
            </w:r>
          </w:p>
        </w:tc>
        <w:tc>
          <w:tcPr>
            <w:tcW w:w="1560" w:type="dxa"/>
            <w:gridSpan w:val="2"/>
          </w:tcPr>
          <w:p w14:paraId="4DED394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45/80 - 80</w:t>
            </w:r>
          </w:p>
        </w:tc>
      </w:tr>
      <w:tr w:rsidR="004D7D23" w:rsidRPr="007B192E" w14:paraId="64084BC2" w14:textId="77777777" w:rsidTr="008F7A94">
        <w:trPr>
          <w:jc w:val="center"/>
        </w:trPr>
        <w:tc>
          <w:tcPr>
            <w:tcW w:w="1327" w:type="dxa"/>
            <w:vMerge/>
          </w:tcPr>
          <w:p w14:paraId="48B7A0D8" w14:textId="77777777" w:rsidR="00F45500" w:rsidRPr="007B192E" w:rsidRDefault="00F45500" w:rsidP="008F7A94">
            <w:pPr>
              <w:jc w:val="both"/>
              <w:rPr>
                <w:rFonts w:ascii="Arial" w:hAnsi="Arial" w:cs="Arial"/>
                <w:color w:val="000000" w:themeColor="text1"/>
                <w:sz w:val="18"/>
                <w:szCs w:val="18"/>
              </w:rPr>
            </w:pPr>
          </w:p>
        </w:tc>
        <w:tc>
          <w:tcPr>
            <w:tcW w:w="1276" w:type="dxa"/>
            <w:vMerge/>
          </w:tcPr>
          <w:p w14:paraId="47A248A6" w14:textId="77777777" w:rsidR="00F45500" w:rsidRPr="007B192E" w:rsidRDefault="00F45500" w:rsidP="008F7A94">
            <w:pPr>
              <w:jc w:val="both"/>
              <w:rPr>
                <w:rFonts w:ascii="Arial" w:hAnsi="Arial" w:cs="Arial"/>
                <w:color w:val="000000" w:themeColor="text1"/>
                <w:sz w:val="18"/>
                <w:szCs w:val="18"/>
              </w:rPr>
            </w:pPr>
          </w:p>
        </w:tc>
        <w:tc>
          <w:tcPr>
            <w:tcW w:w="850" w:type="dxa"/>
            <w:vMerge/>
          </w:tcPr>
          <w:p w14:paraId="37C9DB67" w14:textId="77777777" w:rsidR="00F45500" w:rsidRPr="007B192E" w:rsidRDefault="00F45500" w:rsidP="008F7A94">
            <w:pPr>
              <w:jc w:val="both"/>
              <w:rPr>
                <w:rFonts w:ascii="Arial" w:hAnsi="Arial" w:cs="Arial"/>
                <w:color w:val="000000" w:themeColor="text1"/>
                <w:sz w:val="18"/>
                <w:szCs w:val="18"/>
              </w:rPr>
            </w:pPr>
          </w:p>
        </w:tc>
        <w:tc>
          <w:tcPr>
            <w:tcW w:w="851" w:type="dxa"/>
            <w:vMerge/>
          </w:tcPr>
          <w:p w14:paraId="55F2C2C0" w14:textId="77777777" w:rsidR="00F45500" w:rsidRPr="007B192E" w:rsidRDefault="00F45500" w:rsidP="008F7A94">
            <w:pPr>
              <w:jc w:val="both"/>
              <w:rPr>
                <w:rFonts w:ascii="Arial" w:hAnsi="Arial" w:cs="Arial"/>
                <w:color w:val="000000" w:themeColor="text1"/>
                <w:sz w:val="18"/>
                <w:szCs w:val="18"/>
              </w:rPr>
            </w:pPr>
          </w:p>
        </w:tc>
        <w:tc>
          <w:tcPr>
            <w:tcW w:w="850" w:type="dxa"/>
          </w:tcPr>
          <w:p w14:paraId="5D2632C3" w14:textId="77777777" w:rsidR="00F45500" w:rsidRPr="007B192E" w:rsidRDefault="00F45500" w:rsidP="008F7A94">
            <w:pPr>
              <w:spacing w:after="60"/>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wyma-ganie</w:t>
            </w:r>
            <w:proofErr w:type="spellEnd"/>
          </w:p>
        </w:tc>
        <w:tc>
          <w:tcPr>
            <w:tcW w:w="709" w:type="dxa"/>
          </w:tcPr>
          <w:p w14:paraId="1D765C1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klasa</w:t>
            </w:r>
          </w:p>
        </w:tc>
        <w:tc>
          <w:tcPr>
            <w:tcW w:w="851" w:type="dxa"/>
          </w:tcPr>
          <w:p w14:paraId="60B71AB2"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wyma-ganie</w:t>
            </w:r>
            <w:proofErr w:type="spellEnd"/>
          </w:p>
        </w:tc>
        <w:tc>
          <w:tcPr>
            <w:tcW w:w="708" w:type="dxa"/>
          </w:tcPr>
          <w:p w14:paraId="6B87F7A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klasa</w:t>
            </w:r>
          </w:p>
        </w:tc>
        <w:tc>
          <w:tcPr>
            <w:tcW w:w="851" w:type="dxa"/>
          </w:tcPr>
          <w:p w14:paraId="5A359FF5"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wyma-ganie</w:t>
            </w:r>
            <w:proofErr w:type="spellEnd"/>
          </w:p>
        </w:tc>
        <w:tc>
          <w:tcPr>
            <w:tcW w:w="709" w:type="dxa"/>
          </w:tcPr>
          <w:p w14:paraId="56465A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klasa</w:t>
            </w:r>
          </w:p>
        </w:tc>
      </w:tr>
      <w:tr w:rsidR="004D7D23" w:rsidRPr="007B192E" w14:paraId="26133D25" w14:textId="77777777" w:rsidTr="008F7A94">
        <w:trPr>
          <w:jc w:val="center"/>
        </w:trPr>
        <w:tc>
          <w:tcPr>
            <w:tcW w:w="1327" w:type="dxa"/>
          </w:tcPr>
          <w:p w14:paraId="2D4F3F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Konsystencja w pośrednich temperaturach </w:t>
            </w:r>
            <w:proofErr w:type="spellStart"/>
            <w:r w:rsidRPr="007B192E">
              <w:rPr>
                <w:rFonts w:ascii="Arial" w:hAnsi="Arial" w:cs="Arial"/>
                <w:color w:val="000000" w:themeColor="text1"/>
                <w:sz w:val="18"/>
                <w:szCs w:val="18"/>
              </w:rPr>
              <w:t>eksploa-tacyjnych</w:t>
            </w:r>
            <w:proofErr w:type="spellEnd"/>
          </w:p>
        </w:tc>
        <w:tc>
          <w:tcPr>
            <w:tcW w:w="1276" w:type="dxa"/>
            <w:vAlign w:val="center"/>
          </w:tcPr>
          <w:p w14:paraId="545130A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Penetracja </w:t>
            </w:r>
          </w:p>
          <w:p w14:paraId="49C4B28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 25°C</w:t>
            </w:r>
          </w:p>
        </w:tc>
        <w:tc>
          <w:tcPr>
            <w:tcW w:w="850" w:type="dxa"/>
            <w:vAlign w:val="center"/>
          </w:tcPr>
          <w:p w14:paraId="1A0133BE" w14:textId="77777777" w:rsidR="00F45500" w:rsidRPr="007B192E" w:rsidRDefault="00F45500" w:rsidP="008F7A94">
            <w:pPr>
              <w:tabs>
                <w:tab w:val="left" w:pos="285"/>
              </w:tabs>
              <w:jc w:val="both"/>
              <w:rPr>
                <w:rFonts w:ascii="Arial" w:hAnsi="Arial" w:cs="Arial"/>
                <w:color w:val="000000" w:themeColor="text1"/>
                <w:sz w:val="18"/>
                <w:szCs w:val="18"/>
              </w:rPr>
            </w:pPr>
            <w:r w:rsidRPr="007B192E">
              <w:rPr>
                <w:rFonts w:ascii="Arial" w:hAnsi="Arial" w:cs="Arial"/>
                <w:color w:val="000000" w:themeColor="text1"/>
                <w:sz w:val="18"/>
                <w:szCs w:val="18"/>
              </w:rPr>
              <w:t>PN-EN 1426 [21]</w:t>
            </w:r>
          </w:p>
        </w:tc>
        <w:tc>
          <w:tcPr>
            <w:tcW w:w="851" w:type="dxa"/>
            <w:vAlign w:val="center"/>
          </w:tcPr>
          <w:p w14:paraId="3B2AC5E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0,1 mm</w:t>
            </w:r>
          </w:p>
        </w:tc>
        <w:tc>
          <w:tcPr>
            <w:tcW w:w="850" w:type="dxa"/>
            <w:vAlign w:val="center"/>
          </w:tcPr>
          <w:p w14:paraId="72F8275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45-80</w:t>
            </w:r>
          </w:p>
        </w:tc>
        <w:tc>
          <w:tcPr>
            <w:tcW w:w="709" w:type="dxa"/>
            <w:vAlign w:val="center"/>
          </w:tcPr>
          <w:p w14:paraId="350ABD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851" w:type="dxa"/>
            <w:vAlign w:val="center"/>
          </w:tcPr>
          <w:p w14:paraId="7813CF0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45-80</w:t>
            </w:r>
          </w:p>
        </w:tc>
        <w:tc>
          <w:tcPr>
            <w:tcW w:w="708" w:type="dxa"/>
            <w:vAlign w:val="center"/>
          </w:tcPr>
          <w:p w14:paraId="2AFB2ED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851" w:type="dxa"/>
            <w:vAlign w:val="center"/>
          </w:tcPr>
          <w:p w14:paraId="0140D78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45-80</w:t>
            </w:r>
          </w:p>
        </w:tc>
        <w:tc>
          <w:tcPr>
            <w:tcW w:w="709" w:type="dxa"/>
            <w:vAlign w:val="center"/>
          </w:tcPr>
          <w:p w14:paraId="2F9945B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r>
      <w:tr w:rsidR="004D7D23" w:rsidRPr="007B192E" w14:paraId="0A75F8B7" w14:textId="77777777" w:rsidTr="008F7A94">
        <w:trPr>
          <w:jc w:val="center"/>
        </w:trPr>
        <w:tc>
          <w:tcPr>
            <w:tcW w:w="1327" w:type="dxa"/>
          </w:tcPr>
          <w:p w14:paraId="4B1D690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Konsystencja  w wysokich  </w:t>
            </w:r>
            <w:proofErr w:type="spellStart"/>
            <w:r w:rsidRPr="007B192E">
              <w:rPr>
                <w:rFonts w:ascii="Arial" w:hAnsi="Arial" w:cs="Arial"/>
                <w:color w:val="000000" w:themeColor="text1"/>
                <w:sz w:val="18"/>
                <w:szCs w:val="18"/>
              </w:rPr>
              <w:t>temperatu</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rach</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eksploa-tacyjnych</w:t>
            </w:r>
            <w:proofErr w:type="spellEnd"/>
          </w:p>
        </w:tc>
        <w:tc>
          <w:tcPr>
            <w:tcW w:w="1276" w:type="dxa"/>
            <w:vAlign w:val="center"/>
          </w:tcPr>
          <w:p w14:paraId="4252222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Temperatura mięknienia</w:t>
            </w:r>
          </w:p>
        </w:tc>
        <w:tc>
          <w:tcPr>
            <w:tcW w:w="850" w:type="dxa"/>
            <w:vAlign w:val="center"/>
          </w:tcPr>
          <w:p w14:paraId="63F5A2D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851" w:type="dxa"/>
            <w:vAlign w:val="center"/>
          </w:tcPr>
          <w:p w14:paraId="6174D61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5A451A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55</w:t>
            </w:r>
          </w:p>
        </w:tc>
        <w:tc>
          <w:tcPr>
            <w:tcW w:w="709" w:type="dxa"/>
            <w:vAlign w:val="center"/>
          </w:tcPr>
          <w:p w14:paraId="2810AF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851" w:type="dxa"/>
            <w:vAlign w:val="center"/>
          </w:tcPr>
          <w:p w14:paraId="23356C1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65</w:t>
            </w:r>
          </w:p>
        </w:tc>
        <w:tc>
          <w:tcPr>
            <w:tcW w:w="708" w:type="dxa"/>
            <w:vAlign w:val="center"/>
          </w:tcPr>
          <w:p w14:paraId="5381A58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851" w:type="dxa"/>
            <w:vAlign w:val="center"/>
          </w:tcPr>
          <w:p w14:paraId="2FB7CB5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80</w:t>
            </w:r>
          </w:p>
        </w:tc>
        <w:tc>
          <w:tcPr>
            <w:tcW w:w="709" w:type="dxa"/>
            <w:vAlign w:val="center"/>
          </w:tcPr>
          <w:p w14:paraId="390185C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r>
      <w:tr w:rsidR="004D7D23" w:rsidRPr="007B192E" w14:paraId="683B4354" w14:textId="77777777" w:rsidTr="008F7A94">
        <w:trPr>
          <w:jc w:val="center"/>
        </w:trPr>
        <w:tc>
          <w:tcPr>
            <w:tcW w:w="1327" w:type="dxa"/>
            <w:vMerge w:val="restart"/>
            <w:vAlign w:val="center"/>
          </w:tcPr>
          <w:p w14:paraId="6AD33A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Kohezja</w:t>
            </w:r>
          </w:p>
        </w:tc>
        <w:tc>
          <w:tcPr>
            <w:tcW w:w="1276" w:type="dxa"/>
            <w:vAlign w:val="center"/>
          </w:tcPr>
          <w:p w14:paraId="447DFF0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Siła rozciąga-</w:t>
            </w:r>
            <w:proofErr w:type="spellStart"/>
            <w:r w:rsidRPr="007B192E">
              <w:rPr>
                <w:rFonts w:ascii="Arial" w:hAnsi="Arial" w:cs="Arial"/>
                <w:color w:val="000000" w:themeColor="text1"/>
                <w:sz w:val="18"/>
                <w:szCs w:val="18"/>
              </w:rPr>
              <w:t>nia</w:t>
            </w:r>
            <w:proofErr w:type="spellEnd"/>
            <w:r w:rsidRPr="007B192E">
              <w:rPr>
                <w:rFonts w:ascii="Arial" w:hAnsi="Arial" w:cs="Arial"/>
                <w:color w:val="000000" w:themeColor="text1"/>
                <w:sz w:val="18"/>
                <w:szCs w:val="18"/>
              </w:rPr>
              <w:t xml:space="preserve"> (metoda z </w:t>
            </w:r>
            <w:proofErr w:type="spellStart"/>
            <w:r w:rsidRPr="007B192E">
              <w:rPr>
                <w:rFonts w:ascii="Arial" w:hAnsi="Arial" w:cs="Arial"/>
                <w:color w:val="000000" w:themeColor="text1"/>
                <w:sz w:val="18"/>
                <w:szCs w:val="18"/>
              </w:rPr>
              <w:t>duktylome</w:t>
            </w:r>
            <w:proofErr w:type="spellEnd"/>
            <w:r w:rsidRPr="007B192E">
              <w:rPr>
                <w:rFonts w:ascii="Arial" w:hAnsi="Arial" w:cs="Arial"/>
                <w:color w:val="000000" w:themeColor="text1"/>
                <w:sz w:val="18"/>
                <w:szCs w:val="18"/>
              </w:rPr>
              <w:t>-trem, rozciąganie 50 mm/min)</w:t>
            </w:r>
          </w:p>
        </w:tc>
        <w:tc>
          <w:tcPr>
            <w:tcW w:w="850" w:type="dxa"/>
            <w:vAlign w:val="center"/>
          </w:tcPr>
          <w:p w14:paraId="30AD41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13589 [60]      PN-EN 13703 [61]</w:t>
            </w:r>
          </w:p>
        </w:tc>
        <w:tc>
          <w:tcPr>
            <w:tcW w:w="851" w:type="dxa"/>
            <w:vAlign w:val="center"/>
          </w:tcPr>
          <w:p w14:paraId="01B4C2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J/cm</w:t>
            </w:r>
            <w:r w:rsidRPr="007B192E">
              <w:rPr>
                <w:rFonts w:ascii="Arial" w:hAnsi="Arial" w:cs="Arial"/>
                <w:color w:val="000000" w:themeColor="text1"/>
                <w:sz w:val="18"/>
                <w:szCs w:val="18"/>
                <w:vertAlign w:val="superscript"/>
              </w:rPr>
              <w:t>2</w:t>
            </w:r>
          </w:p>
        </w:tc>
        <w:tc>
          <w:tcPr>
            <w:tcW w:w="850" w:type="dxa"/>
            <w:vAlign w:val="center"/>
          </w:tcPr>
          <w:p w14:paraId="0E93AD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3</w:t>
            </w:r>
          </w:p>
          <w:p w14:paraId="527EB7D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 5°C</w:t>
            </w:r>
          </w:p>
        </w:tc>
        <w:tc>
          <w:tcPr>
            <w:tcW w:w="709" w:type="dxa"/>
            <w:vAlign w:val="center"/>
          </w:tcPr>
          <w:p w14:paraId="62605A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51" w:type="dxa"/>
            <w:vAlign w:val="center"/>
          </w:tcPr>
          <w:p w14:paraId="257BAE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p w14:paraId="14EF7A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 10°C</w:t>
            </w:r>
          </w:p>
        </w:tc>
        <w:tc>
          <w:tcPr>
            <w:tcW w:w="708" w:type="dxa"/>
            <w:vAlign w:val="center"/>
          </w:tcPr>
          <w:p w14:paraId="424D688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851" w:type="dxa"/>
            <w:vAlign w:val="center"/>
          </w:tcPr>
          <w:p w14:paraId="2EAF636D"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TBR</w:t>
            </w:r>
            <w:r w:rsidRPr="007B192E">
              <w:rPr>
                <w:rFonts w:ascii="Arial" w:hAnsi="Arial" w:cs="Arial"/>
                <w:color w:val="000000" w:themeColor="text1"/>
                <w:sz w:val="18"/>
                <w:szCs w:val="18"/>
                <w:vertAlign w:val="superscript"/>
              </w:rPr>
              <w:t>b</w:t>
            </w:r>
            <w:proofErr w:type="spellEnd"/>
          </w:p>
          <w:p w14:paraId="19860D6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 10°C)</w:t>
            </w:r>
          </w:p>
        </w:tc>
        <w:tc>
          <w:tcPr>
            <w:tcW w:w="709" w:type="dxa"/>
            <w:vAlign w:val="center"/>
          </w:tcPr>
          <w:p w14:paraId="46BD538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r>
      <w:tr w:rsidR="004D7D23" w:rsidRPr="007B192E" w14:paraId="4F1B6292" w14:textId="77777777" w:rsidTr="008F7A94">
        <w:trPr>
          <w:jc w:val="center"/>
        </w:trPr>
        <w:tc>
          <w:tcPr>
            <w:tcW w:w="1327" w:type="dxa"/>
            <w:vMerge/>
          </w:tcPr>
          <w:p w14:paraId="4492D810"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5077C2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Rozciąganie bezpośrednie w 5°C (rozciąganie 100 mm/min)</w:t>
            </w:r>
          </w:p>
        </w:tc>
        <w:tc>
          <w:tcPr>
            <w:tcW w:w="850" w:type="dxa"/>
            <w:vAlign w:val="center"/>
          </w:tcPr>
          <w:p w14:paraId="1D7C7FF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13587 [58]      PN-EN 13703 [61]</w:t>
            </w:r>
          </w:p>
        </w:tc>
        <w:tc>
          <w:tcPr>
            <w:tcW w:w="851" w:type="dxa"/>
            <w:vAlign w:val="center"/>
          </w:tcPr>
          <w:p w14:paraId="4C4515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J/cm</w:t>
            </w:r>
            <w:r w:rsidRPr="007B192E">
              <w:rPr>
                <w:rFonts w:ascii="Arial" w:hAnsi="Arial" w:cs="Arial"/>
                <w:color w:val="000000" w:themeColor="text1"/>
                <w:sz w:val="18"/>
                <w:szCs w:val="18"/>
                <w:vertAlign w:val="superscript"/>
              </w:rPr>
              <w:t>2</w:t>
            </w:r>
          </w:p>
        </w:tc>
        <w:tc>
          <w:tcPr>
            <w:tcW w:w="850" w:type="dxa"/>
            <w:vAlign w:val="center"/>
          </w:tcPr>
          <w:p w14:paraId="115A4848" w14:textId="77777777" w:rsidR="00F45500" w:rsidRPr="007B192E" w:rsidRDefault="00F45500" w:rsidP="008F7A94">
            <w:pPr>
              <w:jc w:val="both"/>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4F93A06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6D7CD293"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8" w:type="dxa"/>
            <w:vAlign w:val="center"/>
          </w:tcPr>
          <w:p w14:paraId="68A73EB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731E19A5" w14:textId="77777777" w:rsidR="00F45500" w:rsidRPr="007B192E" w:rsidRDefault="00F45500" w:rsidP="008F7A94">
            <w:pPr>
              <w:jc w:val="both"/>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64CAB1F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r>
      <w:tr w:rsidR="004D7D23" w:rsidRPr="007B192E" w14:paraId="0EFEA916" w14:textId="77777777" w:rsidTr="008F7A94">
        <w:trPr>
          <w:jc w:val="center"/>
        </w:trPr>
        <w:tc>
          <w:tcPr>
            <w:tcW w:w="1327" w:type="dxa"/>
            <w:vMerge/>
          </w:tcPr>
          <w:p w14:paraId="68A15A32"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110E24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Wahadło </w:t>
            </w:r>
            <w:proofErr w:type="spellStart"/>
            <w:r w:rsidRPr="007B192E">
              <w:rPr>
                <w:rFonts w:ascii="Arial" w:hAnsi="Arial" w:cs="Arial"/>
                <w:color w:val="000000" w:themeColor="text1"/>
                <w:sz w:val="18"/>
                <w:szCs w:val="18"/>
              </w:rPr>
              <w:t>Vialit</w:t>
            </w:r>
            <w:proofErr w:type="spellEnd"/>
            <w:r w:rsidRPr="007B192E">
              <w:rPr>
                <w:rFonts w:ascii="Arial" w:hAnsi="Arial" w:cs="Arial"/>
                <w:color w:val="000000" w:themeColor="text1"/>
                <w:sz w:val="18"/>
                <w:szCs w:val="18"/>
              </w:rPr>
              <w:t xml:space="preserve"> (meto-da uderzenia)</w:t>
            </w:r>
          </w:p>
        </w:tc>
        <w:tc>
          <w:tcPr>
            <w:tcW w:w="850" w:type="dxa"/>
            <w:vAlign w:val="center"/>
          </w:tcPr>
          <w:p w14:paraId="6690ACC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13588 [59]</w:t>
            </w:r>
          </w:p>
        </w:tc>
        <w:tc>
          <w:tcPr>
            <w:tcW w:w="851" w:type="dxa"/>
            <w:vAlign w:val="center"/>
          </w:tcPr>
          <w:p w14:paraId="5740EA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J/cm</w:t>
            </w:r>
            <w:r w:rsidRPr="007B192E">
              <w:rPr>
                <w:rFonts w:ascii="Arial" w:hAnsi="Arial" w:cs="Arial"/>
                <w:color w:val="000000" w:themeColor="text1"/>
                <w:sz w:val="18"/>
                <w:szCs w:val="18"/>
                <w:vertAlign w:val="superscript"/>
              </w:rPr>
              <w:t>2</w:t>
            </w:r>
          </w:p>
        </w:tc>
        <w:tc>
          <w:tcPr>
            <w:tcW w:w="850" w:type="dxa"/>
            <w:vAlign w:val="center"/>
          </w:tcPr>
          <w:p w14:paraId="706CDC96" w14:textId="77777777" w:rsidR="00F45500" w:rsidRPr="007B192E" w:rsidRDefault="00F45500" w:rsidP="008F7A94">
            <w:pPr>
              <w:jc w:val="both"/>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1B5753A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00316D44"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8" w:type="dxa"/>
            <w:vAlign w:val="center"/>
          </w:tcPr>
          <w:p w14:paraId="0339684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4C622377" w14:textId="77777777" w:rsidR="00F45500" w:rsidRPr="007B192E" w:rsidRDefault="00F45500" w:rsidP="008F7A94">
            <w:pPr>
              <w:jc w:val="both"/>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6BF772D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r>
      <w:tr w:rsidR="004D7D23" w:rsidRPr="007B192E" w14:paraId="5623848B" w14:textId="77777777" w:rsidTr="008F7A94">
        <w:trPr>
          <w:jc w:val="center"/>
        </w:trPr>
        <w:tc>
          <w:tcPr>
            <w:tcW w:w="1327" w:type="dxa"/>
            <w:vMerge w:val="restart"/>
            <w:vAlign w:val="center"/>
          </w:tcPr>
          <w:p w14:paraId="5AA95C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Stałość </w:t>
            </w:r>
            <w:proofErr w:type="spellStart"/>
            <w:r w:rsidRPr="007B192E">
              <w:rPr>
                <w:rFonts w:ascii="Arial" w:hAnsi="Arial" w:cs="Arial"/>
                <w:color w:val="000000" w:themeColor="text1"/>
                <w:sz w:val="18"/>
                <w:szCs w:val="18"/>
              </w:rPr>
              <w:t>kon</w:t>
            </w:r>
            <w:proofErr w:type="spellEnd"/>
            <w:r w:rsidRPr="007B192E">
              <w:rPr>
                <w:rFonts w:ascii="Arial" w:hAnsi="Arial" w:cs="Arial"/>
                <w:color w:val="000000" w:themeColor="text1"/>
                <w:sz w:val="18"/>
                <w:szCs w:val="18"/>
              </w:rPr>
              <w:t>-</w:t>
            </w:r>
          </w:p>
          <w:p w14:paraId="2E60AE33"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systencji</w:t>
            </w:r>
            <w:proofErr w:type="spellEnd"/>
            <w:r w:rsidRPr="007B192E">
              <w:rPr>
                <w:rFonts w:ascii="Arial" w:hAnsi="Arial" w:cs="Arial"/>
                <w:color w:val="000000" w:themeColor="text1"/>
                <w:sz w:val="18"/>
                <w:szCs w:val="18"/>
              </w:rPr>
              <w:t xml:space="preserve"> (Odporność na starzenie)</w:t>
            </w:r>
          </w:p>
          <w:p w14:paraId="4E07AA0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wg PN-EN 12607-1 [30]</w:t>
            </w:r>
          </w:p>
        </w:tc>
        <w:tc>
          <w:tcPr>
            <w:tcW w:w="1276" w:type="dxa"/>
            <w:vAlign w:val="center"/>
          </w:tcPr>
          <w:p w14:paraId="17129DA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Zmiana masy</w:t>
            </w:r>
          </w:p>
        </w:tc>
        <w:tc>
          <w:tcPr>
            <w:tcW w:w="850" w:type="dxa"/>
            <w:vAlign w:val="center"/>
          </w:tcPr>
          <w:p w14:paraId="40377B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12607-1[30]</w:t>
            </w:r>
          </w:p>
        </w:tc>
        <w:tc>
          <w:tcPr>
            <w:tcW w:w="851" w:type="dxa"/>
            <w:vAlign w:val="center"/>
          </w:tcPr>
          <w:p w14:paraId="2B93F57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850" w:type="dxa"/>
            <w:vAlign w:val="center"/>
          </w:tcPr>
          <w:p w14:paraId="663C488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0,5</w:t>
            </w:r>
          </w:p>
        </w:tc>
        <w:tc>
          <w:tcPr>
            <w:tcW w:w="709" w:type="dxa"/>
            <w:vAlign w:val="center"/>
          </w:tcPr>
          <w:p w14:paraId="31B6E6F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851" w:type="dxa"/>
            <w:vAlign w:val="center"/>
          </w:tcPr>
          <w:p w14:paraId="50C6701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0,5</w:t>
            </w:r>
          </w:p>
        </w:tc>
        <w:tc>
          <w:tcPr>
            <w:tcW w:w="708" w:type="dxa"/>
            <w:vAlign w:val="center"/>
          </w:tcPr>
          <w:p w14:paraId="67C7C3B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851" w:type="dxa"/>
            <w:vAlign w:val="center"/>
          </w:tcPr>
          <w:p w14:paraId="75ACA3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0,5</w:t>
            </w:r>
          </w:p>
        </w:tc>
        <w:tc>
          <w:tcPr>
            <w:tcW w:w="709" w:type="dxa"/>
            <w:vAlign w:val="center"/>
          </w:tcPr>
          <w:p w14:paraId="7B06FCF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r>
      <w:tr w:rsidR="004D7D23" w:rsidRPr="007B192E" w14:paraId="2F245E8D" w14:textId="77777777" w:rsidTr="008F7A94">
        <w:trPr>
          <w:jc w:val="center"/>
        </w:trPr>
        <w:tc>
          <w:tcPr>
            <w:tcW w:w="1327" w:type="dxa"/>
            <w:vMerge/>
          </w:tcPr>
          <w:p w14:paraId="2BA0A93B"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4D8903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Pozostała penetracja</w:t>
            </w:r>
          </w:p>
        </w:tc>
        <w:tc>
          <w:tcPr>
            <w:tcW w:w="850" w:type="dxa"/>
            <w:vAlign w:val="center"/>
          </w:tcPr>
          <w:p w14:paraId="1C458E5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1426 [21]</w:t>
            </w:r>
          </w:p>
        </w:tc>
        <w:tc>
          <w:tcPr>
            <w:tcW w:w="851" w:type="dxa"/>
            <w:vAlign w:val="center"/>
          </w:tcPr>
          <w:p w14:paraId="337269EF"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850" w:type="dxa"/>
            <w:vAlign w:val="center"/>
          </w:tcPr>
          <w:p w14:paraId="4756D6DB"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60</w:t>
            </w:r>
          </w:p>
        </w:tc>
        <w:tc>
          <w:tcPr>
            <w:tcW w:w="709" w:type="dxa"/>
            <w:vAlign w:val="center"/>
          </w:tcPr>
          <w:p w14:paraId="697D7203"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851" w:type="dxa"/>
            <w:vAlign w:val="center"/>
          </w:tcPr>
          <w:p w14:paraId="0C8BD0DC"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60</w:t>
            </w:r>
          </w:p>
        </w:tc>
        <w:tc>
          <w:tcPr>
            <w:tcW w:w="708" w:type="dxa"/>
            <w:vAlign w:val="center"/>
          </w:tcPr>
          <w:p w14:paraId="6AD82D62"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851" w:type="dxa"/>
            <w:vAlign w:val="center"/>
          </w:tcPr>
          <w:p w14:paraId="025201EA"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60</w:t>
            </w:r>
          </w:p>
        </w:tc>
        <w:tc>
          <w:tcPr>
            <w:tcW w:w="709" w:type="dxa"/>
            <w:vAlign w:val="center"/>
          </w:tcPr>
          <w:p w14:paraId="1F20247C"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7</w:t>
            </w:r>
          </w:p>
        </w:tc>
      </w:tr>
      <w:tr w:rsidR="004D7D23" w:rsidRPr="007B192E" w14:paraId="5A0F2F04" w14:textId="77777777" w:rsidTr="008F7A94">
        <w:trPr>
          <w:jc w:val="center"/>
        </w:trPr>
        <w:tc>
          <w:tcPr>
            <w:tcW w:w="1327" w:type="dxa"/>
            <w:vMerge/>
          </w:tcPr>
          <w:p w14:paraId="214C05DD"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7C89C36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Wzrost </w:t>
            </w:r>
            <w:proofErr w:type="spellStart"/>
            <w:r w:rsidRPr="007B192E">
              <w:rPr>
                <w:rFonts w:ascii="Arial" w:hAnsi="Arial" w:cs="Arial"/>
                <w:color w:val="000000" w:themeColor="text1"/>
                <w:sz w:val="18"/>
                <w:szCs w:val="18"/>
              </w:rPr>
              <w:t>tem-peratury</w:t>
            </w:r>
            <w:proofErr w:type="spellEnd"/>
            <w:r w:rsidRPr="007B192E">
              <w:rPr>
                <w:rFonts w:ascii="Arial" w:hAnsi="Arial" w:cs="Arial"/>
                <w:color w:val="000000" w:themeColor="text1"/>
                <w:sz w:val="18"/>
                <w:szCs w:val="18"/>
              </w:rPr>
              <w:t xml:space="preserve"> mięknienia</w:t>
            </w:r>
          </w:p>
        </w:tc>
        <w:tc>
          <w:tcPr>
            <w:tcW w:w="850" w:type="dxa"/>
            <w:vAlign w:val="center"/>
          </w:tcPr>
          <w:p w14:paraId="4C1B2C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851" w:type="dxa"/>
            <w:vAlign w:val="center"/>
          </w:tcPr>
          <w:p w14:paraId="4978A77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34BD19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w:t>
            </w:r>
          </w:p>
        </w:tc>
        <w:tc>
          <w:tcPr>
            <w:tcW w:w="709" w:type="dxa"/>
            <w:vAlign w:val="center"/>
          </w:tcPr>
          <w:p w14:paraId="558A45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51" w:type="dxa"/>
            <w:vAlign w:val="center"/>
          </w:tcPr>
          <w:p w14:paraId="349B6B2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w:t>
            </w:r>
          </w:p>
        </w:tc>
        <w:tc>
          <w:tcPr>
            <w:tcW w:w="708" w:type="dxa"/>
            <w:vAlign w:val="center"/>
          </w:tcPr>
          <w:p w14:paraId="496A4F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51" w:type="dxa"/>
            <w:vAlign w:val="center"/>
          </w:tcPr>
          <w:p w14:paraId="0E73BC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w:t>
            </w:r>
          </w:p>
        </w:tc>
        <w:tc>
          <w:tcPr>
            <w:tcW w:w="709" w:type="dxa"/>
            <w:vAlign w:val="center"/>
          </w:tcPr>
          <w:p w14:paraId="091A89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r>
      <w:tr w:rsidR="004D7D23" w:rsidRPr="007B192E" w14:paraId="29573613" w14:textId="77777777" w:rsidTr="008F7A94">
        <w:trPr>
          <w:jc w:val="center"/>
        </w:trPr>
        <w:tc>
          <w:tcPr>
            <w:tcW w:w="1327" w:type="dxa"/>
            <w:vAlign w:val="center"/>
          </w:tcPr>
          <w:p w14:paraId="138B88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Inne właściwości</w:t>
            </w:r>
          </w:p>
        </w:tc>
        <w:tc>
          <w:tcPr>
            <w:tcW w:w="1276" w:type="dxa"/>
            <w:vAlign w:val="center"/>
          </w:tcPr>
          <w:p w14:paraId="6AF0B9D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Temperatura zapłonu</w:t>
            </w:r>
          </w:p>
        </w:tc>
        <w:tc>
          <w:tcPr>
            <w:tcW w:w="850" w:type="dxa"/>
            <w:vAlign w:val="center"/>
          </w:tcPr>
          <w:p w14:paraId="30154A2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ISO 2592 [68]</w:t>
            </w:r>
          </w:p>
        </w:tc>
        <w:tc>
          <w:tcPr>
            <w:tcW w:w="851" w:type="dxa"/>
            <w:vAlign w:val="center"/>
          </w:tcPr>
          <w:p w14:paraId="3BC9F80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4E3C2FA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235</w:t>
            </w:r>
          </w:p>
        </w:tc>
        <w:tc>
          <w:tcPr>
            <w:tcW w:w="709" w:type="dxa"/>
            <w:vAlign w:val="center"/>
          </w:tcPr>
          <w:p w14:paraId="75FD0C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851" w:type="dxa"/>
            <w:vAlign w:val="center"/>
          </w:tcPr>
          <w:p w14:paraId="07C569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235</w:t>
            </w:r>
          </w:p>
        </w:tc>
        <w:tc>
          <w:tcPr>
            <w:tcW w:w="708" w:type="dxa"/>
            <w:vAlign w:val="center"/>
          </w:tcPr>
          <w:p w14:paraId="3B6C64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851" w:type="dxa"/>
            <w:vAlign w:val="center"/>
          </w:tcPr>
          <w:p w14:paraId="484E0F6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235</w:t>
            </w:r>
          </w:p>
        </w:tc>
        <w:tc>
          <w:tcPr>
            <w:tcW w:w="709" w:type="dxa"/>
            <w:vAlign w:val="center"/>
          </w:tcPr>
          <w:p w14:paraId="75B12EA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r>
      <w:tr w:rsidR="004D7D23" w:rsidRPr="007B192E" w14:paraId="04D1AD3F" w14:textId="77777777" w:rsidTr="008F7A94">
        <w:trPr>
          <w:jc w:val="center"/>
        </w:trPr>
        <w:tc>
          <w:tcPr>
            <w:tcW w:w="1327" w:type="dxa"/>
            <w:vMerge w:val="restart"/>
            <w:vAlign w:val="center"/>
          </w:tcPr>
          <w:p w14:paraId="11C2515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w:t>
            </w:r>
          </w:p>
          <w:p w14:paraId="66B759A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Dodatkowe</w:t>
            </w:r>
          </w:p>
        </w:tc>
        <w:tc>
          <w:tcPr>
            <w:tcW w:w="1276" w:type="dxa"/>
            <w:vAlign w:val="center"/>
          </w:tcPr>
          <w:p w14:paraId="22F7872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Temperatura łamliwości</w:t>
            </w:r>
          </w:p>
        </w:tc>
        <w:tc>
          <w:tcPr>
            <w:tcW w:w="850" w:type="dxa"/>
            <w:tcBorders>
              <w:bottom w:val="single" w:sz="4" w:space="0" w:color="auto"/>
            </w:tcBorders>
            <w:vAlign w:val="center"/>
          </w:tcPr>
          <w:p w14:paraId="0D09C0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12593 [26]</w:t>
            </w:r>
          </w:p>
        </w:tc>
        <w:tc>
          <w:tcPr>
            <w:tcW w:w="851" w:type="dxa"/>
            <w:tcBorders>
              <w:bottom w:val="single" w:sz="4" w:space="0" w:color="auto"/>
            </w:tcBorders>
            <w:vAlign w:val="center"/>
          </w:tcPr>
          <w:p w14:paraId="4A3B66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63E254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-15</w:t>
            </w:r>
          </w:p>
        </w:tc>
        <w:tc>
          <w:tcPr>
            <w:tcW w:w="709" w:type="dxa"/>
            <w:vAlign w:val="center"/>
          </w:tcPr>
          <w:p w14:paraId="7CC34C0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851" w:type="dxa"/>
            <w:vAlign w:val="center"/>
          </w:tcPr>
          <w:p w14:paraId="6B48D66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-15</w:t>
            </w:r>
          </w:p>
        </w:tc>
        <w:tc>
          <w:tcPr>
            <w:tcW w:w="708" w:type="dxa"/>
            <w:vAlign w:val="center"/>
          </w:tcPr>
          <w:p w14:paraId="64550A4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851" w:type="dxa"/>
            <w:vAlign w:val="center"/>
          </w:tcPr>
          <w:p w14:paraId="2D78F5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-18</w:t>
            </w:r>
          </w:p>
        </w:tc>
        <w:tc>
          <w:tcPr>
            <w:tcW w:w="709" w:type="dxa"/>
            <w:vAlign w:val="center"/>
          </w:tcPr>
          <w:p w14:paraId="14686AB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r>
      <w:tr w:rsidR="004D7D23" w:rsidRPr="007B192E" w14:paraId="1FCEF523" w14:textId="77777777" w:rsidTr="008F7A94">
        <w:trPr>
          <w:jc w:val="center"/>
        </w:trPr>
        <w:tc>
          <w:tcPr>
            <w:tcW w:w="1327" w:type="dxa"/>
            <w:vMerge/>
          </w:tcPr>
          <w:p w14:paraId="7AEFEC0D"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613FA8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Nawrót sprężysty w 25°C</w:t>
            </w:r>
          </w:p>
        </w:tc>
        <w:tc>
          <w:tcPr>
            <w:tcW w:w="850" w:type="dxa"/>
            <w:vMerge w:val="restart"/>
            <w:vAlign w:val="center"/>
          </w:tcPr>
          <w:p w14:paraId="6229973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13398</w:t>
            </w:r>
          </w:p>
          <w:p w14:paraId="709B577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[56]</w:t>
            </w:r>
          </w:p>
        </w:tc>
        <w:tc>
          <w:tcPr>
            <w:tcW w:w="851" w:type="dxa"/>
            <w:vMerge w:val="restart"/>
            <w:vAlign w:val="center"/>
          </w:tcPr>
          <w:p w14:paraId="1276A64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850" w:type="dxa"/>
            <w:vAlign w:val="center"/>
          </w:tcPr>
          <w:p w14:paraId="6CD5C0F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70</w:t>
            </w:r>
          </w:p>
        </w:tc>
        <w:tc>
          <w:tcPr>
            <w:tcW w:w="709" w:type="dxa"/>
            <w:vAlign w:val="center"/>
          </w:tcPr>
          <w:p w14:paraId="5F59A9E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851" w:type="dxa"/>
            <w:vAlign w:val="center"/>
          </w:tcPr>
          <w:p w14:paraId="0DD74C9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80</w:t>
            </w:r>
          </w:p>
        </w:tc>
        <w:tc>
          <w:tcPr>
            <w:tcW w:w="708" w:type="dxa"/>
            <w:vAlign w:val="center"/>
          </w:tcPr>
          <w:p w14:paraId="17A248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51" w:type="dxa"/>
            <w:vAlign w:val="center"/>
          </w:tcPr>
          <w:p w14:paraId="47D645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80</w:t>
            </w:r>
          </w:p>
        </w:tc>
        <w:tc>
          <w:tcPr>
            <w:tcW w:w="709" w:type="dxa"/>
            <w:vAlign w:val="center"/>
          </w:tcPr>
          <w:p w14:paraId="0237554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r>
      <w:tr w:rsidR="004D7D23" w:rsidRPr="007B192E" w14:paraId="1353DE50" w14:textId="77777777" w:rsidTr="008F7A94">
        <w:trPr>
          <w:jc w:val="center"/>
        </w:trPr>
        <w:tc>
          <w:tcPr>
            <w:tcW w:w="1327" w:type="dxa"/>
            <w:vMerge/>
          </w:tcPr>
          <w:p w14:paraId="619EF49D"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2A1B250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Nawrót sprężysty w 10°C</w:t>
            </w:r>
          </w:p>
        </w:tc>
        <w:tc>
          <w:tcPr>
            <w:tcW w:w="850" w:type="dxa"/>
            <w:vMerge/>
            <w:vAlign w:val="center"/>
          </w:tcPr>
          <w:p w14:paraId="6E67FF90" w14:textId="77777777" w:rsidR="00F45500" w:rsidRPr="007B192E" w:rsidRDefault="00F45500" w:rsidP="008F7A94">
            <w:pPr>
              <w:jc w:val="both"/>
              <w:rPr>
                <w:rFonts w:ascii="Arial" w:hAnsi="Arial" w:cs="Arial"/>
                <w:color w:val="000000" w:themeColor="text1"/>
                <w:sz w:val="18"/>
                <w:szCs w:val="18"/>
              </w:rPr>
            </w:pPr>
          </w:p>
        </w:tc>
        <w:tc>
          <w:tcPr>
            <w:tcW w:w="851" w:type="dxa"/>
            <w:vMerge/>
            <w:vAlign w:val="center"/>
          </w:tcPr>
          <w:p w14:paraId="26C433D8" w14:textId="77777777" w:rsidR="00F45500" w:rsidRPr="007B192E" w:rsidRDefault="00F45500" w:rsidP="008F7A94">
            <w:pPr>
              <w:jc w:val="both"/>
              <w:rPr>
                <w:rFonts w:ascii="Arial" w:hAnsi="Arial" w:cs="Arial"/>
                <w:color w:val="000000" w:themeColor="text1"/>
                <w:sz w:val="18"/>
                <w:szCs w:val="18"/>
              </w:rPr>
            </w:pPr>
          </w:p>
        </w:tc>
        <w:tc>
          <w:tcPr>
            <w:tcW w:w="850" w:type="dxa"/>
            <w:vAlign w:val="center"/>
          </w:tcPr>
          <w:p w14:paraId="5005BB1C"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06E8129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101EEB07"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8" w:type="dxa"/>
            <w:vAlign w:val="center"/>
          </w:tcPr>
          <w:p w14:paraId="0D2B24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4B2F2A88" w14:textId="77777777" w:rsidR="00F45500" w:rsidRPr="007B192E" w:rsidRDefault="00F45500" w:rsidP="008F7A94">
            <w:pPr>
              <w:jc w:val="both"/>
              <w:rPr>
                <w:rFonts w:ascii="Arial" w:hAnsi="Arial" w:cs="Arial"/>
                <w:color w:val="000000" w:themeColor="text1"/>
                <w:sz w:val="18"/>
                <w:szCs w:val="18"/>
                <w:vertAlign w:val="superscript"/>
              </w:rPr>
            </w:pPr>
            <w:proofErr w:type="spellStart"/>
            <w:r w:rsidRPr="007B192E">
              <w:rPr>
                <w:rFonts w:ascii="Arial" w:hAnsi="Arial" w:cs="Arial"/>
                <w:color w:val="000000" w:themeColor="text1"/>
                <w:sz w:val="18"/>
                <w:szCs w:val="18"/>
              </w:rPr>
              <w:t>TBR</w:t>
            </w:r>
            <w:r w:rsidRPr="007B192E">
              <w:rPr>
                <w:rFonts w:ascii="Arial" w:hAnsi="Arial" w:cs="Arial"/>
                <w:color w:val="000000" w:themeColor="text1"/>
                <w:sz w:val="18"/>
                <w:szCs w:val="18"/>
                <w:vertAlign w:val="superscript"/>
              </w:rPr>
              <w:t>b</w:t>
            </w:r>
            <w:proofErr w:type="spellEnd"/>
          </w:p>
        </w:tc>
        <w:tc>
          <w:tcPr>
            <w:tcW w:w="709" w:type="dxa"/>
            <w:vAlign w:val="center"/>
          </w:tcPr>
          <w:p w14:paraId="6B7F72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5DBD5550" w14:textId="77777777" w:rsidTr="008F7A94">
        <w:trPr>
          <w:jc w:val="center"/>
        </w:trPr>
        <w:tc>
          <w:tcPr>
            <w:tcW w:w="1327" w:type="dxa"/>
            <w:vMerge/>
            <w:vAlign w:val="center"/>
          </w:tcPr>
          <w:p w14:paraId="13846C45"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5A3A584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Zakres plastyczności</w:t>
            </w:r>
          </w:p>
        </w:tc>
        <w:tc>
          <w:tcPr>
            <w:tcW w:w="850" w:type="dxa"/>
            <w:vAlign w:val="center"/>
          </w:tcPr>
          <w:p w14:paraId="0B5A558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14023 [64] Punkt 5.1.9</w:t>
            </w:r>
          </w:p>
        </w:tc>
        <w:tc>
          <w:tcPr>
            <w:tcW w:w="851" w:type="dxa"/>
            <w:vAlign w:val="center"/>
          </w:tcPr>
          <w:p w14:paraId="238F971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56A4745F"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7E1135A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75434883"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8" w:type="dxa"/>
            <w:vAlign w:val="center"/>
          </w:tcPr>
          <w:p w14:paraId="3141C08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4282D288"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2FD371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r>
      <w:tr w:rsidR="004D7D23" w:rsidRPr="007B192E" w14:paraId="0D8B608A" w14:textId="77777777" w:rsidTr="008F7A94">
        <w:trPr>
          <w:jc w:val="center"/>
        </w:trPr>
        <w:tc>
          <w:tcPr>
            <w:tcW w:w="1327" w:type="dxa"/>
            <w:vMerge/>
          </w:tcPr>
          <w:p w14:paraId="437EB8E0"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6F8748E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Stabilność </w:t>
            </w:r>
            <w:proofErr w:type="spellStart"/>
            <w:r w:rsidRPr="007B192E">
              <w:rPr>
                <w:rFonts w:ascii="Arial" w:hAnsi="Arial" w:cs="Arial"/>
                <w:color w:val="000000" w:themeColor="text1"/>
                <w:sz w:val="18"/>
                <w:szCs w:val="18"/>
              </w:rPr>
              <w:t>magazynowa-nia</w:t>
            </w:r>
            <w:proofErr w:type="spellEnd"/>
            <w:r w:rsidRPr="007B192E">
              <w:rPr>
                <w:rFonts w:ascii="Arial" w:hAnsi="Arial" w:cs="Arial"/>
                <w:color w:val="000000" w:themeColor="text1"/>
                <w:sz w:val="18"/>
                <w:szCs w:val="18"/>
              </w:rPr>
              <w:t>. Różnica temperatur mięknienia</w:t>
            </w:r>
          </w:p>
        </w:tc>
        <w:tc>
          <w:tcPr>
            <w:tcW w:w="850" w:type="dxa"/>
            <w:vAlign w:val="center"/>
          </w:tcPr>
          <w:p w14:paraId="3404DCD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13399 [57]</w:t>
            </w:r>
          </w:p>
          <w:p w14:paraId="39985D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851" w:type="dxa"/>
            <w:vAlign w:val="center"/>
          </w:tcPr>
          <w:p w14:paraId="255712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187A13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w:t>
            </w:r>
          </w:p>
        </w:tc>
        <w:tc>
          <w:tcPr>
            <w:tcW w:w="709" w:type="dxa"/>
            <w:vAlign w:val="center"/>
          </w:tcPr>
          <w:p w14:paraId="1E48103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51" w:type="dxa"/>
            <w:vAlign w:val="center"/>
          </w:tcPr>
          <w:p w14:paraId="4DA303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w:t>
            </w:r>
          </w:p>
        </w:tc>
        <w:tc>
          <w:tcPr>
            <w:tcW w:w="708" w:type="dxa"/>
            <w:vAlign w:val="center"/>
          </w:tcPr>
          <w:p w14:paraId="01BA85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851" w:type="dxa"/>
            <w:vAlign w:val="center"/>
          </w:tcPr>
          <w:p w14:paraId="6BAF2AF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w:t>
            </w:r>
          </w:p>
        </w:tc>
        <w:tc>
          <w:tcPr>
            <w:tcW w:w="709" w:type="dxa"/>
            <w:vAlign w:val="center"/>
          </w:tcPr>
          <w:p w14:paraId="3A0FDC8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r>
      <w:tr w:rsidR="004D7D23" w:rsidRPr="007B192E" w14:paraId="37F8608C" w14:textId="77777777" w:rsidTr="008F7A94">
        <w:trPr>
          <w:jc w:val="center"/>
        </w:trPr>
        <w:tc>
          <w:tcPr>
            <w:tcW w:w="1327" w:type="dxa"/>
            <w:vMerge/>
            <w:tcBorders>
              <w:bottom w:val="single" w:sz="4" w:space="0" w:color="auto"/>
            </w:tcBorders>
          </w:tcPr>
          <w:p w14:paraId="37034488" w14:textId="77777777" w:rsidR="00F45500" w:rsidRPr="007B192E" w:rsidRDefault="00F45500" w:rsidP="008F7A94">
            <w:pPr>
              <w:jc w:val="both"/>
              <w:rPr>
                <w:rFonts w:ascii="Arial" w:hAnsi="Arial" w:cs="Arial"/>
                <w:color w:val="000000" w:themeColor="text1"/>
                <w:sz w:val="18"/>
                <w:szCs w:val="18"/>
              </w:rPr>
            </w:pPr>
          </w:p>
        </w:tc>
        <w:tc>
          <w:tcPr>
            <w:tcW w:w="1276" w:type="dxa"/>
            <w:vAlign w:val="center"/>
          </w:tcPr>
          <w:p w14:paraId="1368EA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Stabilność </w:t>
            </w:r>
            <w:proofErr w:type="spellStart"/>
            <w:r w:rsidRPr="007B192E">
              <w:rPr>
                <w:rFonts w:ascii="Arial" w:hAnsi="Arial" w:cs="Arial"/>
                <w:color w:val="000000" w:themeColor="text1"/>
                <w:sz w:val="18"/>
                <w:szCs w:val="18"/>
              </w:rPr>
              <w:t>magazynowa-nia</w:t>
            </w:r>
            <w:proofErr w:type="spellEnd"/>
            <w:r w:rsidRPr="007B192E">
              <w:rPr>
                <w:rFonts w:ascii="Arial" w:hAnsi="Arial" w:cs="Arial"/>
                <w:color w:val="000000" w:themeColor="text1"/>
                <w:sz w:val="18"/>
                <w:szCs w:val="18"/>
              </w:rPr>
              <w:t>. Różnica penetracji</w:t>
            </w:r>
          </w:p>
        </w:tc>
        <w:tc>
          <w:tcPr>
            <w:tcW w:w="850" w:type="dxa"/>
            <w:vAlign w:val="center"/>
          </w:tcPr>
          <w:p w14:paraId="3AF15E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13399 [57]</w:t>
            </w:r>
          </w:p>
          <w:p w14:paraId="58B39B8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1426 [21]</w:t>
            </w:r>
          </w:p>
        </w:tc>
        <w:tc>
          <w:tcPr>
            <w:tcW w:w="851" w:type="dxa"/>
            <w:vAlign w:val="center"/>
          </w:tcPr>
          <w:p w14:paraId="7D63727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0,1 mm</w:t>
            </w:r>
          </w:p>
        </w:tc>
        <w:tc>
          <w:tcPr>
            <w:tcW w:w="850" w:type="dxa"/>
            <w:vAlign w:val="center"/>
          </w:tcPr>
          <w:p w14:paraId="6B2A73C7"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56A8769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17D9EB27"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8" w:type="dxa"/>
            <w:vAlign w:val="center"/>
          </w:tcPr>
          <w:p w14:paraId="1E1EF36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246CDE7C"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7F9FFEA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r>
      <w:tr w:rsidR="004D7D23" w:rsidRPr="007B192E" w14:paraId="0C7D1503" w14:textId="77777777" w:rsidTr="008F7A94">
        <w:trPr>
          <w:jc w:val="center"/>
        </w:trPr>
        <w:tc>
          <w:tcPr>
            <w:tcW w:w="1327" w:type="dxa"/>
            <w:vMerge w:val="restart"/>
            <w:tcBorders>
              <w:top w:val="single" w:sz="4" w:space="0" w:color="auto"/>
              <w:left w:val="single" w:sz="4" w:space="0" w:color="auto"/>
              <w:right w:val="single" w:sz="4" w:space="0" w:color="auto"/>
            </w:tcBorders>
            <w:vAlign w:val="center"/>
          </w:tcPr>
          <w:p w14:paraId="4E9CB0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w:t>
            </w:r>
          </w:p>
          <w:p w14:paraId="6C31CFA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Dodatkowe</w:t>
            </w:r>
          </w:p>
        </w:tc>
        <w:tc>
          <w:tcPr>
            <w:tcW w:w="1276" w:type="dxa"/>
            <w:tcBorders>
              <w:left w:val="single" w:sz="4" w:space="0" w:color="auto"/>
            </w:tcBorders>
            <w:vAlign w:val="center"/>
          </w:tcPr>
          <w:p w14:paraId="4DF93E5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Spadek </w:t>
            </w:r>
            <w:proofErr w:type="spellStart"/>
            <w:r w:rsidRPr="007B192E">
              <w:rPr>
                <w:rFonts w:ascii="Arial" w:hAnsi="Arial" w:cs="Arial"/>
                <w:color w:val="000000" w:themeColor="text1"/>
                <w:sz w:val="18"/>
                <w:szCs w:val="18"/>
              </w:rPr>
              <w:t>tem</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peratury</w:t>
            </w:r>
            <w:proofErr w:type="spellEnd"/>
            <w:r w:rsidRPr="007B192E">
              <w:rPr>
                <w:rFonts w:ascii="Arial" w:hAnsi="Arial" w:cs="Arial"/>
                <w:color w:val="000000" w:themeColor="text1"/>
                <w:sz w:val="18"/>
                <w:szCs w:val="18"/>
              </w:rPr>
              <w:t xml:space="preserve"> mięknienia po starzeniu wg PN-EN 12607</w:t>
            </w:r>
          </w:p>
          <w:p w14:paraId="6DD8B03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  [30]</w:t>
            </w:r>
          </w:p>
        </w:tc>
        <w:tc>
          <w:tcPr>
            <w:tcW w:w="850" w:type="dxa"/>
            <w:tcBorders>
              <w:bottom w:val="single" w:sz="4" w:space="0" w:color="auto"/>
            </w:tcBorders>
            <w:vAlign w:val="center"/>
          </w:tcPr>
          <w:p w14:paraId="2CED4BC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12607-1 [29]</w:t>
            </w:r>
          </w:p>
          <w:p w14:paraId="2680FFD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851" w:type="dxa"/>
            <w:tcBorders>
              <w:bottom w:val="single" w:sz="4" w:space="0" w:color="auto"/>
            </w:tcBorders>
            <w:vAlign w:val="center"/>
          </w:tcPr>
          <w:p w14:paraId="3DE2A5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850" w:type="dxa"/>
            <w:vAlign w:val="center"/>
          </w:tcPr>
          <w:p w14:paraId="3AED6E65"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TBR</w:t>
            </w:r>
            <w:r w:rsidRPr="007B192E">
              <w:rPr>
                <w:rFonts w:ascii="Arial" w:hAnsi="Arial" w:cs="Arial"/>
                <w:color w:val="000000" w:themeColor="text1"/>
                <w:sz w:val="18"/>
                <w:szCs w:val="18"/>
                <w:vertAlign w:val="superscript"/>
              </w:rPr>
              <w:t>b</w:t>
            </w:r>
            <w:proofErr w:type="spellEnd"/>
          </w:p>
        </w:tc>
        <w:tc>
          <w:tcPr>
            <w:tcW w:w="709" w:type="dxa"/>
            <w:vAlign w:val="center"/>
          </w:tcPr>
          <w:p w14:paraId="41B0DB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851" w:type="dxa"/>
            <w:vAlign w:val="center"/>
          </w:tcPr>
          <w:p w14:paraId="38D7254D"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TBR</w:t>
            </w:r>
            <w:r w:rsidRPr="007B192E">
              <w:rPr>
                <w:rFonts w:ascii="Arial" w:hAnsi="Arial" w:cs="Arial"/>
                <w:color w:val="000000" w:themeColor="text1"/>
                <w:sz w:val="18"/>
                <w:szCs w:val="18"/>
                <w:vertAlign w:val="superscript"/>
              </w:rPr>
              <w:t>b</w:t>
            </w:r>
            <w:proofErr w:type="spellEnd"/>
          </w:p>
        </w:tc>
        <w:tc>
          <w:tcPr>
            <w:tcW w:w="708" w:type="dxa"/>
            <w:vAlign w:val="center"/>
          </w:tcPr>
          <w:p w14:paraId="30BEBDA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851" w:type="dxa"/>
            <w:vAlign w:val="center"/>
          </w:tcPr>
          <w:p w14:paraId="207EC933"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TBR</w:t>
            </w:r>
            <w:r w:rsidRPr="007B192E">
              <w:rPr>
                <w:rFonts w:ascii="Arial" w:hAnsi="Arial" w:cs="Arial"/>
                <w:color w:val="000000" w:themeColor="text1"/>
                <w:sz w:val="18"/>
                <w:szCs w:val="18"/>
                <w:vertAlign w:val="superscript"/>
              </w:rPr>
              <w:t>b</w:t>
            </w:r>
            <w:proofErr w:type="spellEnd"/>
          </w:p>
        </w:tc>
        <w:tc>
          <w:tcPr>
            <w:tcW w:w="709" w:type="dxa"/>
            <w:vAlign w:val="center"/>
          </w:tcPr>
          <w:p w14:paraId="3AF963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3E4CACDD" w14:textId="77777777" w:rsidTr="008F7A94">
        <w:trPr>
          <w:jc w:val="center"/>
        </w:trPr>
        <w:tc>
          <w:tcPr>
            <w:tcW w:w="1327" w:type="dxa"/>
            <w:vMerge/>
            <w:tcBorders>
              <w:left w:val="single" w:sz="4" w:space="0" w:color="auto"/>
              <w:right w:val="single" w:sz="4" w:space="0" w:color="auto"/>
            </w:tcBorders>
            <w:vAlign w:val="center"/>
          </w:tcPr>
          <w:p w14:paraId="359BC77E" w14:textId="77777777" w:rsidR="00F45500" w:rsidRPr="007B192E" w:rsidRDefault="00F45500" w:rsidP="008F7A94">
            <w:pPr>
              <w:jc w:val="both"/>
              <w:rPr>
                <w:rFonts w:ascii="Arial" w:hAnsi="Arial" w:cs="Arial"/>
                <w:color w:val="000000" w:themeColor="text1"/>
                <w:sz w:val="18"/>
                <w:szCs w:val="18"/>
              </w:rPr>
            </w:pPr>
          </w:p>
        </w:tc>
        <w:tc>
          <w:tcPr>
            <w:tcW w:w="1276" w:type="dxa"/>
            <w:tcBorders>
              <w:left w:val="single" w:sz="4" w:space="0" w:color="auto"/>
            </w:tcBorders>
            <w:vAlign w:val="center"/>
          </w:tcPr>
          <w:p w14:paraId="3440F7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Nawrót </w:t>
            </w:r>
            <w:proofErr w:type="spellStart"/>
            <w:r w:rsidRPr="007B192E">
              <w:rPr>
                <w:rFonts w:ascii="Arial" w:hAnsi="Arial" w:cs="Arial"/>
                <w:color w:val="000000" w:themeColor="text1"/>
                <w:sz w:val="18"/>
                <w:szCs w:val="18"/>
              </w:rPr>
              <w:t>sprę-żysty</w:t>
            </w:r>
            <w:proofErr w:type="spellEnd"/>
            <w:r w:rsidRPr="007B192E">
              <w:rPr>
                <w:rFonts w:ascii="Arial" w:hAnsi="Arial" w:cs="Arial"/>
                <w:color w:val="000000" w:themeColor="text1"/>
                <w:sz w:val="18"/>
                <w:szCs w:val="18"/>
              </w:rPr>
              <w:t xml:space="preserve"> w 25°C po starzeniu wg PN-EN 12607-1 [30]</w:t>
            </w:r>
          </w:p>
        </w:tc>
        <w:tc>
          <w:tcPr>
            <w:tcW w:w="850" w:type="dxa"/>
            <w:vMerge w:val="restart"/>
            <w:vAlign w:val="center"/>
          </w:tcPr>
          <w:p w14:paraId="3B62E0D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12607-1 [30]</w:t>
            </w:r>
          </w:p>
          <w:p w14:paraId="5B5819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13398 [56]</w:t>
            </w:r>
          </w:p>
        </w:tc>
        <w:tc>
          <w:tcPr>
            <w:tcW w:w="851" w:type="dxa"/>
            <w:vMerge w:val="restart"/>
            <w:vAlign w:val="center"/>
          </w:tcPr>
          <w:p w14:paraId="5DCCBBB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850" w:type="dxa"/>
            <w:vAlign w:val="center"/>
          </w:tcPr>
          <w:p w14:paraId="1249EF5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50</w:t>
            </w:r>
          </w:p>
        </w:tc>
        <w:tc>
          <w:tcPr>
            <w:tcW w:w="709" w:type="dxa"/>
            <w:vAlign w:val="center"/>
          </w:tcPr>
          <w:p w14:paraId="396F95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851" w:type="dxa"/>
            <w:vAlign w:val="center"/>
          </w:tcPr>
          <w:p w14:paraId="08BD9E6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60</w:t>
            </w:r>
          </w:p>
        </w:tc>
        <w:tc>
          <w:tcPr>
            <w:tcW w:w="708" w:type="dxa"/>
            <w:vAlign w:val="center"/>
          </w:tcPr>
          <w:p w14:paraId="6D71B8D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851" w:type="dxa"/>
            <w:vAlign w:val="center"/>
          </w:tcPr>
          <w:p w14:paraId="3ECC120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60</w:t>
            </w:r>
          </w:p>
        </w:tc>
        <w:tc>
          <w:tcPr>
            <w:tcW w:w="709" w:type="dxa"/>
            <w:vAlign w:val="center"/>
          </w:tcPr>
          <w:p w14:paraId="35DB6F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r>
      <w:tr w:rsidR="004D7D23" w:rsidRPr="007B192E" w14:paraId="6AB48D28" w14:textId="77777777" w:rsidTr="008F7A94">
        <w:trPr>
          <w:jc w:val="center"/>
        </w:trPr>
        <w:tc>
          <w:tcPr>
            <w:tcW w:w="1327" w:type="dxa"/>
            <w:vMerge/>
            <w:tcBorders>
              <w:left w:val="single" w:sz="4" w:space="0" w:color="auto"/>
              <w:right w:val="single" w:sz="4" w:space="0" w:color="auto"/>
            </w:tcBorders>
            <w:vAlign w:val="center"/>
          </w:tcPr>
          <w:p w14:paraId="1E905ED9" w14:textId="77777777" w:rsidR="00F45500" w:rsidRPr="007B192E" w:rsidRDefault="00F45500" w:rsidP="008F7A94">
            <w:pPr>
              <w:jc w:val="both"/>
              <w:rPr>
                <w:rFonts w:ascii="Arial" w:hAnsi="Arial" w:cs="Arial"/>
                <w:color w:val="000000" w:themeColor="text1"/>
                <w:sz w:val="18"/>
                <w:szCs w:val="18"/>
              </w:rPr>
            </w:pPr>
          </w:p>
        </w:tc>
        <w:tc>
          <w:tcPr>
            <w:tcW w:w="1276" w:type="dxa"/>
            <w:tcBorders>
              <w:left w:val="single" w:sz="4" w:space="0" w:color="auto"/>
            </w:tcBorders>
            <w:vAlign w:val="center"/>
          </w:tcPr>
          <w:p w14:paraId="2393660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Nawrót </w:t>
            </w:r>
            <w:proofErr w:type="spellStart"/>
            <w:r w:rsidRPr="007B192E">
              <w:rPr>
                <w:rFonts w:ascii="Arial" w:hAnsi="Arial" w:cs="Arial"/>
                <w:color w:val="000000" w:themeColor="text1"/>
                <w:sz w:val="18"/>
                <w:szCs w:val="18"/>
              </w:rPr>
              <w:t>sprę-żysty</w:t>
            </w:r>
            <w:proofErr w:type="spellEnd"/>
            <w:r w:rsidRPr="007B192E">
              <w:rPr>
                <w:rFonts w:ascii="Arial" w:hAnsi="Arial" w:cs="Arial"/>
                <w:color w:val="000000" w:themeColor="text1"/>
                <w:sz w:val="18"/>
                <w:szCs w:val="18"/>
              </w:rPr>
              <w:t xml:space="preserve"> w 10°C po starzeniu wg PN-EN 12607-1  [30]</w:t>
            </w:r>
          </w:p>
        </w:tc>
        <w:tc>
          <w:tcPr>
            <w:tcW w:w="850" w:type="dxa"/>
            <w:vMerge/>
            <w:vAlign w:val="center"/>
          </w:tcPr>
          <w:p w14:paraId="68BDE10C" w14:textId="77777777" w:rsidR="00F45500" w:rsidRPr="007B192E" w:rsidRDefault="00F45500" w:rsidP="008F7A94">
            <w:pPr>
              <w:jc w:val="both"/>
              <w:rPr>
                <w:rFonts w:ascii="Arial" w:hAnsi="Arial" w:cs="Arial"/>
                <w:color w:val="000000" w:themeColor="text1"/>
                <w:sz w:val="18"/>
                <w:szCs w:val="18"/>
              </w:rPr>
            </w:pPr>
          </w:p>
        </w:tc>
        <w:tc>
          <w:tcPr>
            <w:tcW w:w="851" w:type="dxa"/>
            <w:vMerge/>
            <w:vAlign w:val="center"/>
          </w:tcPr>
          <w:p w14:paraId="576F86A3" w14:textId="77777777" w:rsidR="00F45500" w:rsidRPr="007B192E" w:rsidRDefault="00F45500" w:rsidP="008F7A94">
            <w:pPr>
              <w:jc w:val="both"/>
              <w:rPr>
                <w:rFonts w:ascii="Arial" w:hAnsi="Arial" w:cs="Arial"/>
                <w:color w:val="000000" w:themeColor="text1"/>
                <w:sz w:val="18"/>
                <w:szCs w:val="18"/>
              </w:rPr>
            </w:pPr>
          </w:p>
        </w:tc>
        <w:tc>
          <w:tcPr>
            <w:tcW w:w="850" w:type="dxa"/>
            <w:vAlign w:val="center"/>
          </w:tcPr>
          <w:p w14:paraId="6C8D1007"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9" w:type="dxa"/>
            <w:vAlign w:val="center"/>
          </w:tcPr>
          <w:p w14:paraId="7AACBD3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4FE333A7"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NR</w:t>
            </w:r>
            <w:r w:rsidRPr="007B192E">
              <w:rPr>
                <w:rFonts w:ascii="Arial" w:hAnsi="Arial" w:cs="Arial"/>
                <w:color w:val="000000" w:themeColor="text1"/>
                <w:sz w:val="18"/>
                <w:szCs w:val="18"/>
                <w:vertAlign w:val="superscript"/>
              </w:rPr>
              <w:t>a</w:t>
            </w:r>
            <w:proofErr w:type="spellEnd"/>
          </w:p>
        </w:tc>
        <w:tc>
          <w:tcPr>
            <w:tcW w:w="708" w:type="dxa"/>
            <w:vAlign w:val="center"/>
          </w:tcPr>
          <w:p w14:paraId="5A417DA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0</w:t>
            </w:r>
          </w:p>
        </w:tc>
        <w:tc>
          <w:tcPr>
            <w:tcW w:w="851" w:type="dxa"/>
            <w:vAlign w:val="center"/>
          </w:tcPr>
          <w:p w14:paraId="1D7F919F" w14:textId="77777777" w:rsidR="00F45500" w:rsidRPr="007B192E" w:rsidRDefault="00F45500" w:rsidP="008F7A94">
            <w:pPr>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TBR</w:t>
            </w:r>
            <w:r w:rsidRPr="007B192E">
              <w:rPr>
                <w:rFonts w:ascii="Arial" w:hAnsi="Arial" w:cs="Arial"/>
                <w:color w:val="000000" w:themeColor="text1"/>
                <w:sz w:val="18"/>
                <w:szCs w:val="18"/>
                <w:vertAlign w:val="superscript"/>
              </w:rPr>
              <w:t>b</w:t>
            </w:r>
            <w:proofErr w:type="spellEnd"/>
          </w:p>
        </w:tc>
        <w:tc>
          <w:tcPr>
            <w:tcW w:w="709" w:type="dxa"/>
            <w:vAlign w:val="center"/>
          </w:tcPr>
          <w:p w14:paraId="42023B9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r>
      <w:tr w:rsidR="00F45500" w:rsidRPr="007B192E" w14:paraId="4ED7F1A9" w14:textId="77777777" w:rsidTr="008F7A94">
        <w:trPr>
          <w:trHeight w:val="558"/>
          <w:jc w:val="center"/>
        </w:trPr>
        <w:tc>
          <w:tcPr>
            <w:tcW w:w="8982" w:type="dxa"/>
            <w:gridSpan w:val="10"/>
          </w:tcPr>
          <w:p w14:paraId="2B98230E"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vertAlign w:val="superscript"/>
                <w:lang w:val="en-US"/>
              </w:rPr>
              <w:t>a</w:t>
            </w:r>
            <w:r w:rsidRPr="007B192E">
              <w:rPr>
                <w:rFonts w:ascii="Arial" w:hAnsi="Arial" w:cs="Arial"/>
                <w:color w:val="000000" w:themeColor="text1"/>
                <w:sz w:val="18"/>
                <w:szCs w:val="18"/>
                <w:lang w:val="en-US"/>
              </w:rPr>
              <w:t xml:space="preserve"> NR – No Requirements (</w:t>
            </w:r>
            <w:proofErr w:type="spellStart"/>
            <w:r w:rsidRPr="007B192E">
              <w:rPr>
                <w:rFonts w:ascii="Arial" w:hAnsi="Arial" w:cs="Arial"/>
                <w:color w:val="000000" w:themeColor="text1"/>
                <w:sz w:val="18"/>
                <w:szCs w:val="18"/>
                <w:lang w:val="en-US"/>
              </w:rPr>
              <w:t>brak</w:t>
            </w:r>
            <w:proofErr w:type="spellEnd"/>
            <w:r w:rsidRPr="007B192E">
              <w:rPr>
                <w:rFonts w:ascii="Arial" w:hAnsi="Arial" w:cs="Arial"/>
                <w:color w:val="000000" w:themeColor="text1"/>
                <w:sz w:val="18"/>
                <w:szCs w:val="18"/>
                <w:lang w:val="en-US"/>
              </w:rPr>
              <w:t xml:space="preserve"> </w:t>
            </w:r>
            <w:proofErr w:type="spellStart"/>
            <w:r w:rsidRPr="007B192E">
              <w:rPr>
                <w:rFonts w:ascii="Arial" w:hAnsi="Arial" w:cs="Arial"/>
                <w:color w:val="000000" w:themeColor="text1"/>
                <w:sz w:val="18"/>
                <w:szCs w:val="18"/>
                <w:lang w:val="en-US"/>
              </w:rPr>
              <w:t>wymagań</w:t>
            </w:r>
            <w:proofErr w:type="spellEnd"/>
            <w:r w:rsidRPr="007B192E">
              <w:rPr>
                <w:rFonts w:ascii="Arial" w:hAnsi="Arial" w:cs="Arial"/>
                <w:color w:val="000000" w:themeColor="text1"/>
                <w:sz w:val="18"/>
                <w:szCs w:val="18"/>
                <w:lang w:val="en-US"/>
              </w:rPr>
              <w:t>)</w:t>
            </w:r>
          </w:p>
          <w:p w14:paraId="06859CA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b</w:t>
            </w:r>
            <w:r w:rsidRPr="007B192E">
              <w:rPr>
                <w:rFonts w:ascii="Arial" w:hAnsi="Arial" w:cs="Arial"/>
                <w:color w:val="000000" w:themeColor="text1"/>
                <w:sz w:val="18"/>
                <w:szCs w:val="18"/>
              </w:rPr>
              <w:t xml:space="preserve"> TBR – To Be </w:t>
            </w:r>
            <w:proofErr w:type="spellStart"/>
            <w:r w:rsidRPr="007B192E">
              <w:rPr>
                <w:rFonts w:ascii="Arial" w:hAnsi="Arial" w:cs="Arial"/>
                <w:color w:val="000000" w:themeColor="text1"/>
                <w:sz w:val="18"/>
                <w:szCs w:val="18"/>
              </w:rPr>
              <w:t>Reported</w:t>
            </w:r>
            <w:proofErr w:type="spellEnd"/>
            <w:r w:rsidRPr="007B192E">
              <w:rPr>
                <w:rFonts w:ascii="Arial" w:hAnsi="Arial" w:cs="Arial"/>
                <w:color w:val="000000" w:themeColor="text1"/>
                <w:sz w:val="18"/>
                <w:szCs w:val="18"/>
              </w:rPr>
              <w:t xml:space="preserve"> (do zadeklarowania)</w:t>
            </w:r>
          </w:p>
        </w:tc>
      </w:tr>
    </w:tbl>
    <w:p w14:paraId="4D5EBA4F" w14:textId="77777777" w:rsidR="00F45500" w:rsidRPr="007B192E" w:rsidRDefault="00F45500" w:rsidP="00F45500">
      <w:pPr>
        <w:ind w:left="993" w:hanging="993"/>
        <w:jc w:val="both"/>
        <w:rPr>
          <w:rFonts w:ascii="Arial" w:hAnsi="Arial" w:cs="Arial"/>
          <w:color w:val="000000" w:themeColor="text1"/>
          <w:sz w:val="18"/>
          <w:szCs w:val="18"/>
        </w:rPr>
      </w:pPr>
    </w:p>
    <w:p w14:paraId="461E415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r>
      <w:proofErr w:type="spellStart"/>
      <w:r w:rsidRPr="007B192E">
        <w:rPr>
          <w:rFonts w:ascii="Arial" w:hAnsi="Arial" w:cs="Arial"/>
          <w:color w:val="000000" w:themeColor="text1"/>
          <w:sz w:val="18"/>
          <w:szCs w:val="18"/>
        </w:rPr>
        <w:t>Polimeroasfalt</w:t>
      </w:r>
      <w:proofErr w:type="spellEnd"/>
      <w:r w:rsidRPr="007B192E">
        <w:rPr>
          <w:rFonts w:ascii="Arial" w:hAnsi="Arial" w:cs="Arial"/>
          <w:color w:val="000000" w:themeColor="text1"/>
          <w:sz w:val="18"/>
          <w:szCs w:val="18"/>
        </w:rPr>
        <w:t xml:space="preserve"> powinien być magazynowany w zbiorniku wyposażonym w system grzewczy pośredni z termostatem kontrolującym temperaturę z dokładnością  ± 5°C. Zaleca się wyposażenie zbiornika w mieszadło. Zaleca się bezpośrednie zużycie </w:t>
      </w:r>
      <w:proofErr w:type="spellStart"/>
      <w:r w:rsidRPr="007B192E">
        <w:rPr>
          <w:rFonts w:ascii="Arial" w:hAnsi="Arial" w:cs="Arial"/>
          <w:color w:val="000000" w:themeColor="text1"/>
          <w:sz w:val="18"/>
          <w:szCs w:val="18"/>
        </w:rPr>
        <w:t>polimeroasfaltu</w:t>
      </w:r>
      <w:proofErr w:type="spellEnd"/>
      <w:r w:rsidRPr="007B192E">
        <w:rPr>
          <w:rFonts w:ascii="Arial" w:hAnsi="Arial" w:cs="Arial"/>
          <w:color w:val="000000" w:themeColor="text1"/>
          <w:sz w:val="18"/>
          <w:szCs w:val="18"/>
        </w:rPr>
        <w:t xml:space="preserve"> po dostarczeniu. Należy unikać wielokrotnego rozgrzewania i chłodzenia </w:t>
      </w:r>
      <w:proofErr w:type="spellStart"/>
      <w:r w:rsidRPr="007B192E">
        <w:rPr>
          <w:rFonts w:ascii="Arial" w:hAnsi="Arial" w:cs="Arial"/>
          <w:color w:val="000000" w:themeColor="text1"/>
          <w:sz w:val="18"/>
          <w:szCs w:val="18"/>
        </w:rPr>
        <w:t>polimeroasfaltu</w:t>
      </w:r>
      <w:proofErr w:type="spellEnd"/>
      <w:r w:rsidRPr="007B192E">
        <w:rPr>
          <w:rFonts w:ascii="Arial" w:hAnsi="Arial" w:cs="Arial"/>
          <w:color w:val="000000" w:themeColor="text1"/>
          <w:sz w:val="18"/>
          <w:szCs w:val="18"/>
        </w:rPr>
        <w:t xml:space="preserve"> w okresie jego stosowania oraz unikać niekontrolowanego mieszania </w:t>
      </w:r>
      <w:proofErr w:type="spellStart"/>
      <w:r w:rsidRPr="007B192E">
        <w:rPr>
          <w:rFonts w:ascii="Arial" w:hAnsi="Arial" w:cs="Arial"/>
          <w:color w:val="000000" w:themeColor="text1"/>
          <w:sz w:val="18"/>
          <w:szCs w:val="18"/>
        </w:rPr>
        <w:t>polimeroasfaltów</w:t>
      </w:r>
      <w:proofErr w:type="spellEnd"/>
      <w:r w:rsidRPr="007B192E">
        <w:rPr>
          <w:rFonts w:ascii="Arial" w:hAnsi="Arial" w:cs="Arial"/>
          <w:color w:val="000000" w:themeColor="text1"/>
          <w:sz w:val="18"/>
          <w:szCs w:val="18"/>
        </w:rPr>
        <w:t xml:space="preserve">  różnego rodzaju i klasy oraz z asfaltem zwykłym.</w:t>
      </w:r>
    </w:p>
    <w:p w14:paraId="11BD7BE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Temperatura lepiszcza asfaltowego w zbiorniku magazynowym (roboczym) nie powinna przekraczać w okresie krótkotrwałym, nie dłuższym niż 5 dni,  poniższych wartości:</w:t>
      </w:r>
    </w:p>
    <w:p w14:paraId="2D460EFA" w14:textId="77777777" w:rsidR="00F45500" w:rsidRPr="007B192E" w:rsidRDefault="00F45500" w:rsidP="00C12426">
      <w:pPr>
        <w:widowControl/>
        <w:numPr>
          <w:ilvl w:val="0"/>
          <w:numId w:val="235"/>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asfaltu drogowego 50/70 i 70/100: 180°C,</w:t>
      </w:r>
    </w:p>
    <w:p w14:paraId="73B9550C" w14:textId="77777777" w:rsidR="00F45500" w:rsidRPr="007B192E" w:rsidRDefault="00F45500" w:rsidP="00C12426">
      <w:pPr>
        <w:widowControl/>
        <w:numPr>
          <w:ilvl w:val="0"/>
          <w:numId w:val="235"/>
        </w:numPr>
        <w:suppressAutoHyphens w:val="0"/>
        <w:autoSpaceDN w:val="0"/>
        <w:adjustRightInd w:val="0"/>
        <w:ind w:left="426"/>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polimeroasfaltu</w:t>
      </w:r>
      <w:proofErr w:type="spellEnd"/>
      <w:r w:rsidRPr="007B192E">
        <w:rPr>
          <w:rFonts w:ascii="Arial" w:hAnsi="Arial" w:cs="Arial"/>
          <w:color w:val="000000" w:themeColor="text1"/>
          <w:sz w:val="18"/>
          <w:szCs w:val="18"/>
        </w:rPr>
        <w:t>: wg wskazań producenta,</w:t>
      </w:r>
    </w:p>
    <w:p w14:paraId="2800B176" w14:textId="77777777" w:rsidR="00F45500" w:rsidRPr="007B192E" w:rsidRDefault="00F45500" w:rsidP="00C12426">
      <w:pPr>
        <w:widowControl/>
        <w:numPr>
          <w:ilvl w:val="0"/>
          <w:numId w:val="235"/>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asfaltu drogowego wielorodzajowego: wg wskazań producenta.</w:t>
      </w:r>
    </w:p>
    <w:p w14:paraId="3DA4B85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 xml:space="preserve">2.3. Kruszywo </w:t>
      </w:r>
    </w:p>
    <w:p w14:paraId="7340851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warstwy ścieralnej z betonu asfaltowego należy stosować kruszywo według PN-EN 13043 [49] i WT-1 Kruszywa 2014 [79], obejmujące kruszywo grube, kruszywo drobne  i wypełniacz. </w:t>
      </w:r>
    </w:p>
    <w:p w14:paraId="0D3FD3D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mieszance mineralno-asfaltowej jako kruszywo drobne należy kruszywo łamane w 100% (dla kategorii KR3 do KR6 nie dopuszcza się stosowania kruszywa niełamanego drobnego).</w:t>
      </w:r>
    </w:p>
    <w:p w14:paraId="64AF00B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stosowana jest mieszanka kruszywa drobnego niełamanego i łamanego, to należy przyjąć proporcje kruszywa łamanego do niełamanego co najmniej 50/50.</w:t>
      </w:r>
    </w:p>
    <w:p w14:paraId="28BBB1B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Nie dopuszcza się użycia granulatu asfaltowego w warstwie ścieralnej. </w:t>
      </w:r>
    </w:p>
    <w:p w14:paraId="439CB02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Kruszywa powinny spełniać wymagania podane w WT-1 Kruszywa 2014 [79]  wg tablic poniżej.</w:t>
      </w:r>
    </w:p>
    <w:p w14:paraId="6D1E0A93" w14:textId="77777777" w:rsidR="00F45500" w:rsidRPr="007B192E" w:rsidRDefault="00F45500" w:rsidP="00F45500">
      <w:pPr>
        <w:spacing w:before="120" w:after="120"/>
        <w:ind w:left="1200" w:hanging="1200"/>
        <w:jc w:val="both"/>
        <w:rPr>
          <w:rFonts w:ascii="Arial" w:hAnsi="Arial" w:cs="Arial"/>
          <w:color w:val="000000" w:themeColor="text1"/>
          <w:sz w:val="18"/>
          <w:szCs w:val="18"/>
        </w:rPr>
      </w:pPr>
      <w:r w:rsidRPr="007B192E">
        <w:rPr>
          <w:rFonts w:ascii="Arial" w:hAnsi="Arial" w:cs="Arial"/>
          <w:color w:val="000000" w:themeColor="text1"/>
          <w:sz w:val="18"/>
          <w:szCs w:val="18"/>
        </w:rPr>
        <w:t>Tablica 6. Wymagane właściwości kruszywa grubego do warstwy ścieralnej z betonu asfaltowego</w:t>
      </w:r>
    </w:p>
    <w:tbl>
      <w:tblPr>
        <w:tblW w:w="579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3827"/>
        <w:gridCol w:w="1418"/>
      </w:tblGrid>
      <w:tr w:rsidR="004D7D23" w:rsidRPr="007B192E" w14:paraId="15478D7C" w14:textId="77777777" w:rsidTr="008F7A94">
        <w:trPr>
          <w:jc w:val="center"/>
        </w:trPr>
        <w:tc>
          <w:tcPr>
            <w:tcW w:w="546" w:type="dxa"/>
            <w:vAlign w:val="center"/>
          </w:tcPr>
          <w:p w14:paraId="34889DC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3827" w:type="dxa"/>
            <w:vAlign w:val="center"/>
          </w:tcPr>
          <w:p w14:paraId="7819457C"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1418" w:type="dxa"/>
            <w:vAlign w:val="center"/>
          </w:tcPr>
          <w:p w14:paraId="7C8BABB7"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KR3÷KR4</w:t>
            </w:r>
          </w:p>
        </w:tc>
      </w:tr>
      <w:tr w:rsidR="004D7D23" w:rsidRPr="007B192E" w14:paraId="20B7025F" w14:textId="77777777" w:rsidTr="008F7A94">
        <w:trPr>
          <w:jc w:val="center"/>
        </w:trPr>
        <w:tc>
          <w:tcPr>
            <w:tcW w:w="546" w:type="dxa"/>
          </w:tcPr>
          <w:p w14:paraId="750B873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3827" w:type="dxa"/>
            <w:vAlign w:val="center"/>
          </w:tcPr>
          <w:p w14:paraId="564F3986"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Uziarnienie według PN-EN 933-1[6]; kategoria nie niższa niż:</w:t>
            </w:r>
          </w:p>
        </w:tc>
        <w:tc>
          <w:tcPr>
            <w:tcW w:w="1418" w:type="dxa"/>
            <w:vAlign w:val="center"/>
          </w:tcPr>
          <w:p w14:paraId="385E9CED" w14:textId="77777777" w:rsidR="00F45500" w:rsidRPr="007B192E" w:rsidRDefault="00F45500" w:rsidP="008F7A94">
            <w:pPr>
              <w:jc w:val="both"/>
              <w:rPr>
                <w:rFonts w:ascii="Arial" w:hAnsi="Arial" w:cs="Arial"/>
                <w:b/>
                <w:color w:val="000000" w:themeColor="text1"/>
                <w:sz w:val="18"/>
                <w:szCs w:val="18"/>
                <w:vertAlign w:val="superscript"/>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90/20</w:t>
            </w:r>
          </w:p>
        </w:tc>
      </w:tr>
      <w:tr w:rsidR="004D7D23" w:rsidRPr="007B192E" w14:paraId="32E402A5" w14:textId="77777777" w:rsidTr="008F7A94">
        <w:trPr>
          <w:jc w:val="center"/>
        </w:trPr>
        <w:tc>
          <w:tcPr>
            <w:tcW w:w="546" w:type="dxa"/>
          </w:tcPr>
          <w:p w14:paraId="27E2BAE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3827" w:type="dxa"/>
            <w:vAlign w:val="center"/>
          </w:tcPr>
          <w:p w14:paraId="4029C35B"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Tolerancja uziarnienia; odchylenia nie większe niż według kategorii:</w:t>
            </w:r>
          </w:p>
        </w:tc>
        <w:tc>
          <w:tcPr>
            <w:tcW w:w="1418" w:type="dxa"/>
          </w:tcPr>
          <w:p w14:paraId="1D3848D0" w14:textId="77777777" w:rsidR="00F45500" w:rsidRPr="007B192E" w:rsidRDefault="00F45500" w:rsidP="008F7A94">
            <w:pPr>
              <w:spacing w:before="120"/>
              <w:jc w:val="both"/>
              <w:rPr>
                <w:rFonts w:ascii="Arial" w:hAnsi="Arial" w:cs="Arial"/>
                <w:color w:val="000000" w:themeColor="text1"/>
                <w:sz w:val="18"/>
                <w:szCs w:val="18"/>
                <w:vertAlign w:val="subscript"/>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25/15</w:t>
            </w:r>
          </w:p>
          <w:p w14:paraId="134E035F"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20/15</w:t>
            </w:r>
          </w:p>
        </w:tc>
      </w:tr>
      <w:tr w:rsidR="004D7D23" w:rsidRPr="007B192E" w14:paraId="00FFE2B9" w14:textId="77777777" w:rsidTr="008F7A94">
        <w:trPr>
          <w:jc w:val="center"/>
        </w:trPr>
        <w:tc>
          <w:tcPr>
            <w:tcW w:w="546" w:type="dxa"/>
          </w:tcPr>
          <w:p w14:paraId="704631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3827" w:type="dxa"/>
            <w:vAlign w:val="center"/>
          </w:tcPr>
          <w:p w14:paraId="4FD5D4DC"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Zawartość pyłu według PN-EN 933-1[6]; kategoria nie wyższa niż:</w:t>
            </w:r>
          </w:p>
        </w:tc>
        <w:tc>
          <w:tcPr>
            <w:tcW w:w="1418" w:type="dxa"/>
          </w:tcPr>
          <w:p w14:paraId="5953DADB" w14:textId="77777777" w:rsidR="00F45500" w:rsidRPr="007B192E" w:rsidRDefault="00F45500" w:rsidP="008F7A94">
            <w:pPr>
              <w:spacing w:before="120"/>
              <w:jc w:val="both"/>
              <w:rPr>
                <w:rFonts w:ascii="Arial" w:hAnsi="Arial" w:cs="Arial"/>
                <w:b/>
                <w:color w:val="000000" w:themeColor="text1"/>
                <w:sz w:val="18"/>
                <w:szCs w:val="18"/>
              </w:rPr>
            </w:pPr>
            <w:r w:rsidRPr="007B192E">
              <w:rPr>
                <w:rFonts w:ascii="Arial" w:hAnsi="Arial" w:cs="Arial"/>
                <w:i/>
                <w:color w:val="000000" w:themeColor="text1"/>
                <w:sz w:val="18"/>
                <w:szCs w:val="18"/>
              </w:rPr>
              <w:t>f</w:t>
            </w:r>
            <w:r w:rsidRPr="007B192E">
              <w:rPr>
                <w:rFonts w:ascii="Arial" w:hAnsi="Arial" w:cs="Arial"/>
                <w:color w:val="000000" w:themeColor="text1"/>
                <w:sz w:val="18"/>
                <w:szCs w:val="18"/>
                <w:vertAlign w:val="subscript"/>
              </w:rPr>
              <w:t>2</w:t>
            </w:r>
          </w:p>
        </w:tc>
      </w:tr>
      <w:tr w:rsidR="004D7D23" w:rsidRPr="007B192E" w14:paraId="7CDF15F3" w14:textId="77777777" w:rsidTr="008F7A94">
        <w:trPr>
          <w:jc w:val="center"/>
        </w:trPr>
        <w:tc>
          <w:tcPr>
            <w:tcW w:w="546" w:type="dxa"/>
          </w:tcPr>
          <w:p w14:paraId="73A97A8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3827" w:type="dxa"/>
            <w:vAlign w:val="center"/>
          </w:tcPr>
          <w:p w14:paraId="47CF0E33"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Kształt kruszywa według PN-EN 933-3 [7] lub według PN-EN 933-4 [8]; kategoria nie wyższa niż:</w:t>
            </w:r>
          </w:p>
        </w:tc>
        <w:tc>
          <w:tcPr>
            <w:tcW w:w="1418" w:type="dxa"/>
          </w:tcPr>
          <w:p w14:paraId="6D608886" w14:textId="77777777" w:rsidR="00F45500" w:rsidRPr="007B192E" w:rsidRDefault="00F45500" w:rsidP="008F7A94">
            <w:pPr>
              <w:jc w:val="both"/>
              <w:rPr>
                <w:rFonts w:ascii="Arial" w:hAnsi="Arial" w:cs="Arial"/>
                <w:i/>
                <w:color w:val="000000" w:themeColor="text1"/>
                <w:sz w:val="18"/>
                <w:szCs w:val="18"/>
              </w:rPr>
            </w:pPr>
          </w:p>
          <w:p w14:paraId="2B628041"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i/>
                <w:color w:val="000000" w:themeColor="text1"/>
                <w:sz w:val="18"/>
                <w:szCs w:val="18"/>
              </w:rPr>
              <w:t>FI</w:t>
            </w:r>
            <w:r w:rsidRPr="007B192E">
              <w:rPr>
                <w:rFonts w:ascii="Arial" w:hAnsi="Arial" w:cs="Arial"/>
                <w:i/>
                <w:color w:val="000000" w:themeColor="text1"/>
                <w:sz w:val="18"/>
                <w:szCs w:val="18"/>
                <w:vertAlign w:val="subscript"/>
              </w:rPr>
              <w:t>20</w:t>
            </w:r>
            <w:r w:rsidRPr="007B192E">
              <w:rPr>
                <w:rFonts w:ascii="Arial" w:hAnsi="Arial" w:cs="Arial"/>
                <w:color w:val="000000" w:themeColor="text1"/>
                <w:sz w:val="18"/>
                <w:szCs w:val="18"/>
              </w:rPr>
              <w:t xml:space="preserve"> lub </w:t>
            </w:r>
            <w:r w:rsidRPr="007B192E">
              <w:rPr>
                <w:rFonts w:ascii="Arial" w:hAnsi="Arial" w:cs="Arial"/>
                <w:i/>
                <w:color w:val="000000" w:themeColor="text1"/>
                <w:sz w:val="18"/>
                <w:szCs w:val="18"/>
              </w:rPr>
              <w:t>SI</w:t>
            </w:r>
            <w:r w:rsidRPr="007B192E">
              <w:rPr>
                <w:rFonts w:ascii="Arial" w:hAnsi="Arial" w:cs="Arial"/>
                <w:i/>
                <w:color w:val="000000" w:themeColor="text1"/>
                <w:sz w:val="18"/>
                <w:szCs w:val="18"/>
                <w:vertAlign w:val="subscript"/>
              </w:rPr>
              <w:t>20</w:t>
            </w:r>
          </w:p>
        </w:tc>
      </w:tr>
      <w:tr w:rsidR="004D7D23" w:rsidRPr="007B192E" w14:paraId="356220CE" w14:textId="77777777" w:rsidTr="008F7A94">
        <w:trPr>
          <w:jc w:val="center"/>
        </w:trPr>
        <w:tc>
          <w:tcPr>
            <w:tcW w:w="546" w:type="dxa"/>
          </w:tcPr>
          <w:p w14:paraId="155A116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3827" w:type="dxa"/>
            <w:vAlign w:val="center"/>
          </w:tcPr>
          <w:p w14:paraId="3B5A554A"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Procentowa zawartość ziaren o powierzchni </w:t>
            </w:r>
            <w:proofErr w:type="spellStart"/>
            <w:r w:rsidRPr="007B192E">
              <w:rPr>
                <w:rFonts w:ascii="Arial" w:hAnsi="Arial" w:cs="Arial"/>
                <w:color w:val="000000" w:themeColor="text1"/>
                <w:sz w:val="18"/>
                <w:szCs w:val="18"/>
              </w:rPr>
              <w:t>przekruszonej</w:t>
            </w:r>
            <w:proofErr w:type="spellEnd"/>
            <w:r w:rsidRPr="007B192E">
              <w:rPr>
                <w:rFonts w:ascii="Arial" w:hAnsi="Arial" w:cs="Arial"/>
                <w:color w:val="000000" w:themeColor="text1"/>
                <w:sz w:val="18"/>
                <w:szCs w:val="18"/>
              </w:rPr>
              <w:t xml:space="preserve"> i łamanej w kruszywie grubym według PN-EN 933-5 [9]; kategoria nie niższa niż:</w:t>
            </w:r>
          </w:p>
        </w:tc>
        <w:tc>
          <w:tcPr>
            <w:tcW w:w="1418" w:type="dxa"/>
            <w:vAlign w:val="center"/>
          </w:tcPr>
          <w:p w14:paraId="1386CC8E"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i/>
                <w:color w:val="000000" w:themeColor="text1"/>
                <w:sz w:val="18"/>
                <w:szCs w:val="18"/>
              </w:rPr>
              <w:t>C</w:t>
            </w:r>
            <w:r w:rsidRPr="007B192E">
              <w:rPr>
                <w:rFonts w:ascii="Arial" w:hAnsi="Arial" w:cs="Arial"/>
                <w:i/>
                <w:color w:val="000000" w:themeColor="text1"/>
                <w:sz w:val="18"/>
                <w:szCs w:val="18"/>
                <w:vertAlign w:val="subscript"/>
              </w:rPr>
              <w:t>95</w:t>
            </w:r>
            <w:r w:rsidRPr="007B192E">
              <w:rPr>
                <w:rFonts w:ascii="Arial" w:hAnsi="Arial" w:cs="Arial"/>
                <w:color w:val="000000" w:themeColor="text1"/>
                <w:sz w:val="18"/>
                <w:szCs w:val="18"/>
                <w:vertAlign w:val="subscript"/>
              </w:rPr>
              <w:t>/1</w:t>
            </w:r>
          </w:p>
        </w:tc>
      </w:tr>
      <w:tr w:rsidR="004D7D23" w:rsidRPr="007B192E" w14:paraId="5100BCD5" w14:textId="77777777" w:rsidTr="008F7A94">
        <w:trPr>
          <w:jc w:val="center"/>
        </w:trPr>
        <w:tc>
          <w:tcPr>
            <w:tcW w:w="546" w:type="dxa"/>
          </w:tcPr>
          <w:p w14:paraId="109141A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3827" w:type="dxa"/>
            <w:vAlign w:val="center"/>
          </w:tcPr>
          <w:p w14:paraId="2F913E39"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Odporność kruszywa na rozdrabnianie według normy PN-EN 1097-2 [13], badana na kruszywie o wymiarze 10/14, rozdział 5, kategoria nie wyższa niż:</w:t>
            </w:r>
          </w:p>
        </w:tc>
        <w:tc>
          <w:tcPr>
            <w:tcW w:w="1418" w:type="dxa"/>
          </w:tcPr>
          <w:p w14:paraId="720CE945" w14:textId="77777777" w:rsidR="00F45500" w:rsidRPr="007B192E" w:rsidRDefault="00F45500" w:rsidP="008F7A94">
            <w:pPr>
              <w:jc w:val="both"/>
              <w:rPr>
                <w:rFonts w:ascii="Arial" w:hAnsi="Arial" w:cs="Arial"/>
                <w:i/>
                <w:color w:val="000000" w:themeColor="text1"/>
                <w:sz w:val="18"/>
                <w:szCs w:val="18"/>
              </w:rPr>
            </w:pPr>
          </w:p>
          <w:p w14:paraId="745DF0BA" w14:textId="77777777" w:rsidR="00F45500" w:rsidRPr="007B192E" w:rsidRDefault="00F45500" w:rsidP="008F7A94">
            <w:pPr>
              <w:jc w:val="both"/>
              <w:rPr>
                <w:rFonts w:ascii="Arial" w:hAnsi="Arial" w:cs="Arial"/>
                <w:i/>
                <w:color w:val="000000" w:themeColor="text1"/>
                <w:sz w:val="18"/>
                <w:szCs w:val="18"/>
              </w:rPr>
            </w:pPr>
          </w:p>
          <w:p w14:paraId="52E908BB"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i/>
                <w:color w:val="000000" w:themeColor="text1"/>
                <w:sz w:val="18"/>
                <w:szCs w:val="18"/>
              </w:rPr>
              <w:t>LA</w:t>
            </w:r>
            <w:r w:rsidRPr="007B192E">
              <w:rPr>
                <w:rFonts w:ascii="Arial" w:hAnsi="Arial" w:cs="Arial"/>
                <w:i/>
                <w:color w:val="000000" w:themeColor="text1"/>
                <w:sz w:val="18"/>
                <w:szCs w:val="18"/>
                <w:vertAlign w:val="subscript"/>
              </w:rPr>
              <w:t>30</w:t>
            </w:r>
          </w:p>
        </w:tc>
      </w:tr>
      <w:tr w:rsidR="004D7D23" w:rsidRPr="007B192E" w14:paraId="320C26F8" w14:textId="77777777" w:rsidTr="008F7A94">
        <w:trPr>
          <w:jc w:val="center"/>
        </w:trPr>
        <w:tc>
          <w:tcPr>
            <w:tcW w:w="546" w:type="dxa"/>
          </w:tcPr>
          <w:p w14:paraId="24591B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3827" w:type="dxa"/>
            <w:vAlign w:val="center"/>
          </w:tcPr>
          <w:p w14:paraId="0980314D"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Odporność na polerowanie kruszyw według PN-EN 1097-8 [18] (dotyczy warstwy ścieralnej), kategoria nie niższa niż:</w:t>
            </w:r>
          </w:p>
        </w:tc>
        <w:tc>
          <w:tcPr>
            <w:tcW w:w="1418" w:type="dxa"/>
          </w:tcPr>
          <w:p w14:paraId="15F014DE" w14:textId="77777777" w:rsidR="00F45500" w:rsidRPr="007B192E" w:rsidRDefault="00F45500" w:rsidP="008F7A94">
            <w:pPr>
              <w:jc w:val="both"/>
              <w:rPr>
                <w:rFonts w:ascii="Arial" w:hAnsi="Arial" w:cs="Arial"/>
                <w:i/>
                <w:color w:val="000000" w:themeColor="text1"/>
                <w:sz w:val="18"/>
                <w:szCs w:val="18"/>
              </w:rPr>
            </w:pPr>
          </w:p>
          <w:p w14:paraId="365D3D79" w14:textId="77777777" w:rsidR="00F45500" w:rsidRPr="007B192E" w:rsidRDefault="00F45500" w:rsidP="008F7A94">
            <w:pPr>
              <w:jc w:val="both"/>
              <w:rPr>
                <w:rFonts w:ascii="Arial" w:hAnsi="Arial" w:cs="Arial"/>
                <w:b/>
                <w:color w:val="000000" w:themeColor="text1"/>
                <w:sz w:val="18"/>
                <w:szCs w:val="18"/>
                <w:vertAlign w:val="subscript"/>
              </w:rPr>
            </w:pPr>
            <w:proofErr w:type="spellStart"/>
            <w:r w:rsidRPr="007B192E">
              <w:rPr>
                <w:rFonts w:ascii="Arial" w:hAnsi="Arial" w:cs="Arial"/>
                <w:i/>
                <w:color w:val="000000" w:themeColor="text1"/>
                <w:sz w:val="18"/>
                <w:szCs w:val="18"/>
              </w:rPr>
              <w:t>PSV</w:t>
            </w:r>
            <w:r w:rsidRPr="007B192E">
              <w:rPr>
                <w:rFonts w:ascii="Arial" w:hAnsi="Arial" w:cs="Arial"/>
                <w:i/>
                <w:color w:val="000000" w:themeColor="text1"/>
                <w:sz w:val="18"/>
                <w:szCs w:val="18"/>
                <w:vertAlign w:val="subscript"/>
              </w:rPr>
              <w:t>Deklarowana</w:t>
            </w:r>
            <w:proofErr w:type="spellEnd"/>
            <w:r w:rsidRPr="007B192E">
              <w:rPr>
                <w:rFonts w:ascii="Arial" w:hAnsi="Arial" w:cs="Arial"/>
                <w:i/>
                <w:color w:val="000000" w:themeColor="text1"/>
                <w:sz w:val="18"/>
                <w:szCs w:val="18"/>
                <w:vertAlign w:val="subscript"/>
              </w:rPr>
              <w:t>, nie mniej niż 48</w:t>
            </w:r>
            <w:r w:rsidRPr="007B192E">
              <w:rPr>
                <w:rFonts w:ascii="Arial" w:hAnsi="Arial" w:cs="Arial"/>
                <w:i/>
                <w:color w:val="000000" w:themeColor="text1"/>
                <w:sz w:val="18"/>
                <w:szCs w:val="18"/>
              </w:rPr>
              <w:t>*)</w:t>
            </w:r>
          </w:p>
        </w:tc>
      </w:tr>
      <w:tr w:rsidR="004D7D23" w:rsidRPr="007B192E" w14:paraId="3EC4D2F2" w14:textId="77777777" w:rsidTr="008F7A94">
        <w:trPr>
          <w:jc w:val="center"/>
        </w:trPr>
        <w:tc>
          <w:tcPr>
            <w:tcW w:w="546" w:type="dxa"/>
          </w:tcPr>
          <w:p w14:paraId="173FD40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827" w:type="dxa"/>
          </w:tcPr>
          <w:p w14:paraId="06B60BE1"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Gęstość ziaren według PN-EN 1097-6 [16], rozdział 7, 8 lub 9:</w:t>
            </w:r>
          </w:p>
        </w:tc>
        <w:tc>
          <w:tcPr>
            <w:tcW w:w="1418" w:type="dxa"/>
            <w:vAlign w:val="center"/>
          </w:tcPr>
          <w:p w14:paraId="10F26978" w14:textId="77777777" w:rsidR="00F45500" w:rsidRPr="007B192E" w:rsidRDefault="00F45500" w:rsidP="008F7A94">
            <w:pPr>
              <w:jc w:val="both"/>
              <w:rPr>
                <w:rFonts w:ascii="Arial" w:hAnsi="Arial" w:cs="Arial"/>
                <w:b/>
                <w:color w:val="000000" w:themeColor="text1"/>
                <w:sz w:val="18"/>
                <w:szCs w:val="18"/>
              </w:rPr>
            </w:pPr>
            <w:proofErr w:type="spellStart"/>
            <w:r w:rsidRPr="007B192E">
              <w:rPr>
                <w:rFonts w:ascii="Arial" w:hAnsi="Arial" w:cs="Arial"/>
                <w:color w:val="000000" w:themeColor="text1"/>
                <w:sz w:val="18"/>
                <w:szCs w:val="18"/>
              </w:rPr>
              <w:t>deklarowa-na</w:t>
            </w:r>
            <w:proofErr w:type="spellEnd"/>
            <w:r w:rsidRPr="007B192E">
              <w:rPr>
                <w:rFonts w:ascii="Arial" w:hAnsi="Arial" w:cs="Arial"/>
                <w:color w:val="000000" w:themeColor="text1"/>
                <w:sz w:val="18"/>
                <w:szCs w:val="18"/>
              </w:rPr>
              <w:t xml:space="preserve"> przez producenta</w:t>
            </w:r>
          </w:p>
        </w:tc>
      </w:tr>
      <w:tr w:rsidR="004D7D23" w:rsidRPr="007B192E" w14:paraId="682C10DB" w14:textId="77777777" w:rsidTr="008F7A94">
        <w:trPr>
          <w:jc w:val="center"/>
        </w:trPr>
        <w:tc>
          <w:tcPr>
            <w:tcW w:w="546" w:type="dxa"/>
          </w:tcPr>
          <w:p w14:paraId="1FDD6A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3827" w:type="dxa"/>
          </w:tcPr>
          <w:p w14:paraId="0C3E24A6"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Nasiąkliwość według PN-EN 1097-6 [16], rozdział 7, 8 lub 9:</w:t>
            </w:r>
          </w:p>
        </w:tc>
        <w:tc>
          <w:tcPr>
            <w:tcW w:w="1418" w:type="dxa"/>
            <w:vAlign w:val="center"/>
          </w:tcPr>
          <w:p w14:paraId="4710BCE9" w14:textId="77777777" w:rsidR="00F45500" w:rsidRPr="007B192E" w:rsidRDefault="00F45500" w:rsidP="008F7A94">
            <w:pPr>
              <w:jc w:val="both"/>
              <w:rPr>
                <w:rFonts w:ascii="Arial" w:hAnsi="Arial" w:cs="Arial"/>
                <w:b/>
                <w:color w:val="000000" w:themeColor="text1"/>
                <w:sz w:val="18"/>
                <w:szCs w:val="18"/>
              </w:rPr>
            </w:pPr>
            <w:proofErr w:type="spellStart"/>
            <w:r w:rsidRPr="007B192E">
              <w:rPr>
                <w:rFonts w:ascii="Arial" w:hAnsi="Arial" w:cs="Arial"/>
                <w:color w:val="000000" w:themeColor="text1"/>
                <w:sz w:val="18"/>
                <w:szCs w:val="18"/>
              </w:rPr>
              <w:t>deklarowa-na</w:t>
            </w:r>
            <w:proofErr w:type="spellEnd"/>
            <w:r w:rsidRPr="007B192E">
              <w:rPr>
                <w:rFonts w:ascii="Arial" w:hAnsi="Arial" w:cs="Arial"/>
                <w:color w:val="000000" w:themeColor="text1"/>
                <w:sz w:val="18"/>
                <w:szCs w:val="18"/>
              </w:rPr>
              <w:t xml:space="preserve"> przez producenta</w:t>
            </w:r>
          </w:p>
        </w:tc>
      </w:tr>
      <w:tr w:rsidR="004D7D23" w:rsidRPr="007B192E" w14:paraId="21166A1E" w14:textId="77777777" w:rsidTr="008F7A94">
        <w:trPr>
          <w:jc w:val="center"/>
        </w:trPr>
        <w:tc>
          <w:tcPr>
            <w:tcW w:w="546" w:type="dxa"/>
          </w:tcPr>
          <w:p w14:paraId="7D8F961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3827" w:type="dxa"/>
            <w:vAlign w:val="center"/>
          </w:tcPr>
          <w:p w14:paraId="087D1BB1"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Mrozoodporność według PN-EN 1367-6 [20], w 1 % NaCl (dotyczy warstwy ścieralnej); kategoria nie wyższa niż:</w:t>
            </w:r>
          </w:p>
        </w:tc>
        <w:tc>
          <w:tcPr>
            <w:tcW w:w="1418" w:type="dxa"/>
          </w:tcPr>
          <w:p w14:paraId="429BFF30" w14:textId="77777777" w:rsidR="00F45500" w:rsidRPr="007B192E" w:rsidRDefault="00F45500" w:rsidP="008F7A94">
            <w:pPr>
              <w:spacing w:before="120"/>
              <w:jc w:val="both"/>
              <w:rPr>
                <w:rFonts w:ascii="Arial" w:hAnsi="Arial" w:cs="Arial"/>
                <w:color w:val="000000" w:themeColor="text1"/>
                <w:sz w:val="18"/>
                <w:szCs w:val="18"/>
              </w:rPr>
            </w:pPr>
          </w:p>
          <w:p w14:paraId="75999C84"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7</w:t>
            </w:r>
          </w:p>
        </w:tc>
      </w:tr>
      <w:tr w:rsidR="004D7D23" w:rsidRPr="007B192E" w14:paraId="38BCAFF1" w14:textId="77777777" w:rsidTr="008F7A94">
        <w:trPr>
          <w:jc w:val="center"/>
        </w:trPr>
        <w:tc>
          <w:tcPr>
            <w:tcW w:w="546" w:type="dxa"/>
          </w:tcPr>
          <w:p w14:paraId="73F1C5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3827" w:type="dxa"/>
            <w:vAlign w:val="center"/>
          </w:tcPr>
          <w:p w14:paraId="1D36BACE"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„Zgorzel słoneczna” bazaltu według </w:t>
            </w:r>
            <w:r w:rsidRPr="007B192E">
              <w:rPr>
                <w:rFonts w:ascii="Arial" w:hAnsi="Arial" w:cs="Arial"/>
                <w:color w:val="000000" w:themeColor="text1"/>
                <w:sz w:val="18"/>
                <w:szCs w:val="18"/>
              </w:rPr>
              <w:br/>
              <w:t>PN-EN 1367-3 [19]; wymagana kategoria:</w:t>
            </w:r>
          </w:p>
        </w:tc>
        <w:tc>
          <w:tcPr>
            <w:tcW w:w="1418" w:type="dxa"/>
          </w:tcPr>
          <w:p w14:paraId="57A92F1A" w14:textId="77777777" w:rsidR="00F45500" w:rsidRPr="007B192E" w:rsidRDefault="00F45500" w:rsidP="008F7A94">
            <w:pPr>
              <w:jc w:val="both"/>
              <w:rPr>
                <w:rFonts w:ascii="Arial" w:hAnsi="Arial" w:cs="Arial"/>
                <w:i/>
                <w:color w:val="000000" w:themeColor="text1"/>
                <w:sz w:val="18"/>
                <w:szCs w:val="18"/>
              </w:rPr>
            </w:pPr>
          </w:p>
          <w:p w14:paraId="1080D01D"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i/>
                <w:color w:val="000000" w:themeColor="text1"/>
                <w:sz w:val="18"/>
                <w:szCs w:val="18"/>
              </w:rPr>
              <w:t>SB</w:t>
            </w:r>
            <w:r w:rsidRPr="007B192E">
              <w:rPr>
                <w:rFonts w:ascii="Arial" w:hAnsi="Arial" w:cs="Arial"/>
                <w:color w:val="000000" w:themeColor="text1"/>
                <w:sz w:val="18"/>
                <w:szCs w:val="18"/>
                <w:vertAlign w:val="subscript"/>
              </w:rPr>
              <w:t>LA</w:t>
            </w:r>
          </w:p>
        </w:tc>
      </w:tr>
      <w:tr w:rsidR="004D7D23" w:rsidRPr="007B192E" w14:paraId="0214AA4E" w14:textId="77777777" w:rsidTr="008F7A94">
        <w:trPr>
          <w:jc w:val="center"/>
        </w:trPr>
        <w:tc>
          <w:tcPr>
            <w:tcW w:w="546" w:type="dxa"/>
          </w:tcPr>
          <w:p w14:paraId="39B68E5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3827" w:type="dxa"/>
            <w:vAlign w:val="center"/>
          </w:tcPr>
          <w:p w14:paraId="2B804926"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Skład chemiczny – uproszczony opis petrograficzny według PN-EN 932-3 [5]</w:t>
            </w:r>
          </w:p>
        </w:tc>
        <w:tc>
          <w:tcPr>
            <w:tcW w:w="1418" w:type="dxa"/>
          </w:tcPr>
          <w:p w14:paraId="7382F597" w14:textId="77777777" w:rsidR="00F45500" w:rsidRPr="007B192E" w:rsidRDefault="00F45500" w:rsidP="008F7A94">
            <w:pPr>
              <w:jc w:val="both"/>
              <w:rPr>
                <w:rFonts w:ascii="Arial" w:hAnsi="Arial" w:cs="Arial"/>
                <w:b/>
                <w:color w:val="000000" w:themeColor="text1"/>
                <w:sz w:val="18"/>
                <w:szCs w:val="18"/>
              </w:rPr>
            </w:pPr>
            <w:proofErr w:type="spellStart"/>
            <w:r w:rsidRPr="007B192E">
              <w:rPr>
                <w:rFonts w:ascii="Arial" w:hAnsi="Arial" w:cs="Arial"/>
                <w:color w:val="000000" w:themeColor="text1"/>
                <w:sz w:val="18"/>
                <w:szCs w:val="18"/>
              </w:rPr>
              <w:t>deklarowa-ny</w:t>
            </w:r>
            <w:proofErr w:type="spellEnd"/>
            <w:r w:rsidRPr="007B192E">
              <w:rPr>
                <w:rFonts w:ascii="Arial" w:hAnsi="Arial" w:cs="Arial"/>
                <w:color w:val="000000" w:themeColor="text1"/>
                <w:sz w:val="18"/>
                <w:szCs w:val="18"/>
              </w:rPr>
              <w:t xml:space="preserve"> przez producenta</w:t>
            </w:r>
          </w:p>
        </w:tc>
      </w:tr>
      <w:tr w:rsidR="004D7D23" w:rsidRPr="007B192E" w14:paraId="35F3FE4B" w14:textId="77777777" w:rsidTr="008F7A94">
        <w:trPr>
          <w:jc w:val="center"/>
        </w:trPr>
        <w:tc>
          <w:tcPr>
            <w:tcW w:w="546" w:type="dxa"/>
          </w:tcPr>
          <w:p w14:paraId="6DD61C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3827" w:type="dxa"/>
            <w:vAlign w:val="center"/>
          </w:tcPr>
          <w:p w14:paraId="4A223D7F"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Grube zanieczyszczenia lekkie według PN-EN 1744-1 [23], p.14.2; kategoria nie wyższa niż:</w:t>
            </w:r>
          </w:p>
        </w:tc>
        <w:tc>
          <w:tcPr>
            <w:tcW w:w="1418" w:type="dxa"/>
          </w:tcPr>
          <w:p w14:paraId="1E9E152B" w14:textId="77777777" w:rsidR="00F45500" w:rsidRPr="007B192E" w:rsidRDefault="00F45500" w:rsidP="008F7A94">
            <w:pPr>
              <w:jc w:val="both"/>
              <w:rPr>
                <w:rFonts w:ascii="Arial" w:hAnsi="Arial" w:cs="Arial"/>
                <w:i/>
                <w:color w:val="000000" w:themeColor="text1"/>
                <w:sz w:val="18"/>
                <w:szCs w:val="18"/>
              </w:rPr>
            </w:pPr>
          </w:p>
          <w:p w14:paraId="319ED8E8" w14:textId="77777777" w:rsidR="00F45500" w:rsidRPr="007B192E" w:rsidRDefault="00F45500" w:rsidP="008F7A94">
            <w:pPr>
              <w:jc w:val="both"/>
              <w:rPr>
                <w:rFonts w:ascii="Arial" w:hAnsi="Arial" w:cs="Arial"/>
                <w:b/>
                <w:color w:val="000000" w:themeColor="text1"/>
                <w:sz w:val="18"/>
                <w:szCs w:val="18"/>
              </w:rPr>
            </w:pPr>
            <w:proofErr w:type="spellStart"/>
            <w:r w:rsidRPr="007B192E">
              <w:rPr>
                <w:rFonts w:ascii="Arial" w:hAnsi="Arial" w:cs="Arial"/>
                <w:i/>
                <w:color w:val="000000" w:themeColor="text1"/>
                <w:sz w:val="18"/>
                <w:szCs w:val="18"/>
              </w:rPr>
              <w:t>m</w:t>
            </w:r>
            <w:r w:rsidRPr="007B192E">
              <w:rPr>
                <w:rFonts w:ascii="Arial" w:hAnsi="Arial" w:cs="Arial"/>
                <w:color w:val="000000" w:themeColor="text1"/>
                <w:sz w:val="18"/>
                <w:szCs w:val="18"/>
                <w:vertAlign w:val="subscript"/>
              </w:rPr>
              <w:t>LPC</w:t>
            </w:r>
            <w:proofErr w:type="spellEnd"/>
            <w:r w:rsidRPr="007B192E">
              <w:rPr>
                <w:rFonts w:ascii="Arial" w:hAnsi="Arial" w:cs="Arial"/>
                <w:color w:val="000000" w:themeColor="text1"/>
                <w:sz w:val="18"/>
                <w:szCs w:val="18"/>
              </w:rPr>
              <w:t xml:space="preserve"> 0,1</w:t>
            </w:r>
          </w:p>
        </w:tc>
      </w:tr>
      <w:tr w:rsidR="004D7D23" w:rsidRPr="007B192E" w14:paraId="61182F89" w14:textId="77777777" w:rsidTr="008F7A94">
        <w:trPr>
          <w:jc w:val="center"/>
        </w:trPr>
        <w:tc>
          <w:tcPr>
            <w:tcW w:w="546" w:type="dxa"/>
          </w:tcPr>
          <w:p w14:paraId="6C6F5E0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3827" w:type="dxa"/>
            <w:vAlign w:val="center"/>
          </w:tcPr>
          <w:p w14:paraId="077844FD"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Rozpad krzemianowy żużla wielkopiecowego chłodzonego powietrzem według PN-EN 1744-1 [23], p. 19.1:</w:t>
            </w:r>
          </w:p>
        </w:tc>
        <w:tc>
          <w:tcPr>
            <w:tcW w:w="1418" w:type="dxa"/>
            <w:vAlign w:val="center"/>
          </w:tcPr>
          <w:p w14:paraId="2BFB41CD"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wymagana odporność</w:t>
            </w:r>
          </w:p>
        </w:tc>
      </w:tr>
      <w:tr w:rsidR="004D7D23" w:rsidRPr="007B192E" w14:paraId="45FEA51E" w14:textId="77777777" w:rsidTr="008F7A94">
        <w:trPr>
          <w:jc w:val="center"/>
        </w:trPr>
        <w:tc>
          <w:tcPr>
            <w:tcW w:w="546" w:type="dxa"/>
          </w:tcPr>
          <w:p w14:paraId="77E4815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3827" w:type="dxa"/>
            <w:vAlign w:val="center"/>
          </w:tcPr>
          <w:p w14:paraId="1443005C"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Rozpad żelazowy żużla wielkopiecowego chłodzonego powietrzem według PN-EN 1744-1 [23], p. 19.2:</w:t>
            </w:r>
          </w:p>
        </w:tc>
        <w:tc>
          <w:tcPr>
            <w:tcW w:w="1418" w:type="dxa"/>
            <w:vAlign w:val="center"/>
          </w:tcPr>
          <w:p w14:paraId="697198C5"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wymagana odporność</w:t>
            </w:r>
          </w:p>
        </w:tc>
      </w:tr>
      <w:tr w:rsidR="004D7D23" w:rsidRPr="007B192E" w14:paraId="3308542A" w14:textId="77777777" w:rsidTr="008F7A94">
        <w:trPr>
          <w:jc w:val="center"/>
        </w:trPr>
        <w:tc>
          <w:tcPr>
            <w:tcW w:w="546" w:type="dxa"/>
          </w:tcPr>
          <w:p w14:paraId="55114AC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3827" w:type="dxa"/>
            <w:vAlign w:val="center"/>
          </w:tcPr>
          <w:p w14:paraId="136EE786"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Stałość objętości kruszywa z żużla stalowniczego według PN-EN 1744-1 [23] p. 19.3; kategoria nie wyższa niż:</w:t>
            </w:r>
          </w:p>
        </w:tc>
        <w:tc>
          <w:tcPr>
            <w:tcW w:w="1418" w:type="dxa"/>
          </w:tcPr>
          <w:p w14:paraId="20B4C5BD" w14:textId="77777777" w:rsidR="00F45500" w:rsidRPr="007B192E" w:rsidRDefault="00F45500" w:rsidP="008F7A94">
            <w:pPr>
              <w:spacing w:before="60"/>
              <w:jc w:val="both"/>
              <w:rPr>
                <w:rFonts w:ascii="Arial" w:hAnsi="Arial" w:cs="Arial"/>
                <w:i/>
                <w:color w:val="000000" w:themeColor="text1"/>
                <w:sz w:val="18"/>
                <w:szCs w:val="18"/>
              </w:rPr>
            </w:pPr>
          </w:p>
          <w:p w14:paraId="5212B721" w14:textId="77777777" w:rsidR="00F45500" w:rsidRPr="007B192E" w:rsidRDefault="00F45500" w:rsidP="008F7A94">
            <w:pPr>
              <w:spacing w:before="60"/>
              <w:jc w:val="both"/>
              <w:rPr>
                <w:rFonts w:ascii="Arial" w:hAnsi="Arial" w:cs="Arial"/>
                <w:b/>
                <w:color w:val="000000" w:themeColor="text1"/>
                <w:sz w:val="18"/>
                <w:szCs w:val="18"/>
              </w:rPr>
            </w:pPr>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3,5</w:t>
            </w:r>
          </w:p>
        </w:tc>
      </w:tr>
    </w:tbl>
    <w:p w14:paraId="6191ADAA" w14:textId="77777777" w:rsidR="00F45500" w:rsidRPr="007B192E" w:rsidRDefault="00F45500" w:rsidP="00F45500">
      <w:pPr>
        <w:shd w:val="clear" w:color="auto" w:fill="FFFFFF"/>
        <w:jc w:val="both"/>
        <w:rPr>
          <w:rFonts w:ascii="Arial" w:hAnsi="Arial" w:cs="Arial"/>
          <w:color w:val="000000" w:themeColor="text1"/>
          <w:sz w:val="18"/>
          <w:szCs w:val="18"/>
        </w:rPr>
      </w:pPr>
      <w:r w:rsidRPr="007B192E">
        <w:rPr>
          <w:rFonts w:ascii="Arial" w:hAnsi="Arial" w:cs="Arial"/>
          <w:color w:val="000000" w:themeColor="text1"/>
          <w:sz w:val="18"/>
          <w:szCs w:val="18"/>
        </w:rPr>
        <w:t>*) Kruszywa grube, które nie spełniają wymaganej kategorii wobec odporności na polerowanie (</w:t>
      </w:r>
      <w:r w:rsidRPr="007B192E">
        <w:rPr>
          <w:rFonts w:ascii="Arial" w:hAnsi="Arial" w:cs="Arial"/>
          <w:i/>
          <w:color w:val="000000" w:themeColor="text1"/>
          <w:sz w:val="18"/>
          <w:szCs w:val="18"/>
        </w:rPr>
        <w:t>PSV</w:t>
      </w:r>
      <w:r w:rsidRPr="007B192E">
        <w:rPr>
          <w:rFonts w:ascii="Arial" w:hAnsi="Arial" w:cs="Arial"/>
          <w:color w:val="000000" w:themeColor="text1"/>
          <w:sz w:val="18"/>
          <w:szCs w:val="18"/>
        </w:rPr>
        <w:t>), mogą być stosowane, jeśli są używane w mieszance kruszyw (grubych), która obliczeniowo osiąga podaną wartość wymaganej kategorii. Obliczona wartość (</w:t>
      </w:r>
      <w:r w:rsidRPr="007B192E">
        <w:rPr>
          <w:rFonts w:ascii="Arial" w:hAnsi="Arial" w:cs="Arial"/>
          <w:i/>
          <w:color w:val="000000" w:themeColor="text1"/>
          <w:sz w:val="18"/>
          <w:szCs w:val="18"/>
        </w:rPr>
        <w:t>PSV</w:t>
      </w:r>
      <w:r w:rsidRPr="007B192E">
        <w:rPr>
          <w:rFonts w:ascii="Arial" w:hAnsi="Arial" w:cs="Arial"/>
          <w:color w:val="000000" w:themeColor="text1"/>
          <w:sz w:val="18"/>
          <w:szCs w:val="18"/>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7B192E">
        <w:rPr>
          <w:rFonts w:ascii="Arial" w:hAnsi="Arial" w:cs="Arial"/>
          <w:color w:val="000000" w:themeColor="text1"/>
          <w:sz w:val="18"/>
          <w:szCs w:val="18"/>
          <w:vertAlign w:val="subscript"/>
        </w:rPr>
        <w:t>44</w:t>
      </w:r>
      <w:r w:rsidRPr="007B192E">
        <w:rPr>
          <w:rFonts w:ascii="Arial" w:hAnsi="Arial" w:cs="Arial"/>
          <w:color w:val="000000" w:themeColor="text1"/>
          <w:sz w:val="18"/>
          <w:szCs w:val="18"/>
        </w:rPr>
        <w:t xml:space="preserve"> i wyższej.</w:t>
      </w:r>
    </w:p>
    <w:p w14:paraId="2CC04DDE" w14:textId="77777777" w:rsidR="00F45500" w:rsidRPr="007B192E" w:rsidRDefault="00F45500" w:rsidP="00F45500">
      <w:pPr>
        <w:shd w:val="clear" w:color="auto" w:fill="FFFFFF"/>
        <w:ind w:firstLine="709"/>
        <w:jc w:val="both"/>
        <w:rPr>
          <w:rFonts w:ascii="Arial" w:hAnsi="Arial" w:cs="Arial"/>
          <w:color w:val="000000" w:themeColor="text1"/>
          <w:sz w:val="18"/>
          <w:szCs w:val="18"/>
        </w:rPr>
      </w:pPr>
    </w:p>
    <w:p w14:paraId="687801D5" w14:textId="77777777" w:rsidR="00F45500" w:rsidRPr="007B192E" w:rsidRDefault="00F45500" w:rsidP="00F45500">
      <w:pPr>
        <w:shd w:val="clear" w:color="auto" w:fill="FFFFFF"/>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Kruszywo łamane drobne lub o ciągłym uziarnieniu do D≤8  do warstwy ścieralnej  z betonu asfaltowego  powinno spełniać wymagania podane w tablicy  8 .</w:t>
      </w:r>
    </w:p>
    <w:p w14:paraId="5EEB2D75" w14:textId="77777777" w:rsidR="00F45500" w:rsidRPr="007B192E" w:rsidRDefault="00F45500" w:rsidP="00F45500">
      <w:pPr>
        <w:shd w:val="clear" w:color="auto" w:fill="FFFFFF"/>
        <w:spacing w:before="120" w:after="120"/>
        <w:ind w:left="1321" w:hanging="1321"/>
        <w:jc w:val="both"/>
        <w:rPr>
          <w:rFonts w:ascii="Arial" w:hAnsi="Arial" w:cs="Arial"/>
          <w:color w:val="000000" w:themeColor="text1"/>
          <w:sz w:val="18"/>
          <w:szCs w:val="18"/>
        </w:rPr>
      </w:pPr>
    </w:p>
    <w:p w14:paraId="7F3BBC9D" w14:textId="77777777" w:rsidR="00F45500" w:rsidRPr="007B192E" w:rsidRDefault="00F45500" w:rsidP="00F45500">
      <w:pPr>
        <w:shd w:val="clear" w:color="auto" w:fill="FFFFFF"/>
        <w:spacing w:before="120" w:after="120"/>
        <w:ind w:left="1321" w:hanging="1321"/>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3661"/>
      </w:tblGrid>
      <w:tr w:rsidR="004D7D23" w:rsidRPr="007B192E" w14:paraId="3E6D60B5" w14:textId="77777777" w:rsidTr="008F7A94">
        <w:tc>
          <w:tcPr>
            <w:tcW w:w="675" w:type="dxa"/>
            <w:vAlign w:val="center"/>
          </w:tcPr>
          <w:p w14:paraId="31BFCE7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4353" w:type="dxa"/>
            <w:vAlign w:val="center"/>
          </w:tcPr>
          <w:p w14:paraId="265FA53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3661" w:type="dxa"/>
            <w:vAlign w:val="center"/>
          </w:tcPr>
          <w:p w14:paraId="3E50D7A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Wymagania w zależności od kategorii ruchu</w:t>
            </w:r>
          </w:p>
        </w:tc>
      </w:tr>
      <w:tr w:rsidR="004D7D23" w:rsidRPr="007B192E" w14:paraId="18F54FA7" w14:textId="77777777" w:rsidTr="008F7A94">
        <w:tc>
          <w:tcPr>
            <w:tcW w:w="675" w:type="dxa"/>
            <w:vAlign w:val="center"/>
          </w:tcPr>
          <w:p w14:paraId="0523C717" w14:textId="77777777" w:rsidR="00F45500" w:rsidRPr="007B192E" w:rsidRDefault="00F45500" w:rsidP="008F7A94">
            <w:pPr>
              <w:jc w:val="both"/>
              <w:rPr>
                <w:rFonts w:ascii="Arial" w:hAnsi="Arial" w:cs="Arial"/>
                <w:color w:val="000000" w:themeColor="text1"/>
                <w:sz w:val="18"/>
                <w:szCs w:val="18"/>
              </w:rPr>
            </w:pPr>
          </w:p>
        </w:tc>
        <w:tc>
          <w:tcPr>
            <w:tcW w:w="4353" w:type="dxa"/>
            <w:vAlign w:val="center"/>
          </w:tcPr>
          <w:p w14:paraId="48996DD5" w14:textId="77777777" w:rsidR="00F45500" w:rsidRPr="007B192E" w:rsidRDefault="00F45500" w:rsidP="008F7A94">
            <w:pPr>
              <w:jc w:val="both"/>
              <w:rPr>
                <w:rFonts w:ascii="Arial" w:hAnsi="Arial" w:cs="Arial"/>
                <w:color w:val="000000" w:themeColor="text1"/>
                <w:sz w:val="18"/>
                <w:szCs w:val="18"/>
              </w:rPr>
            </w:pPr>
          </w:p>
        </w:tc>
        <w:tc>
          <w:tcPr>
            <w:tcW w:w="3661" w:type="dxa"/>
            <w:vAlign w:val="center"/>
          </w:tcPr>
          <w:p w14:paraId="4117723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KR3</w:t>
            </w:r>
          </w:p>
          <w:p w14:paraId="3B85D97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756524F4" w14:textId="77777777" w:rsidTr="008F7A94">
        <w:tc>
          <w:tcPr>
            <w:tcW w:w="675" w:type="dxa"/>
          </w:tcPr>
          <w:p w14:paraId="15FD78D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4353" w:type="dxa"/>
          </w:tcPr>
          <w:p w14:paraId="381161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Uziarnienie według PN-EN 933-1 [6], wymagana kategoria:</w:t>
            </w:r>
          </w:p>
        </w:tc>
        <w:tc>
          <w:tcPr>
            <w:tcW w:w="3661" w:type="dxa"/>
            <w:vAlign w:val="center"/>
          </w:tcPr>
          <w:p w14:paraId="0DE716D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85 lub G</w:t>
            </w:r>
            <w:r w:rsidRPr="007B192E">
              <w:rPr>
                <w:rFonts w:ascii="Arial" w:hAnsi="Arial" w:cs="Arial"/>
                <w:color w:val="000000" w:themeColor="text1"/>
                <w:sz w:val="18"/>
                <w:szCs w:val="18"/>
                <w:vertAlign w:val="subscript"/>
              </w:rPr>
              <w:t>A</w:t>
            </w:r>
            <w:r w:rsidRPr="007B192E">
              <w:rPr>
                <w:rFonts w:ascii="Arial" w:hAnsi="Arial" w:cs="Arial"/>
                <w:color w:val="000000" w:themeColor="text1"/>
                <w:sz w:val="18"/>
                <w:szCs w:val="18"/>
              </w:rPr>
              <w:t>85</w:t>
            </w:r>
          </w:p>
        </w:tc>
      </w:tr>
      <w:tr w:rsidR="004D7D23" w:rsidRPr="007B192E" w14:paraId="07BC5657" w14:textId="77777777" w:rsidTr="008F7A94">
        <w:tc>
          <w:tcPr>
            <w:tcW w:w="675" w:type="dxa"/>
          </w:tcPr>
          <w:p w14:paraId="44478A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4353" w:type="dxa"/>
          </w:tcPr>
          <w:p w14:paraId="0797F1B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Tolerancja uziarnienia; odchylenie nie większe niż według kategorii:</w:t>
            </w:r>
          </w:p>
        </w:tc>
        <w:tc>
          <w:tcPr>
            <w:tcW w:w="3661" w:type="dxa"/>
            <w:vAlign w:val="center"/>
          </w:tcPr>
          <w:p w14:paraId="6B21B8D3" w14:textId="77777777" w:rsidR="00F45500" w:rsidRPr="007B192E" w:rsidRDefault="00F45500" w:rsidP="008F7A94">
            <w:pPr>
              <w:spacing w:before="180"/>
              <w:jc w:val="center"/>
              <w:rPr>
                <w:rFonts w:ascii="Arial" w:hAnsi="Arial" w:cs="Arial"/>
                <w:color w:val="000000" w:themeColor="text1"/>
                <w:sz w:val="18"/>
                <w:szCs w:val="18"/>
              </w:rPr>
            </w:pPr>
            <w:r w:rsidRPr="007B192E">
              <w:rPr>
                <w:rFonts w:ascii="Arial" w:hAnsi="Arial" w:cs="Arial"/>
                <w:color w:val="000000" w:themeColor="text1"/>
                <w:sz w:val="18"/>
                <w:szCs w:val="18"/>
              </w:rPr>
              <w:t>G</w:t>
            </w:r>
            <w:r w:rsidRPr="007B192E">
              <w:rPr>
                <w:rFonts w:ascii="Arial" w:hAnsi="Arial" w:cs="Arial"/>
                <w:color w:val="000000" w:themeColor="text1"/>
                <w:sz w:val="18"/>
                <w:szCs w:val="18"/>
                <w:vertAlign w:val="subscript"/>
              </w:rPr>
              <w:t>TC</w:t>
            </w:r>
            <w:r w:rsidRPr="007B192E">
              <w:rPr>
                <w:rFonts w:ascii="Arial" w:hAnsi="Arial" w:cs="Arial"/>
                <w:color w:val="000000" w:themeColor="text1"/>
                <w:sz w:val="18"/>
                <w:szCs w:val="18"/>
              </w:rPr>
              <w:t>20</w:t>
            </w:r>
          </w:p>
        </w:tc>
      </w:tr>
      <w:tr w:rsidR="004D7D23" w:rsidRPr="007B192E" w14:paraId="5C82A68C" w14:textId="77777777" w:rsidTr="008F7A94">
        <w:tc>
          <w:tcPr>
            <w:tcW w:w="675" w:type="dxa"/>
          </w:tcPr>
          <w:p w14:paraId="5F48F9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4353" w:type="dxa"/>
          </w:tcPr>
          <w:p w14:paraId="0D95E92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pyłów według PN-EN 933-1 [6], kategoria nie wyższa niż:</w:t>
            </w:r>
          </w:p>
        </w:tc>
        <w:tc>
          <w:tcPr>
            <w:tcW w:w="3661" w:type="dxa"/>
            <w:vAlign w:val="center"/>
          </w:tcPr>
          <w:p w14:paraId="4B1E17C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sym w:font="Symbol" w:char="F0A6"/>
            </w:r>
            <w:r w:rsidRPr="007B192E">
              <w:rPr>
                <w:rFonts w:ascii="Arial" w:hAnsi="Arial" w:cs="Arial"/>
                <w:color w:val="000000" w:themeColor="text1"/>
                <w:sz w:val="18"/>
                <w:szCs w:val="18"/>
                <w:vertAlign w:val="subscript"/>
              </w:rPr>
              <w:t>16</w:t>
            </w:r>
          </w:p>
        </w:tc>
      </w:tr>
      <w:tr w:rsidR="004D7D23" w:rsidRPr="007B192E" w14:paraId="248F64E6" w14:textId="77777777" w:rsidTr="008F7A94">
        <w:tc>
          <w:tcPr>
            <w:tcW w:w="675" w:type="dxa"/>
          </w:tcPr>
          <w:p w14:paraId="1B3C3BB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4353" w:type="dxa"/>
          </w:tcPr>
          <w:p w14:paraId="70CC13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Jakość pyłów według PN-EN 933-9 [11]; kategoria nie wyższa niż:</w:t>
            </w:r>
          </w:p>
        </w:tc>
        <w:tc>
          <w:tcPr>
            <w:tcW w:w="3661" w:type="dxa"/>
            <w:vAlign w:val="center"/>
          </w:tcPr>
          <w:p w14:paraId="601519E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MB</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10</w:t>
            </w:r>
          </w:p>
        </w:tc>
      </w:tr>
      <w:tr w:rsidR="004D7D23" w:rsidRPr="007B192E" w14:paraId="51E2F4E4" w14:textId="77777777" w:rsidTr="008F7A94">
        <w:tc>
          <w:tcPr>
            <w:tcW w:w="675" w:type="dxa"/>
          </w:tcPr>
          <w:p w14:paraId="2C1E84F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4353" w:type="dxa"/>
          </w:tcPr>
          <w:p w14:paraId="29DF3D5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Kanciastość kruszywa drobnego według PN-EN 933-6 [10], rozdz. 8, kategoria nie niższa niż:</w:t>
            </w:r>
          </w:p>
        </w:tc>
        <w:tc>
          <w:tcPr>
            <w:tcW w:w="3661" w:type="dxa"/>
            <w:vAlign w:val="center"/>
          </w:tcPr>
          <w:p w14:paraId="7441DF84" w14:textId="77777777" w:rsidR="00F45500" w:rsidRPr="007B192E" w:rsidRDefault="00F45500" w:rsidP="008F7A94">
            <w:pPr>
              <w:jc w:val="center"/>
              <w:rPr>
                <w:rFonts w:ascii="Arial" w:hAnsi="Arial" w:cs="Arial"/>
                <w:i/>
                <w:color w:val="000000" w:themeColor="text1"/>
                <w:sz w:val="18"/>
                <w:szCs w:val="18"/>
              </w:rPr>
            </w:pPr>
          </w:p>
          <w:p w14:paraId="1E28B6C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E</w:t>
            </w:r>
            <w:r w:rsidRPr="007B192E">
              <w:rPr>
                <w:rFonts w:ascii="Arial" w:hAnsi="Arial" w:cs="Arial"/>
                <w:color w:val="000000" w:themeColor="text1"/>
                <w:sz w:val="18"/>
                <w:szCs w:val="18"/>
                <w:vertAlign w:val="subscript"/>
              </w:rPr>
              <w:t>cs</w:t>
            </w:r>
            <w:r w:rsidRPr="007B192E">
              <w:rPr>
                <w:rFonts w:ascii="Arial" w:hAnsi="Arial" w:cs="Arial"/>
                <w:color w:val="000000" w:themeColor="text1"/>
                <w:sz w:val="18"/>
                <w:szCs w:val="18"/>
              </w:rPr>
              <w:t>30</w:t>
            </w:r>
          </w:p>
          <w:p w14:paraId="1AF8B275" w14:textId="77777777" w:rsidR="00F45500" w:rsidRPr="007B192E" w:rsidRDefault="00F45500" w:rsidP="008F7A94">
            <w:pPr>
              <w:jc w:val="center"/>
              <w:rPr>
                <w:rFonts w:ascii="Arial" w:hAnsi="Arial" w:cs="Arial"/>
                <w:color w:val="000000" w:themeColor="text1"/>
                <w:sz w:val="18"/>
                <w:szCs w:val="18"/>
              </w:rPr>
            </w:pPr>
          </w:p>
        </w:tc>
      </w:tr>
      <w:tr w:rsidR="004D7D23" w:rsidRPr="007B192E" w14:paraId="3101780C" w14:textId="77777777" w:rsidTr="008F7A94">
        <w:tc>
          <w:tcPr>
            <w:tcW w:w="675" w:type="dxa"/>
          </w:tcPr>
          <w:p w14:paraId="0AD9A6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4353" w:type="dxa"/>
          </w:tcPr>
          <w:p w14:paraId="5AC6BE3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Gęstość ziaren według PN-EN 1097-6 [16], rozdz. 7, 8 lub 9:</w:t>
            </w:r>
          </w:p>
        </w:tc>
        <w:tc>
          <w:tcPr>
            <w:tcW w:w="3661" w:type="dxa"/>
            <w:vAlign w:val="center"/>
          </w:tcPr>
          <w:p w14:paraId="157B29D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2942D10D" w14:textId="77777777" w:rsidTr="008F7A94">
        <w:tc>
          <w:tcPr>
            <w:tcW w:w="675" w:type="dxa"/>
          </w:tcPr>
          <w:p w14:paraId="206734C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4353" w:type="dxa"/>
          </w:tcPr>
          <w:p w14:paraId="325FCC7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Nasiąkliwość według PN-EN 1097-6 [16], rozdz. 7, 8 lub 9</w:t>
            </w:r>
          </w:p>
        </w:tc>
        <w:tc>
          <w:tcPr>
            <w:tcW w:w="3661" w:type="dxa"/>
            <w:vAlign w:val="center"/>
          </w:tcPr>
          <w:p w14:paraId="2034EBB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F45500" w:rsidRPr="007B192E" w14:paraId="3162E848" w14:textId="77777777" w:rsidTr="008F7A94">
        <w:tc>
          <w:tcPr>
            <w:tcW w:w="675" w:type="dxa"/>
          </w:tcPr>
          <w:p w14:paraId="035A9AD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4353" w:type="dxa"/>
          </w:tcPr>
          <w:p w14:paraId="45F3100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Grube zanieczyszczenia lekkie, według PN-EN 1744-1 [23] p. 14.2, kategoria nie wyższa niż:</w:t>
            </w:r>
          </w:p>
        </w:tc>
        <w:tc>
          <w:tcPr>
            <w:tcW w:w="3661" w:type="dxa"/>
            <w:vAlign w:val="center"/>
          </w:tcPr>
          <w:p w14:paraId="18B9F7C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m</w:t>
            </w:r>
            <w:r w:rsidRPr="007B192E">
              <w:rPr>
                <w:rFonts w:ascii="Arial" w:hAnsi="Arial" w:cs="Arial"/>
                <w:color w:val="000000" w:themeColor="text1"/>
                <w:sz w:val="18"/>
                <w:szCs w:val="18"/>
                <w:vertAlign w:val="subscript"/>
              </w:rPr>
              <w:t>LPC</w:t>
            </w:r>
            <w:r w:rsidRPr="007B192E">
              <w:rPr>
                <w:rFonts w:ascii="Arial" w:hAnsi="Arial" w:cs="Arial"/>
                <w:color w:val="000000" w:themeColor="text1"/>
                <w:sz w:val="18"/>
                <w:szCs w:val="18"/>
              </w:rPr>
              <w:t>0,1</w:t>
            </w:r>
          </w:p>
        </w:tc>
      </w:tr>
    </w:tbl>
    <w:p w14:paraId="3A75CFF9" w14:textId="77777777" w:rsidR="00F45500" w:rsidRPr="007B192E" w:rsidRDefault="00F45500" w:rsidP="00F45500">
      <w:pPr>
        <w:jc w:val="both"/>
        <w:rPr>
          <w:rFonts w:ascii="Arial" w:hAnsi="Arial" w:cs="Arial"/>
          <w:color w:val="000000" w:themeColor="text1"/>
          <w:sz w:val="18"/>
          <w:szCs w:val="18"/>
        </w:rPr>
      </w:pPr>
    </w:p>
    <w:p w14:paraId="54B857AD"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Do warstwy ścieralnej z betonu asfaltowego, w zależności od kategorii ruchu,  należy stosować wypełniacz spełniający wymagania podane w tablicy 9.</w:t>
      </w:r>
    </w:p>
    <w:p w14:paraId="3F0867FB" w14:textId="77777777" w:rsidR="00F45500" w:rsidRPr="007B192E" w:rsidRDefault="00F45500" w:rsidP="00F45500">
      <w:pPr>
        <w:tabs>
          <w:tab w:val="left" w:pos="1134"/>
        </w:tabs>
        <w:spacing w:before="12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9.</w:t>
      </w:r>
      <w:r w:rsidRPr="007B192E">
        <w:rPr>
          <w:rFonts w:ascii="Arial" w:hAnsi="Arial" w:cs="Arial"/>
          <w:color w:val="000000" w:themeColor="text1"/>
          <w:sz w:val="18"/>
          <w:szCs w:val="18"/>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3600"/>
      </w:tblGrid>
      <w:tr w:rsidR="004D7D23" w:rsidRPr="007B192E" w14:paraId="30408A62" w14:textId="77777777" w:rsidTr="008F7A94">
        <w:tc>
          <w:tcPr>
            <w:tcW w:w="708" w:type="dxa"/>
            <w:vMerge w:val="restart"/>
            <w:vAlign w:val="center"/>
          </w:tcPr>
          <w:p w14:paraId="4089E3B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4320" w:type="dxa"/>
            <w:vMerge w:val="restart"/>
            <w:vAlign w:val="center"/>
          </w:tcPr>
          <w:p w14:paraId="04F2EE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Właściwości kruszywa</w:t>
            </w:r>
          </w:p>
        </w:tc>
        <w:tc>
          <w:tcPr>
            <w:tcW w:w="3600" w:type="dxa"/>
            <w:vAlign w:val="center"/>
          </w:tcPr>
          <w:p w14:paraId="76C2F51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Wymagania w zależności od kategorii ruchu</w:t>
            </w:r>
          </w:p>
        </w:tc>
      </w:tr>
      <w:tr w:rsidR="004D7D23" w:rsidRPr="007B192E" w14:paraId="6CB46B54" w14:textId="77777777" w:rsidTr="008F7A94">
        <w:tc>
          <w:tcPr>
            <w:tcW w:w="708" w:type="dxa"/>
            <w:vMerge/>
            <w:vAlign w:val="center"/>
          </w:tcPr>
          <w:p w14:paraId="37099929" w14:textId="77777777" w:rsidR="00F45500" w:rsidRPr="007B192E" w:rsidRDefault="00F45500" w:rsidP="008F7A94">
            <w:pPr>
              <w:jc w:val="both"/>
              <w:rPr>
                <w:rFonts w:ascii="Arial" w:hAnsi="Arial" w:cs="Arial"/>
                <w:color w:val="000000" w:themeColor="text1"/>
                <w:sz w:val="18"/>
                <w:szCs w:val="18"/>
              </w:rPr>
            </w:pPr>
          </w:p>
        </w:tc>
        <w:tc>
          <w:tcPr>
            <w:tcW w:w="4320" w:type="dxa"/>
            <w:vMerge/>
            <w:vAlign w:val="center"/>
          </w:tcPr>
          <w:p w14:paraId="06457F48" w14:textId="77777777" w:rsidR="00F45500" w:rsidRPr="007B192E" w:rsidRDefault="00F45500" w:rsidP="008F7A94">
            <w:pPr>
              <w:jc w:val="both"/>
              <w:rPr>
                <w:rFonts w:ascii="Arial" w:hAnsi="Arial" w:cs="Arial"/>
                <w:color w:val="000000" w:themeColor="text1"/>
                <w:sz w:val="18"/>
                <w:szCs w:val="18"/>
              </w:rPr>
            </w:pPr>
          </w:p>
        </w:tc>
        <w:tc>
          <w:tcPr>
            <w:tcW w:w="3600" w:type="dxa"/>
            <w:vAlign w:val="center"/>
          </w:tcPr>
          <w:p w14:paraId="3330A84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KR3 </w:t>
            </w:r>
            <w:r w:rsidRPr="007B192E">
              <w:rPr>
                <w:rFonts w:ascii="Arial" w:hAnsi="Arial" w:cs="Arial"/>
                <w:color w:val="000000" w:themeColor="text1"/>
                <w:sz w:val="18"/>
                <w:szCs w:val="18"/>
              </w:rPr>
              <w:sym w:font="Symbol" w:char="F0B8"/>
            </w:r>
            <w:r w:rsidRPr="007B192E">
              <w:rPr>
                <w:rFonts w:ascii="Arial" w:hAnsi="Arial" w:cs="Arial"/>
                <w:color w:val="000000" w:themeColor="text1"/>
                <w:sz w:val="18"/>
                <w:szCs w:val="18"/>
              </w:rPr>
              <w:t xml:space="preserve"> KR4</w:t>
            </w:r>
          </w:p>
        </w:tc>
      </w:tr>
      <w:tr w:rsidR="004D7D23" w:rsidRPr="007B192E" w14:paraId="0E78B555" w14:textId="77777777" w:rsidTr="008F7A94">
        <w:tc>
          <w:tcPr>
            <w:tcW w:w="708" w:type="dxa"/>
          </w:tcPr>
          <w:p w14:paraId="608676EA"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4320" w:type="dxa"/>
          </w:tcPr>
          <w:p w14:paraId="218CE386"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Uziarnienie według PN-EN 933-10 [12]</w:t>
            </w:r>
          </w:p>
        </w:tc>
        <w:tc>
          <w:tcPr>
            <w:tcW w:w="3600" w:type="dxa"/>
            <w:vAlign w:val="center"/>
          </w:tcPr>
          <w:p w14:paraId="3501507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zgodnie z tablicą 24 w PN-EN 13043 [49]</w:t>
            </w:r>
          </w:p>
        </w:tc>
      </w:tr>
      <w:tr w:rsidR="004D7D23" w:rsidRPr="007B192E" w14:paraId="435B2C6C" w14:textId="77777777" w:rsidTr="008F7A94">
        <w:tc>
          <w:tcPr>
            <w:tcW w:w="708" w:type="dxa"/>
          </w:tcPr>
          <w:p w14:paraId="47D138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4320" w:type="dxa"/>
          </w:tcPr>
          <w:p w14:paraId="405F163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Jakość pyłów według PN-EN 933-9 [11]; kategoria nie wyższa niż:</w:t>
            </w:r>
          </w:p>
        </w:tc>
        <w:tc>
          <w:tcPr>
            <w:tcW w:w="3600" w:type="dxa"/>
            <w:vAlign w:val="center"/>
          </w:tcPr>
          <w:p w14:paraId="1AE44C9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MB</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10</w:t>
            </w:r>
          </w:p>
        </w:tc>
      </w:tr>
      <w:tr w:rsidR="004D7D23" w:rsidRPr="007B192E" w14:paraId="25476D07" w14:textId="77777777" w:rsidTr="008F7A94">
        <w:tc>
          <w:tcPr>
            <w:tcW w:w="708" w:type="dxa"/>
          </w:tcPr>
          <w:p w14:paraId="1BC416D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4320" w:type="dxa"/>
          </w:tcPr>
          <w:p w14:paraId="4CACBCE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wody według PN-EN 1097-5 [15], nie wyższa niż:</w:t>
            </w:r>
          </w:p>
        </w:tc>
        <w:tc>
          <w:tcPr>
            <w:tcW w:w="3600" w:type="dxa"/>
            <w:vAlign w:val="center"/>
          </w:tcPr>
          <w:p w14:paraId="19D897E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1 % (m/m)</w:t>
            </w:r>
          </w:p>
        </w:tc>
      </w:tr>
      <w:tr w:rsidR="004D7D23" w:rsidRPr="007B192E" w14:paraId="30988BBE" w14:textId="77777777" w:rsidTr="008F7A94">
        <w:tc>
          <w:tcPr>
            <w:tcW w:w="708" w:type="dxa"/>
          </w:tcPr>
          <w:p w14:paraId="402E7AA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4320" w:type="dxa"/>
          </w:tcPr>
          <w:p w14:paraId="52248C6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Gęstość ziaren według PN-EN 1097-7 [17]</w:t>
            </w:r>
          </w:p>
        </w:tc>
        <w:tc>
          <w:tcPr>
            <w:tcW w:w="3600" w:type="dxa"/>
            <w:vAlign w:val="center"/>
          </w:tcPr>
          <w:p w14:paraId="5F2BDBB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deklarowana przez producenta</w:t>
            </w:r>
          </w:p>
        </w:tc>
      </w:tr>
      <w:tr w:rsidR="004D7D23" w:rsidRPr="007B192E" w14:paraId="6134504A" w14:textId="77777777" w:rsidTr="008F7A94">
        <w:tc>
          <w:tcPr>
            <w:tcW w:w="708" w:type="dxa"/>
          </w:tcPr>
          <w:p w14:paraId="6735BB7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4320" w:type="dxa"/>
          </w:tcPr>
          <w:p w14:paraId="136563A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Wolne przestrzenie w suchym zagęszczonym wypełniaczu według PN-EN 1097-4 [14], wymagana kategoria:</w:t>
            </w:r>
          </w:p>
        </w:tc>
        <w:tc>
          <w:tcPr>
            <w:tcW w:w="3600" w:type="dxa"/>
            <w:vAlign w:val="center"/>
          </w:tcPr>
          <w:p w14:paraId="33ABCF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V</w:t>
            </w:r>
            <w:r w:rsidRPr="007B192E">
              <w:rPr>
                <w:rFonts w:ascii="Arial" w:hAnsi="Arial" w:cs="Arial"/>
                <w:color w:val="000000" w:themeColor="text1"/>
                <w:sz w:val="18"/>
                <w:szCs w:val="18"/>
                <w:vertAlign w:val="subscript"/>
              </w:rPr>
              <w:t>28/45</w:t>
            </w:r>
          </w:p>
        </w:tc>
      </w:tr>
      <w:tr w:rsidR="004D7D23" w:rsidRPr="007B192E" w14:paraId="154E9F88" w14:textId="77777777" w:rsidTr="008F7A94">
        <w:tc>
          <w:tcPr>
            <w:tcW w:w="708" w:type="dxa"/>
          </w:tcPr>
          <w:p w14:paraId="2EF903C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4320" w:type="dxa"/>
          </w:tcPr>
          <w:p w14:paraId="2213659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Przyrost temperatury mięknienia według PN-EN 13179-1 [54], wymagana kategoria:</w:t>
            </w:r>
          </w:p>
        </w:tc>
        <w:tc>
          <w:tcPr>
            <w:tcW w:w="3600" w:type="dxa"/>
            <w:vAlign w:val="center"/>
          </w:tcPr>
          <w:p w14:paraId="5D2CA8A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sym w:font="Symbol" w:char="F044"/>
            </w:r>
            <w:r w:rsidRPr="007B192E">
              <w:rPr>
                <w:rFonts w:ascii="Arial" w:hAnsi="Arial" w:cs="Arial"/>
                <w:color w:val="000000" w:themeColor="text1"/>
                <w:sz w:val="18"/>
                <w:szCs w:val="18"/>
                <w:vertAlign w:val="subscript"/>
              </w:rPr>
              <w:t>R&amp;B</w:t>
            </w:r>
            <w:r w:rsidRPr="007B192E">
              <w:rPr>
                <w:rFonts w:ascii="Arial" w:hAnsi="Arial" w:cs="Arial"/>
                <w:color w:val="000000" w:themeColor="text1"/>
                <w:sz w:val="18"/>
                <w:szCs w:val="18"/>
              </w:rPr>
              <w:t>8/25</w:t>
            </w:r>
          </w:p>
        </w:tc>
      </w:tr>
      <w:tr w:rsidR="004D7D23" w:rsidRPr="007B192E" w14:paraId="0E99056F" w14:textId="77777777" w:rsidTr="008F7A94">
        <w:tc>
          <w:tcPr>
            <w:tcW w:w="708" w:type="dxa"/>
          </w:tcPr>
          <w:p w14:paraId="044AD2D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4320" w:type="dxa"/>
          </w:tcPr>
          <w:p w14:paraId="458833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Rozpuszczalność w wodzie według PN-EN 1744-1 [23], kategoria nie wyższa niż:</w:t>
            </w:r>
          </w:p>
        </w:tc>
        <w:tc>
          <w:tcPr>
            <w:tcW w:w="3600" w:type="dxa"/>
            <w:vAlign w:val="center"/>
          </w:tcPr>
          <w:p w14:paraId="152A30A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w:t>
            </w:r>
            <w:r w:rsidRPr="007B192E">
              <w:rPr>
                <w:rFonts w:ascii="Arial" w:hAnsi="Arial" w:cs="Arial"/>
                <w:color w:val="000000" w:themeColor="text1"/>
                <w:sz w:val="18"/>
                <w:szCs w:val="18"/>
                <w:vertAlign w:val="subscript"/>
              </w:rPr>
              <w:t>10</w:t>
            </w:r>
          </w:p>
        </w:tc>
      </w:tr>
      <w:tr w:rsidR="004D7D23" w:rsidRPr="007B192E" w14:paraId="4A985F3F" w14:textId="77777777" w:rsidTr="008F7A94">
        <w:tc>
          <w:tcPr>
            <w:tcW w:w="708" w:type="dxa"/>
          </w:tcPr>
          <w:p w14:paraId="1F721E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4320" w:type="dxa"/>
          </w:tcPr>
          <w:p w14:paraId="7808467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CaCO</w:t>
            </w:r>
            <w:r w:rsidRPr="007B192E">
              <w:rPr>
                <w:rFonts w:ascii="Arial" w:hAnsi="Arial" w:cs="Arial"/>
                <w:color w:val="000000" w:themeColor="text1"/>
                <w:sz w:val="18"/>
                <w:szCs w:val="18"/>
                <w:vertAlign w:val="subscript"/>
              </w:rPr>
              <w:t>3</w:t>
            </w:r>
            <w:r w:rsidRPr="007B192E">
              <w:rPr>
                <w:rFonts w:ascii="Arial" w:hAnsi="Arial" w:cs="Arial"/>
                <w:color w:val="000000" w:themeColor="text1"/>
                <w:sz w:val="18"/>
                <w:szCs w:val="18"/>
              </w:rPr>
              <w:t xml:space="preserve"> w wypełniaczu wapiennym według PN-EN 196-2 [3], kategoria nie niższa niż:</w:t>
            </w:r>
          </w:p>
        </w:tc>
        <w:tc>
          <w:tcPr>
            <w:tcW w:w="3600" w:type="dxa"/>
            <w:vAlign w:val="center"/>
          </w:tcPr>
          <w:p w14:paraId="708572F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CC</w:t>
            </w:r>
            <w:r w:rsidRPr="007B192E">
              <w:rPr>
                <w:rFonts w:ascii="Arial" w:hAnsi="Arial" w:cs="Arial"/>
                <w:color w:val="000000" w:themeColor="text1"/>
                <w:sz w:val="18"/>
                <w:szCs w:val="18"/>
                <w:vertAlign w:val="subscript"/>
              </w:rPr>
              <w:t>70</w:t>
            </w:r>
          </w:p>
        </w:tc>
      </w:tr>
      <w:tr w:rsidR="004D7D23" w:rsidRPr="007B192E" w14:paraId="6888A3B2" w14:textId="77777777" w:rsidTr="008F7A94">
        <w:tc>
          <w:tcPr>
            <w:tcW w:w="708" w:type="dxa"/>
          </w:tcPr>
          <w:p w14:paraId="528AD4E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4320" w:type="dxa"/>
          </w:tcPr>
          <w:p w14:paraId="33171D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Zawartość wodorotlenku wapnia w wypełniaczu mieszanym wg PN-EN 459-2 [4], wymagana kategoria:</w:t>
            </w:r>
          </w:p>
        </w:tc>
        <w:tc>
          <w:tcPr>
            <w:tcW w:w="3600" w:type="dxa"/>
            <w:vAlign w:val="center"/>
          </w:tcPr>
          <w:p w14:paraId="18E01B6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w:t>
            </w:r>
            <w:r w:rsidRPr="007B192E">
              <w:rPr>
                <w:rFonts w:ascii="Arial" w:hAnsi="Arial" w:cs="Arial"/>
                <w:color w:val="000000" w:themeColor="text1"/>
                <w:sz w:val="18"/>
                <w:szCs w:val="18"/>
                <w:vertAlign w:val="subscript"/>
              </w:rPr>
              <w:t>a</w:t>
            </w:r>
            <w:r w:rsidRPr="007B192E">
              <w:rPr>
                <w:rFonts w:ascii="Arial" w:hAnsi="Arial" w:cs="Arial"/>
                <w:color w:val="000000" w:themeColor="text1"/>
                <w:sz w:val="18"/>
                <w:szCs w:val="18"/>
              </w:rPr>
              <w:t>20</w:t>
            </w:r>
          </w:p>
        </w:tc>
      </w:tr>
      <w:tr w:rsidR="004D7D23" w:rsidRPr="007B192E" w14:paraId="41B04C5B" w14:textId="77777777" w:rsidTr="008F7A94">
        <w:tc>
          <w:tcPr>
            <w:tcW w:w="708" w:type="dxa"/>
          </w:tcPr>
          <w:p w14:paraId="5CFCDC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4320" w:type="dxa"/>
          </w:tcPr>
          <w:p w14:paraId="6BB6193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„Liczba asfaltowa” według PN-EN 13179-2 [55], wymagana kategoria:</w:t>
            </w:r>
          </w:p>
        </w:tc>
        <w:tc>
          <w:tcPr>
            <w:tcW w:w="3600" w:type="dxa"/>
            <w:vAlign w:val="center"/>
          </w:tcPr>
          <w:p w14:paraId="43F24E3D" w14:textId="77777777" w:rsidR="00F45500" w:rsidRPr="007B192E" w:rsidRDefault="00F45500" w:rsidP="008F7A94">
            <w:pPr>
              <w:jc w:val="center"/>
              <w:rPr>
                <w:rFonts w:ascii="Arial" w:hAnsi="Arial" w:cs="Arial"/>
                <w:color w:val="000000" w:themeColor="text1"/>
                <w:sz w:val="18"/>
                <w:szCs w:val="18"/>
              </w:rPr>
            </w:pPr>
            <w:proofErr w:type="spellStart"/>
            <w:r w:rsidRPr="007B192E">
              <w:rPr>
                <w:rFonts w:ascii="Arial" w:hAnsi="Arial" w:cs="Arial"/>
                <w:color w:val="000000" w:themeColor="text1"/>
                <w:sz w:val="18"/>
                <w:szCs w:val="18"/>
              </w:rPr>
              <w:t>BN</w:t>
            </w:r>
            <w:r w:rsidRPr="007B192E">
              <w:rPr>
                <w:rFonts w:ascii="Arial" w:hAnsi="Arial" w:cs="Arial"/>
                <w:color w:val="000000" w:themeColor="text1"/>
                <w:sz w:val="18"/>
                <w:szCs w:val="18"/>
                <w:vertAlign w:val="subscript"/>
              </w:rPr>
              <w:t>Deklarowana</w:t>
            </w:r>
            <w:proofErr w:type="spellEnd"/>
          </w:p>
        </w:tc>
      </w:tr>
    </w:tbl>
    <w:p w14:paraId="236E22D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r>
    </w:p>
    <w:p w14:paraId="533C500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4BD6EAE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2.4. Kruszywo do </w:t>
      </w:r>
      <w:proofErr w:type="spellStart"/>
      <w:r w:rsidRPr="007B192E">
        <w:rPr>
          <w:color w:val="000000" w:themeColor="text1"/>
          <w:sz w:val="18"/>
          <w:szCs w:val="18"/>
        </w:rPr>
        <w:t>uszorstnienia</w:t>
      </w:r>
      <w:proofErr w:type="spellEnd"/>
    </w:p>
    <w:p w14:paraId="0EFF131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Nie wymaga się </w:t>
      </w:r>
      <w:proofErr w:type="spellStart"/>
      <w:r w:rsidRPr="007B192E">
        <w:rPr>
          <w:rFonts w:ascii="Arial" w:hAnsi="Arial" w:cs="Arial"/>
          <w:color w:val="000000" w:themeColor="text1"/>
          <w:sz w:val="18"/>
          <w:szCs w:val="18"/>
        </w:rPr>
        <w:t>uszorstnienia</w:t>
      </w:r>
      <w:proofErr w:type="spellEnd"/>
      <w:r w:rsidRPr="007B192E">
        <w:rPr>
          <w:rFonts w:ascii="Arial" w:hAnsi="Arial" w:cs="Arial"/>
          <w:color w:val="000000" w:themeColor="text1"/>
          <w:sz w:val="18"/>
          <w:szCs w:val="18"/>
        </w:rPr>
        <w:t xml:space="preserve"> warstwy ścieralnej z betonu asfaltowego.</w:t>
      </w:r>
    </w:p>
    <w:p w14:paraId="6A8B108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r>
    </w:p>
    <w:p w14:paraId="7406AC7D" w14:textId="77777777" w:rsidR="00F45500" w:rsidRPr="007B192E" w:rsidRDefault="00F45500" w:rsidP="00F45500">
      <w:pPr>
        <w:jc w:val="both"/>
        <w:rPr>
          <w:rFonts w:ascii="Arial" w:hAnsi="Arial" w:cs="Arial"/>
          <w:b/>
          <w:color w:val="000000" w:themeColor="text1"/>
          <w:sz w:val="18"/>
          <w:szCs w:val="18"/>
        </w:rPr>
      </w:pPr>
      <w:r w:rsidRPr="007B192E">
        <w:rPr>
          <w:rFonts w:ascii="Arial" w:hAnsi="Arial" w:cs="Arial"/>
          <w:b/>
          <w:color w:val="000000" w:themeColor="text1"/>
          <w:sz w:val="18"/>
          <w:szCs w:val="18"/>
        </w:rPr>
        <w:t>2.5. Środek adhezyjny</w:t>
      </w:r>
    </w:p>
    <w:p w14:paraId="3F142B4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03CC093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Środek adhezyjny powinien odpowiadać wymaganiom określonym przez producenta.</w:t>
      </w:r>
    </w:p>
    <w:p w14:paraId="45899FE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Składowanie środka adhezyjnego jest dozwolone tylko w oryginalnych opakowaniach, w warunkach określonych przez producenta.</w:t>
      </w:r>
    </w:p>
    <w:p w14:paraId="4BC91BF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2.6. Materiały do uszczelnienia połączeń i krawędzi</w:t>
      </w:r>
    </w:p>
    <w:p w14:paraId="7D43B16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28F94C88" w14:textId="77777777" w:rsidR="00F45500" w:rsidRPr="007B192E" w:rsidRDefault="00F45500" w:rsidP="00F45500">
      <w:pPr>
        <w:tabs>
          <w:tab w:val="left" w:pos="1620"/>
        </w:tabs>
        <w:jc w:val="both"/>
        <w:rPr>
          <w:rFonts w:ascii="Arial" w:hAnsi="Arial" w:cs="Arial"/>
          <w:color w:val="000000" w:themeColor="text1"/>
          <w:sz w:val="18"/>
          <w:szCs w:val="18"/>
        </w:rPr>
      </w:pPr>
    </w:p>
    <w:p w14:paraId="7EF9B2FA" w14:textId="77777777" w:rsidR="00F45500" w:rsidRPr="007B192E" w:rsidRDefault="00F45500" w:rsidP="00F45500">
      <w:pPr>
        <w:tabs>
          <w:tab w:val="left" w:pos="1134"/>
        </w:tabs>
        <w:spacing w:before="12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10.</w:t>
      </w:r>
      <w:r w:rsidRPr="007B192E">
        <w:rPr>
          <w:rFonts w:ascii="Arial" w:hAnsi="Arial" w:cs="Arial"/>
          <w:color w:val="000000" w:themeColor="text1"/>
          <w:sz w:val="18"/>
          <w:szCs w:val="18"/>
        </w:rPr>
        <w:tab/>
        <w:t>Materiały do złączy między fragmentami zagęszczonej MMA rozkładanej metodą „gorące przy zimnym”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4D7D23" w:rsidRPr="007B192E" w14:paraId="13BD0752" w14:textId="77777777" w:rsidTr="008F7A94">
        <w:trPr>
          <w:jc w:val="center"/>
        </w:trPr>
        <w:tc>
          <w:tcPr>
            <w:tcW w:w="1785" w:type="dxa"/>
            <w:vMerge w:val="restart"/>
            <w:vAlign w:val="center"/>
          </w:tcPr>
          <w:p w14:paraId="4C541C27"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Rodzaj warstwy</w:t>
            </w:r>
          </w:p>
        </w:tc>
        <w:tc>
          <w:tcPr>
            <w:tcW w:w="3570" w:type="dxa"/>
            <w:gridSpan w:val="2"/>
            <w:vAlign w:val="center"/>
          </w:tcPr>
          <w:p w14:paraId="51C8DD68"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Złącze podłużne</w:t>
            </w:r>
          </w:p>
        </w:tc>
        <w:tc>
          <w:tcPr>
            <w:tcW w:w="3572" w:type="dxa"/>
            <w:gridSpan w:val="2"/>
            <w:vAlign w:val="center"/>
          </w:tcPr>
          <w:p w14:paraId="21E2C56F"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Złącze poprzeczne</w:t>
            </w:r>
          </w:p>
        </w:tc>
      </w:tr>
      <w:tr w:rsidR="004D7D23" w:rsidRPr="007B192E" w14:paraId="5F07B93B" w14:textId="77777777" w:rsidTr="008F7A94">
        <w:trPr>
          <w:jc w:val="center"/>
        </w:trPr>
        <w:tc>
          <w:tcPr>
            <w:tcW w:w="1785" w:type="dxa"/>
            <w:vMerge/>
            <w:vAlign w:val="center"/>
          </w:tcPr>
          <w:p w14:paraId="55CEA004"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1785" w:type="dxa"/>
            <w:vAlign w:val="center"/>
          </w:tcPr>
          <w:p w14:paraId="72DDA160"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Ruch</w:t>
            </w:r>
          </w:p>
        </w:tc>
        <w:tc>
          <w:tcPr>
            <w:tcW w:w="1785" w:type="dxa"/>
            <w:vAlign w:val="center"/>
          </w:tcPr>
          <w:p w14:paraId="3B84DD9B"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Rodzaj materiału</w:t>
            </w:r>
          </w:p>
        </w:tc>
        <w:tc>
          <w:tcPr>
            <w:tcW w:w="1786" w:type="dxa"/>
            <w:vAlign w:val="center"/>
          </w:tcPr>
          <w:p w14:paraId="7336555A"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Ruch</w:t>
            </w:r>
          </w:p>
        </w:tc>
        <w:tc>
          <w:tcPr>
            <w:tcW w:w="1786" w:type="dxa"/>
            <w:vAlign w:val="center"/>
          </w:tcPr>
          <w:p w14:paraId="067559EE"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Rodzaj materiału</w:t>
            </w:r>
          </w:p>
        </w:tc>
      </w:tr>
      <w:tr w:rsidR="004D7D23" w:rsidRPr="007B192E" w14:paraId="51E7AAF1" w14:textId="77777777" w:rsidTr="008F7A94">
        <w:trPr>
          <w:jc w:val="center"/>
        </w:trPr>
        <w:tc>
          <w:tcPr>
            <w:tcW w:w="1785" w:type="dxa"/>
            <w:vAlign w:val="center"/>
          </w:tcPr>
          <w:p w14:paraId="4659E7FF"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Warstwa ścieralna</w:t>
            </w:r>
          </w:p>
        </w:tc>
        <w:tc>
          <w:tcPr>
            <w:tcW w:w="1785" w:type="dxa"/>
            <w:vAlign w:val="center"/>
          </w:tcPr>
          <w:p w14:paraId="0225FA22"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KR 3-6</w:t>
            </w:r>
          </w:p>
        </w:tc>
        <w:tc>
          <w:tcPr>
            <w:tcW w:w="1785" w:type="dxa"/>
            <w:vAlign w:val="center"/>
          </w:tcPr>
          <w:p w14:paraId="05F98B53"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Elastyczne taśmy bitumiczne</w:t>
            </w:r>
          </w:p>
        </w:tc>
        <w:tc>
          <w:tcPr>
            <w:tcW w:w="1786" w:type="dxa"/>
            <w:vAlign w:val="center"/>
          </w:tcPr>
          <w:p w14:paraId="51629FA2"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KR 3-6</w:t>
            </w:r>
          </w:p>
        </w:tc>
        <w:tc>
          <w:tcPr>
            <w:tcW w:w="1786" w:type="dxa"/>
            <w:vAlign w:val="center"/>
          </w:tcPr>
          <w:p w14:paraId="4F92E853"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Elastyczne taśmy bitumiczne</w:t>
            </w:r>
          </w:p>
        </w:tc>
      </w:tr>
    </w:tbl>
    <w:p w14:paraId="3F95C3E1" w14:textId="77777777" w:rsidR="00F45500" w:rsidRPr="007B192E" w:rsidRDefault="00F45500" w:rsidP="00F45500">
      <w:pPr>
        <w:tabs>
          <w:tab w:val="left" w:pos="1134"/>
        </w:tabs>
        <w:spacing w:before="24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11.</w:t>
      </w:r>
      <w:r w:rsidRPr="007B192E">
        <w:rPr>
          <w:rFonts w:ascii="Arial" w:hAnsi="Arial" w:cs="Arial"/>
          <w:color w:val="000000" w:themeColor="text1"/>
          <w:sz w:val="18"/>
          <w:szCs w:val="18"/>
        </w:rPr>
        <w:tab/>
        <w:t>Materiały do spoin między fragmentami zagęszczonej MMA i elementami wyposażenia drogi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D7D23" w:rsidRPr="007B192E" w14:paraId="25A08CDF" w14:textId="77777777" w:rsidTr="008F7A94">
        <w:trPr>
          <w:jc w:val="center"/>
        </w:trPr>
        <w:tc>
          <w:tcPr>
            <w:tcW w:w="2975" w:type="dxa"/>
            <w:vAlign w:val="center"/>
          </w:tcPr>
          <w:p w14:paraId="6F8870E4"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Rodzaj warstwy</w:t>
            </w:r>
          </w:p>
        </w:tc>
        <w:tc>
          <w:tcPr>
            <w:tcW w:w="2976" w:type="dxa"/>
            <w:vAlign w:val="center"/>
          </w:tcPr>
          <w:p w14:paraId="605FD915"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Ruch</w:t>
            </w:r>
          </w:p>
        </w:tc>
        <w:tc>
          <w:tcPr>
            <w:tcW w:w="2976" w:type="dxa"/>
            <w:vAlign w:val="center"/>
          </w:tcPr>
          <w:p w14:paraId="5817D704"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Rodzaj materiału</w:t>
            </w:r>
          </w:p>
        </w:tc>
      </w:tr>
      <w:tr w:rsidR="004D7D23" w:rsidRPr="007B192E" w14:paraId="6A98AAEA" w14:textId="77777777" w:rsidTr="008F7A94">
        <w:trPr>
          <w:jc w:val="center"/>
        </w:trPr>
        <w:tc>
          <w:tcPr>
            <w:tcW w:w="2975" w:type="dxa"/>
          </w:tcPr>
          <w:p w14:paraId="1B490761"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Warstwa ścieralna</w:t>
            </w:r>
          </w:p>
        </w:tc>
        <w:tc>
          <w:tcPr>
            <w:tcW w:w="2976" w:type="dxa"/>
          </w:tcPr>
          <w:p w14:paraId="5BACC8D6"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KR 3-6</w:t>
            </w:r>
          </w:p>
        </w:tc>
        <w:tc>
          <w:tcPr>
            <w:tcW w:w="2976" w:type="dxa"/>
          </w:tcPr>
          <w:p w14:paraId="0EA1A737"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Elastyczna taśma bitumiczna lub zalewa drogowa na gorąco</w:t>
            </w:r>
          </w:p>
        </w:tc>
      </w:tr>
    </w:tbl>
    <w:p w14:paraId="7DE1CD36" w14:textId="77777777" w:rsidR="00F45500" w:rsidRPr="007B192E" w:rsidRDefault="00F45500" w:rsidP="00F45500">
      <w:pPr>
        <w:tabs>
          <w:tab w:val="left" w:pos="1620"/>
        </w:tabs>
        <w:spacing w:before="24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12. Wymagania wobec taśm bitumicznych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4D7D23" w:rsidRPr="007B192E" w14:paraId="69DFDDE3" w14:textId="77777777" w:rsidTr="008F7A94">
        <w:trPr>
          <w:jc w:val="center"/>
        </w:trPr>
        <w:tc>
          <w:tcPr>
            <w:tcW w:w="2660" w:type="dxa"/>
            <w:vAlign w:val="center"/>
          </w:tcPr>
          <w:p w14:paraId="5A8A9AA2"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268" w:type="dxa"/>
            <w:vAlign w:val="center"/>
          </w:tcPr>
          <w:p w14:paraId="125B292C"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126" w:type="dxa"/>
            <w:vAlign w:val="center"/>
          </w:tcPr>
          <w:p w14:paraId="4E473B2D"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Dodatkowy opis warunków badania</w:t>
            </w:r>
          </w:p>
        </w:tc>
        <w:tc>
          <w:tcPr>
            <w:tcW w:w="1873" w:type="dxa"/>
            <w:vAlign w:val="center"/>
          </w:tcPr>
          <w:p w14:paraId="1DB5FE0C" w14:textId="77777777" w:rsidR="00F45500" w:rsidRPr="007B192E" w:rsidRDefault="00F45500" w:rsidP="008F7A94">
            <w:pPr>
              <w:tabs>
                <w:tab w:val="left" w:pos="1620"/>
              </w:tabs>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Wymaganie</w:t>
            </w:r>
          </w:p>
        </w:tc>
      </w:tr>
      <w:tr w:rsidR="004D7D23" w:rsidRPr="007B192E" w14:paraId="4C7D2917" w14:textId="77777777" w:rsidTr="008F7A94">
        <w:trPr>
          <w:jc w:val="center"/>
        </w:trPr>
        <w:tc>
          <w:tcPr>
            <w:tcW w:w="2660" w:type="dxa"/>
            <w:vAlign w:val="center"/>
          </w:tcPr>
          <w:p w14:paraId="4C502AE6"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PiK</w:t>
            </w:r>
            <w:proofErr w:type="spellEnd"/>
          </w:p>
        </w:tc>
        <w:tc>
          <w:tcPr>
            <w:tcW w:w="2268" w:type="dxa"/>
            <w:vAlign w:val="center"/>
          </w:tcPr>
          <w:p w14:paraId="3A8AA6CD"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1427[22]</w:t>
            </w:r>
          </w:p>
        </w:tc>
        <w:tc>
          <w:tcPr>
            <w:tcW w:w="2126" w:type="dxa"/>
            <w:vAlign w:val="center"/>
          </w:tcPr>
          <w:p w14:paraId="742DD9DD"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1873" w:type="dxa"/>
            <w:vAlign w:val="center"/>
          </w:tcPr>
          <w:p w14:paraId="1E0BF9DC"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≥90°C</w:t>
            </w:r>
          </w:p>
        </w:tc>
      </w:tr>
      <w:tr w:rsidR="004D7D23" w:rsidRPr="007B192E" w14:paraId="340F7454" w14:textId="77777777" w:rsidTr="008F7A94">
        <w:trPr>
          <w:jc w:val="center"/>
        </w:trPr>
        <w:tc>
          <w:tcPr>
            <w:tcW w:w="2660" w:type="dxa"/>
            <w:vAlign w:val="center"/>
          </w:tcPr>
          <w:p w14:paraId="789E2BB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Penetracja stożkiem</w:t>
            </w:r>
          </w:p>
        </w:tc>
        <w:tc>
          <w:tcPr>
            <w:tcW w:w="2268" w:type="dxa"/>
            <w:vAlign w:val="center"/>
          </w:tcPr>
          <w:p w14:paraId="67004646"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13880-2[69]</w:t>
            </w:r>
          </w:p>
        </w:tc>
        <w:tc>
          <w:tcPr>
            <w:tcW w:w="2126" w:type="dxa"/>
            <w:vAlign w:val="center"/>
          </w:tcPr>
          <w:p w14:paraId="1094E531"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1873" w:type="dxa"/>
            <w:vAlign w:val="center"/>
          </w:tcPr>
          <w:p w14:paraId="3B2942A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20 do 50</w:t>
            </w:r>
          </w:p>
          <w:p w14:paraId="38EE967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1/10 mm</w:t>
            </w:r>
          </w:p>
        </w:tc>
      </w:tr>
      <w:tr w:rsidR="004D7D23" w:rsidRPr="007B192E" w14:paraId="5CA072D8" w14:textId="77777777" w:rsidTr="008F7A94">
        <w:trPr>
          <w:jc w:val="center"/>
        </w:trPr>
        <w:tc>
          <w:tcPr>
            <w:tcW w:w="2660" w:type="dxa"/>
            <w:vAlign w:val="center"/>
          </w:tcPr>
          <w:p w14:paraId="4FEE823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Odprężenie sprężyste (odbojność)</w:t>
            </w:r>
          </w:p>
        </w:tc>
        <w:tc>
          <w:tcPr>
            <w:tcW w:w="2268" w:type="dxa"/>
            <w:vAlign w:val="center"/>
          </w:tcPr>
          <w:p w14:paraId="0C069808"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13880-3[70]</w:t>
            </w:r>
          </w:p>
        </w:tc>
        <w:tc>
          <w:tcPr>
            <w:tcW w:w="2126" w:type="dxa"/>
            <w:vAlign w:val="center"/>
          </w:tcPr>
          <w:p w14:paraId="74031DC8" w14:textId="77777777" w:rsidR="00F45500" w:rsidRPr="007B192E" w:rsidRDefault="00F45500" w:rsidP="008F7A94">
            <w:pPr>
              <w:tabs>
                <w:tab w:val="left" w:pos="1620"/>
              </w:tabs>
              <w:jc w:val="center"/>
              <w:rPr>
                <w:rFonts w:ascii="Arial" w:hAnsi="Arial" w:cs="Arial"/>
                <w:color w:val="000000" w:themeColor="text1"/>
                <w:sz w:val="18"/>
                <w:szCs w:val="18"/>
              </w:rPr>
            </w:pPr>
          </w:p>
        </w:tc>
        <w:tc>
          <w:tcPr>
            <w:tcW w:w="1873" w:type="dxa"/>
            <w:vAlign w:val="center"/>
          </w:tcPr>
          <w:p w14:paraId="369A684F"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 do 30%</w:t>
            </w:r>
          </w:p>
        </w:tc>
      </w:tr>
      <w:tr w:rsidR="004D7D23" w:rsidRPr="007B192E" w14:paraId="0EA550A6" w14:textId="77777777" w:rsidTr="008F7A94">
        <w:trPr>
          <w:jc w:val="center"/>
        </w:trPr>
        <w:tc>
          <w:tcPr>
            <w:tcW w:w="2660" w:type="dxa"/>
            <w:vAlign w:val="center"/>
          </w:tcPr>
          <w:p w14:paraId="1262A1A3"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Zginanie na zimno</w:t>
            </w:r>
          </w:p>
        </w:tc>
        <w:tc>
          <w:tcPr>
            <w:tcW w:w="2268" w:type="dxa"/>
            <w:vAlign w:val="center"/>
          </w:tcPr>
          <w:p w14:paraId="6CDFA388"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DIN 52123[74]</w:t>
            </w:r>
          </w:p>
        </w:tc>
        <w:tc>
          <w:tcPr>
            <w:tcW w:w="2126" w:type="dxa"/>
            <w:vAlign w:val="center"/>
          </w:tcPr>
          <w:p w14:paraId="5A9196E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test odcinka taśmy o długości 20 cm w temperaturze 0 °C</w:t>
            </w:r>
          </w:p>
          <w:p w14:paraId="1E564D5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badanie po 24 godzinnym</w:t>
            </w:r>
          </w:p>
          <w:p w14:paraId="6FE107D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kondycjonowaniu</w:t>
            </w:r>
          </w:p>
        </w:tc>
        <w:tc>
          <w:tcPr>
            <w:tcW w:w="1873" w:type="dxa"/>
            <w:vAlign w:val="center"/>
          </w:tcPr>
          <w:p w14:paraId="26F7E1FC"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Bez pęknięcia</w:t>
            </w:r>
          </w:p>
        </w:tc>
      </w:tr>
      <w:tr w:rsidR="004D7D23" w:rsidRPr="007B192E" w14:paraId="7AF0B5DF" w14:textId="77777777" w:rsidTr="008F7A94">
        <w:trPr>
          <w:jc w:val="center"/>
        </w:trPr>
        <w:tc>
          <w:tcPr>
            <w:tcW w:w="2660" w:type="dxa"/>
            <w:vAlign w:val="center"/>
          </w:tcPr>
          <w:p w14:paraId="7713AA72"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Możliwość wydłużenia oraz przyczepności taśmy</w:t>
            </w:r>
          </w:p>
        </w:tc>
        <w:tc>
          <w:tcPr>
            <w:tcW w:w="2268" w:type="dxa"/>
            <w:vAlign w:val="center"/>
          </w:tcPr>
          <w:p w14:paraId="487ED5D1"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SNV 671 920</w:t>
            </w:r>
          </w:p>
          <w:p w14:paraId="44DD9D40"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13880-13 [73])</w:t>
            </w:r>
          </w:p>
        </w:tc>
        <w:tc>
          <w:tcPr>
            <w:tcW w:w="2126" w:type="dxa"/>
            <w:vAlign w:val="center"/>
          </w:tcPr>
          <w:p w14:paraId="04E6706D"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W temperaturze</w:t>
            </w:r>
          </w:p>
          <w:p w14:paraId="1773C6B7"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-10°C</w:t>
            </w:r>
          </w:p>
        </w:tc>
        <w:tc>
          <w:tcPr>
            <w:tcW w:w="1873" w:type="dxa"/>
            <w:vAlign w:val="center"/>
          </w:tcPr>
          <w:p w14:paraId="4F9B0809"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w:t>
            </w:r>
          </w:p>
          <w:p w14:paraId="09902BE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 N/mm</w:t>
            </w:r>
            <w:r w:rsidRPr="007B192E">
              <w:rPr>
                <w:rFonts w:ascii="Arial" w:hAnsi="Arial" w:cs="Arial"/>
                <w:color w:val="000000" w:themeColor="text1"/>
                <w:sz w:val="18"/>
                <w:szCs w:val="18"/>
                <w:vertAlign w:val="superscript"/>
              </w:rPr>
              <w:t>2</w:t>
            </w:r>
          </w:p>
        </w:tc>
      </w:tr>
      <w:tr w:rsidR="004D7D23" w:rsidRPr="007B192E" w14:paraId="79979E05" w14:textId="77777777" w:rsidTr="008F7A94">
        <w:trPr>
          <w:jc w:val="center"/>
        </w:trPr>
        <w:tc>
          <w:tcPr>
            <w:tcW w:w="2660" w:type="dxa"/>
            <w:vAlign w:val="center"/>
          </w:tcPr>
          <w:p w14:paraId="7F7E295D"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Możliwość wydłużenia oraz przyczepności taśmy po starzeniu termicznym</w:t>
            </w:r>
          </w:p>
        </w:tc>
        <w:tc>
          <w:tcPr>
            <w:tcW w:w="2268" w:type="dxa"/>
            <w:vAlign w:val="center"/>
          </w:tcPr>
          <w:p w14:paraId="2605D0A5"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SNV 671 920</w:t>
            </w:r>
          </w:p>
          <w:p w14:paraId="48220728"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13880-13 [73])</w:t>
            </w:r>
          </w:p>
        </w:tc>
        <w:tc>
          <w:tcPr>
            <w:tcW w:w="2126" w:type="dxa"/>
            <w:vAlign w:val="center"/>
          </w:tcPr>
          <w:p w14:paraId="5C7972BB"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W temperaturze</w:t>
            </w:r>
          </w:p>
          <w:p w14:paraId="3A334AAC"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-10°C</w:t>
            </w:r>
          </w:p>
        </w:tc>
        <w:tc>
          <w:tcPr>
            <w:tcW w:w="1873" w:type="dxa"/>
            <w:vAlign w:val="center"/>
          </w:tcPr>
          <w:p w14:paraId="5CC4810C" w14:textId="77777777" w:rsidR="00F45500" w:rsidRPr="007B192E" w:rsidRDefault="00F45500" w:rsidP="008F7A94">
            <w:pPr>
              <w:tabs>
                <w:tab w:val="left" w:pos="1620"/>
              </w:tabs>
              <w:jc w:val="center"/>
              <w:rPr>
                <w:rFonts w:ascii="Arial" w:hAnsi="Arial" w:cs="Arial"/>
                <w:color w:val="000000" w:themeColor="text1"/>
                <w:sz w:val="18"/>
                <w:szCs w:val="18"/>
              </w:rPr>
            </w:pPr>
            <w:r w:rsidRPr="007B192E">
              <w:rPr>
                <w:rFonts w:ascii="Arial" w:hAnsi="Arial" w:cs="Arial"/>
                <w:color w:val="000000" w:themeColor="text1"/>
                <w:sz w:val="18"/>
                <w:szCs w:val="18"/>
              </w:rPr>
              <w:t>Należy podać wynik</w:t>
            </w:r>
          </w:p>
        </w:tc>
      </w:tr>
    </w:tbl>
    <w:p w14:paraId="48961EE6" w14:textId="77777777" w:rsidR="00F45500" w:rsidRPr="007B192E" w:rsidRDefault="00F45500" w:rsidP="00F45500">
      <w:pPr>
        <w:spacing w:before="24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13. Wymagania wobec past asfaltowych na zimno na bazie emulsji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D7D23" w:rsidRPr="007B192E" w14:paraId="11A56FBA" w14:textId="77777777" w:rsidTr="008F7A94">
        <w:trPr>
          <w:jc w:val="center"/>
        </w:trPr>
        <w:tc>
          <w:tcPr>
            <w:tcW w:w="2975" w:type="dxa"/>
            <w:vAlign w:val="center"/>
          </w:tcPr>
          <w:p w14:paraId="422C4BC6"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976" w:type="dxa"/>
            <w:vAlign w:val="center"/>
          </w:tcPr>
          <w:p w14:paraId="3863CC30"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976" w:type="dxa"/>
            <w:vAlign w:val="center"/>
          </w:tcPr>
          <w:p w14:paraId="679D1E6F"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Wymaganie</w:t>
            </w:r>
          </w:p>
        </w:tc>
      </w:tr>
      <w:tr w:rsidR="004D7D23" w:rsidRPr="007B192E" w14:paraId="0CD09EC7" w14:textId="77777777" w:rsidTr="008F7A94">
        <w:trPr>
          <w:jc w:val="center"/>
        </w:trPr>
        <w:tc>
          <w:tcPr>
            <w:tcW w:w="2975" w:type="dxa"/>
          </w:tcPr>
          <w:p w14:paraId="12BBFF8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Ocena organoleptyczna</w:t>
            </w:r>
          </w:p>
        </w:tc>
        <w:tc>
          <w:tcPr>
            <w:tcW w:w="2976" w:type="dxa"/>
          </w:tcPr>
          <w:p w14:paraId="5146800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1425[75]</w:t>
            </w:r>
          </w:p>
        </w:tc>
        <w:tc>
          <w:tcPr>
            <w:tcW w:w="2976" w:type="dxa"/>
          </w:tcPr>
          <w:p w14:paraId="18ABAB2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Pasta</w:t>
            </w:r>
          </w:p>
        </w:tc>
      </w:tr>
      <w:tr w:rsidR="004D7D23" w:rsidRPr="007B192E" w14:paraId="02296A40" w14:textId="77777777" w:rsidTr="008F7A94">
        <w:trPr>
          <w:jc w:val="center"/>
        </w:trPr>
        <w:tc>
          <w:tcPr>
            <w:tcW w:w="2975" w:type="dxa"/>
          </w:tcPr>
          <w:p w14:paraId="3A67FBF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Odporność na spływanie</w:t>
            </w:r>
          </w:p>
        </w:tc>
        <w:tc>
          <w:tcPr>
            <w:tcW w:w="2976" w:type="dxa"/>
          </w:tcPr>
          <w:p w14:paraId="42399A4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13880-5[71]</w:t>
            </w:r>
          </w:p>
        </w:tc>
        <w:tc>
          <w:tcPr>
            <w:tcW w:w="2976" w:type="dxa"/>
          </w:tcPr>
          <w:p w14:paraId="36E173E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Nie spływa</w:t>
            </w:r>
          </w:p>
        </w:tc>
      </w:tr>
      <w:tr w:rsidR="004D7D23" w:rsidRPr="007B192E" w14:paraId="7E645346" w14:textId="77777777" w:rsidTr="008F7A94">
        <w:trPr>
          <w:jc w:val="center"/>
        </w:trPr>
        <w:tc>
          <w:tcPr>
            <w:tcW w:w="2975" w:type="dxa"/>
          </w:tcPr>
          <w:p w14:paraId="09DDC53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wody</w:t>
            </w:r>
          </w:p>
        </w:tc>
        <w:tc>
          <w:tcPr>
            <w:tcW w:w="2976" w:type="dxa"/>
          </w:tcPr>
          <w:p w14:paraId="1BE45A2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1428[76]</w:t>
            </w:r>
          </w:p>
        </w:tc>
        <w:tc>
          <w:tcPr>
            <w:tcW w:w="2976" w:type="dxa"/>
          </w:tcPr>
          <w:p w14:paraId="226456D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≤50% m/m</w:t>
            </w:r>
          </w:p>
        </w:tc>
      </w:tr>
      <w:tr w:rsidR="004D7D23" w:rsidRPr="007B192E" w14:paraId="2C686421" w14:textId="77777777" w:rsidTr="008F7A94">
        <w:trPr>
          <w:jc w:val="center"/>
        </w:trPr>
        <w:tc>
          <w:tcPr>
            <w:tcW w:w="8927" w:type="dxa"/>
            <w:gridSpan w:val="3"/>
          </w:tcPr>
          <w:p w14:paraId="69DBB2D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Właściwości odzyskanego i ustabilizowanego lepiszcza: PN-EN 13074-1 lub PN-EN 13074-2</w:t>
            </w:r>
          </w:p>
        </w:tc>
      </w:tr>
      <w:tr w:rsidR="004D7D23" w:rsidRPr="007B192E" w14:paraId="545A20CE" w14:textId="77777777" w:rsidTr="008F7A94">
        <w:trPr>
          <w:jc w:val="center"/>
        </w:trPr>
        <w:tc>
          <w:tcPr>
            <w:tcW w:w="2975" w:type="dxa"/>
          </w:tcPr>
          <w:p w14:paraId="3BD61C2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PiK</w:t>
            </w:r>
            <w:proofErr w:type="spellEnd"/>
          </w:p>
        </w:tc>
        <w:tc>
          <w:tcPr>
            <w:tcW w:w="2976" w:type="dxa"/>
          </w:tcPr>
          <w:p w14:paraId="200300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1427[22]</w:t>
            </w:r>
          </w:p>
        </w:tc>
        <w:tc>
          <w:tcPr>
            <w:tcW w:w="2976" w:type="dxa"/>
          </w:tcPr>
          <w:p w14:paraId="2E24C9B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≥70°C</w:t>
            </w:r>
          </w:p>
        </w:tc>
      </w:tr>
    </w:tbl>
    <w:p w14:paraId="20A95DB3" w14:textId="77777777" w:rsidR="00F45500" w:rsidRPr="007B192E" w:rsidRDefault="00F45500" w:rsidP="00F45500">
      <w:pPr>
        <w:spacing w:before="24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14.</w:t>
      </w:r>
      <w:r w:rsidRPr="007B192E">
        <w:rPr>
          <w:rFonts w:ascii="Arial" w:hAnsi="Arial" w:cs="Arial"/>
          <w:color w:val="000000" w:themeColor="text1"/>
          <w:sz w:val="18"/>
          <w:szCs w:val="18"/>
        </w:rPr>
        <w:tab/>
        <w:t>Wymagania wobec past asfaltowych na gorąco na bazie asfaltu modyfikowanego polimerami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4D7D23" w:rsidRPr="007B192E" w14:paraId="4D7BACA9" w14:textId="77777777" w:rsidTr="008F7A94">
        <w:trPr>
          <w:jc w:val="center"/>
        </w:trPr>
        <w:tc>
          <w:tcPr>
            <w:tcW w:w="2975" w:type="dxa"/>
            <w:vAlign w:val="center"/>
          </w:tcPr>
          <w:p w14:paraId="1C7C4DDB"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976" w:type="dxa"/>
            <w:vAlign w:val="center"/>
          </w:tcPr>
          <w:p w14:paraId="67C39C61"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976" w:type="dxa"/>
            <w:vAlign w:val="center"/>
          </w:tcPr>
          <w:p w14:paraId="56531C90"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Wymaganie</w:t>
            </w:r>
          </w:p>
        </w:tc>
      </w:tr>
      <w:tr w:rsidR="004D7D23" w:rsidRPr="007B192E" w14:paraId="02D2A5AF" w14:textId="77777777" w:rsidTr="008F7A94">
        <w:trPr>
          <w:jc w:val="center"/>
        </w:trPr>
        <w:tc>
          <w:tcPr>
            <w:tcW w:w="2975" w:type="dxa"/>
            <w:vAlign w:val="center"/>
          </w:tcPr>
          <w:p w14:paraId="1C9B9BE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Zachowanie przy temperaturze lejności</w:t>
            </w:r>
          </w:p>
        </w:tc>
        <w:tc>
          <w:tcPr>
            <w:tcW w:w="2976" w:type="dxa"/>
            <w:vAlign w:val="center"/>
          </w:tcPr>
          <w:p w14:paraId="18B88B7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13880-6[72]</w:t>
            </w:r>
          </w:p>
        </w:tc>
        <w:tc>
          <w:tcPr>
            <w:tcW w:w="2976" w:type="dxa"/>
            <w:vAlign w:val="center"/>
          </w:tcPr>
          <w:p w14:paraId="7ACC187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Homogeniczny</w:t>
            </w:r>
          </w:p>
        </w:tc>
      </w:tr>
      <w:tr w:rsidR="004D7D23" w:rsidRPr="007B192E" w14:paraId="4F136FB8" w14:textId="77777777" w:rsidTr="008F7A94">
        <w:trPr>
          <w:jc w:val="center"/>
        </w:trPr>
        <w:tc>
          <w:tcPr>
            <w:tcW w:w="2975" w:type="dxa"/>
            <w:vAlign w:val="center"/>
          </w:tcPr>
          <w:p w14:paraId="662ADD2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PiK</w:t>
            </w:r>
            <w:proofErr w:type="spellEnd"/>
          </w:p>
        </w:tc>
        <w:tc>
          <w:tcPr>
            <w:tcW w:w="2976" w:type="dxa"/>
            <w:vAlign w:val="center"/>
          </w:tcPr>
          <w:p w14:paraId="1572EBF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1427[22]</w:t>
            </w:r>
          </w:p>
        </w:tc>
        <w:tc>
          <w:tcPr>
            <w:tcW w:w="2976" w:type="dxa"/>
            <w:vAlign w:val="center"/>
          </w:tcPr>
          <w:p w14:paraId="74D29E6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≥80°C</w:t>
            </w:r>
          </w:p>
        </w:tc>
      </w:tr>
      <w:tr w:rsidR="004D7D23" w:rsidRPr="007B192E" w14:paraId="62ACD8E0" w14:textId="77777777" w:rsidTr="008F7A94">
        <w:trPr>
          <w:jc w:val="center"/>
        </w:trPr>
        <w:tc>
          <w:tcPr>
            <w:tcW w:w="2975" w:type="dxa"/>
            <w:vAlign w:val="center"/>
          </w:tcPr>
          <w:p w14:paraId="37B1B66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Penetracja stożkiem w 25°C, 5 s, 150 g</w:t>
            </w:r>
          </w:p>
        </w:tc>
        <w:tc>
          <w:tcPr>
            <w:tcW w:w="2976" w:type="dxa"/>
            <w:vAlign w:val="center"/>
          </w:tcPr>
          <w:p w14:paraId="37AEFE49" w14:textId="77777777" w:rsidR="00F45500" w:rsidRPr="007B192E" w:rsidRDefault="00F45500" w:rsidP="008F7A94">
            <w:pPr>
              <w:tabs>
                <w:tab w:val="left" w:pos="300"/>
                <w:tab w:val="center" w:pos="1380"/>
              </w:tabs>
              <w:jc w:val="center"/>
              <w:rPr>
                <w:rFonts w:ascii="Arial" w:hAnsi="Arial" w:cs="Arial"/>
                <w:color w:val="000000" w:themeColor="text1"/>
                <w:sz w:val="18"/>
                <w:szCs w:val="18"/>
              </w:rPr>
            </w:pPr>
            <w:r w:rsidRPr="007B192E">
              <w:rPr>
                <w:rFonts w:ascii="Arial" w:hAnsi="Arial" w:cs="Arial"/>
                <w:color w:val="000000" w:themeColor="text1"/>
                <w:sz w:val="18"/>
                <w:szCs w:val="18"/>
              </w:rPr>
              <w:t>PN-EN 13880-2[69]</w:t>
            </w:r>
          </w:p>
        </w:tc>
        <w:tc>
          <w:tcPr>
            <w:tcW w:w="2976" w:type="dxa"/>
            <w:vAlign w:val="center"/>
          </w:tcPr>
          <w:p w14:paraId="4F5DF5D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30 do 60  0,1 mm</w:t>
            </w:r>
          </w:p>
        </w:tc>
      </w:tr>
      <w:tr w:rsidR="004D7D23" w:rsidRPr="007B192E" w14:paraId="4894254C" w14:textId="77777777" w:rsidTr="008F7A94">
        <w:trPr>
          <w:jc w:val="center"/>
        </w:trPr>
        <w:tc>
          <w:tcPr>
            <w:tcW w:w="2975" w:type="dxa"/>
            <w:vAlign w:val="center"/>
          </w:tcPr>
          <w:p w14:paraId="1C08E3D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Odporność na spływanie</w:t>
            </w:r>
          </w:p>
        </w:tc>
        <w:tc>
          <w:tcPr>
            <w:tcW w:w="2976" w:type="dxa"/>
            <w:vAlign w:val="center"/>
          </w:tcPr>
          <w:p w14:paraId="1C18859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13880-5[71]</w:t>
            </w:r>
          </w:p>
        </w:tc>
        <w:tc>
          <w:tcPr>
            <w:tcW w:w="2976" w:type="dxa"/>
            <w:vAlign w:val="center"/>
          </w:tcPr>
          <w:p w14:paraId="73CADD2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≤5,0 mm</w:t>
            </w:r>
          </w:p>
        </w:tc>
      </w:tr>
      <w:tr w:rsidR="004D7D23" w:rsidRPr="007B192E" w14:paraId="27CBF10C" w14:textId="77777777" w:rsidTr="008F7A94">
        <w:trPr>
          <w:jc w:val="center"/>
        </w:trPr>
        <w:tc>
          <w:tcPr>
            <w:tcW w:w="2975" w:type="dxa"/>
            <w:vAlign w:val="center"/>
          </w:tcPr>
          <w:p w14:paraId="7667AA8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Odprężenie sprężyste (odbojność)</w:t>
            </w:r>
          </w:p>
        </w:tc>
        <w:tc>
          <w:tcPr>
            <w:tcW w:w="2976" w:type="dxa"/>
            <w:vAlign w:val="center"/>
          </w:tcPr>
          <w:p w14:paraId="0206CA2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13380-3[70]</w:t>
            </w:r>
          </w:p>
        </w:tc>
        <w:tc>
          <w:tcPr>
            <w:tcW w:w="2976" w:type="dxa"/>
            <w:vAlign w:val="center"/>
          </w:tcPr>
          <w:p w14:paraId="5986EA0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10-50%</w:t>
            </w:r>
          </w:p>
        </w:tc>
      </w:tr>
      <w:tr w:rsidR="004D7D23" w:rsidRPr="007B192E" w14:paraId="69989BDA" w14:textId="77777777" w:rsidTr="008F7A94">
        <w:trPr>
          <w:jc w:val="center"/>
        </w:trPr>
        <w:tc>
          <w:tcPr>
            <w:tcW w:w="2975" w:type="dxa"/>
            <w:vAlign w:val="center"/>
          </w:tcPr>
          <w:p w14:paraId="55EB2B2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Wydłużenie nieciągłe (próba przyczepności ), po 5 h, -10°C</w:t>
            </w:r>
          </w:p>
        </w:tc>
        <w:tc>
          <w:tcPr>
            <w:tcW w:w="2976" w:type="dxa"/>
            <w:vAlign w:val="center"/>
          </w:tcPr>
          <w:p w14:paraId="39E46B0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13880-13[73]</w:t>
            </w:r>
          </w:p>
        </w:tc>
        <w:tc>
          <w:tcPr>
            <w:tcW w:w="2976" w:type="dxa"/>
            <w:vAlign w:val="center"/>
          </w:tcPr>
          <w:p w14:paraId="0AEB249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 mm</w:t>
            </w:r>
          </w:p>
          <w:p w14:paraId="79E88DE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≤0,75 N/mm</w:t>
            </w:r>
            <w:r w:rsidRPr="007B192E">
              <w:rPr>
                <w:rFonts w:ascii="Arial" w:hAnsi="Arial" w:cs="Arial"/>
                <w:color w:val="000000" w:themeColor="text1"/>
                <w:sz w:val="18"/>
                <w:szCs w:val="18"/>
                <w:vertAlign w:val="superscript"/>
              </w:rPr>
              <w:t>2</w:t>
            </w:r>
          </w:p>
        </w:tc>
      </w:tr>
    </w:tbl>
    <w:p w14:paraId="1E9FD83C" w14:textId="77777777" w:rsidR="00F45500" w:rsidRPr="007B192E" w:rsidRDefault="00F45500" w:rsidP="00F45500">
      <w:pPr>
        <w:spacing w:before="24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15. Wymagania wobec zalew drogowych na gorąco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4D7D23" w:rsidRPr="007B192E" w14:paraId="3FF20595" w14:textId="77777777" w:rsidTr="008F7A94">
        <w:trPr>
          <w:jc w:val="center"/>
        </w:trPr>
        <w:tc>
          <w:tcPr>
            <w:tcW w:w="2943" w:type="dxa"/>
            <w:vAlign w:val="center"/>
          </w:tcPr>
          <w:p w14:paraId="753727B2"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Właściwości</w:t>
            </w:r>
          </w:p>
        </w:tc>
        <w:tc>
          <w:tcPr>
            <w:tcW w:w="2977" w:type="dxa"/>
            <w:vAlign w:val="center"/>
          </w:tcPr>
          <w:p w14:paraId="5FFAD6D1"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Metoda badawcza</w:t>
            </w:r>
          </w:p>
        </w:tc>
        <w:tc>
          <w:tcPr>
            <w:tcW w:w="2977" w:type="dxa"/>
            <w:vAlign w:val="center"/>
          </w:tcPr>
          <w:p w14:paraId="350FF335" w14:textId="77777777" w:rsidR="00F45500" w:rsidRPr="007B192E" w:rsidRDefault="00F45500" w:rsidP="008F7A94">
            <w:pPr>
              <w:spacing w:before="120" w:after="120"/>
              <w:jc w:val="center"/>
              <w:rPr>
                <w:rFonts w:ascii="Arial" w:hAnsi="Arial" w:cs="Arial"/>
                <w:color w:val="000000" w:themeColor="text1"/>
                <w:sz w:val="18"/>
                <w:szCs w:val="18"/>
              </w:rPr>
            </w:pPr>
            <w:r w:rsidRPr="007B192E">
              <w:rPr>
                <w:rFonts w:ascii="Arial" w:hAnsi="Arial" w:cs="Arial"/>
                <w:color w:val="000000" w:themeColor="text1"/>
                <w:sz w:val="18"/>
                <w:szCs w:val="18"/>
              </w:rPr>
              <w:t>Wymagania dla typu</w:t>
            </w:r>
          </w:p>
        </w:tc>
      </w:tr>
      <w:tr w:rsidR="004D7D23" w:rsidRPr="007B192E" w14:paraId="76503DAB" w14:textId="77777777" w:rsidTr="008F7A94">
        <w:trPr>
          <w:jc w:val="center"/>
        </w:trPr>
        <w:tc>
          <w:tcPr>
            <w:tcW w:w="2943" w:type="dxa"/>
            <w:vAlign w:val="center"/>
          </w:tcPr>
          <w:p w14:paraId="42CCE9F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 EN 14188-1 tablica 2 punkty od 1 do 11.2.8.</w:t>
            </w:r>
          </w:p>
        </w:tc>
        <w:tc>
          <w:tcPr>
            <w:tcW w:w="2977" w:type="dxa"/>
            <w:vAlign w:val="center"/>
          </w:tcPr>
          <w:p w14:paraId="4A3965F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14188-1[65]</w:t>
            </w:r>
          </w:p>
        </w:tc>
        <w:tc>
          <w:tcPr>
            <w:tcW w:w="2977" w:type="dxa"/>
            <w:vAlign w:val="center"/>
          </w:tcPr>
          <w:p w14:paraId="170A043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 1</w:t>
            </w:r>
          </w:p>
        </w:tc>
      </w:tr>
    </w:tbl>
    <w:p w14:paraId="7F5AAFD8"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Składowanie materiałów termoplastycznych jest dozwolone tylko w oryginalnych opakowaniach producenta, w warunkach określonych w aprobacie technicznej.</w:t>
      </w:r>
    </w:p>
    <w:p w14:paraId="5518F2D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uszczelnienia krawędzi należy stosować asfalt drogowy wg PN-EN 12591 [24], asfalt modyfikowany polimerami wg PN-EN 14023 [64] „metoda na gorąco”. Dopuszcza się inne rodzaje lepiszcza wg norm lub aprobat technicznych.</w:t>
      </w:r>
    </w:p>
    <w:p w14:paraId="392A232A" w14:textId="77777777" w:rsidR="00F45500" w:rsidRPr="007B192E" w:rsidRDefault="00F45500" w:rsidP="00F45500">
      <w:pPr>
        <w:pStyle w:val="Nagwek2"/>
        <w:numPr>
          <w:ilvl w:val="1"/>
          <w:numId w:val="30"/>
        </w:numPr>
        <w:tabs>
          <w:tab w:val="left" w:pos="7938"/>
        </w:tabs>
        <w:overflowPunct/>
        <w:autoSpaceDE/>
        <w:spacing w:before="60"/>
        <w:jc w:val="both"/>
        <w:textAlignment w:val="auto"/>
        <w:rPr>
          <w:color w:val="000000" w:themeColor="text1"/>
          <w:sz w:val="18"/>
          <w:szCs w:val="18"/>
        </w:rPr>
      </w:pPr>
      <w:r w:rsidRPr="007B192E">
        <w:rPr>
          <w:color w:val="000000" w:themeColor="text1"/>
          <w:sz w:val="18"/>
          <w:szCs w:val="18"/>
        </w:rPr>
        <w:t>2.7. Materiały do złączenia warstw konstrukcji</w:t>
      </w:r>
    </w:p>
    <w:p w14:paraId="2093C70B" w14:textId="77777777" w:rsidR="00F45500" w:rsidRPr="007B192E" w:rsidRDefault="00F45500" w:rsidP="00F45500">
      <w:pPr>
        <w:tabs>
          <w:tab w:val="left" w:pos="-2694"/>
        </w:tabs>
        <w:jc w:val="both"/>
        <w:rPr>
          <w:rFonts w:ascii="Arial" w:hAnsi="Arial" w:cs="Arial"/>
          <w:color w:val="000000" w:themeColor="text1"/>
          <w:sz w:val="18"/>
          <w:szCs w:val="18"/>
        </w:rPr>
      </w:pPr>
      <w:r w:rsidRPr="007B192E">
        <w:rPr>
          <w:rFonts w:ascii="Arial" w:hAnsi="Arial" w:cs="Arial"/>
          <w:color w:val="000000" w:themeColor="text1"/>
          <w:sz w:val="18"/>
          <w:szCs w:val="18"/>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6047C11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Spośród rodzajów emulsji wymienionych w Załączniku krajowym NA [62a] do normy PN-EN 13808 [62], należy stosować emulsje oznaczone kodem ZM. </w:t>
      </w:r>
    </w:p>
    <w:p w14:paraId="3BC7963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i przeznaczenie emulsji asfaltowych oraz sposób ich składowania opisano w OST D-04.03.01a [2]. </w:t>
      </w:r>
    </w:p>
    <w:p w14:paraId="72DB071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2.8. Dodatki do mieszanki mineralno-asfaltowej</w:t>
      </w:r>
    </w:p>
    <w:p w14:paraId="57ACA76B"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Mogą być stosowane dodatki stabilizujące lub modyfikujące. Pochodzenie, rodzaj i właściwości dodatków powinny być deklarowane. </w:t>
      </w:r>
    </w:p>
    <w:p w14:paraId="159FA398"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Należy używać tylko materiałów składowych o ustalonej przydatności. Ustalenie przydatności powinno wynikać co najmniej jednego z następujących dokumentów:</w:t>
      </w:r>
    </w:p>
    <w:p w14:paraId="2853AB07" w14:textId="77777777" w:rsidR="00F45500" w:rsidRPr="007B192E" w:rsidRDefault="00F45500" w:rsidP="00C12426">
      <w:pPr>
        <w:numPr>
          <w:ilvl w:val="0"/>
          <w:numId w:val="236"/>
        </w:numPr>
        <w:suppressAutoHyphens w:val="0"/>
        <w:autoSpaceDN w:val="0"/>
        <w:adjustRightInd w:val="0"/>
        <w:ind w:left="426" w:right="-57"/>
        <w:jc w:val="both"/>
        <w:rPr>
          <w:rFonts w:ascii="Arial" w:hAnsi="Arial" w:cs="Arial"/>
          <w:color w:val="000000" w:themeColor="text1"/>
          <w:sz w:val="18"/>
          <w:szCs w:val="18"/>
        </w:rPr>
      </w:pPr>
      <w:r w:rsidRPr="007B192E">
        <w:rPr>
          <w:rFonts w:ascii="Arial" w:hAnsi="Arial" w:cs="Arial"/>
          <w:color w:val="000000" w:themeColor="text1"/>
          <w:sz w:val="18"/>
          <w:szCs w:val="18"/>
        </w:rPr>
        <w:t>Normy Europejskiej,</w:t>
      </w:r>
    </w:p>
    <w:p w14:paraId="2CD4F6D9" w14:textId="77777777" w:rsidR="00F45500" w:rsidRPr="007B192E" w:rsidRDefault="00F45500" w:rsidP="00C12426">
      <w:pPr>
        <w:numPr>
          <w:ilvl w:val="0"/>
          <w:numId w:val="236"/>
        </w:numPr>
        <w:suppressAutoHyphens w:val="0"/>
        <w:autoSpaceDN w:val="0"/>
        <w:adjustRightInd w:val="0"/>
        <w:ind w:left="426" w:right="-57"/>
        <w:jc w:val="both"/>
        <w:rPr>
          <w:rFonts w:ascii="Arial" w:hAnsi="Arial" w:cs="Arial"/>
          <w:color w:val="000000" w:themeColor="text1"/>
          <w:sz w:val="18"/>
          <w:szCs w:val="18"/>
        </w:rPr>
      </w:pPr>
      <w:r w:rsidRPr="007B192E">
        <w:rPr>
          <w:rFonts w:ascii="Arial" w:hAnsi="Arial" w:cs="Arial"/>
          <w:color w:val="000000" w:themeColor="text1"/>
          <w:sz w:val="18"/>
          <w:szCs w:val="18"/>
        </w:rPr>
        <w:t>europejskiej aprobaty technicznej,</w:t>
      </w:r>
    </w:p>
    <w:p w14:paraId="010EAB5E" w14:textId="77777777" w:rsidR="00F45500" w:rsidRPr="007B192E" w:rsidRDefault="00F45500" w:rsidP="00C12426">
      <w:pPr>
        <w:numPr>
          <w:ilvl w:val="0"/>
          <w:numId w:val="236"/>
        </w:numPr>
        <w:suppressAutoHyphens w:val="0"/>
        <w:autoSpaceDN w:val="0"/>
        <w:adjustRightInd w:val="0"/>
        <w:ind w:left="426" w:right="-57"/>
        <w:jc w:val="both"/>
        <w:rPr>
          <w:rFonts w:ascii="Arial" w:hAnsi="Arial" w:cs="Arial"/>
          <w:color w:val="000000" w:themeColor="text1"/>
          <w:sz w:val="18"/>
          <w:szCs w:val="18"/>
        </w:rPr>
      </w:pPr>
      <w:r w:rsidRPr="007B192E">
        <w:rPr>
          <w:rFonts w:ascii="Arial" w:hAnsi="Arial" w:cs="Arial"/>
          <w:color w:val="000000" w:themeColor="text1"/>
          <w:sz w:val="18"/>
          <w:szCs w:val="18"/>
        </w:rPr>
        <w:t>specyfikacji materiałowych opartych na potwierdzonych pozytywnych zastosowaniach w nawierzchniach asfaltowych. Wykaz należy dostarczyć w celu udowodnienia przydatności. Wykaz może być oparty na badaniach w połączeniu z dowodami w praktyce.</w:t>
      </w:r>
    </w:p>
    <w:p w14:paraId="2AD0E208"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Zaleca się stosowanie do mieszanki mineralno-asfaltowej środka obniżającego temperaturę produkcji i układania. </w:t>
      </w:r>
    </w:p>
    <w:p w14:paraId="2A7C1F2E"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mieszanki mineralno-asfaltowej  może być stosowany dodatek asfaltu naturalnego wg PN-EN 13108-4 [51], załącznik B. </w:t>
      </w:r>
    </w:p>
    <w:p w14:paraId="76C4F79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2.9. Skład mieszanki mineralno-asfaltowej</w:t>
      </w:r>
    </w:p>
    <w:p w14:paraId="7D5C710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w:t>
      </w:r>
      <w:proofErr w:type="spellStart"/>
      <w:r w:rsidRPr="007B192E">
        <w:rPr>
          <w:rFonts w:ascii="Arial" w:hAnsi="Arial" w:cs="Arial"/>
          <w:color w:val="000000" w:themeColor="text1"/>
          <w:sz w:val="18"/>
          <w:szCs w:val="18"/>
        </w:rPr>
        <w:t>B</w:t>
      </w:r>
      <w:r w:rsidRPr="007B192E">
        <w:rPr>
          <w:rFonts w:ascii="Arial" w:hAnsi="Arial" w:cs="Arial"/>
          <w:color w:val="000000" w:themeColor="text1"/>
          <w:sz w:val="18"/>
          <w:szCs w:val="18"/>
          <w:vertAlign w:val="subscript"/>
        </w:rPr>
        <w:t>min</w:t>
      </w:r>
      <w:proofErr w:type="spellEnd"/>
      <w:r w:rsidRPr="007B192E">
        <w:rPr>
          <w:rFonts w:ascii="Arial" w:hAnsi="Arial" w:cs="Arial"/>
          <w:color w:val="000000" w:themeColor="text1"/>
          <w:sz w:val="18"/>
          <w:szCs w:val="18"/>
        </w:rPr>
        <w:t xml:space="preserve"> i temperatur zagęszczania próbek.</w:t>
      </w:r>
    </w:p>
    <w:p w14:paraId="5E690F1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Uziarnienie mieszanki mineralnej oraz minimalna zawartość lepiszcza podane są w tablicy 17.</w:t>
      </w:r>
    </w:p>
    <w:p w14:paraId="7F75587F" w14:textId="77777777" w:rsidR="00F45500" w:rsidRPr="007B192E" w:rsidRDefault="00F45500" w:rsidP="00F45500">
      <w:pPr>
        <w:rPr>
          <w:rFonts w:ascii="Arial" w:hAnsi="Arial" w:cs="Arial"/>
          <w:color w:val="000000" w:themeColor="text1"/>
          <w:sz w:val="18"/>
          <w:szCs w:val="18"/>
        </w:rPr>
      </w:pPr>
    </w:p>
    <w:p w14:paraId="53D0EA3C" w14:textId="77777777" w:rsidR="00F45500" w:rsidRPr="007B192E" w:rsidRDefault="00F45500" w:rsidP="00F45500">
      <w:pPr>
        <w:tabs>
          <w:tab w:val="left" w:pos="1134"/>
        </w:tabs>
        <w:spacing w:before="240" w:after="120"/>
        <w:ind w:left="1134" w:hanging="1134"/>
        <w:jc w:val="both"/>
        <w:rPr>
          <w:rFonts w:ascii="Arial" w:hAnsi="Arial" w:cs="Arial"/>
          <w:color w:val="000000" w:themeColor="text1"/>
          <w:sz w:val="18"/>
          <w:szCs w:val="18"/>
        </w:rPr>
      </w:pPr>
      <w:r w:rsidRPr="007B192E">
        <w:rPr>
          <w:rFonts w:ascii="Arial" w:hAnsi="Arial" w:cs="Arial"/>
          <w:color w:val="000000" w:themeColor="text1"/>
          <w:sz w:val="18"/>
          <w:szCs w:val="18"/>
        </w:rPr>
        <w:t>Tablica 17.</w:t>
      </w:r>
      <w:r w:rsidRPr="007B192E">
        <w:rPr>
          <w:rFonts w:ascii="Arial" w:hAnsi="Arial" w:cs="Arial"/>
          <w:color w:val="000000" w:themeColor="text1"/>
          <w:sz w:val="18"/>
          <w:szCs w:val="18"/>
        </w:rPr>
        <w:tab/>
        <w:t xml:space="preserve">Uziarnienie mieszanki mineralnej oraz zawartość lepiszcza do betonu asfaltowego do warstwy ścieralnej dla ruchu KR3-KR6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77"/>
        <w:gridCol w:w="591"/>
        <w:gridCol w:w="960"/>
        <w:gridCol w:w="1080"/>
        <w:gridCol w:w="1103"/>
      </w:tblGrid>
      <w:tr w:rsidR="004D7D23" w:rsidRPr="007B192E" w14:paraId="504AC97C" w14:textId="77777777" w:rsidTr="008F7A94">
        <w:trPr>
          <w:jc w:val="center"/>
        </w:trPr>
        <w:tc>
          <w:tcPr>
            <w:tcW w:w="4077" w:type="dxa"/>
            <w:vMerge w:val="restart"/>
            <w:vAlign w:val="center"/>
          </w:tcPr>
          <w:p w14:paraId="10B6E16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3734" w:type="dxa"/>
            <w:gridSpan w:val="4"/>
            <w:vAlign w:val="center"/>
          </w:tcPr>
          <w:p w14:paraId="52F3067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Przesiew,   [% (m/m)]</w:t>
            </w:r>
          </w:p>
        </w:tc>
      </w:tr>
      <w:tr w:rsidR="004D7D23" w:rsidRPr="007B192E" w14:paraId="549FC93A" w14:textId="77777777" w:rsidTr="008F7A94">
        <w:trPr>
          <w:jc w:val="center"/>
        </w:trPr>
        <w:tc>
          <w:tcPr>
            <w:tcW w:w="4077" w:type="dxa"/>
            <w:vMerge/>
            <w:vAlign w:val="center"/>
          </w:tcPr>
          <w:p w14:paraId="602068DF" w14:textId="77777777" w:rsidR="00F45500" w:rsidRPr="007B192E" w:rsidRDefault="00F45500" w:rsidP="008F7A94">
            <w:pPr>
              <w:jc w:val="center"/>
              <w:rPr>
                <w:rFonts w:ascii="Arial" w:hAnsi="Arial" w:cs="Arial"/>
                <w:color w:val="000000" w:themeColor="text1"/>
                <w:sz w:val="18"/>
                <w:szCs w:val="18"/>
              </w:rPr>
            </w:pPr>
          </w:p>
        </w:tc>
        <w:tc>
          <w:tcPr>
            <w:tcW w:w="1551" w:type="dxa"/>
            <w:gridSpan w:val="2"/>
            <w:vAlign w:val="center"/>
          </w:tcPr>
          <w:p w14:paraId="5664102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AC8S</w:t>
            </w:r>
          </w:p>
        </w:tc>
        <w:tc>
          <w:tcPr>
            <w:tcW w:w="2183" w:type="dxa"/>
            <w:gridSpan w:val="2"/>
            <w:vAlign w:val="center"/>
          </w:tcPr>
          <w:p w14:paraId="57CC532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AC11S</w:t>
            </w:r>
          </w:p>
        </w:tc>
      </w:tr>
      <w:tr w:rsidR="004D7D23" w:rsidRPr="007B192E" w14:paraId="3B9048A2" w14:textId="77777777" w:rsidTr="008F7A94">
        <w:trPr>
          <w:jc w:val="center"/>
        </w:trPr>
        <w:tc>
          <w:tcPr>
            <w:tcW w:w="4077" w:type="dxa"/>
            <w:vAlign w:val="center"/>
          </w:tcPr>
          <w:p w14:paraId="10F794C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Wymiar sita #, [mm]</w:t>
            </w:r>
          </w:p>
        </w:tc>
        <w:tc>
          <w:tcPr>
            <w:tcW w:w="591" w:type="dxa"/>
            <w:vAlign w:val="center"/>
          </w:tcPr>
          <w:p w14:paraId="051386E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w:t>
            </w:r>
          </w:p>
        </w:tc>
        <w:tc>
          <w:tcPr>
            <w:tcW w:w="960" w:type="dxa"/>
            <w:vAlign w:val="center"/>
          </w:tcPr>
          <w:p w14:paraId="592B72B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w:t>
            </w:r>
          </w:p>
        </w:tc>
        <w:tc>
          <w:tcPr>
            <w:tcW w:w="1080" w:type="dxa"/>
            <w:vAlign w:val="center"/>
          </w:tcPr>
          <w:p w14:paraId="72DC705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w:t>
            </w:r>
          </w:p>
        </w:tc>
        <w:tc>
          <w:tcPr>
            <w:tcW w:w="1103" w:type="dxa"/>
            <w:vAlign w:val="center"/>
          </w:tcPr>
          <w:p w14:paraId="0DCE39E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w:t>
            </w:r>
          </w:p>
        </w:tc>
      </w:tr>
      <w:tr w:rsidR="004D7D23" w:rsidRPr="007B192E" w14:paraId="543640A6" w14:textId="77777777" w:rsidTr="008F7A94">
        <w:trPr>
          <w:jc w:val="center"/>
        </w:trPr>
        <w:tc>
          <w:tcPr>
            <w:tcW w:w="4077" w:type="dxa"/>
            <w:vAlign w:val="center"/>
          </w:tcPr>
          <w:p w14:paraId="293F300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591" w:type="dxa"/>
            <w:vAlign w:val="center"/>
          </w:tcPr>
          <w:p w14:paraId="7822CA8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960" w:type="dxa"/>
            <w:vAlign w:val="center"/>
          </w:tcPr>
          <w:p w14:paraId="69C036D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080" w:type="dxa"/>
            <w:vAlign w:val="center"/>
          </w:tcPr>
          <w:p w14:paraId="0E03DC5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1103" w:type="dxa"/>
            <w:vAlign w:val="center"/>
          </w:tcPr>
          <w:p w14:paraId="452915C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r>
      <w:tr w:rsidR="004D7D23" w:rsidRPr="007B192E" w14:paraId="48597A55" w14:textId="77777777" w:rsidTr="008F7A94">
        <w:trPr>
          <w:jc w:val="center"/>
        </w:trPr>
        <w:tc>
          <w:tcPr>
            <w:tcW w:w="4077" w:type="dxa"/>
            <w:vAlign w:val="center"/>
          </w:tcPr>
          <w:p w14:paraId="405AFEB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11,2</w:t>
            </w:r>
          </w:p>
        </w:tc>
        <w:tc>
          <w:tcPr>
            <w:tcW w:w="591" w:type="dxa"/>
            <w:vAlign w:val="center"/>
          </w:tcPr>
          <w:p w14:paraId="7DEA873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960" w:type="dxa"/>
            <w:vAlign w:val="center"/>
          </w:tcPr>
          <w:p w14:paraId="2952804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1080" w:type="dxa"/>
            <w:vAlign w:val="center"/>
          </w:tcPr>
          <w:p w14:paraId="5D0F22D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90</w:t>
            </w:r>
          </w:p>
        </w:tc>
        <w:tc>
          <w:tcPr>
            <w:tcW w:w="1103" w:type="dxa"/>
            <w:vAlign w:val="center"/>
          </w:tcPr>
          <w:p w14:paraId="28B87B2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r>
      <w:tr w:rsidR="004D7D23" w:rsidRPr="007B192E" w14:paraId="5AD1B584" w14:textId="77777777" w:rsidTr="008F7A94">
        <w:trPr>
          <w:jc w:val="center"/>
        </w:trPr>
        <w:tc>
          <w:tcPr>
            <w:tcW w:w="4077" w:type="dxa"/>
            <w:vAlign w:val="center"/>
          </w:tcPr>
          <w:p w14:paraId="2BB6EFB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591" w:type="dxa"/>
            <w:vAlign w:val="center"/>
          </w:tcPr>
          <w:p w14:paraId="2416007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90</w:t>
            </w:r>
          </w:p>
        </w:tc>
        <w:tc>
          <w:tcPr>
            <w:tcW w:w="960" w:type="dxa"/>
            <w:vAlign w:val="center"/>
          </w:tcPr>
          <w:p w14:paraId="7B1D952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1080" w:type="dxa"/>
            <w:vAlign w:val="center"/>
          </w:tcPr>
          <w:p w14:paraId="38F0AA0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60</w:t>
            </w:r>
          </w:p>
        </w:tc>
        <w:tc>
          <w:tcPr>
            <w:tcW w:w="1103" w:type="dxa"/>
            <w:vAlign w:val="center"/>
          </w:tcPr>
          <w:p w14:paraId="03B8925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90</w:t>
            </w:r>
          </w:p>
        </w:tc>
      </w:tr>
      <w:tr w:rsidR="004D7D23" w:rsidRPr="007B192E" w14:paraId="0B687F45" w14:textId="77777777" w:rsidTr="008F7A94">
        <w:trPr>
          <w:jc w:val="center"/>
        </w:trPr>
        <w:tc>
          <w:tcPr>
            <w:tcW w:w="4077" w:type="dxa"/>
            <w:vAlign w:val="center"/>
          </w:tcPr>
          <w:p w14:paraId="3A2D7A7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5,6</w:t>
            </w:r>
          </w:p>
        </w:tc>
        <w:tc>
          <w:tcPr>
            <w:tcW w:w="591" w:type="dxa"/>
            <w:vAlign w:val="center"/>
          </w:tcPr>
          <w:p w14:paraId="7DC02E8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60</w:t>
            </w:r>
          </w:p>
        </w:tc>
        <w:tc>
          <w:tcPr>
            <w:tcW w:w="960" w:type="dxa"/>
            <w:vAlign w:val="center"/>
          </w:tcPr>
          <w:p w14:paraId="50C6B2B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80</w:t>
            </w:r>
          </w:p>
        </w:tc>
        <w:tc>
          <w:tcPr>
            <w:tcW w:w="1080" w:type="dxa"/>
            <w:vAlign w:val="center"/>
          </w:tcPr>
          <w:p w14:paraId="71C2C1B6" w14:textId="77777777" w:rsidR="00F45500" w:rsidRPr="007B192E" w:rsidRDefault="00F45500" w:rsidP="008F7A94">
            <w:pPr>
              <w:tabs>
                <w:tab w:val="left" w:pos="285"/>
                <w:tab w:val="center" w:pos="342"/>
              </w:tabs>
              <w:jc w:val="center"/>
              <w:rPr>
                <w:rFonts w:ascii="Arial" w:hAnsi="Arial" w:cs="Arial"/>
                <w:color w:val="000000" w:themeColor="text1"/>
                <w:sz w:val="18"/>
                <w:szCs w:val="18"/>
              </w:rPr>
            </w:pPr>
            <w:r w:rsidRPr="007B192E">
              <w:rPr>
                <w:rFonts w:ascii="Arial" w:hAnsi="Arial" w:cs="Arial"/>
                <w:color w:val="000000" w:themeColor="text1"/>
                <w:sz w:val="18"/>
                <w:szCs w:val="18"/>
              </w:rPr>
              <w:t>48</w:t>
            </w:r>
          </w:p>
        </w:tc>
        <w:tc>
          <w:tcPr>
            <w:tcW w:w="1103" w:type="dxa"/>
            <w:vAlign w:val="center"/>
          </w:tcPr>
          <w:p w14:paraId="578E5BE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75</w:t>
            </w:r>
          </w:p>
        </w:tc>
      </w:tr>
      <w:tr w:rsidR="004D7D23" w:rsidRPr="007B192E" w14:paraId="3D34C1BF" w14:textId="77777777" w:rsidTr="008F7A94">
        <w:trPr>
          <w:jc w:val="center"/>
        </w:trPr>
        <w:tc>
          <w:tcPr>
            <w:tcW w:w="4077" w:type="dxa"/>
            <w:vAlign w:val="center"/>
          </w:tcPr>
          <w:p w14:paraId="42E71F1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591" w:type="dxa"/>
            <w:vAlign w:val="center"/>
          </w:tcPr>
          <w:p w14:paraId="37A0382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48</w:t>
            </w:r>
          </w:p>
        </w:tc>
        <w:tc>
          <w:tcPr>
            <w:tcW w:w="960" w:type="dxa"/>
            <w:vAlign w:val="center"/>
          </w:tcPr>
          <w:p w14:paraId="1896191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60</w:t>
            </w:r>
          </w:p>
        </w:tc>
        <w:tc>
          <w:tcPr>
            <w:tcW w:w="1080" w:type="dxa"/>
            <w:vAlign w:val="center"/>
          </w:tcPr>
          <w:p w14:paraId="514E402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42</w:t>
            </w:r>
          </w:p>
        </w:tc>
        <w:tc>
          <w:tcPr>
            <w:tcW w:w="1103" w:type="dxa"/>
            <w:vAlign w:val="center"/>
          </w:tcPr>
          <w:p w14:paraId="42010BF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60</w:t>
            </w:r>
          </w:p>
        </w:tc>
      </w:tr>
      <w:tr w:rsidR="004D7D23" w:rsidRPr="007B192E" w14:paraId="6A087B35" w14:textId="77777777" w:rsidTr="008F7A94">
        <w:trPr>
          <w:jc w:val="center"/>
        </w:trPr>
        <w:tc>
          <w:tcPr>
            <w:tcW w:w="4077" w:type="dxa"/>
            <w:vAlign w:val="center"/>
          </w:tcPr>
          <w:p w14:paraId="2BF98D0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591" w:type="dxa"/>
            <w:vAlign w:val="center"/>
          </w:tcPr>
          <w:p w14:paraId="1FA370A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960" w:type="dxa"/>
            <w:vAlign w:val="center"/>
          </w:tcPr>
          <w:p w14:paraId="5C2571D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55</w:t>
            </w:r>
          </w:p>
        </w:tc>
        <w:tc>
          <w:tcPr>
            <w:tcW w:w="1080" w:type="dxa"/>
            <w:vAlign w:val="center"/>
          </w:tcPr>
          <w:p w14:paraId="238DF1C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35</w:t>
            </w:r>
          </w:p>
        </w:tc>
        <w:tc>
          <w:tcPr>
            <w:tcW w:w="1103" w:type="dxa"/>
            <w:vAlign w:val="center"/>
          </w:tcPr>
          <w:p w14:paraId="1781CFA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50</w:t>
            </w:r>
          </w:p>
        </w:tc>
      </w:tr>
      <w:tr w:rsidR="004D7D23" w:rsidRPr="007B192E" w14:paraId="392F65B6" w14:textId="77777777" w:rsidTr="008F7A94">
        <w:trPr>
          <w:jc w:val="center"/>
        </w:trPr>
        <w:tc>
          <w:tcPr>
            <w:tcW w:w="4077" w:type="dxa"/>
            <w:vAlign w:val="center"/>
          </w:tcPr>
          <w:p w14:paraId="626B80E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0,125</w:t>
            </w:r>
          </w:p>
        </w:tc>
        <w:tc>
          <w:tcPr>
            <w:tcW w:w="591" w:type="dxa"/>
            <w:vAlign w:val="center"/>
          </w:tcPr>
          <w:p w14:paraId="513D509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960" w:type="dxa"/>
            <w:vAlign w:val="center"/>
          </w:tcPr>
          <w:p w14:paraId="384AC5C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22</w:t>
            </w:r>
          </w:p>
        </w:tc>
        <w:tc>
          <w:tcPr>
            <w:tcW w:w="1080" w:type="dxa"/>
            <w:vAlign w:val="center"/>
          </w:tcPr>
          <w:p w14:paraId="2791E08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103" w:type="dxa"/>
            <w:vAlign w:val="center"/>
          </w:tcPr>
          <w:p w14:paraId="225F32D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r>
      <w:tr w:rsidR="004D7D23" w:rsidRPr="007B192E" w14:paraId="72E468B0" w14:textId="77777777" w:rsidTr="008F7A94">
        <w:trPr>
          <w:jc w:val="center"/>
        </w:trPr>
        <w:tc>
          <w:tcPr>
            <w:tcW w:w="4077" w:type="dxa"/>
            <w:vAlign w:val="center"/>
          </w:tcPr>
          <w:p w14:paraId="6A5DC2A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0,063</w:t>
            </w:r>
          </w:p>
        </w:tc>
        <w:tc>
          <w:tcPr>
            <w:tcW w:w="591" w:type="dxa"/>
            <w:vAlign w:val="center"/>
          </w:tcPr>
          <w:p w14:paraId="2A01116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960" w:type="dxa"/>
            <w:vAlign w:val="center"/>
          </w:tcPr>
          <w:p w14:paraId="06047D2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12,0</w:t>
            </w:r>
          </w:p>
        </w:tc>
        <w:tc>
          <w:tcPr>
            <w:tcW w:w="1080" w:type="dxa"/>
            <w:vAlign w:val="center"/>
          </w:tcPr>
          <w:p w14:paraId="7540E1A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103" w:type="dxa"/>
            <w:vAlign w:val="center"/>
          </w:tcPr>
          <w:p w14:paraId="551DCA3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11,0</w:t>
            </w:r>
          </w:p>
        </w:tc>
      </w:tr>
      <w:tr w:rsidR="004D7D23" w:rsidRPr="007B192E" w14:paraId="2CD51949" w14:textId="77777777" w:rsidTr="008F7A94">
        <w:trPr>
          <w:jc w:val="center"/>
        </w:trPr>
        <w:tc>
          <w:tcPr>
            <w:tcW w:w="4077" w:type="dxa"/>
            <w:vAlign w:val="center"/>
          </w:tcPr>
          <w:p w14:paraId="3F9122AC" w14:textId="77777777" w:rsidR="00F45500" w:rsidRPr="007B192E" w:rsidRDefault="00F45500" w:rsidP="008F7A94">
            <w:pPr>
              <w:spacing w:before="60" w:after="60"/>
              <w:jc w:val="center"/>
              <w:rPr>
                <w:rFonts w:ascii="Arial" w:hAnsi="Arial" w:cs="Arial"/>
                <w:color w:val="000000" w:themeColor="text1"/>
                <w:sz w:val="18"/>
                <w:szCs w:val="18"/>
                <w:vertAlign w:val="superscript"/>
              </w:rPr>
            </w:pPr>
            <w:r w:rsidRPr="007B192E">
              <w:rPr>
                <w:rFonts w:ascii="Arial" w:hAnsi="Arial" w:cs="Arial"/>
                <w:color w:val="000000" w:themeColor="text1"/>
                <w:sz w:val="18"/>
                <w:szCs w:val="18"/>
              </w:rPr>
              <w:t>Zawartość lepiszcza, minimum</w:t>
            </w:r>
            <w:r w:rsidRPr="007B192E">
              <w:rPr>
                <w:rFonts w:ascii="Arial" w:hAnsi="Arial" w:cs="Arial"/>
                <w:color w:val="000000" w:themeColor="text1"/>
                <w:sz w:val="18"/>
                <w:szCs w:val="18"/>
                <w:vertAlign w:val="superscript"/>
              </w:rPr>
              <w:t>*)</w:t>
            </w:r>
          </w:p>
        </w:tc>
        <w:tc>
          <w:tcPr>
            <w:tcW w:w="1551" w:type="dxa"/>
            <w:gridSpan w:val="2"/>
            <w:vAlign w:val="center"/>
          </w:tcPr>
          <w:p w14:paraId="3DEBE857"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B</w:t>
            </w:r>
            <w:r w:rsidRPr="007B192E">
              <w:rPr>
                <w:rFonts w:ascii="Arial" w:hAnsi="Arial" w:cs="Arial"/>
                <w:color w:val="000000" w:themeColor="text1"/>
                <w:sz w:val="18"/>
                <w:szCs w:val="18"/>
                <w:vertAlign w:val="subscript"/>
              </w:rPr>
              <w:t>min5,8</w:t>
            </w:r>
          </w:p>
        </w:tc>
        <w:tc>
          <w:tcPr>
            <w:tcW w:w="2183" w:type="dxa"/>
            <w:gridSpan w:val="2"/>
            <w:vAlign w:val="center"/>
          </w:tcPr>
          <w:p w14:paraId="1E3D32DD"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B</w:t>
            </w:r>
            <w:r w:rsidRPr="007B192E">
              <w:rPr>
                <w:rFonts w:ascii="Arial" w:hAnsi="Arial" w:cs="Arial"/>
                <w:color w:val="000000" w:themeColor="text1"/>
                <w:sz w:val="18"/>
                <w:szCs w:val="18"/>
                <w:vertAlign w:val="subscript"/>
              </w:rPr>
              <w:t>min5,8</w:t>
            </w:r>
          </w:p>
        </w:tc>
      </w:tr>
      <w:tr w:rsidR="004D7D23" w:rsidRPr="007B192E" w14:paraId="5432EE4C" w14:textId="77777777" w:rsidTr="008F7A94">
        <w:trPr>
          <w:jc w:val="center"/>
        </w:trPr>
        <w:tc>
          <w:tcPr>
            <w:tcW w:w="7811" w:type="dxa"/>
            <w:gridSpan w:val="5"/>
          </w:tcPr>
          <w:p w14:paraId="0637C690" w14:textId="77777777" w:rsidR="00F45500" w:rsidRPr="007B192E" w:rsidRDefault="00F45500" w:rsidP="008F7A94">
            <w:pPr>
              <w:tabs>
                <w:tab w:val="left" w:pos="284"/>
              </w:tabs>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ab/>
              <w:t>Minimalna zawartość lepiszcza jest określona przy założonej gęstości mieszanki mineralnej 2,650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Jeżeli stosowana mieszanka mineralna ma inną gęstość (</w:t>
            </w:r>
            <w:proofErr w:type="spellStart"/>
            <w:r w:rsidRPr="007B192E">
              <w:rPr>
                <w:rFonts w:ascii="Arial" w:hAnsi="Arial" w:cs="Arial"/>
                <w:i/>
                <w:color w:val="000000" w:themeColor="text1"/>
                <w:sz w:val="18"/>
                <w:szCs w:val="18"/>
              </w:rPr>
              <w:t>ρ</w:t>
            </w:r>
            <w:r w:rsidRPr="007B192E">
              <w:rPr>
                <w:rFonts w:ascii="Arial" w:hAnsi="Arial" w:cs="Arial"/>
                <w:color w:val="000000" w:themeColor="text1"/>
                <w:sz w:val="18"/>
                <w:szCs w:val="18"/>
                <w:vertAlign w:val="subscript"/>
              </w:rPr>
              <w:t>d</w:t>
            </w:r>
            <w:proofErr w:type="spellEnd"/>
            <w:r w:rsidRPr="007B192E">
              <w:rPr>
                <w:rFonts w:ascii="Arial" w:hAnsi="Arial" w:cs="Arial"/>
                <w:color w:val="000000" w:themeColor="text1"/>
                <w:sz w:val="18"/>
                <w:szCs w:val="18"/>
              </w:rPr>
              <w:t xml:space="preserve">), to do wyznaczenia minimalnej zawartości lepiszcza podaną wartość należy pomnożyć przez współczynnik </w:t>
            </w:r>
            <w:r w:rsidRPr="007B192E">
              <w:rPr>
                <w:rFonts w:ascii="Arial" w:hAnsi="Arial" w:cs="Arial"/>
                <w:color w:val="000000" w:themeColor="text1"/>
                <w:position w:val="-6"/>
                <w:sz w:val="18"/>
                <w:szCs w:val="18"/>
              </w:rPr>
              <w:object w:dxaOrig="240" w:dyaOrig="220" w14:anchorId="0FD741AE">
                <v:shape id="_x0000_i1030" type="#_x0000_t75" style="width:11.7pt;height:10.9pt" o:ole="">
                  <v:imagedata r:id="rId29" o:title=""/>
                </v:shape>
                <o:OLEObject Type="Embed" ProgID="Equation.3" ShapeID="_x0000_i1030" DrawAspect="Content" ObjectID="_1776762941" r:id="rId33"/>
              </w:object>
            </w:r>
            <w:r w:rsidRPr="007B192E">
              <w:rPr>
                <w:rFonts w:ascii="Arial" w:hAnsi="Arial" w:cs="Arial"/>
                <w:color w:val="000000" w:themeColor="text1"/>
                <w:sz w:val="18"/>
                <w:szCs w:val="18"/>
              </w:rPr>
              <w:t xml:space="preserve"> według równania:</w:t>
            </w:r>
          </w:p>
          <w:p w14:paraId="24C928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position w:val="-30"/>
                <w:sz w:val="18"/>
                <w:szCs w:val="18"/>
              </w:rPr>
              <w:object w:dxaOrig="880" w:dyaOrig="680" w14:anchorId="4FFF6988">
                <v:shape id="_x0000_i1031" type="#_x0000_t75" style="width:44.35pt;height:32.65pt" o:ole="">
                  <v:imagedata r:id="rId31" o:title=""/>
                </v:shape>
                <o:OLEObject Type="Embed" ProgID="Equation.3" ShapeID="_x0000_i1031" DrawAspect="Content" ObjectID="_1776762942" r:id="rId34"/>
              </w:object>
            </w:r>
          </w:p>
        </w:tc>
      </w:tr>
    </w:tbl>
    <w:p w14:paraId="40ECC548" w14:textId="77777777" w:rsidR="00F45500" w:rsidRPr="007B192E" w:rsidRDefault="00F45500" w:rsidP="00F45500">
      <w:pPr>
        <w:pStyle w:val="Nagwek2"/>
        <w:numPr>
          <w:ilvl w:val="1"/>
          <w:numId w:val="30"/>
        </w:numPr>
        <w:overflowPunct/>
        <w:autoSpaceDE/>
        <w:jc w:val="both"/>
        <w:textAlignment w:val="auto"/>
        <w:rPr>
          <w:color w:val="000000" w:themeColor="text1"/>
          <w:sz w:val="18"/>
          <w:szCs w:val="18"/>
        </w:rPr>
      </w:pPr>
      <w:r w:rsidRPr="007B192E">
        <w:rPr>
          <w:color w:val="000000" w:themeColor="text1"/>
          <w:sz w:val="18"/>
          <w:szCs w:val="18"/>
        </w:rPr>
        <w:t>2.10. Właściwości mieszaki mineralno-asfaltowej do wykonania betonu asfaltowego do warstwy ścieralnej</w:t>
      </w:r>
    </w:p>
    <w:p w14:paraId="565935A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Wymagane właściwości mieszanki mineralno-asfaltowej podane są w tablicy  19.</w:t>
      </w:r>
    </w:p>
    <w:p w14:paraId="376CCB25" w14:textId="77777777" w:rsidR="00F45500" w:rsidRPr="007B192E" w:rsidRDefault="00F45500" w:rsidP="00F45500">
      <w:pPr>
        <w:tabs>
          <w:tab w:val="left" w:pos="1440"/>
        </w:tabs>
        <w:spacing w:before="120" w:after="120"/>
        <w:ind w:left="1440" w:hanging="144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19. Wymagane właściwości mieszanki mineralno-asfaltowej do warstwy ścieralnej, dla ruchu KR3 ÷ KR4 </w:t>
      </w:r>
    </w:p>
    <w:tbl>
      <w:tblPr>
        <w:tblW w:w="87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1571"/>
        <w:gridCol w:w="3008"/>
        <w:gridCol w:w="2309"/>
      </w:tblGrid>
      <w:tr w:rsidR="004D7D23" w:rsidRPr="007B192E" w14:paraId="15BE357C" w14:textId="77777777" w:rsidTr="008F7A94">
        <w:trPr>
          <w:jc w:val="center"/>
        </w:trPr>
        <w:tc>
          <w:tcPr>
            <w:tcW w:w="1908" w:type="dxa"/>
          </w:tcPr>
          <w:p w14:paraId="63BA251A" w14:textId="77777777" w:rsidR="00F45500" w:rsidRPr="007B192E" w:rsidRDefault="00F45500" w:rsidP="008F7A94">
            <w:pPr>
              <w:jc w:val="both"/>
              <w:rPr>
                <w:rFonts w:ascii="Arial" w:hAnsi="Arial" w:cs="Arial"/>
                <w:color w:val="000000" w:themeColor="text1"/>
                <w:sz w:val="18"/>
                <w:szCs w:val="18"/>
              </w:rPr>
            </w:pPr>
          </w:p>
          <w:p w14:paraId="772E4E6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Właściwość</w:t>
            </w:r>
          </w:p>
        </w:tc>
        <w:tc>
          <w:tcPr>
            <w:tcW w:w="1571" w:type="dxa"/>
          </w:tcPr>
          <w:p w14:paraId="4682BE3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Warunki </w:t>
            </w:r>
            <w:r w:rsidRPr="007B192E">
              <w:rPr>
                <w:rFonts w:ascii="Arial" w:hAnsi="Arial" w:cs="Arial"/>
                <w:color w:val="000000" w:themeColor="text1"/>
                <w:sz w:val="18"/>
                <w:szCs w:val="18"/>
              </w:rPr>
              <w:lastRenderedPageBreak/>
              <w:t xml:space="preserve">zagęszczania wg PN-EN </w:t>
            </w:r>
          </w:p>
          <w:p w14:paraId="20C7A33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13108-20  [52]</w:t>
            </w:r>
          </w:p>
        </w:tc>
        <w:tc>
          <w:tcPr>
            <w:tcW w:w="3008" w:type="dxa"/>
          </w:tcPr>
          <w:p w14:paraId="25CE268A" w14:textId="77777777" w:rsidR="00F45500" w:rsidRPr="007B192E" w:rsidRDefault="00F45500" w:rsidP="008F7A94">
            <w:pPr>
              <w:jc w:val="both"/>
              <w:rPr>
                <w:rFonts w:ascii="Arial" w:hAnsi="Arial" w:cs="Arial"/>
                <w:color w:val="000000" w:themeColor="text1"/>
                <w:sz w:val="18"/>
                <w:szCs w:val="18"/>
              </w:rPr>
            </w:pPr>
          </w:p>
          <w:p w14:paraId="70A94BA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Metoda i warunki badania</w:t>
            </w:r>
          </w:p>
        </w:tc>
        <w:tc>
          <w:tcPr>
            <w:tcW w:w="2309" w:type="dxa"/>
            <w:vAlign w:val="center"/>
          </w:tcPr>
          <w:p w14:paraId="29C754FA" w14:textId="77777777" w:rsidR="00F45500" w:rsidRPr="007B192E" w:rsidRDefault="00F45500" w:rsidP="008F7A94">
            <w:pPr>
              <w:jc w:val="center"/>
              <w:rPr>
                <w:rFonts w:ascii="Arial" w:hAnsi="Arial" w:cs="Arial"/>
                <w:color w:val="000000" w:themeColor="text1"/>
                <w:sz w:val="18"/>
                <w:szCs w:val="18"/>
              </w:rPr>
            </w:pPr>
          </w:p>
          <w:p w14:paraId="5F13CD7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AC11S</w:t>
            </w:r>
          </w:p>
        </w:tc>
      </w:tr>
      <w:tr w:rsidR="004D7D23" w:rsidRPr="007B192E" w14:paraId="1469C1E7" w14:textId="77777777" w:rsidTr="008F7A94">
        <w:trPr>
          <w:jc w:val="center"/>
        </w:trPr>
        <w:tc>
          <w:tcPr>
            <w:tcW w:w="1908" w:type="dxa"/>
            <w:vAlign w:val="center"/>
          </w:tcPr>
          <w:p w14:paraId="3D16951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Zawartość wolnych przestrzeni</w:t>
            </w:r>
          </w:p>
        </w:tc>
        <w:tc>
          <w:tcPr>
            <w:tcW w:w="1571" w:type="dxa"/>
            <w:vAlign w:val="center"/>
          </w:tcPr>
          <w:p w14:paraId="266157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C.1.2,</w:t>
            </w:r>
          </w:p>
          <w:p w14:paraId="7F64283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ubijanie, 2×75 uderzeń</w:t>
            </w:r>
          </w:p>
        </w:tc>
        <w:tc>
          <w:tcPr>
            <w:tcW w:w="3008" w:type="dxa"/>
            <w:vAlign w:val="center"/>
          </w:tcPr>
          <w:p w14:paraId="4068DA7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12697-8 [35], p. 4</w:t>
            </w:r>
          </w:p>
        </w:tc>
        <w:tc>
          <w:tcPr>
            <w:tcW w:w="2309" w:type="dxa"/>
            <w:vAlign w:val="center"/>
          </w:tcPr>
          <w:p w14:paraId="11910E1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min2,0</w:t>
            </w:r>
          </w:p>
          <w:p w14:paraId="04D5AD6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V</w:t>
            </w:r>
            <w:r w:rsidRPr="007B192E">
              <w:rPr>
                <w:rFonts w:ascii="Arial" w:hAnsi="Arial" w:cs="Arial"/>
                <w:color w:val="000000" w:themeColor="text1"/>
                <w:sz w:val="18"/>
                <w:szCs w:val="18"/>
                <w:vertAlign w:val="subscript"/>
              </w:rPr>
              <w:t>max4</w:t>
            </w:r>
          </w:p>
        </w:tc>
      </w:tr>
      <w:tr w:rsidR="004D7D23" w:rsidRPr="007B192E" w14:paraId="6978AFB5" w14:textId="77777777" w:rsidTr="008F7A94">
        <w:trPr>
          <w:jc w:val="center"/>
        </w:trPr>
        <w:tc>
          <w:tcPr>
            <w:tcW w:w="1908" w:type="dxa"/>
            <w:vAlign w:val="center"/>
          </w:tcPr>
          <w:p w14:paraId="384075F6" w14:textId="77777777" w:rsidR="00F45500" w:rsidRPr="007B192E" w:rsidRDefault="00F45500" w:rsidP="008F7A94">
            <w:pPr>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 xml:space="preserve">Odporność na deformacje trwałe </w:t>
            </w:r>
            <w:r w:rsidRPr="007B192E">
              <w:rPr>
                <w:rFonts w:ascii="Arial" w:hAnsi="Arial" w:cs="Arial"/>
                <w:color w:val="000000" w:themeColor="text1"/>
                <w:sz w:val="18"/>
                <w:szCs w:val="18"/>
                <w:vertAlign w:val="superscript"/>
              </w:rPr>
              <w:t>a), c)</w:t>
            </w:r>
          </w:p>
        </w:tc>
        <w:tc>
          <w:tcPr>
            <w:tcW w:w="1571" w:type="dxa"/>
            <w:vAlign w:val="center"/>
          </w:tcPr>
          <w:p w14:paraId="1BFA3D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C.1.20, wałowanie,</w:t>
            </w:r>
          </w:p>
          <w:p w14:paraId="6A0E922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w:t>
            </w:r>
            <w:r w:rsidRPr="007B192E">
              <w:rPr>
                <w:rFonts w:ascii="Arial" w:hAnsi="Arial" w:cs="Arial"/>
                <w:color w:val="000000" w:themeColor="text1"/>
                <w:sz w:val="18"/>
                <w:szCs w:val="18"/>
                <w:vertAlign w:val="subscript"/>
              </w:rPr>
              <w:t>98</w:t>
            </w:r>
            <w:r w:rsidRPr="007B192E">
              <w:rPr>
                <w:rFonts w:ascii="Arial" w:hAnsi="Arial" w:cs="Arial"/>
                <w:color w:val="000000" w:themeColor="text1"/>
                <w:sz w:val="18"/>
                <w:szCs w:val="18"/>
              </w:rPr>
              <w:t>-P</w:t>
            </w:r>
            <w:r w:rsidRPr="007B192E">
              <w:rPr>
                <w:rFonts w:ascii="Arial" w:hAnsi="Arial" w:cs="Arial"/>
                <w:color w:val="000000" w:themeColor="text1"/>
                <w:sz w:val="18"/>
                <w:szCs w:val="18"/>
                <w:vertAlign w:val="subscript"/>
              </w:rPr>
              <w:t>100</w:t>
            </w:r>
          </w:p>
        </w:tc>
        <w:tc>
          <w:tcPr>
            <w:tcW w:w="3008" w:type="dxa"/>
            <w:vAlign w:val="center"/>
          </w:tcPr>
          <w:p w14:paraId="4C08F00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12697-22[40], metoda B       w powietrzu, PN-EN 13108-20, D.1.6,60°C, 10 000 cykli [52]</w:t>
            </w:r>
          </w:p>
        </w:tc>
        <w:tc>
          <w:tcPr>
            <w:tcW w:w="2309" w:type="dxa"/>
            <w:vAlign w:val="center"/>
          </w:tcPr>
          <w:p w14:paraId="0DEE0A6D" w14:textId="77777777" w:rsidR="00F45500" w:rsidRPr="007B192E" w:rsidRDefault="00F45500" w:rsidP="008F7A94">
            <w:pPr>
              <w:jc w:val="center"/>
              <w:rPr>
                <w:rFonts w:ascii="Arial" w:hAnsi="Arial" w:cs="Arial"/>
                <w:color w:val="000000" w:themeColor="text1"/>
                <w:sz w:val="18"/>
                <w:szCs w:val="18"/>
                <w:vertAlign w:val="subscript"/>
              </w:rPr>
            </w:pPr>
            <w:r w:rsidRPr="007B192E">
              <w:rPr>
                <w:rFonts w:ascii="Arial" w:hAnsi="Arial" w:cs="Arial"/>
                <w:i/>
                <w:color w:val="000000" w:themeColor="text1"/>
                <w:sz w:val="18"/>
                <w:szCs w:val="18"/>
              </w:rPr>
              <w:t>WTS</w:t>
            </w:r>
            <w:r w:rsidRPr="007B192E">
              <w:rPr>
                <w:rFonts w:ascii="Arial" w:hAnsi="Arial" w:cs="Arial"/>
                <w:color w:val="000000" w:themeColor="text1"/>
                <w:sz w:val="18"/>
                <w:szCs w:val="18"/>
                <w:vertAlign w:val="subscript"/>
              </w:rPr>
              <w:t>AIR 0,15</w:t>
            </w:r>
          </w:p>
          <w:p w14:paraId="0012BA1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PRD</w:t>
            </w:r>
            <w:r w:rsidRPr="007B192E">
              <w:rPr>
                <w:rFonts w:ascii="Arial" w:hAnsi="Arial" w:cs="Arial"/>
                <w:color w:val="000000" w:themeColor="text1"/>
                <w:sz w:val="18"/>
                <w:szCs w:val="18"/>
                <w:vertAlign w:val="subscript"/>
              </w:rPr>
              <w:t>AIR9,0</w:t>
            </w:r>
          </w:p>
        </w:tc>
      </w:tr>
      <w:tr w:rsidR="004D7D23" w:rsidRPr="007B192E" w14:paraId="02027BEA" w14:textId="77777777" w:rsidTr="008F7A94">
        <w:trPr>
          <w:jc w:val="center"/>
        </w:trPr>
        <w:tc>
          <w:tcPr>
            <w:tcW w:w="1908" w:type="dxa"/>
            <w:vAlign w:val="center"/>
          </w:tcPr>
          <w:p w14:paraId="55F99FE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Odporność na działanie wody</w:t>
            </w:r>
          </w:p>
        </w:tc>
        <w:tc>
          <w:tcPr>
            <w:tcW w:w="1571" w:type="dxa"/>
            <w:vAlign w:val="center"/>
          </w:tcPr>
          <w:p w14:paraId="6479212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C.1.1,</w:t>
            </w:r>
          </w:p>
          <w:p w14:paraId="15FA08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ubijanie, 2×35 uderzeń</w:t>
            </w:r>
          </w:p>
        </w:tc>
        <w:tc>
          <w:tcPr>
            <w:tcW w:w="3008" w:type="dxa"/>
            <w:vAlign w:val="center"/>
          </w:tcPr>
          <w:p w14:paraId="3423D6F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PN-EN 12697-12 [37], przechowywanie w 40°C z jednym cyklem zamrażania, </w:t>
            </w:r>
          </w:p>
          <w:p w14:paraId="5DFB50E5" w14:textId="77777777" w:rsidR="00F45500" w:rsidRPr="007B192E" w:rsidRDefault="00F45500" w:rsidP="008F7A94">
            <w:pPr>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 xml:space="preserve">badanie w 25°C  </w:t>
            </w:r>
            <w:r w:rsidRPr="007B192E">
              <w:rPr>
                <w:rFonts w:ascii="Arial" w:hAnsi="Arial" w:cs="Arial"/>
                <w:color w:val="000000" w:themeColor="text1"/>
                <w:sz w:val="18"/>
                <w:szCs w:val="18"/>
                <w:vertAlign w:val="superscript"/>
              </w:rPr>
              <w:t>b)</w:t>
            </w:r>
          </w:p>
        </w:tc>
        <w:tc>
          <w:tcPr>
            <w:tcW w:w="2309" w:type="dxa"/>
            <w:vAlign w:val="center"/>
          </w:tcPr>
          <w:p w14:paraId="0D5B48B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i/>
                <w:color w:val="000000" w:themeColor="text1"/>
                <w:sz w:val="18"/>
                <w:szCs w:val="18"/>
              </w:rPr>
              <w:t>ITSR</w:t>
            </w:r>
            <w:r w:rsidRPr="007B192E">
              <w:rPr>
                <w:rFonts w:ascii="Arial" w:hAnsi="Arial" w:cs="Arial"/>
                <w:color w:val="000000" w:themeColor="text1"/>
                <w:sz w:val="18"/>
                <w:szCs w:val="18"/>
                <w:vertAlign w:val="subscript"/>
              </w:rPr>
              <w:t>90</w:t>
            </w:r>
          </w:p>
        </w:tc>
      </w:tr>
      <w:tr w:rsidR="004D7D23" w:rsidRPr="007B192E" w14:paraId="2627C797" w14:textId="77777777" w:rsidTr="008F7A94">
        <w:tblPrEx>
          <w:tblCellMar>
            <w:left w:w="70" w:type="dxa"/>
            <w:right w:w="70" w:type="dxa"/>
          </w:tblCellMar>
          <w:tblLook w:val="0000" w:firstRow="0" w:lastRow="0" w:firstColumn="0" w:lastColumn="0" w:noHBand="0" w:noVBand="0"/>
        </w:tblPrEx>
        <w:trPr>
          <w:trHeight w:val="514"/>
          <w:jc w:val="center"/>
        </w:trPr>
        <w:tc>
          <w:tcPr>
            <w:tcW w:w="8796" w:type="dxa"/>
            <w:gridSpan w:val="4"/>
          </w:tcPr>
          <w:p w14:paraId="34588026" w14:textId="77777777" w:rsidR="00F45500" w:rsidRPr="007B192E" w:rsidRDefault="00F45500" w:rsidP="008F7A94">
            <w:pPr>
              <w:tabs>
                <w:tab w:val="left" w:pos="180"/>
              </w:tabs>
              <w:ind w:left="180" w:hanging="142"/>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a)</w:t>
            </w:r>
            <w:r w:rsidRPr="007B192E">
              <w:rPr>
                <w:rFonts w:ascii="Arial" w:hAnsi="Arial" w:cs="Arial"/>
                <w:color w:val="000000" w:themeColor="text1"/>
                <w:sz w:val="18"/>
                <w:szCs w:val="18"/>
              </w:rPr>
              <w:tab/>
              <w:t xml:space="preserve">Grubość </w:t>
            </w:r>
            <w:proofErr w:type="spellStart"/>
            <w:r w:rsidRPr="007B192E">
              <w:rPr>
                <w:rFonts w:ascii="Arial" w:hAnsi="Arial" w:cs="Arial"/>
                <w:color w:val="000000" w:themeColor="text1"/>
                <w:sz w:val="18"/>
                <w:szCs w:val="18"/>
              </w:rPr>
              <w:t>plyty</w:t>
            </w:r>
            <w:proofErr w:type="spellEnd"/>
            <w:r w:rsidRPr="007B192E">
              <w:rPr>
                <w:rFonts w:ascii="Arial" w:hAnsi="Arial" w:cs="Arial"/>
                <w:color w:val="000000" w:themeColor="text1"/>
                <w:sz w:val="18"/>
                <w:szCs w:val="18"/>
              </w:rPr>
              <w:t>: AC8, AC11  40mm</w:t>
            </w:r>
          </w:p>
          <w:p w14:paraId="4238F7DD" w14:textId="77777777" w:rsidR="00F45500" w:rsidRPr="007B192E" w:rsidRDefault="00F45500" w:rsidP="008F7A94">
            <w:pPr>
              <w:tabs>
                <w:tab w:val="left" w:pos="180"/>
              </w:tabs>
              <w:ind w:left="180" w:hanging="142"/>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b)</w:t>
            </w:r>
            <w:r w:rsidRPr="007B192E">
              <w:rPr>
                <w:rFonts w:ascii="Arial" w:hAnsi="Arial" w:cs="Arial"/>
                <w:color w:val="000000" w:themeColor="text1"/>
                <w:sz w:val="18"/>
                <w:szCs w:val="18"/>
              </w:rPr>
              <w:tab/>
              <w:t>Ujednoliconą procedurę badania odporności na działanie wody podano w WT-2 2014 [80] w załączniku 1</w:t>
            </w:r>
          </w:p>
          <w:p w14:paraId="1E89C3C3" w14:textId="77777777" w:rsidR="00F45500" w:rsidRPr="007B192E" w:rsidRDefault="00F45500" w:rsidP="008F7A94">
            <w:pPr>
              <w:tabs>
                <w:tab w:val="left" w:pos="180"/>
              </w:tabs>
              <w:ind w:left="180" w:hanging="142"/>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c)</w:t>
            </w:r>
            <w:r w:rsidRPr="007B192E">
              <w:rPr>
                <w:rFonts w:ascii="Arial" w:hAnsi="Arial" w:cs="Arial"/>
                <w:color w:val="000000" w:themeColor="text1"/>
                <w:sz w:val="18"/>
                <w:szCs w:val="18"/>
              </w:rPr>
              <w:t xml:space="preserve">Procedurę kondycjonowania krótkoterminowego </w:t>
            </w:r>
            <w:proofErr w:type="spellStart"/>
            <w:r w:rsidRPr="007B192E">
              <w:rPr>
                <w:rFonts w:ascii="Arial" w:hAnsi="Arial" w:cs="Arial"/>
                <w:color w:val="000000" w:themeColor="text1"/>
                <w:sz w:val="18"/>
                <w:szCs w:val="18"/>
              </w:rPr>
              <w:t>mma</w:t>
            </w:r>
            <w:proofErr w:type="spellEnd"/>
            <w:r w:rsidRPr="007B192E">
              <w:rPr>
                <w:rFonts w:ascii="Arial" w:hAnsi="Arial" w:cs="Arial"/>
                <w:color w:val="000000" w:themeColor="text1"/>
                <w:sz w:val="18"/>
                <w:szCs w:val="18"/>
              </w:rPr>
              <w:t xml:space="preserve"> przed zagęszczeniem próbek do badań podano w WT-2 2014 [80] w załączniku 2</w:t>
            </w:r>
          </w:p>
        </w:tc>
      </w:tr>
    </w:tbl>
    <w:p w14:paraId="5F20A4B9" w14:textId="77777777" w:rsidR="00F45500" w:rsidRPr="007B192E" w:rsidRDefault="002562DC" w:rsidP="00B9283B">
      <w:pPr>
        <w:pStyle w:val="Nagwek2"/>
        <w:rPr>
          <w:i w:val="0"/>
          <w:color w:val="000000" w:themeColor="text1"/>
        </w:rPr>
      </w:pPr>
      <w:bookmarkStart w:id="315" w:name="_Toc462133768"/>
      <w:r w:rsidRPr="007B192E">
        <w:rPr>
          <w:i w:val="0"/>
          <w:color w:val="000000" w:themeColor="text1"/>
        </w:rPr>
        <w:t>3. SPRZĘT</w:t>
      </w:r>
      <w:bookmarkEnd w:id="315"/>
    </w:p>
    <w:p w14:paraId="025C483E"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3.1. Ogólne wymagania dotyczące sprzętu</w:t>
      </w:r>
    </w:p>
    <w:p w14:paraId="294C2FB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6AD04ED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stosowany do wykonania robót</w:t>
      </w:r>
    </w:p>
    <w:p w14:paraId="546E3FA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robót Wykonawca w zależności od potrzeb, powinien wykazać się możliwością korzystania ze sprzętu dostosowanego do przyjętej metody robót, jak:</w:t>
      </w:r>
    </w:p>
    <w:p w14:paraId="248D2C69"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wytwórnia (otaczarka</w:t>
      </w:r>
      <w:r w:rsidRPr="007B192E">
        <w:rPr>
          <w:rFonts w:ascii="Arial" w:hAnsi="Arial" w:cs="Arial"/>
          <w:b/>
          <w:color w:val="000000" w:themeColor="text1"/>
          <w:sz w:val="18"/>
          <w:szCs w:val="18"/>
        </w:rPr>
        <w:t>)</w:t>
      </w:r>
      <w:r w:rsidRPr="007B192E">
        <w:rPr>
          <w:rFonts w:ascii="Arial" w:hAnsi="Arial" w:cs="Arial"/>
          <w:color w:val="000000" w:themeColor="text1"/>
          <w:sz w:val="18"/>
          <w:szCs w:val="18"/>
        </w:rPr>
        <w:t xml:space="preserve"> o mieszaniu cyklicznym lub ciągłym, z automatycznym komputerowym sterowaniem produkcji, do wytwarzania mieszanek mineralno-asfaltowych, 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Wytwórnia powinna być wyposażona w termometry (urządzenia pomiarowe) pozwalające na ciągłe monitorowanie temperatury poszczególnych materiałów, na różnych etapach przygotowywania materiałów, jak i na wyjściu z mieszalnika,</w:t>
      </w:r>
    </w:p>
    <w:p w14:paraId="56ED6ED7"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układarka gąsienicowa, z elektronicznym sterowaniem równości układanej warstwy,</w:t>
      </w:r>
    </w:p>
    <w:p w14:paraId="6DC21EDF"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skrapiarka,</w:t>
      </w:r>
    </w:p>
    <w:p w14:paraId="4B273903"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walce stalowe gładkie, </w:t>
      </w:r>
    </w:p>
    <w:p w14:paraId="3AC3066D"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lekka </w:t>
      </w:r>
      <w:proofErr w:type="spellStart"/>
      <w:r w:rsidRPr="007B192E">
        <w:rPr>
          <w:rFonts w:ascii="Arial" w:hAnsi="Arial" w:cs="Arial"/>
          <w:color w:val="000000" w:themeColor="text1"/>
          <w:sz w:val="18"/>
          <w:szCs w:val="18"/>
        </w:rPr>
        <w:t>rozsypywarka</w:t>
      </w:r>
      <w:proofErr w:type="spellEnd"/>
      <w:r w:rsidRPr="007B192E">
        <w:rPr>
          <w:rFonts w:ascii="Arial" w:hAnsi="Arial" w:cs="Arial"/>
          <w:color w:val="000000" w:themeColor="text1"/>
          <w:sz w:val="18"/>
          <w:szCs w:val="18"/>
        </w:rPr>
        <w:t xml:space="preserve"> kruszywa,</w:t>
      </w:r>
    </w:p>
    <w:p w14:paraId="66DA515F"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szczotki mechaniczne i/lub inne urządzenia czyszczące,</w:t>
      </w:r>
    </w:p>
    <w:p w14:paraId="6070982E"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samochody samowyładowcze z przykryciem brezentowym lub termosami,</w:t>
      </w:r>
    </w:p>
    <w:p w14:paraId="5A8B016A" w14:textId="77777777" w:rsidR="00F45500" w:rsidRPr="007B192E" w:rsidRDefault="00F45500" w:rsidP="00C12426">
      <w:pPr>
        <w:widowControl/>
        <w:numPr>
          <w:ilvl w:val="0"/>
          <w:numId w:val="240"/>
        </w:numPr>
        <w:suppressAutoHyphens w:val="0"/>
        <w:autoSpaceDN w:val="0"/>
        <w:adjustRightInd w:val="0"/>
        <w:ind w:left="360"/>
        <w:jc w:val="both"/>
        <w:rPr>
          <w:rFonts w:ascii="Arial" w:hAnsi="Arial" w:cs="Arial"/>
          <w:color w:val="000000" w:themeColor="text1"/>
          <w:sz w:val="18"/>
          <w:szCs w:val="18"/>
        </w:rPr>
      </w:pPr>
      <w:r w:rsidRPr="007B192E">
        <w:rPr>
          <w:rFonts w:ascii="Arial" w:hAnsi="Arial" w:cs="Arial"/>
          <w:color w:val="000000" w:themeColor="text1"/>
          <w:sz w:val="18"/>
          <w:szCs w:val="18"/>
        </w:rPr>
        <w:t>sprzęt drobny.</w:t>
      </w:r>
    </w:p>
    <w:p w14:paraId="21C21E2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Sprzęt powinien odpowiadać wymaganiom określonym w dokumentacji projektowej, ST, instrukcjach producentów lub propozycji Wykonawcy i powinien być zaakceptowany przez Inżyniera.</w:t>
      </w:r>
    </w:p>
    <w:p w14:paraId="2F0B34BA" w14:textId="77777777" w:rsidR="00F45500" w:rsidRPr="007B192E" w:rsidRDefault="002562DC" w:rsidP="00B9283B">
      <w:pPr>
        <w:pStyle w:val="Nagwek2"/>
        <w:rPr>
          <w:i w:val="0"/>
          <w:color w:val="000000" w:themeColor="text1"/>
        </w:rPr>
      </w:pPr>
      <w:bookmarkStart w:id="316" w:name="_Toc462133769"/>
      <w:r w:rsidRPr="007B192E">
        <w:rPr>
          <w:i w:val="0"/>
          <w:color w:val="000000" w:themeColor="text1"/>
        </w:rPr>
        <w:t>4. TRANSPORT</w:t>
      </w:r>
      <w:bookmarkEnd w:id="316"/>
    </w:p>
    <w:p w14:paraId="5BF2A1C1"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4.1. Ogólne wymagania dotyczące transportu</w:t>
      </w:r>
    </w:p>
    <w:p w14:paraId="06344F52"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r w:rsidRPr="007B192E">
        <w:rPr>
          <w:rFonts w:ascii="Arial" w:hAnsi="Arial" w:cs="Arial"/>
          <w:color w:val="000000" w:themeColor="text1"/>
          <w:sz w:val="18"/>
          <w:szCs w:val="18"/>
        </w:rPr>
        <w:tab/>
      </w:r>
    </w:p>
    <w:p w14:paraId="1FD3A6F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4.2. Transport materiałów </w:t>
      </w:r>
    </w:p>
    <w:p w14:paraId="15B9826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Asfalt i </w:t>
      </w:r>
      <w:proofErr w:type="spellStart"/>
      <w:r w:rsidRPr="007B192E">
        <w:rPr>
          <w:rFonts w:ascii="Arial" w:hAnsi="Arial" w:cs="Arial"/>
          <w:color w:val="000000" w:themeColor="text1"/>
          <w:sz w:val="18"/>
          <w:szCs w:val="18"/>
        </w:rPr>
        <w:t>polimeroasfalt</w:t>
      </w:r>
      <w:proofErr w:type="spellEnd"/>
      <w:r w:rsidRPr="007B192E">
        <w:rPr>
          <w:rFonts w:ascii="Arial" w:hAnsi="Arial" w:cs="Arial"/>
          <w:color w:val="000000" w:themeColor="text1"/>
          <w:sz w:val="18"/>
          <w:szCs w:val="18"/>
        </w:rPr>
        <w:t xml:space="preserve">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08CCDBD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Kruszywa można przewozić dowolnymi środkami transportu, w warunkach zabezpieczających je przed zanieczyszczeniem, zmieszaniem z innymi materiałami i nadmiernym zawilgoceniem.</w:t>
      </w:r>
    </w:p>
    <w:p w14:paraId="3619F3C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1CAA407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Środek adhezyjny, w opakowaniu producenta, może być przewożony dowolnymi środkami transportu z uwzględnieniem zaleceń producenta. Opakowanie powinno być zabezpieczone tak, aby nie uległo uszkodzeniu. </w:t>
      </w:r>
    </w:p>
    <w:p w14:paraId="4A77AB8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7B192E">
        <w:rPr>
          <w:rFonts w:ascii="Arial" w:hAnsi="Arial" w:cs="Arial"/>
          <w:color w:val="000000" w:themeColor="text1"/>
          <w:sz w:val="18"/>
          <w:szCs w:val="18"/>
        </w:rPr>
        <w:t>pH</w:t>
      </w:r>
      <w:proofErr w:type="spellEnd"/>
      <w:r w:rsidRPr="007B192E">
        <w:rPr>
          <w:rFonts w:ascii="Arial" w:hAnsi="Arial" w:cs="Arial"/>
          <w:color w:val="000000" w:themeColor="text1"/>
          <w:sz w:val="18"/>
          <w:szCs w:val="18"/>
        </w:rPr>
        <w:t xml:space="preserve"> ≤ 4).</w:t>
      </w:r>
    </w:p>
    <w:p w14:paraId="6BFD6BB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w:t>
      </w:r>
      <w:r w:rsidRPr="007B192E">
        <w:rPr>
          <w:rFonts w:ascii="Arial" w:hAnsi="Arial" w:cs="Arial"/>
          <w:color w:val="000000" w:themeColor="text1"/>
          <w:sz w:val="18"/>
          <w:szCs w:val="18"/>
        </w:rPr>
        <w:lastRenderedPageBreak/>
        <w:t xml:space="preserve">użyciem asfaltu spienionego. W tym zakresie należy kierować się informacjami (zaleceniami) podanymi przez producentów tych środków. </w:t>
      </w:r>
    </w:p>
    <w:p w14:paraId="741ADC8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458AB042" w14:textId="77777777" w:rsidR="00F45500" w:rsidRPr="007B192E" w:rsidRDefault="002562DC" w:rsidP="00B9283B">
      <w:pPr>
        <w:pStyle w:val="Nagwek2"/>
        <w:rPr>
          <w:i w:val="0"/>
          <w:color w:val="000000" w:themeColor="text1"/>
        </w:rPr>
      </w:pPr>
      <w:bookmarkStart w:id="317" w:name="_Toc462133770"/>
      <w:r w:rsidRPr="007B192E">
        <w:rPr>
          <w:i w:val="0"/>
          <w:color w:val="000000" w:themeColor="text1"/>
        </w:rPr>
        <w:t>5. WYKONANIE ROBÓT</w:t>
      </w:r>
      <w:bookmarkEnd w:id="317"/>
    </w:p>
    <w:p w14:paraId="7498BB00"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5.1. Ogólne zasady wykonania robót</w:t>
      </w:r>
    </w:p>
    <w:p w14:paraId="224AE5D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2E601FE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Projektowanie mieszanki mineralno-asfaltowej</w:t>
      </w:r>
    </w:p>
    <w:p w14:paraId="38B3CC1C" w14:textId="77777777" w:rsidR="00F45500" w:rsidRPr="007B192E" w:rsidRDefault="00F45500" w:rsidP="00F45500">
      <w:pPr>
        <w:ind w:right="-59"/>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dostarczy Inżynierowi do akceptacji projekt składu mieszanki mineralno-asfaltowej (AC11S), wyniki badań laboratoryjnych oraz próbki materiałów pobrane w obecności Inżyniera do wykonania badań kontrolnych przez Zamawiającego.</w:t>
      </w:r>
    </w:p>
    <w:p w14:paraId="64AA320D" w14:textId="77777777" w:rsidR="00F45500" w:rsidRPr="007B192E" w:rsidRDefault="00F45500" w:rsidP="00F45500">
      <w:pPr>
        <w:ind w:right="-59"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Projekt mieszanki mineralno-asfaltowej powinien określać: </w:t>
      </w:r>
    </w:p>
    <w:p w14:paraId="704EFB6E"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źródło wszystkich zastosowanych materiałów,</w:t>
      </w:r>
    </w:p>
    <w:p w14:paraId="21109B95"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proporcje wszystkich składników mieszanki mineralnej,</w:t>
      </w:r>
    </w:p>
    <w:p w14:paraId="152D56E8"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punkty graniczne uziarnienia,</w:t>
      </w:r>
    </w:p>
    <w:p w14:paraId="076BC978"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wyniki badań przeprowadzonych w celu określenia właściwości mieszanki i porównanie ich z wymaganiami specyfikacji,</w:t>
      </w:r>
    </w:p>
    <w:p w14:paraId="4D1CA323"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wyniki badań dotyczących fizycznych właściwości kruszywa, </w:t>
      </w:r>
    </w:p>
    <w:p w14:paraId="5EAB4570" w14:textId="77777777" w:rsidR="00F45500" w:rsidRPr="007B192E" w:rsidRDefault="00F45500" w:rsidP="00BA5651">
      <w:pPr>
        <w:numPr>
          <w:ilvl w:val="0"/>
          <w:numId w:val="246"/>
        </w:numPr>
        <w:suppressAutoHyphens w:val="0"/>
        <w:overflowPunct/>
        <w:autoSpaceDE/>
        <w:ind w:right="-59"/>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temperaturę wytwarzania i układania mieszanki. </w:t>
      </w:r>
    </w:p>
    <w:p w14:paraId="6B93BDB7" w14:textId="77777777" w:rsidR="00F45500" w:rsidRPr="007B192E" w:rsidRDefault="00F45500" w:rsidP="00F45500">
      <w:pPr>
        <w:shd w:val="clear" w:color="auto" w:fill="FFFFFF"/>
        <w:ind w:right="2" w:firstLine="709"/>
        <w:jc w:val="both"/>
        <w:rPr>
          <w:rFonts w:ascii="Arial" w:hAnsi="Arial" w:cs="Arial"/>
          <w:color w:val="000000" w:themeColor="text1"/>
          <w:spacing w:val="1"/>
          <w:sz w:val="18"/>
          <w:szCs w:val="18"/>
        </w:rPr>
      </w:pPr>
      <w:r w:rsidRPr="007B192E">
        <w:rPr>
          <w:rFonts w:ascii="Arial" w:hAnsi="Arial" w:cs="Arial"/>
          <w:color w:val="000000" w:themeColor="text1"/>
          <w:spacing w:val="1"/>
          <w:sz w:val="18"/>
          <w:szCs w:val="18"/>
        </w:rPr>
        <w:t xml:space="preserve">W zagęszczaniu próbek laboratoryjnych mieszanek mineralno-asfaltowych należy stosować następujące temperatury mieszanki w zależności stosowanego asfaltu: </w:t>
      </w:r>
    </w:p>
    <w:p w14:paraId="1DE20221" w14:textId="77777777" w:rsidR="00F45500" w:rsidRPr="007B192E" w:rsidRDefault="00F45500" w:rsidP="00C12426">
      <w:pPr>
        <w:widowControl/>
        <w:numPr>
          <w:ilvl w:val="0"/>
          <w:numId w:val="216"/>
        </w:numPr>
        <w:tabs>
          <w:tab w:val="clear" w:pos="454"/>
          <w:tab w:val="num" w:pos="360"/>
        </w:tabs>
        <w:suppressAutoHyphens w:val="0"/>
        <w:autoSpaceDN w:val="0"/>
        <w:adjustRightInd w:val="0"/>
        <w:ind w:left="360" w:hanging="303"/>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PMB 45/80 – 55, PMB 45/80-65, PMB 45/80-80: 145</w:t>
      </w:r>
      <w:r w:rsidRPr="007B192E">
        <w:rPr>
          <w:rFonts w:ascii="Arial" w:hAnsi="Arial" w:cs="Arial"/>
          <w:color w:val="000000" w:themeColor="text1"/>
          <w:spacing w:val="1"/>
          <w:sz w:val="18"/>
          <w:szCs w:val="18"/>
          <w:lang w:val="en-US"/>
        </w:rPr>
        <w:t>°</w:t>
      </w:r>
      <w:r w:rsidRPr="007B192E">
        <w:rPr>
          <w:rFonts w:ascii="Arial" w:hAnsi="Arial" w:cs="Arial"/>
          <w:color w:val="000000" w:themeColor="text1"/>
          <w:sz w:val="18"/>
          <w:szCs w:val="18"/>
          <w:lang w:val="en-US"/>
        </w:rPr>
        <w:t>C</w:t>
      </w:r>
      <w:r w:rsidRPr="007B192E">
        <w:rPr>
          <w:rFonts w:ascii="Arial" w:hAnsi="Arial" w:cs="Arial"/>
          <w:color w:val="000000" w:themeColor="text1"/>
          <w:spacing w:val="1"/>
          <w:sz w:val="18"/>
          <w:szCs w:val="18"/>
          <w:lang w:val="en-US"/>
        </w:rPr>
        <w:t xml:space="preserve">±5°C. </w:t>
      </w:r>
    </w:p>
    <w:p w14:paraId="02786E27" w14:textId="77777777" w:rsidR="00F45500" w:rsidRPr="007B192E" w:rsidRDefault="00F45500" w:rsidP="00F45500">
      <w:pPr>
        <w:shd w:val="clear" w:color="auto" w:fill="FFFFFF"/>
        <w:ind w:right="2" w:firstLine="709"/>
        <w:jc w:val="both"/>
        <w:rPr>
          <w:rFonts w:ascii="Arial" w:hAnsi="Arial" w:cs="Arial"/>
          <w:color w:val="000000" w:themeColor="text1"/>
          <w:spacing w:val="2"/>
          <w:sz w:val="18"/>
          <w:szCs w:val="18"/>
        </w:rPr>
      </w:pPr>
      <w:r w:rsidRPr="007B192E">
        <w:rPr>
          <w:rFonts w:ascii="Arial" w:hAnsi="Arial" w:cs="Arial"/>
          <w:color w:val="000000" w:themeColor="text1"/>
          <w:spacing w:val="1"/>
          <w:sz w:val="18"/>
          <w:szCs w:val="18"/>
        </w:rPr>
        <w:t xml:space="preserve">Recepta powinna być zaprojektowana dla konkretnych materiałów, zaakceptowanych przez Inżyniera, do wbudowania i przy wykorzystaniu reprezentatywnych próbek tych materiałów.  </w:t>
      </w:r>
    </w:p>
    <w:p w14:paraId="6126908E" w14:textId="77777777" w:rsidR="00F45500" w:rsidRPr="007B192E" w:rsidRDefault="00F45500" w:rsidP="00F45500">
      <w:pPr>
        <w:shd w:val="clear" w:color="auto" w:fill="FFFFFF"/>
        <w:ind w:right="2" w:firstLine="709"/>
        <w:jc w:val="both"/>
        <w:rPr>
          <w:rFonts w:ascii="Arial" w:hAnsi="Arial" w:cs="Arial"/>
          <w:color w:val="000000" w:themeColor="text1"/>
          <w:spacing w:val="2"/>
          <w:sz w:val="18"/>
          <w:szCs w:val="18"/>
        </w:rPr>
      </w:pPr>
      <w:r w:rsidRPr="007B192E">
        <w:rPr>
          <w:rFonts w:ascii="Arial" w:hAnsi="Arial" w:cs="Arial"/>
          <w:color w:val="000000" w:themeColor="text1"/>
          <w:spacing w:val="2"/>
          <w:sz w:val="18"/>
          <w:szCs w:val="18"/>
        </w:rPr>
        <w:t>Jeżeli mieszanka mineralno-asfaltowa jest dostarczana z kilku wytwórni lub od kilku producentów, to należy zapewnić zgodność typu i wymiaru mieszanki oraz spełnienie wymaganej dokumentacji projektowej.</w:t>
      </w:r>
    </w:p>
    <w:p w14:paraId="1F846EE2" w14:textId="77777777" w:rsidR="00F45500" w:rsidRPr="007B192E" w:rsidRDefault="00F45500" w:rsidP="00F45500">
      <w:pPr>
        <w:shd w:val="clear" w:color="auto" w:fill="FFFFFF"/>
        <w:ind w:right="2" w:firstLine="709"/>
        <w:jc w:val="both"/>
        <w:rPr>
          <w:rFonts w:ascii="Arial" w:hAnsi="Arial" w:cs="Arial"/>
          <w:color w:val="000000" w:themeColor="text1"/>
          <w:spacing w:val="1"/>
          <w:sz w:val="18"/>
          <w:szCs w:val="18"/>
        </w:rPr>
      </w:pPr>
      <w:r w:rsidRPr="007B192E">
        <w:rPr>
          <w:rFonts w:ascii="Arial" w:hAnsi="Arial" w:cs="Arial"/>
          <w:color w:val="000000" w:themeColor="text1"/>
          <w:spacing w:val="2"/>
          <w:sz w:val="18"/>
          <w:szCs w:val="18"/>
        </w:rPr>
        <w:t xml:space="preserve">Każda zmiana składników mieszanki w czasie trwania robót wymaga akceptacji Inżyniera </w:t>
      </w:r>
      <w:r w:rsidRPr="007B192E">
        <w:rPr>
          <w:rFonts w:ascii="Arial" w:hAnsi="Arial" w:cs="Arial"/>
          <w:color w:val="000000" w:themeColor="text1"/>
          <w:spacing w:val="1"/>
          <w:sz w:val="18"/>
          <w:szCs w:val="18"/>
        </w:rPr>
        <w:t xml:space="preserve">oraz opracowania nowej recepty i jej zatwierdzenia.  </w:t>
      </w:r>
    </w:p>
    <w:p w14:paraId="369E8FA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7BFA7C7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5385F04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Zaakceptowana recepta stanowi ważną podstawę produkcji.</w:t>
      </w:r>
    </w:p>
    <w:p w14:paraId="545F577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Wytwarzanie mieszanki mineralno-asfaltowej</w:t>
      </w:r>
    </w:p>
    <w:p w14:paraId="68AB463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7B192E">
        <w:rPr>
          <w:rFonts w:ascii="Arial" w:hAnsi="Arial" w:cs="Arial"/>
          <w:color w:val="000000" w:themeColor="text1"/>
          <w:sz w:val="18"/>
          <w:szCs w:val="18"/>
        </w:rPr>
        <w:noBreakHyphen/>
        <w:t xml:space="preserve">EN 13108-21 [53]. </w:t>
      </w:r>
    </w:p>
    <w:p w14:paraId="0DB2CCC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F67E69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Lepiszcze asfaltowe należy przechowywać w zbiorniku z pośrednim systemem ogrzewania, z układem termostatowania zapewniającym utrzymanie żądanej temperatury z dokładnością ± 5°C. Temperatura lepiszcza asfaltowego w zbiorniku magazynowym (roboczym) nie może przekraczać wartości podanych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2.2.</w:t>
      </w:r>
    </w:p>
    <w:p w14:paraId="7005C39C" w14:textId="77777777" w:rsidR="00F45500" w:rsidRPr="007B192E" w:rsidRDefault="00F45500" w:rsidP="00F45500">
      <w:pPr>
        <w:ind w:firstLine="708"/>
        <w:jc w:val="both"/>
        <w:rPr>
          <w:rFonts w:ascii="Arial" w:hAnsi="Arial" w:cs="Arial"/>
          <w:color w:val="000000" w:themeColor="text1"/>
          <w:sz w:val="18"/>
          <w:szCs w:val="18"/>
        </w:rPr>
      </w:pPr>
      <w:r w:rsidRPr="007B192E">
        <w:rPr>
          <w:rFonts w:ascii="Arial" w:hAnsi="Arial" w:cs="Arial"/>
          <w:color w:val="000000" w:themeColor="text1"/>
          <w:sz w:val="18"/>
          <w:szCs w:val="18"/>
        </w:rPr>
        <w:t>Kruszywo (ewentualnie z wypełniaczem) powinno być wysuszone i podgrzane tak, aby mieszanka mineralna uzyskała temperaturę właściwą do otoczenia lepiszczem asfaltowym. Temperatura mieszanki mineralnej nie powinna być wyższa o więcej niż 30</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282E1D93"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21. Najwyższa i najniższa temperatura mieszanki AC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4D7D23" w:rsidRPr="007B192E" w14:paraId="42B95BCE" w14:textId="77777777" w:rsidTr="008F7A94">
        <w:trPr>
          <w:jc w:val="center"/>
        </w:trPr>
        <w:tc>
          <w:tcPr>
            <w:tcW w:w="2640" w:type="dxa"/>
          </w:tcPr>
          <w:p w14:paraId="0C316B72"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Lepiszcze asfaltowe</w:t>
            </w:r>
          </w:p>
        </w:tc>
        <w:tc>
          <w:tcPr>
            <w:tcW w:w="3071" w:type="dxa"/>
          </w:tcPr>
          <w:p w14:paraId="5EF39C20" w14:textId="77777777" w:rsidR="00F45500" w:rsidRPr="007B192E" w:rsidRDefault="00F45500" w:rsidP="008F7A94">
            <w:pPr>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Temperatura mieszanki [°C]</w:t>
            </w:r>
          </w:p>
        </w:tc>
      </w:tr>
      <w:tr w:rsidR="004D7D23" w:rsidRPr="007B192E" w14:paraId="6BA906E7" w14:textId="77777777" w:rsidTr="008F7A94">
        <w:trPr>
          <w:jc w:val="center"/>
        </w:trPr>
        <w:tc>
          <w:tcPr>
            <w:tcW w:w="2640" w:type="dxa"/>
          </w:tcPr>
          <w:p w14:paraId="5C03C20E" w14:textId="77777777" w:rsidR="00F45500" w:rsidRPr="007B192E" w:rsidRDefault="00F45500" w:rsidP="008F7A94">
            <w:pPr>
              <w:spacing w:before="60"/>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PMB 45/80-65</w:t>
            </w:r>
          </w:p>
        </w:tc>
        <w:tc>
          <w:tcPr>
            <w:tcW w:w="3071" w:type="dxa"/>
          </w:tcPr>
          <w:p w14:paraId="17387339" w14:textId="77777777" w:rsidR="00F45500" w:rsidRPr="007B192E" w:rsidRDefault="00F45500" w:rsidP="008F7A94">
            <w:pPr>
              <w:spacing w:before="60"/>
              <w:jc w:val="both"/>
              <w:rPr>
                <w:rFonts w:ascii="Arial" w:hAnsi="Arial" w:cs="Arial"/>
                <w:color w:val="000000" w:themeColor="text1"/>
                <w:sz w:val="18"/>
                <w:szCs w:val="18"/>
              </w:rPr>
            </w:pPr>
            <w:r w:rsidRPr="007B192E">
              <w:rPr>
                <w:rFonts w:ascii="Arial" w:hAnsi="Arial" w:cs="Arial"/>
                <w:color w:val="000000" w:themeColor="text1"/>
                <w:sz w:val="18"/>
                <w:szCs w:val="18"/>
              </w:rPr>
              <w:t>wg wskazań producenta</w:t>
            </w:r>
          </w:p>
        </w:tc>
      </w:tr>
    </w:tbl>
    <w:p w14:paraId="4E7ACAC5"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Podana temperatura nie znajduje zastosowania do mieszanek mineralno-asfaltowych, do których jest dodawany dodatek w celu obniżenia temperatury jej wytwarzania i wbudowania lub gdy stosowane lepiszcze asfaltowe zawiera taki środek.</w:t>
      </w:r>
    </w:p>
    <w:p w14:paraId="57C1D55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Sposób i czas mieszania składników mieszanki mineralno-asfaltowej powinny zapewnić równomierne otoczenie kruszywa lepiszczem asfaltowym.</w:t>
      </w:r>
    </w:p>
    <w:p w14:paraId="4222220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Dodatki modyfikujące lub stabilizujące do mieszanki  mineralno-asfaltowej mogą być dodawane w postaci </w:t>
      </w:r>
      <w:r w:rsidRPr="007B192E">
        <w:rPr>
          <w:rFonts w:ascii="Arial" w:hAnsi="Arial" w:cs="Arial"/>
          <w:color w:val="000000" w:themeColor="text1"/>
          <w:sz w:val="18"/>
          <w:szCs w:val="18"/>
        </w:rPr>
        <w:lastRenderedPageBreak/>
        <w:t xml:space="preserve">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3281367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2212989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Produkcja powinna być tak zaplanowana, aby nie dopuścić do zbyt długiego przechowywania mieszanki w silosach; należy wykluczyć możliwość szkodliwych zmian. </w:t>
      </w:r>
    </w:p>
    <w:p w14:paraId="3E73D4C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Czas przechowywania – magazynowania mieszanki  MMA powinien uwzględniać możliwości wytwórni (sposób podgrzewania silosów gotowej mieszanki MMA i rodzaj izolacji), warunki atmosferyczne  oraz czas transportu na budowę. </w:t>
      </w:r>
    </w:p>
    <w:p w14:paraId="7CB5E76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Przygotowanie podłoża</w:t>
      </w:r>
    </w:p>
    <w:p w14:paraId="697B147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Podłoże (warstwa wyrównawcza, warstwa wiążąca lub stara warstwa ścieralna) pod warstwę ścieralną z betonu asfaltowego powinno być na całej powierzchni:</w:t>
      </w:r>
    </w:p>
    <w:p w14:paraId="31CDD08F"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ustabilizowane i nośne,</w:t>
      </w:r>
    </w:p>
    <w:p w14:paraId="3FC6CCED"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czyste, bez zanieczyszczenia lub pozostałości luźnego kruszywa,</w:t>
      </w:r>
    </w:p>
    <w:p w14:paraId="48B064CF"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wyprofilowane, równe i bez kolein,</w:t>
      </w:r>
    </w:p>
    <w:p w14:paraId="32182255" w14:textId="77777777" w:rsidR="00F45500" w:rsidRPr="007B192E" w:rsidRDefault="00F45500" w:rsidP="00F45500">
      <w:pPr>
        <w:widowControl/>
        <w:numPr>
          <w:ilvl w:val="0"/>
          <w:numId w:val="20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suche.</w:t>
      </w:r>
    </w:p>
    <w:p w14:paraId="62E9D52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Rzędne wysokościowe podłoża oraz urządzeń usytuowanych w nawierzchni lub ją ograniczających powinny być zgodne z dokumentacją projektową. Z podłoża powinien być zapewniony odpływ wody.</w:t>
      </w:r>
    </w:p>
    <w:p w14:paraId="3FA2C41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Oznakowanie poziome na warstwie podłoża należy usunąć.</w:t>
      </w:r>
    </w:p>
    <w:p w14:paraId="624A2D9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52C36493" w14:textId="77777777" w:rsidR="00F45500" w:rsidRPr="007B192E" w:rsidRDefault="00F45500" w:rsidP="00F45500">
      <w:pPr>
        <w:spacing w:before="24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22. Maksymalne nierówności podłoża pod warstwę ścieralną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4D7D23" w:rsidRPr="007B192E" w14:paraId="15E120E0" w14:textId="77777777" w:rsidTr="008F7A94">
        <w:trPr>
          <w:jc w:val="center"/>
        </w:trPr>
        <w:tc>
          <w:tcPr>
            <w:tcW w:w="2093" w:type="dxa"/>
            <w:vAlign w:val="center"/>
          </w:tcPr>
          <w:p w14:paraId="2CF6452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Klasa drogi</w:t>
            </w:r>
          </w:p>
        </w:tc>
        <w:tc>
          <w:tcPr>
            <w:tcW w:w="3858" w:type="dxa"/>
            <w:vAlign w:val="center"/>
          </w:tcPr>
          <w:p w14:paraId="7EC6C1C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Element nawierzchni</w:t>
            </w:r>
          </w:p>
        </w:tc>
        <w:tc>
          <w:tcPr>
            <w:tcW w:w="2976" w:type="dxa"/>
            <w:vAlign w:val="center"/>
          </w:tcPr>
          <w:p w14:paraId="2A04D16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Dopuszczalne wartości odchyleń równości podłużnej i poprzecznej pod warstwę ścieralną [mm]</w:t>
            </w:r>
          </w:p>
        </w:tc>
      </w:tr>
      <w:tr w:rsidR="004D7D23" w:rsidRPr="007B192E" w14:paraId="630BBF46" w14:textId="77777777" w:rsidTr="008F7A94">
        <w:trPr>
          <w:jc w:val="center"/>
        </w:trPr>
        <w:tc>
          <w:tcPr>
            <w:tcW w:w="2093" w:type="dxa"/>
            <w:vAlign w:val="center"/>
          </w:tcPr>
          <w:p w14:paraId="78B6F26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 Z</w:t>
            </w:r>
          </w:p>
        </w:tc>
        <w:tc>
          <w:tcPr>
            <w:tcW w:w="3858" w:type="dxa"/>
            <w:vAlign w:val="center"/>
          </w:tcPr>
          <w:p w14:paraId="1D7E997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Pasy ruchu zasadnicze,</w:t>
            </w:r>
          </w:p>
          <w:p w14:paraId="1CD20C5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dodatkowe, włączenia</w:t>
            </w:r>
          </w:p>
          <w:p w14:paraId="412F986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i wyłączenia, postojowe,</w:t>
            </w:r>
          </w:p>
          <w:p w14:paraId="59F78A5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utwardzone pobocza</w:t>
            </w:r>
          </w:p>
          <w:p w14:paraId="08838919" w14:textId="77777777" w:rsidR="00F45500" w:rsidRPr="007B192E" w:rsidRDefault="00F45500" w:rsidP="008F7A94">
            <w:pPr>
              <w:jc w:val="center"/>
              <w:rPr>
                <w:rFonts w:ascii="Arial" w:hAnsi="Arial" w:cs="Arial"/>
                <w:color w:val="000000" w:themeColor="text1"/>
                <w:sz w:val="18"/>
                <w:szCs w:val="18"/>
              </w:rPr>
            </w:pPr>
          </w:p>
        </w:tc>
        <w:tc>
          <w:tcPr>
            <w:tcW w:w="2976" w:type="dxa"/>
            <w:vAlign w:val="center"/>
          </w:tcPr>
          <w:p w14:paraId="392F34D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w:t>
            </w:r>
          </w:p>
        </w:tc>
      </w:tr>
      <w:tr w:rsidR="00F45500" w:rsidRPr="007B192E" w14:paraId="3C1698D2" w14:textId="77777777" w:rsidTr="008F7A94">
        <w:trPr>
          <w:jc w:val="center"/>
        </w:trPr>
        <w:tc>
          <w:tcPr>
            <w:tcW w:w="2093" w:type="dxa"/>
            <w:vAlign w:val="center"/>
          </w:tcPr>
          <w:p w14:paraId="54B5DB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 D, place, parkingi</w:t>
            </w:r>
          </w:p>
        </w:tc>
        <w:tc>
          <w:tcPr>
            <w:tcW w:w="3858" w:type="dxa"/>
            <w:vAlign w:val="center"/>
          </w:tcPr>
          <w:p w14:paraId="5FA2C21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Wszystkie pasy ruchu</w:t>
            </w:r>
          </w:p>
          <w:p w14:paraId="01FCEA2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i powierzchnie</w:t>
            </w:r>
          </w:p>
          <w:p w14:paraId="5EAFFFC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przeznaczone do ruchu</w:t>
            </w:r>
          </w:p>
          <w:p w14:paraId="20F39FA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i postoju pojazdów</w:t>
            </w:r>
          </w:p>
          <w:p w14:paraId="3D40A2E8" w14:textId="77777777" w:rsidR="00F45500" w:rsidRPr="007B192E" w:rsidRDefault="00F45500" w:rsidP="008F7A94">
            <w:pPr>
              <w:jc w:val="center"/>
              <w:rPr>
                <w:rFonts w:ascii="Arial" w:hAnsi="Arial" w:cs="Arial"/>
                <w:color w:val="000000" w:themeColor="text1"/>
                <w:sz w:val="18"/>
                <w:szCs w:val="18"/>
              </w:rPr>
            </w:pPr>
          </w:p>
        </w:tc>
        <w:tc>
          <w:tcPr>
            <w:tcW w:w="2976" w:type="dxa"/>
            <w:vAlign w:val="center"/>
          </w:tcPr>
          <w:p w14:paraId="73B684E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r>
    </w:tbl>
    <w:p w14:paraId="49F17B97" w14:textId="77777777" w:rsidR="00F45500" w:rsidRPr="007B192E" w:rsidRDefault="00F45500" w:rsidP="00F45500">
      <w:pPr>
        <w:jc w:val="both"/>
        <w:rPr>
          <w:rFonts w:ascii="Arial" w:hAnsi="Arial" w:cs="Arial"/>
          <w:color w:val="000000" w:themeColor="text1"/>
          <w:sz w:val="18"/>
          <w:szCs w:val="18"/>
        </w:rPr>
      </w:pPr>
    </w:p>
    <w:p w14:paraId="501F3EC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59B71EF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celu polepszenia połączenia między warstwami technologicznymi nawierzchni powierzchnia podłoża powinna być w ocenie wizualnej chropowata.</w:t>
      </w:r>
    </w:p>
    <w:p w14:paraId="612CEEE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Szerokie szczeliny w podłożu należy wypełnić odpowiednim materiałem, np. zalewami drogowymi według PN-EN 14188-1 [65] lub PN-EN 14188-2 [66] albo innymi materiałami według norm lub aprobat technicznych.</w:t>
      </w:r>
    </w:p>
    <w:p w14:paraId="13D6250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Na podłożu wykazującym zniszczenia w postaci siatki spękań zmęczeniowych lub spękań poprzecznych zaleca się stosowanie membrany </w:t>
      </w:r>
      <w:proofErr w:type="spellStart"/>
      <w:r w:rsidRPr="007B192E">
        <w:rPr>
          <w:rFonts w:ascii="Arial" w:hAnsi="Arial" w:cs="Arial"/>
          <w:color w:val="000000" w:themeColor="text1"/>
          <w:sz w:val="18"/>
          <w:szCs w:val="18"/>
        </w:rPr>
        <w:t>przeciwspękaniowej</w:t>
      </w:r>
      <w:proofErr w:type="spellEnd"/>
      <w:r w:rsidRPr="007B192E">
        <w:rPr>
          <w:rFonts w:ascii="Arial" w:hAnsi="Arial" w:cs="Arial"/>
          <w:color w:val="000000" w:themeColor="text1"/>
          <w:sz w:val="18"/>
          <w:szCs w:val="18"/>
        </w:rPr>
        <w:t xml:space="preserve">, np. mieszanki mineralno-asfaltowej, warstwy SAMI lub z </w:t>
      </w:r>
      <w:proofErr w:type="spellStart"/>
      <w:r w:rsidRPr="007B192E">
        <w:rPr>
          <w:rFonts w:ascii="Arial" w:hAnsi="Arial" w:cs="Arial"/>
          <w:color w:val="000000" w:themeColor="text1"/>
          <w:sz w:val="18"/>
          <w:szCs w:val="18"/>
        </w:rPr>
        <w:t>geosyntetyków</w:t>
      </w:r>
      <w:proofErr w:type="spellEnd"/>
      <w:r w:rsidRPr="007B192E">
        <w:rPr>
          <w:rFonts w:ascii="Arial" w:hAnsi="Arial" w:cs="Arial"/>
          <w:color w:val="000000" w:themeColor="text1"/>
          <w:sz w:val="18"/>
          <w:szCs w:val="18"/>
        </w:rPr>
        <w:t xml:space="preserve"> według norm lub aprobat technicznych lub podłoże należy wymienić.</w:t>
      </w:r>
    </w:p>
    <w:p w14:paraId="19585DB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Przygotowanie podłoża do skropienia emulsją należy wykonać zgodnie z ST D-04.03.01a [2].</w:t>
      </w:r>
    </w:p>
    <w:p w14:paraId="6E0FB78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5.5. Próba technologiczna</w:t>
      </w:r>
    </w:p>
    <w:p w14:paraId="6BFFA60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4991568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Nie dopuszcza się oceniania dokładności pracy otaczarki oraz prawidłowości składu mieszanki mineralnej na podstawie tzw. suchego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z uwagi na możliwą segregację kruszywa.</w:t>
      </w:r>
    </w:p>
    <w:p w14:paraId="67B22A6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próby technologicznej Wykonawca użyje takich materiałów, jakie będą stosowane do wykonania właściwej mieszanki mineralno-asfaltowej. </w:t>
      </w:r>
    </w:p>
    <w:p w14:paraId="391085D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czasie wykonywania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49EB17D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sprawdzenia składu granulometrycznego mieszanki mineralnej i zawartości asfaltu zaleca się pobrać próbki z co najmniej trzeciego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xml:space="preserve"> po uruchomieniu produkcji. Tolerancje zawartości składników mieszanki mineralno-asfaltowej względem składu zaprojektowanego, powinny być zawarte w granicach podanych w punkcie 6.  </w:t>
      </w:r>
    </w:p>
    <w:p w14:paraId="5AFF712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Mieszankę wyprodukowaną po ustabilizowaniu się pracy otaczarki należy zgromadzić w silosie lub załadować na samochód. Próbki do badań należy pobierać ze skrzyni samochodu zgodnie z metodą określoną w PN-EN 12697-27 [43].</w:t>
      </w:r>
    </w:p>
    <w:p w14:paraId="14A5707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Na podstawie uzyskanych wyników Inżynier podejmuje decyzję o wykonaniu odcinka próbnego.</w:t>
      </w:r>
    </w:p>
    <w:p w14:paraId="29D74F2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5.6. Odcinek próbny</w:t>
      </w:r>
    </w:p>
    <w:p w14:paraId="44047C8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Zaakceptowanie przez Inżyniera wyników badań próbek z próbnego </w:t>
      </w:r>
      <w:proofErr w:type="spellStart"/>
      <w:r w:rsidRPr="007B192E">
        <w:rPr>
          <w:rFonts w:ascii="Arial" w:hAnsi="Arial" w:cs="Arial"/>
          <w:color w:val="000000" w:themeColor="text1"/>
          <w:sz w:val="18"/>
          <w:szCs w:val="18"/>
        </w:rPr>
        <w:t>zarobu</w:t>
      </w:r>
      <w:proofErr w:type="spellEnd"/>
      <w:r w:rsidRPr="007B192E">
        <w:rPr>
          <w:rFonts w:ascii="Arial" w:hAnsi="Arial" w:cs="Arial"/>
          <w:color w:val="000000" w:themeColor="text1"/>
          <w:sz w:val="18"/>
          <w:szCs w:val="18"/>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4.3, 4.5, 4.6 PN-EN12697-27 [43]. </w:t>
      </w:r>
    </w:p>
    <w:p w14:paraId="7B2A66C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braku innych uzgodnień z Inżynierem, Wykonawca powinien wykonać odcinek próbny co najmniej na trzy dni przed rozpoczęciem robót, w celu:</w:t>
      </w:r>
    </w:p>
    <w:p w14:paraId="24B6371D" w14:textId="77777777" w:rsidR="00F45500" w:rsidRPr="007B192E"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sprawdzenia czy użyty sprzęt jest właściwy,</w:t>
      </w:r>
    </w:p>
    <w:p w14:paraId="7D6D2461" w14:textId="77777777" w:rsidR="00F45500" w:rsidRPr="007B192E"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określenia grubości warstwy mieszanki mineralno-asfaltowej przed zagęszczeniem, koniecznej do uzyskania wymaganej w kontrakcie grubości warstwy,</w:t>
      </w:r>
    </w:p>
    <w:p w14:paraId="5F199D10" w14:textId="77777777" w:rsidR="00F45500" w:rsidRPr="007B192E" w:rsidRDefault="00F45500" w:rsidP="00C12426">
      <w:pPr>
        <w:pStyle w:val="Akapitzlist"/>
        <w:widowControl/>
        <w:numPr>
          <w:ilvl w:val="0"/>
          <w:numId w:val="21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określenia potrzebnej liczby przejść walców dla uzyskania prawidłowego zagęszczenia warstwy.</w:t>
      </w:r>
    </w:p>
    <w:p w14:paraId="74AB6A8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takiej próby Wykonawca powinien użyć takich materiałów oraz sprzętu, jaki stosowany będzie do wykonania warstwy nawierzchni. </w:t>
      </w:r>
    </w:p>
    <w:p w14:paraId="6F2245E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Odcinek próbny powinien być zlokalizowany w miejscu uzgodnionym z Inżynierem. Powierzchnia odcinka próbnego powinna wynosić co najmniej 500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a długość co najmniej 50 m i powinny być tak dobrane, aby na jego podstawie możliwa była ocena prawidłowości wbudowania i zagęszczenia mieszanki mineralno-asfaltowej.</w:t>
      </w:r>
    </w:p>
    <w:p w14:paraId="10DFD9B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Grubość układanej warstwy powinna być zgodna z grubością podaną w dokumentacji projektowej. Ilość  próbek (rdzeni) pobrana z odcinka próbnego powinna być uzgodniona z Inżynierem i oceniona pod względem zgodności z </w:t>
      </w:r>
      <w:r w:rsidRPr="007B192E">
        <w:rPr>
          <w:rFonts w:ascii="Arial" w:hAnsi="Arial" w:cs="Arial"/>
          <w:color w:val="000000" w:themeColor="text1"/>
          <w:sz w:val="18"/>
          <w:szCs w:val="18"/>
          <w:shd w:val="clear" w:color="auto" w:fill="FFFFFF"/>
        </w:rPr>
        <w:t>wy</w:t>
      </w:r>
      <w:r w:rsidRPr="007B192E">
        <w:rPr>
          <w:rFonts w:ascii="Arial" w:hAnsi="Arial" w:cs="Arial"/>
          <w:color w:val="000000" w:themeColor="text1"/>
          <w:sz w:val="18"/>
          <w:szCs w:val="18"/>
        </w:rPr>
        <w:t xml:space="preserve">maganiami niniejszej specyfikacji. Należy pobrać minimum w dwóch przekrojach poprzecznych po dwie próbki (rdzenie). </w:t>
      </w:r>
    </w:p>
    <w:p w14:paraId="76B07A5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aby za zgodą Inżyniera, odcinek próbny zlokalizowany był w ciągu zasadniczych prac nawierzchniowych objętych danym kontraktem.</w:t>
      </w:r>
    </w:p>
    <w:p w14:paraId="6B51C67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może przystąpić do realizacji robót po zaakceptowaniu przez Inżyniera technologii wbudowania oraz wyników z odcinka próbnego.</w:t>
      </w:r>
    </w:p>
    <w:p w14:paraId="3B3807C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5.7. Połączenie </w:t>
      </w:r>
      <w:proofErr w:type="spellStart"/>
      <w:r w:rsidRPr="007B192E">
        <w:rPr>
          <w:color w:val="000000" w:themeColor="text1"/>
          <w:sz w:val="18"/>
          <w:szCs w:val="18"/>
        </w:rPr>
        <w:t>międzywarstwowe</w:t>
      </w:r>
      <w:proofErr w:type="spellEnd"/>
    </w:p>
    <w:p w14:paraId="6F8ED52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Uzyskanie wymaganej trwałości nawierzchni jest uzależnione od zapewnienia połączenia między warstwami i ich współpracy w przenoszeniu obciążenia nawierzchni ruchem.</w:t>
      </w:r>
    </w:p>
    <w:p w14:paraId="55930E2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Podłoże powinno być skropione lepiszczem. Ma to na celu zwiększenie połączenia między warstwami konstrukcyjnymi oraz zabezpieczenie przed wnikaniem i zaleganiem wody między warstwami.</w:t>
      </w:r>
    </w:p>
    <w:p w14:paraId="0593E7BC" w14:textId="77777777" w:rsidR="00F45500" w:rsidRPr="007B192E" w:rsidRDefault="00F45500" w:rsidP="00F45500">
      <w:pPr>
        <w:ind w:firstLine="397"/>
        <w:jc w:val="both"/>
        <w:rPr>
          <w:rFonts w:ascii="Arial" w:hAnsi="Arial" w:cs="Arial"/>
          <w:color w:val="000000" w:themeColor="text1"/>
          <w:sz w:val="18"/>
          <w:szCs w:val="18"/>
        </w:rPr>
      </w:pPr>
      <w:r w:rsidRPr="007B192E">
        <w:rPr>
          <w:rFonts w:ascii="Arial" w:hAnsi="Arial" w:cs="Arial"/>
          <w:color w:val="000000" w:themeColor="text1"/>
          <w:sz w:val="18"/>
          <w:szCs w:val="18"/>
        </w:rPr>
        <w:t>Można odstąpić od wykonania skropienia przy rozkładaniu dwóch warstw asfaltowych w jednym cyklu technologicznym (tzw. połączenia gorące na gorące)</w:t>
      </w:r>
    </w:p>
    <w:p w14:paraId="162DD5C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Warunki wykonania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 xml:space="preserve"> oraz kontrola wykonania skropienia zostały przedstawione w OST D-04.03.01a [2].</w:t>
      </w:r>
    </w:p>
    <w:p w14:paraId="776F6C9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5.8. Wbudowanie mieszanki mineralno-asfaltowej</w:t>
      </w:r>
    </w:p>
    <w:p w14:paraId="08A5BE4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 doborze rodzaju mieszanki mineralno-asfaltowej do układu warstw konstrukcyjnych należy zachować zasadę mówiącą, że grubość warstwy musi być co najmniej dwuipółkrotnie większa od wymiaru D kruszywa danej mieszanki (h ≥ 2,5×D).</w:t>
      </w:r>
    </w:p>
    <w:p w14:paraId="5980EF4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42682F9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mineralno-asfaltową można wbudowywać na podłożu przygotowanym zgodnie z zapisami w punktach 5.4 i 5.7.</w:t>
      </w:r>
    </w:p>
    <w:p w14:paraId="31F6818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Transport mieszanki mineralno-asfaltowej asfaltowej powinien być zgodny z zaleceniami podanymi w punkcie 4.2. </w:t>
      </w:r>
    </w:p>
    <w:p w14:paraId="58D50C4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Prace związane z wbudowaniem mieszanki mineralno-asfaltowej należy tak zaplanować, </w:t>
      </w:r>
    </w:p>
    <w:p w14:paraId="0045355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aby: </w:t>
      </w:r>
    </w:p>
    <w:p w14:paraId="7A1C4F3A" w14:textId="77777777" w:rsidR="00F45500" w:rsidRPr="007B192E" w:rsidRDefault="00F45500" w:rsidP="00C12426">
      <w:pPr>
        <w:widowControl/>
        <w:numPr>
          <w:ilvl w:val="0"/>
          <w:numId w:val="241"/>
        </w:numPr>
        <w:suppressAutoHyphens w:val="0"/>
        <w:overflowPunct/>
        <w:autoSpaceDE/>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2B18513E" w14:textId="77777777" w:rsidR="00F45500" w:rsidRPr="007B192E" w:rsidRDefault="00F45500" w:rsidP="00C12426">
      <w:pPr>
        <w:widowControl/>
        <w:numPr>
          <w:ilvl w:val="0"/>
          <w:numId w:val="241"/>
        </w:numPr>
        <w:suppressAutoHyphens w:val="0"/>
        <w:overflowPunct/>
        <w:autoSpaceDE/>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dzienne działki robocze (tj. odcinki nawierzchni na których mieszanka mineralno-asfaltowa jest wbudowywana jednego dnia) powinny być możliwie jak najdłuższe min. 200 m, </w:t>
      </w:r>
    </w:p>
    <w:p w14:paraId="5EF19269" w14:textId="77777777" w:rsidR="00F45500" w:rsidRPr="007B192E" w:rsidRDefault="00F45500" w:rsidP="00C12426">
      <w:pPr>
        <w:widowControl/>
        <w:numPr>
          <w:ilvl w:val="0"/>
          <w:numId w:val="241"/>
        </w:numPr>
        <w:suppressAutoHyphens w:val="0"/>
        <w:overflowPunct/>
        <w:autoSpaceDE/>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organizacja dostaw mieszanki powinna zapewnić pracę rozkładarki bez zatrzymań. </w:t>
      </w:r>
    </w:p>
    <w:p w14:paraId="748AACA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Mieszankę mineralno-asfaltową asfaltową należy wbudowywać w odpowiednich warunkach atmosferycznych. Nie wolno wbudowywać betonu asfaltowego gdy na podłożu tworzy się zamknięty film wodny.</w:t>
      </w:r>
    </w:p>
    <w:p w14:paraId="070E225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14:paraId="44491D5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Podczas budowy nawierzchni należy dążyć do ułożenia wszystkich warstw przed sezonem zimowym, aby zapewnić szczelność nawierzchni i jej odporność na działanie wody i mrozu.</w:t>
      </w:r>
      <w:r w:rsidRPr="007B192E">
        <w:rPr>
          <w:rFonts w:ascii="Arial" w:hAnsi="Arial" w:cs="Arial"/>
          <w:color w:val="000000" w:themeColor="text1"/>
          <w:sz w:val="18"/>
          <w:szCs w:val="18"/>
        </w:rPr>
        <w:tab/>
      </w:r>
    </w:p>
    <w:p w14:paraId="43F70DA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wypadku stosowania mieszanek mineralno-asfaltowych z dodatkiem obniżającym temperaturę mieszania i wbudowania należy indywidualnie określić wymagane warunki otoczenia. </w:t>
      </w:r>
    </w:p>
    <w:p w14:paraId="77D3E6AE" w14:textId="77777777" w:rsidR="00F45500" w:rsidRPr="007B192E" w:rsidRDefault="00F45500" w:rsidP="00F45500">
      <w:pPr>
        <w:tabs>
          <w:tab w:val="left" w:pos="1560"/>
        </w:tabs>
        <w:spacing w:before="120" w:after="120"/>
        <w:ind w:left="1200" w:hanging="120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Tablica 23. Minimalna temperatura otoczenia na wysokości 2 m podczas wykonywania warstw asfaltowych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4D7D23" w:rsidRPr="007B192E" w14:paraId="606D7BFD" w14:textId="77777777" w:rsidTr="008F7A94">
        <w:trPr>
          <w:trHeight w:val="562"/>
          <w:jc w:val="center"/>
        </w:trPr>
        <w:tc>
          <w:tcPr>
            <w:tcW w:w="3840" w:type="dxa"/>
            <w:vAlign w:val="center"/>
          </w:tcPr>
          <w:p w14:paraId="17459CB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Rodzaj robót</w:t>
            </w:r>
          </w:p>
        </w:tc>
        <w:tc>
          <w:tcPr>
            <w:tcW w:w="4111" w:type="dxa"/>
            <w:vAlign w:val="center"/>
          </w:tcPr>
          <w:p w14:paraId="6499195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Minimalna temperatura powietrza  [°C]</w:t>
            </w:r>
          </w:p>
        </w:tc>
      </w:tr>
      <w:tr w:rsidR="004D7D23" w:rsidRPr="007B192E" w14:paraId="5A3DC508" w14:textId="77777777" w:rsidTr="008F7A94">
        <w:trPr>
          <w:jc w:val="center"/>
        </w:trPr>
        <w:tc>
          <w:tcPr>
            <w:tcW w:w="3840" w:type="dxa"/>
            <w:vAlign w:val="center"/>
          </w:tcPr>
          <w:p w14:paraId="633A75E5"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Warstwa ścieralna o grubości ≥ 3 cm</w:t>
            </w:r>
          </w:p>
        </w:tc>
        <w:tc>
          <w:tcPr>
            <w:tcW w:w="4111" w:type="dxa"/>
            <w:vAlign w:val="center"/>
          </w:tcPr>
          <w:p w14:paraId="54C9BBFD"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+5</w:t>
            </w:r>
          </w:p>
        </w:tc>
      </w:tr>
      <w:tr w:rsidR="004D7D23" w:rsidRPr="007B192E" w14:paraId="46042AD3" w14:textId="77777777" w:rsidTr="008F7A94">
        <w:trPr>
          <w:jc w:val="center"/>
        </w:trPr>
        <w:tc>
          <w:tcPr>
            <w:tcW w:w="3840" w:type="dxa"/>
            <w:vAlign w:val="center"/>
          </w:tcPr>
          <w:p w14:paraId="0EBCA1DF"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Warstwa ścieralna o grubości &lt; 3 cm</w:t>
            </w:r>
          </w:p>
        </w:tc>
        <w:tc>
          <w:tcPr>
            <w:tcW w:w="4111" w:type="dxa"/>
            <w:vAlign w:val="center"/>
          </w:tcPr>
          <w:p w14:paraId="759A92F1"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r>
      <w:tr w:rsidR="004D7D23" w:rsidRPr="007B192E" w14:paraId="4A9CA2AF" w14:textId="77777777" w:rsidTr="008F7A94">
        <w:trPr>
          <w:jc w:val="center"/>
        </w:trPr>
        <w:tc>
          <w:tcPr>
            <w:tcW w:w="3840" w:type="dxa"/>
            <w:vAlign w:val="center"/>
          </w:tcPr>
          <w:p w14:paraId="28EBC37C"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Nawierzchnia typu kompaktowego</w:t>
            </w:r>
          </w:p>
        </w:tc>
        <w:tc>
          <w:tcPr>
            <w:tcW w:w="4111" w:type="dxa"/>
            <w:vAlign w:val="center"/>
          </w:tcPr>
          <w:p w14:paraId="77B735EC"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0</w:t>
            </w:r>
          </w:p>
        </w:tc>
      </w:tr>
    </w:tbl>
    <w:p w14:paraId="7619E877" w14:textId="77777777" w:rsidR="00F45500" w:rsidRPr="007B192E" w:rsidRDefault="00F45500" w:rsidP="00F45500">
      <w:pPr>
        <w:spacing w:before="24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5AF815B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miejscach niedostępnych dla sprzętu dopuszcza się wbudowywanie ręczne.</w:t>
      </w:r>
    </w:p>
    <w:p w14:paraId="7A65EA5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Grubość wykonywanej warstwy powinna być sprawdzana co 25 m, w co najmniej trzech miejscach (w osi i przy brzegach warstwy).</w:t>
      </w:r>
    </w:p>
    <w:p w14:paraId="32DB014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16CD420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 wykonywaniu nawierzchni dróg o kategorii KR6, do warstwy ścieralnej wymagane jest:</w:t>
      </w:r>
    </w:p>
    <w:p w14:paraId="5B6B180D" w14:textId="77777777" w:rsidR="00F45500" w:rsidRPr="007B192E" w:rsidRDefault="00F45500" w:rsidP="00C12426">
      <w:pPr>
        <w:widowControl/>
        <w:numPr>
          <w:ilvl w:val="0"/>
          <w:numId w:val="242"/>
        </w:numPr>
        <w:suppressAutoHyphens w:val="0"/>
        <w:autoSpaceDN w:val="0"/>
        <w:adjustRightInd w:val="0"/>
        <w:ind w:left="284" w:hanging="218"/>
        <w:jc w:val="both"/>
        <w:rPr>
          <w:rFonts w:ascii="Arial" w:hAnsi="Arial" w:cs="Arial"/>
          <w:color w:val="000000" w:themeColor="text1"/>
          <w:sz w:val="18"/>
          <w:szCs w:val="18"/>
        </w:rPr>
      </w:pPr>
      <w:r w:rsidRPr="007B192E">
        <w:rPr>
          <w:rFonts w:ascii="Arial" w:hAnsi="Arial" w:cs="Arial"/>
          <w:color w:val="000000" w:themeColor="text1"/>
          <w:sz w:val="18"/>
          <w:szCs w:val="18"/>
        </w:rPr>
        <w:t>stosowanie podajników mieszanki mineralno-asfaltowej do zasilania kosza rozkładarki z środków transportu,</w:t>
      </w:r>
    </w:p>
    <w:p w14:paraId="3686A12F" w14:textId="77777777" w:rsidR="00F45500" w:rsidRPr="007B192E" w:rsidRDefault="00F45500" w:rsidP="00C12426">
      <w:pPr>
        <w:widowControl/>
        <w:numPr>
          <w:ilvl w:val="0"/>
          <w:numId w:val="242"/>
        </w:numPr>
        <w:suppressAutoHyphens w:val="0"/>
        <w:autoSpaceDN w:val="0"/>
        <w:adjustRightInd w:val="0"/>
        <w:ind w:left="284" w:hanging="218"/>
        <w:jc w:val="both"/>
        <w:rPr>
          <w:rFonts w:ascii="Arial" w:hAnsi="Arial" w:cs="Arial"/>
          <w:color w:val="000000" w:themeColor="text1"/>
          <w:sz w:val="18"/>
          <w:szCs w:val="18"/>
        </w:rPr>
      </w:pPr>
      <w:r w:rsidRPr="007B192E">
        <w:rPr>
          <w:rFonts w:ascii="Arial" w:hAnsi="Arial" w:cs="Arial"/>
          <w:color w:val="000000" w:themeColor="text1"/>
          <w:sz w:val="18"/>
          <w:szCs w:val="18"/>
        </w:rPr>
        <w:t>stosowanie rozkładarek wyposażonych w łatę o długości min. 10 m z co najmniej 3 czujnikami.</w:t>
      </w:r>
    </w:p>
    <w:p w14:paraId="65E2689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5.9. Połączenia technologiczne</w:t>
      </w:r>
    </w:p>
    <w:p w14:paraId="39D2F42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Połączenia technologiczne należy wykonywać jako:</w:t>
      </w:r>
    </w:p>
    <w:p w14:paraId="6CEDFFDE" w14:textId="77777777" w:rsidR="00F45500" w:rsidRPr="007B192E" w:rsidRDefault="00F45500" w:rsidP="00C12426">
      <w:pPr>
        <w:widowControl/>
        <w:numPr>
          <w:ilvl w:val="0"/>
          <w:numId w:val="230"/>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złącza podłużne i poprzeczne (wg definicji punkt 1.4.15.),</w:t>
      </w:r>
    </w:p>
    <w:p w14:paraId="017DD739" w14:textId="77777777" w:rsidR="00F45500" w:rsidRPr="007B192E" w:rsidRDefault="00F45500" w:rsidP="00C12426">
      <w:pPr>
        <w:widowControl/>
        <w:numPr>
          <w:ilvl w:val="0"/>
          <w:numId w:val="230"/>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spoiny (wg definicji punkt 1.4.16.).</w:t>
      </w:r>
    </w:p>
    <w:p w14:paraId="53B644A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Połączenia technologiczne powinny być jednorodne i szczelne.   </w:t>
      </w:r>
    </w:p>
    <w:p w14:paraId="12749530"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5.9.1.</w:t>
      </w:r>
      <w:r w:rsidRPr="007B192E">
        <w:rPr>
          <w:rFonts w:ascii="Arial" w:hAnsi="Arial" w:cs="Arial"/>
          <w:color w:val="000000" w:themeColor="text1"/>
          <w:sz w:val="18"/>
          <w:szCs w:val="18"/>
        </w:rPr>
        <w:t xml:space="preserve"> Wykonanie złączy</w:t>
      </w:r>
    </w:p>
    <w:p w14:paraId="1D8BFB33" w14:textId="77777777" w:rsidR="00F45500" w:rsidRPr="007B192E" w:rsidRDefault="00F45500" w:rsidP="00F45500">
      <w:pPr>
        <w:keepNext/>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5.9.1.1. Sposób wykonania złączy-wymagania ogólne</w:t>
      </w:r>
    </w:p>
    <w:p w14:paraId="1E30A62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w warstwach nawierzchni powinny być wykonywane w linii prostej.</w:t>
      </w:r>
    </w:p>
    <w:p w14:paraId="4B63CD3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2 m w kierunku podłużnym do osi jezdni.</w:t>
      </w:r>
    </w:p>
    <w:p w14:paraId="4EC55C2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Połączenie nawierzchni mostowej z nawierzchnią drogową powinno być wykonane w strefie płyty przejściowej. Połączenie warstw ścieralnej i wiążącej powinno być przesunięte o co najmniej 0,5 m. Krawędzie poprzeczne łączonych warstw wiążącej i ścieralnej nawierzchni drogowej powinny być odcięte piłą. </w:t>
      </w:r>
    </w:p>
    <w:p w14:paraId="046DFAF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powinny być całkowicie związane, a powierzchnie przylegających warstw powinny być w jednym poziomie.</w:t>
      </w:r>
    </w:p>
    <w:p w14:paraId="0A41E705"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5.9.1.2. Technologia rozkładania „gorące przy gorącym”</w:t>
      </w:r>
    </w:p>
    <w:p w14:paraId="1D48660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7D7E479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Walce zagęszczające mieszankę za każdą rozkładarką powinny być o zbliżonych parametrach. Zagęszczanie każdego z pasów należy rozpoczynać od zewnętrznej krawędzi pasa i stopniowo zagęszczać pas w kierunku złącza.</w:t>
      </w:r>
    </w:p>
    <w:p w14:paraId="708D8F7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 tej metodzie nie stosuje się dodatkowych materiałów do złączy.</w:t>
      </w:r>
    </w:p>
    <w:p w14:paraId="01C6EFF4"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 5.9.1.3. Technologia rozkładania „gorące przy zimnym” </w:t>
      </w:r>
    </w:p>
    <w:p w14:paraId="47F01E0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61BC1FA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7B192E">
        <w:rPr>
          <w:rFonts w:ascii="Arial" w:hAnsi="Arial" w:cs="Arial"/>
          <w:color w:val="000000" w:themeColor="text1"/>
          <w:sz w:val="18"/>
          <w:szCs w:val="18"/>
        </w:rPr>
        <w:t>tj.pod</w:t>
      </w:r>
      <w:proofErr w:type="spellEnd"/>
      <w:r w:rsidRPr="007B192E">
        <w:rPr>
          <w:rFonts w:ascii="Arial" w:hAnsi="Arial" w:cs="Arial"/>
          <w:color w:val="000000" w:themeColor="text1"/>
          <w:sz w:val="18"/>
          <w:szCs w:val="18"/>
        </w:rPr>
        <w:t xml:space="preserve"> kątem 70-80˚ w stosunku do warstwy niżej leżącej). Skos wykonany „na gorąco”, powinien być uformowany podczas układania pierwszego pasa ruchu, przy zastosowaniu rolki dociskowej lub noża talerzowego.</w:t>
      </w:r>
    </w:p>
    <w:p w14:paraId="0917FE6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78866A2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Drugi pas powinien być wykonywany z zakładem 2-3 cm licząc od górnej krawędzi złącza, zachodzącym na </w:t>
      </w:r>
      <w:r w:rsidRPr="007B192E">
        <w:rPr>
          <w:rFonts w:ascii="Arial" w:hAnsi="Arial" w:cs="Arial"/>
          <w:color w:val="000000" w:themeColor="text1"/>
          <w:sz w:val="18"/>
          <w:szCs w:val="18"/>
        </w:rPr>
        <w:lastRenderedPageBreak/>
        <w:t>pas wykonany wcześniej.</w:t>
      </w:r>
    </w:p>
    <w:p w14:paraId="57A2A292"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5.9.1.4. Zakończenie działki roboczej </w:t>
      </w:r>
    </w:p>
    <w:p w14:paraId="15439D9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Zakończenie działki roboczej należy wykonać w sposób i przy pomocy urządzeń zapewniających uzyskanie nieregularnej powierzchni spoiny (przy pomocy wstawianej</w:t>
      </w:r>
    </w:p>
    <w:p w14:paraId="5E00BE6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kantówki lub frezarki). Zakończenie działki roboczej należy wykonać prostopadle do osi drogi.</w:t>
      </w:r>
    </w:p>
    <w:p w14:paraId="5D9589D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Krawędź działki roboczej jest równocześnie krawędzią poprzeczną złącza.</w:t>
      </w:r>
    </w:p>
    <w:p w14:paraId="4CD6438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poprzeczne między działkami roboczymi układanych pasów kolejnych warstw technologicznych należy przesunąć względem siebie o co najmniej 3m w kierunku podłużnym do osi jezdni.</w:t>
      </w:r>
    </w:p>
    <w:p w14:paraId="52E8F831" w14:textId="77777777" w:rsidR="00F45500" w:rsidRPr="007B192E" w:rsidRDefault="00F45500" w:rsidP="00F45500">
      <w:pPr>
        <w:spacing w:before="120" w:after="120"/>
        <w:jc w:val="both"/>
        <w:rPr>
          <w:rFonts w:ascii="Arial" w:hAnsi="Arial" w:cs="Arial"/>
          <w:b/>
          <w:color w:val="000000" w:themeColor="text1"/>
          <w:sz w:val="18"/>
          <w:szCs w:val="18"/>
        </w:rPr>
      </w:pPr>
      <w:r w:rsidRPr="007B192E">
        <w:rPr>
          <w:rFonts w:ascii="Arial" w:hAnsi="Arial" w:cs="Arial"/>
          <w:color w:val="000000" w:themeColor="text1"/>
          <w:sz w:val="18"/>
          <w:szCs w:val="18"/>
        </w:rPr>
        <w:t>5.9.1.5.</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Wymagania wobec wbudowania taśm bitumicznych</w:t>
      </w:r>
    </w:p>
    <w:p w14:paraId="4E86567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Minimalna wysokość taśmy wynosi 4 cm.</w:t>
      </w:r>
    </w:p>
    <w:p w14:paraId="12AF742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Grubość taśmy powinna wynosić 10 mm.</w:t>
      </w:r>
    </w:p>
    <w:p w14:paraId="70072DF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Krawędź boczna złącza podłużnego powinna być uformowana za pomocą rolki dociskowej lub poprzez obcięcie nożem talerzowym.</w:t>
      </w:r>
    </w:p>
    <w:p w14:paraId="5E7A5E7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Krawędź boczna złącza poprzecznego powinna być uformowana w taki sposób i za</w:t>
      </w:r>
    </w:p>
    <w:p w14:paraId="178745C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pomocą urządzeń umożliwiających uzyskanie nieregularnej powierzchni.</w:t>
      </w:r>
    </w:p>
    <w:p w14:paraId="3B8C22B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Powierzchnie krawędzi do których klejona będzie taśma, powinny być czyste i suche.</w:t>
      </w:r>
    </w:p>
    <w:p w14:paraId="0A1C3D9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Przed przyklejeniem taśmy w metodzie „gorące przy zimnym”, krawędzie „zimnej” warstwy na całkowitej grubości, należy zagruntować zgodnie z zaleceniami producenta</w:t>
      </w:r>
    </w:p>
    <w:p w14:paraId="7872A5E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taśmy. Taśma bitumiczna powinna być wstępnie przyklejona do zimnej krawędzi złącza na całej jego wysokości oraz wystawać ponad powierzchnię warstwy do 5 mm lub wg zaleceń producenta.</w:t>
      </w:r>
    </w:p>
    <w:p w14:paraId="6153CB5C" w14:textId="77777777" w:rsidR="00F45500" w:rsidRPr="007B192E" w:rsidRDefault="00F45500" w:rsidP="00F45500">
      <w:pPr>
        <w:spacing w:before="120" w:after="120"/>
        <w:jc w:val="both"/>
        <w:rPr>
          <w:rFonts w:ascii="Arial" w:hAnsi="Arial" w:cs="Arial"/>
          <w:b/>
          <w:color w:val="000000" w:themeColor="text1"/>
          <w:sz w:val="18"/>
          <w:szCs w:val="18"/>
        </w:rPr>
      </w:pPr>
      <w:r w:rsidRPr="007B192E">
        <w:rPr>
          <w:rFonts w:ascii="Arial" w:hAnsi="Arial" w:cs="Arial"/>
          <w:color w:val="000000" w:themeColor="text1"/>
          <w:sz w:val="18"/>
          <w:szCs w:val="18"/>
        </w:rPr>
        <w:t>5.9.1.6.</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Wymagania wobec wbudowywania past bitumicznych</w:t>
      </w:r>
    </w:p>
    <w:p w14:paraId="66AD820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Przygotowanie krawędzi bocznych jak w przypadku stosowania taśm bitumicznych.</w:t>
      </w:r>
    </w:p>
    <w:p w14:paraId="29623F2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Pasta powinna być nanoszona mechanicznie z zapewnieniem równomiernego jej</w:t>
      </w:r>
    </w:p>
    <w:p w14:paraId="391E8C1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rozprowadzenia na bocznej krawędzi w ilości 3 - 4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(warstwa o grubości 3 - 4 mm przy gęstości około 1,0 g/cm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w:t>
      </w:r>
    </w:p>
    <w:p w14:paraId="63F254E1"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ręczne nanoszenie past w miejscach niedostępnych.</w:t>
      </w:r>
    </w:p>
    <w:p w14:paraId="62AF30D9"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5.9.2.</w:t>
      </w:r>
      <w:r w:rsidRPr="007B192E">
        <w:rPr>
          <w:rFonts w:ascii="Arial" w:hAnsi="Arial" w:cs="Arial"/>
          <w:color w:val="000000" w:themeColor="text1"/>
          <w:sz w:val="18"/>
          <w:szCs w:val="18"/>
        </w:rPr>
        <w:t xml:space="preserve"> Wykonanie spoin  </w:t>
      </w:r>
    </w:p>
    <w:p w14:paraId="75F1F15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Spoiny należy wykonywać w wypadku połączeń warstwy z urządzeniami w nawierzchni lub ją ograniczającymi.</w:t>
      </w:r>
    </w:p>
    <w:p w14:paraId="5DC5524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Spoiny należy wykonywać z materiałów termoplastycznych (taśmy, pasty, zalewy drogowe na </w:t>
      </w:r>
      <w:proofErr w:type="spellStart"/>
      <w:r w:rsidRPr="007B192E">
        <w:rPr>
          <w:rFonts w:ascii="Arial" w:hAnsi="Arial" w:cs="Arial"/>
          <w:color w:val="000000" w:themeColor="text1"/>
          <w:sz w:val="18"/>
          <w:szCs w:val="18"/>
        </w:rPr>
        <w:t>goraco</w:t>
      </w:r>
      <w:proofErr w:type="spellEnd"/>
      <w:r w:rsidRPr="007B192E">
        <w:rPr>
          <w:rFonts w:ascii="Arial" w:hAnsi="Arial" w:cs="Arial"/>
          <w:color w:val="000000" w:themeColor="text1"/>
          <w:sz w:val="18"/>
          <w:szCs w:val="18"/>
        </w:rPr>
        <w:t xml:space="preserve">) zgodnych z </w:t>
      </w:r>
      <w:proofErr w:type="spellStart"/>
      <w:r w:rsidRPr="007B192E">
        <w:rPr>
          <w:rFonts w:ascii="Arial" w:hAnsi="Arial" w:cs="Arial"/>
          <w:color w:val="000000" w:themeColor="text1"/>
          <w:sz w:val="18"/>
          <w:szCs w:val="18"/>
        </w:rPr>
        <w:t>pktem</w:t>
      </w:r>
      <w:proofErr w:type="spellEnd"/>
      <w:r w:rsidRPr="007B192E">
        <w:rPr>
          <w:rFonts w:ascii="Arial" w:hAnsi="Arial" w:cs="Arial"/>
          <w:color w:val="000000" w:themeColor="text1"/>
          <w:sz w:val="18"/>
          <w:szCs w:val="18"/>
        </w:rPr>
        <w:t xml:space="preserve"> 2.6. </w:t>
      </w:r>
    </w:p>
    <w:p w14:paraId="75F2515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Grubość elastycznej taśmy uszczelniającej w spoinach w warstwie ścieralnej powinna wynosić nie mniej niż 10 mm.</w:t>
      </w:r>
    </w:p>
    <w:p w14:paraId="6C2892B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Pasta powinna być nanoszona mechanicznie z zapewnieniem równomiernego jej rozprowadzenia na bocznej krawędzi w ilości 3 - 4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(warstwa o grubości 3 - 4 mm przy gęstości około 1,0 g/cm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w:t>
      </w:r>
    </w:p>
    <w:p w14:paraId="6B912ADA"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Zalewy drogowe na gorąco należy stosować zgodnie z zaleceniami producenta, przy czym szerokość naciętej spoiny powinna wynosić ok. 10 mm.</w:t>
      </w:r>
    </w:p>
    <w:p w14:paraId="3B25EC3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5.10. Krawędzie </w:t>
      </w:r>
    </w:p>
    <w:p w14:paraId="38E335D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7F96819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7B192E">
        <w:rPr>
          <w:rFonts w:ascii="Arial" w:hAnsi="Arial" w:cs="Arial"/>
          <w:color w:val="000000" w:themeColor="text1"/>
          <w:sz w:val="18"/>
          <w:szCs w:val="18"/>
        </w:rPr>
        <w:t>tzw</w:t>
      </w:r>
      <w:proofErr w:type="spellEnd"/>
      <w:r w:rsidRPr="007B192E">
        <w:rPr>
          <w:rFonts w:ascii="Arial" w:hAnsi="Arial" w:cs="Arial"/>
          <w:color w:val="000000" w:themeColor="text1"/>
          <w:sz w:val="18"/>
          <w:szCs w:val="18"/>
        </w:rPr>
        <w:t xml:space="preserve"> „buta” („na gorąco”).</w:t>
      </w:r>
    </w:p>
    <w:p w14:paraId="4BF5F53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Jeżeli krawędzie nie zostały uformowane na gorąco krawędzie należy wyfrezować je na zimno.</w:t>
      </w:r>
    </w:p>
    <w:p w14:paraId="35CE035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 wykonaniu nawierzchni asfaltowej o jednostronnym nachyleniu jezdni należy uszczelnić krawędź położoną wyżej (niżej położona krawędź powinna zostać nieuszczelniona).</w:t>
      </w:r>
    </w:p>
    <w:p w14:paraId="3B632D2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przypadku nawierzchni o dwustronnym nachyleniu (przekrój daszkowy) decyzję o potrzebie i sposobie uszczelnienia krawędzi zewnętrznych podejmie Projektant w uzgodnieniu z Inżynierem.</w:t>
      </w:r>
    </w:p>
    <w:p w14:paraId="66C8C18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Krawędzie zewnętrzne oraz powierzchnie odsadzek poziomych należy uszczelnić przez pokrycie gorącym asfaltem w ilości:</w:t>
      </w:r>
    </w:p>
    <w:p w14:paraId="3EB5625C" w14:textId="77777777" w:rsidR="00F45500" w:rsidRPr="007B192E" w:rsidRDefault="00F45500" w:rsidP="00C12426">
      <w:pPr>
        <w:widowControl/>
        <w:numPr>
          <w:ilvl w:val="0"/>
          <w:numId w:val="243"/>
        </w:numPr>
        <w:suppressAutoHyphens w:val="0"/>
        <w:overflowPunct/>
        <w:autoSpaceDN w:val="0"/>
        <w:adjustRightInd w:val="0"/>
        <w:ind w:left="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powierzchnie odsadzek - 1,5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w:t>
      </w:r>
    </w:p>
    <w:p w14:paraId="4F8B4919" w14:textId="77777777" w:rsidR="00F45500" w:rsidRPr="007B192E" w:rsidRDefault="00F45500" w:rsidP="00C12426">
      <w:pPr>
        <w:widowControl/>
        <w:numPr>
          <w:ilvl w:val="0"/>
          <w:numId w:val="243"/>
        </w:numPr>
        <w:suppressAutoHyphens w:val="0"/>
        <w:overflowPunct/>
        <w:autoSpaceDN w:val="0"/>
        <w:adjustRightInd w:val="0"/>
        <w:ind w:left="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krawędzie zewnętrzne - 4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w:t>
      </w:r>
    </w:p>
    <w:p w14:paraId="2D80309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Gorący asfalt może być nanoszony w kilku przejściach roboczych.</w:t>
      </w:r>
    </w:p>
    <w:p w14:paraId="29D4783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571445F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Lepiszcze powinno być naniesione odpowiednio szybko tak, aby krawędzie nie uległy zabrudzeniu. Niżej położona krawędź (z wyjątkiem strefy zmiany przechyłki) powinna pozostać nieuszczelniona. </w:t>
      </w:r>
    </w:p>
    <w:p w14:paraId="3FCC33B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10 cm.</w:t>
      </w:r>
    </w:p>
    <w:p w14:paraId="17E82B4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5.11. Wykończenie warstwy ścieralnej</w:t>
      </w:r>
    </w:p>
    <w:p w14:paraId="40D00C3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Warstwa ścieralna powinna mieć jednorodną teksturę i strukturę dostosowaną do przeznaczenia, np. ze względu na właściwości przeciwpoślizgowe, hałas toczenia kół lub względy estetyczne.</w:t>
      </w:r>
    </w:p>
    <w:p w14:paraId="08709AC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Nie wymaga się </w:t>
      </w:r>
      <w:proofErr w:type="spellStart"/>
      <w:r w:rsidRPr="007B192E">
        <w:rPr>
          <w:rFonts w:ascii="Arial" w:hAnsi="Arial" w:cs="Arial"/>
          <w:color w:val="000000" w:themeColor="text1"/>
          <w:sz w:val="18"/>
          <w:szCs w:val="18"/>
        </w:rPr>
        <w:t>uszorstnienia</w:t>
      </w:r>
      <w:proofErr w:type="spellEnd"/>
      <w:r w:rsidRPr="007B192E">
        <w:rPr>
          <w:rFonts w:ascii="Arial" w:hAnsi="Arial" w:cs="Arial"/>
          <w:color w:val="000000" w:themeColor="text1"/>
          <w:sz w:val="18"/>
          <w:szCs w:val="18"/>
        </w:rPr>
        <w:t xml:space="preserve"> warstwy ścieralnej z betonu asfaltowego.</w:t>
      </w:r>
    </w:p>
    <w:p w14:paraId="62EDA79E" w14:textId="77777777" w:rsidR="00F45500" w:rsidRPr="007B192E" w:rsidRDefault="002562DC" w:rsidP="00B9283B">
      <w:pPr>
        <w:pStyle w:val="Nagwek2"/>
        <w:rPr>
          <w:i w:val="0"/>
          <w:color w:val="000000" w:themeColor="text1"/>
        </w:rPr>
      </w:pPr>
      <w:bookmarkStart w:id="318" w:name="_Toc462133771"/>
      <w:r w:rsidRPr="007B192E">
        <w:rPr>
          <w:i w:val="0"/>
          <w:color w:val="000000" w:themeColor="text1"/>
        </w:rPr>
        <w:t>6. KONTROLA JAKOŚCI ROBÓT</w:t>
      </w:r>
      <w:bookmarkEnd w:id="318"/>
    </w:p>
    <w:p w14:paraId="52443981"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6.1. Ogólne zasady kontroli jakości robót</w:t>
      </w:r>
    </w:p>
    <w:p w14:paraId="1E5EF34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3BA8272A"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6.2. Badania przed przystąpieniem do robót</w:t>
      </w:r>
    </w:p>
    <w:p w14:paraId="3CF3427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5B49784A"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2C989D67"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ew. wykonać własne badania właściwości materiałów przeznaczonych do wykonania robót, określone przez Inżyniera.</w:t>
      </w:r>
    </w:p>
    <w:p w14:paraId="75DB4F2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7979A4F3"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6.2.1.</w:t>
      </w:r>
      <w:r w:rsidRPr="007B192E">
        <w:rPr>
          <w:rFonts w:ascii="Arial" w:hAnsi="Arial" w:cs="Arial"/>
          <w:color w:val="000000" w:themeColor="text1"/>
          <w:sz w:val="18"/>
          <w:szCs w:val="18"/>
        </w:rPr>
        <w:t xml:space="preserve"> Badanie typu </w:t>
      </w:r>
    </w:p>
    <w:p w14:paraId="4AB9E74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58E96E8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Badanie typu powinno zawierać:</w:t>
      </w:r>
    </w:p>
    <w:p w14:paraId="0E41D037" w14:textId="77777777" w:rsidR="00F45500" w:rsidRPr="007B192E" w:rsidRDefault="00F45500" w:rsidP="00C12426">
      <w:pPr>
        <w:widowControl/>
        <w:numPr>
          <w:ilvl w:val="0"/>
          <w:numId w:val="245"/>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informacje ogólne:</w:t>
      </w:r>
    </w:p>
    <w:p w14:paraId="0DDD970A" w14:textId="77777777" w:rsidR="00F45500" w:rsidRPr="007B192E"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nazwę i adres producenta mieszanki mineralno-asfaltowej,</w:t>
      </w:r>
    </w:p>
    <w:p w14:paraId="08F811EF" w14:textId="77777777" w:rsidR="00F45500" w:rsidRPr="007B192E"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datę wydania,</w:t>
      </w:r>
    </w:p>
    <w:p w14:paraId="2FD4B340" w14:textId="77777777" w:rsidR="00F45500" w:rsidRPr="007B192E"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nazwę wytwórni produkującej mieszankę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 xml:space="preserve"> –asfaltową,</w:t>
      </w:r>
    </w:p>
    <w:p w14:paraId="0DED6549" w14:textId="77777777" w:rsidR="00F45500" w:rsidRPr="007B192E"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określenie typu mieszanki i kategorii, z którymi jest deklarowana zgodność,</w:t>
      </w:r>
    </w:p>
    <w:p w14:paraId="67535C7C" w14:textId="77777777" w:rsidR="00F45500" w:rsidRPr="007B192E" w:rsidRDefault="00F45500" w:rsidP="00C12426">
      <w:pPr>
        <w:widowControl/>
        <w:numPr>
          <w:ilvl w:val="0"/>
          <w:numId w:val="237"/>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zestawienie metod przygotowania próbek oraz metod i warunków badania poszczególnych właściwości.</w:t>
      </w:r>
    </w:p>
    <w:p w14:paraId="040FFF61" w14:textId="77777777" w:rsidR="00F45500" w:rsidRPr="007B192E" w:rsidRDefault="00F45500" w:rsidP="00C12426">
      <w:pPr>
        <w:widowControl/>
        <w:numPr>
          <w:ilvl w:val="0"/>
          <w:numId w:val="245"/>
        </w:numPr>
        <w:suppressAutoHyphens w:val="0"/>
        <w:autoSpaceDN w:val="0"/>
        <w:adjustRightInd w:val="0"/>
        <w:ind w:left="426"/>
        <w:jc w:val="both"/>
        <w:rPr>
          <w:rFonts w:ascii="Arial" w:hAnsi="Arial" w:cs="Arial"/>
          <w:color w:val="000000" w:themeColor="text1"/>
          <w:sz w:val="18"/>
          <w:szCs w:val="18"/>
        </w:rPr>
      </w:pPr>
      <w:r w:rsidRPr="007B192E">
        <w:rPr>
          <w:rFonts w:ascii="Arial" w:hAnsi="Arial" w:cs="Arial"/>
          <w:color w:val="000000" w:themeColor="text1"/>
          <w:sz w:val="18"/>
          <w:szCs w:val="18"/>
        </w:rPr>
        <w:t>informacje o składnikach:</w:t>
      </w:r>
    </w:p>
    <w:p w14:paraId="74C4E927" w14:textId="77777777" w:rsidR="00F45500" w:rsidRPr="007B192E"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każdy wymiar kruszywa: źródło i rodzaj,</w:t>
      </w:r>
    </w:p>
    <w:p w14:paraId="413170DC" w14:textId="77777777" w:rsidR="00F45500" w:rsidRPr="007B192E"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lepiszcze: typ i rodzaj,</w:t>
      </w:r>
    </w:p>
    <w:p w14:paraId="20C36CC9" w14:textId="77777777" w:rsidR="00F45500" w:rsidRPr="007B192E"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wypełniacz: źródło i rodzaj,</w:t>
      </w:r>
    </w:p>
    <w:p w14:paraId="04310BBA" w14:textId="77777777" w:rsidR="00F45500" w:rsidRPr="007B192E"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dodatki: źródło i rodzaj,</w:t>
      </w:r>
    </w:p>
    <w:p w14:paraId="689B9497" w14:textId="77777777" w:rsidR="00F45500" w:rsidRPr="007B192E" w:rsidRDefault="00F45500" w:rsidP="00C12426">
      <w:pPr>
        <w:widowControl/>
        <w:numPr>
          <w:ilvl w:val="0"/>
          <w:numId w:val="238"/>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wszystkie składniki: wyniki badań zgodnie z zestawieniem podanym w tablicy 24.</w:t>
      </w:r>
    </w:p>
    <w:p w14:paraId="33A063A3"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24. Rodzaj i liczba badań składników mieszanki mineralno-asfaltowej</w:t>
      </w:r>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4D7D23" w:rsidRPr="007B192E" w14:paraId="12AB90AC" w14:textId="77777777" w:rsidTr="008F7A94">
        <w:trPr>
          <w:jc w:val="center"/>
        </w:trPr>
        <w:tc>
          <w:tcPr>
            <w:tcW w:w="2748" w:type="dxa"/>
            <w:vAlign w:val="center"/>
          </w:tcPr>
          <w:p w14:paraId="2B1B2494"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Składnik</w:t>
            </w:r>
          </w:p>
        </w:tc>
        <w:tc>
          <w:tcPr>
            <w:tcW w:w="2276" w:type="dxa"/>
            <w:vAlign w:val="center"/>
          </w:tcPr>
          <w:p w14:paraId="4B571CBA"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2337" w:type="dxa"/>
            <w:vAlign w:val="center"/>
          </w:tcPr>
          <w:p w14:paraId="67F5F90A"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Metoda badania</w:t>
            </w:r>
          </w:p>
        </w:tc>
        <w:tc>
          <w:tcPr>
            <w:tcW w:w="1387" w:type="dxa"/>
            <w:vAlign w:val="center"/>
          </w:tcPr>
          <w:p w14:paraId="625FDCE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Liczba badań</w:t>
            </w:r>
          </w:p>
        </w:tc>
      </w:tr>
      <w:tr w:rsidR="004D7D23" w:rsidRPr="007B192E" w14:paraId="30D4D2A4" w14:textId="77777777" w:rsidTr="008F7A94">
        <w:trPr>
          <w:jc w:val="center"/>
        </w:trPr>
        <w:tc>
          <w:tcPr>
            <w:tcW w:w="2748" w:type="dxa"/>
            <w:vMerge w:val="restart"/>
            <w:vAlign w:val="center"/>
          </w:tcPr>
          <w:p w14:paraId="5AD9D3C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Kruszywo</w:t>
            </w:r>
          </w:p>
          <w:p w14:paraId="719E431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13043 [49])</w:t>
            </w:r>
          </w:p>
        </w:tc>
        <w:tc>
          <w:tcPr>
            <w:tcW w:w="2276" w:type="dxa"/>
            <w:vAlign w:val="center"/>
          </w:tcPr>
          <w:p w14:paraId="5F80ECB3"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Uziarnienie</w:t>
            </w:r>
          </w:p>
        </w:tc>
        <w:tc>
          <w:tcPr>
            <w:tcW w:w="2337" w:type="dxa"/>
            <w:vAlign w:val="center"/>
          </w:tcPr>
          <w:p w14:paraId="700567F7"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933-1 [6]</w:t>
            </w:r>
          </w:p>
        </w:tc>
        <w:tc>
          <w:tcPr>
            <w:tcW w:w="1387" w:type="dxa"/>
            <w:vAlign w:val="center"/>
          </w:tcPr>
          <w:p w14:paraId="1A725FE0"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 na frakcję</w:t>
            </w:r>
          </w:p>
        </w:tc>
      </w:tr>
      <w:tr w:rsidR="004D7D23" w:rsidRPr="007B192E" w14:paraId="2D151E3F" w14:textId="77777777" w:rsidTr="008F7A94">
        <w:trPr>
          <w:jc w:val="center"/>
        </w:trPr>
        <w:tc>
          <w:tcPr>
            <w:tcW w:w="2748" w:type="dxa"/>
            <w:vMerge/>
            <w:vAlign w:val="center"/>
          </w:tcPr>
          <w:p w14:paraId="6FA1B53E" w14:textId="77777777" w:rsidR="00F45500" w:rsidRPr="007B192E" w:rsidRDefault="00F45500" w:rsidP="008F7A94">
            <w:pPr>
              <w:jc w:val="center"/>
              <w:rPr>
                <w:rFonts w:ascii="Arial" w:hAnsi="Arial" w:cs="Arial"/>
                <w:color w:val="000000" w:themeColor="text1"/>
                <w:sz w:val="18"/>
                <w:szCs w:val="18"/>
              </w:rPr>
            </w:pPr>
          </w:p>
        </w:tc>
        <w:tc>
          <w:tcPr>
            <w:tcW w:w="2276" w:type="dxa"/>
            <w:vAlign w:val="center"/>
          </w:tcPr>
          <w:p w14:paraId="29B2F94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Gęstość</w:t>
            </w:r>
          </w:p>
        </w:tc>
        <w:tc>
          <w:tcPr>
            <w:tcW w:w="2337" w:type="dxa"/>
            <w:vAlign w:val="center"/>
          </w:tcPr>
          <w:p w14:paraId="52129021"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1097-6 [16]</w:t>
            </w:r>
          </w:p>
        </w:tc>
        <w:tc>
          <w:tcPr>
            <w:tcW w:w="1387" w:type="dxa"/>
            <w:vAlign w:val="center"/>
          </w:tcPr>
          <w:p w14:paraId="2D3032AF"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 na frakcję</w:t>
            </w:r>
          </w:p>
        </w:tc>
      </w:tr>
      <w:tr w:rsidR="004D7D23" w:rsidRPr="007B192E" w14:paraId="3325E758" w14:textId="77777777" w:rsidTr="008F7A94">
        <w:trPr>
          <w:jc w:val="center"/>
        </w:trPr>
        <w:tc>
          <w:tcPr>
            <w:tcW w:w="2748" w:type="dxa"/>
            <w:vMerge w:val="restart"/>
            <w:vAlign w:val="center"/>
          </w:tcPr>
          <w:p w14:paraId="1E3612F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Lepiszcze (PN-EN 12591 [24], PN-EN 13924-2 [63], PN-EN 14023 [64])</w:t>
            </w:r>
          </w:p>
        </w:tc>
        <w:tc>
          <w:tcPr>
            <w:tcW w:w="2276" w:type="dxa"/>
            <w:vAlign w:val="center"/>
          </w:tcPr>
          <w:p w14:paraId="1B82F49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Penetracja lub </w:t>
            </w:r>
            <w:proofErr w:type="spellStart"/>
            <w:r w:rsidRPr="007B192E">
              <w:rPr>
                <w:rFonts w:ascii="Arial" w:hAnsi="Arial" w:cs="Arial"/>
                <w:color w:val="000000" w:themeColor="text1"/>
                <w:sz w:val="18"/>
                <w:szCs w:val="18"/>
              </w:rPr>
              <w:t>tem-peratura</w:t>
            </w:r>
            <w:proofErr w:type="spellEnd"/>
            <w:r w:rsidRPr="007B192E">
              <w:rPr>
                <w:rFonts w:ascii="Arial" w:hAnsi="Arial" w:cs="Arial"/>
                <w:color w:val="000000" w:themeColor="text1"/>
                <w:sz w:val="18"/>
                <w:szCs w:val="18"/>
              </w:rPr>
              <w:t xml:space="preserve"> mięknienia</w:t>
            </w:r>
          </w:p>
        </w:tc>
        <w:tc>
          <w:tcPr>
            <w:tcW w:w="2337" w:type="dxa"/>
            <w:vAlign w:val="center"/>
          </w:tcPr>
          <w:p w14:paraId="09EDEA5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1426 [21] lub</w:t>
            </w:r>
          </w:p>
          <w:p w14:paraId="07431EB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1427 [22]</w:t>
            </w:r>
          </w:p>
        </w:tc>
        <w:tc>
          <w:tcPr>
            <w:tcW w:w="1387" w:type="dxa"/>
            <w:vAlign w:val="center"/>
          </w:tcPr>
          <w:p w14:paraId="34FEEF0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4AECCDB0" w14:textId="77777777" w:rsidTr="008F7A94">
        <w:trPr>
          <w:jc w:val="center"/>
        </w:trPr>
        <w:tc>
          <w:tcPr>
            <w:tcW w:w="2748" w:type="dxa"/>
            <w:vMerge/>
            <w:vAlign w:val="center"/>
          </w:tcPr>
          <w:p w14:paraId="5028ED17" w14:textId="77777777" w:rsidR="00F45500" w:rsidRPr="007B192E" w:rsidRDefault="00F45500" w:rsidP="008F7A94">
            <w:pPr>
              <w:jc w:val="center"/>
              <w:rPr>
                <w:rFonts w:ascii="Arial" w:hAnsi="Arial" w:cs="Arial"/>
                <w:color w:val="000000" w:themeColor="text1"/>
                <w:sz w:val="18"/>
                <w:szCs w:val="18"/>
              </w:rPr>
            </w:pPr>
          </w:p>
        </w:tc>
        <w:tc>
          <w:tcPr>
            <w:tcW w:w="2276" w:type="dxa"/>
            <w:vAlign w:val="center"/>
          </w:tcPr>
          <w:p w14:paraId="4D1C6831" w14:textId="77777777" w:rsidR="00F45500" w:rsidRPr="007B192E" w:rsidRDefault="00F45500" w:rsidP="008F7A94">
            <w:pPr>
              <w:spacing w:before="60" w:after="60"/>
              <w:jc w:val="center"/>
              <w:rPr>
                <w:rFonts w:ascii="Arial" w:hAnsi="Arial" w:cs="Arial"/>
                <w:color w:val="000000" w:themeColor="text1"/>
                <w:sz w:val="18"/>
                <w:szCs w:val="18"/>
                <w:vertAlign w:val="superscript"/>
              </w:rPr>
            </w:pPr>
            <w:r w:rsidRPr="007B192E">
              <w:rPr>
                <w:rFonts w:ascii="Arial" w:hAnsi="Arial" w:cs="Arial"/>
                <w:color w:val="000000" w:themeColor="text1"/>
                <w:sz w:val="18"/>
                <w:szCs w:val="18"/>
              </w:rPr>
              <w:t>Nawrót sprężysty</w:t>
            </w:r>
            <w:r w:rsidRPr="007B192E">
              <w:rPr>
                <w:rFonts w:ascii="Arial" w:hAnsi="Arial" w:cs="Arial"/>
                <w:color w:val="000000" w:themeColor="text1"/>
                <w:sz w:val="18"/>
                <w:szCs w:val="18"/>
                <w:vertAlign w:val="superscript"/>
              </w:rPr>
              <w:t>*)</w:t>
            </w:r>
          </w:p>
        </w:tc>
        <w:tc>
          <w:tcPr>
            <w:tcW w:w="2337" w:type="dxa"/>
            <w:vAlign w:val="center"/>
          </w:tcPr>
          <w:p w14:paraId="55D5FBA9"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13398 [56]</w:t>
            </w:r>
          </w:p>
        </w:tc>
        <w:tc>
          <w:tcPr>
            <w:tcW w:w="1387" w:type="dxa"/>
            <w:vAlign w:val="center"/>
          </w:tcPr>
          <w:p w14:paraId="0D2476C3"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32ADC141" w14:textId="77777777" w:rsidTr="008F7A94">
        <w:trPr>
          <w:jc w:val="center"/>
        </w:trPr>
        <w:tc>
          <w:tcPr>
            <w:tcW w:w="2748" w:type="dxa"/>
            <w:vMerge w:val="restart"/>
            <w:vAlign w:val="center"/>
          </w:tcPr>
          <w:p w14:paraId="799BB14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Wypełniacz</w:t>
            </w:r>
          </w:p>
          <w:p w14:paraId="64ECD08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13043[49])</w:t>
            </w:r>
          </w:p>
        </w:tc>
        <w:tc>
          <w:tcPr>
            <w:tcW w:w="2276" w:type="dxa"/>
            <w:vAlign w:val="center"/>
          </w:tcPr>
          <w:p w14:paraId="6C099074"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Uziarnienie</w:t>
            </w:r>
          </w:p>
        </w:tc>
        <w:tc>
          <w:tcPr>
            <w:tcW w:w="2337" w:type="dxa"/>
            <w:vAlign w:val="center"/>
          </w:tcPr>
          <w:p w14:paraId="45F7AD2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933-10 [12]</w:t>
            </w:r>
          </w:p>
        </w:tc>
        <w:tc>
          <w:tcPr>
            <w:tcW w:w="1387" w:type="dxa"/>
            <w:vAlign w:val="center"/>
          </w:tcPr>
          <w:p w14:paraId="49BB54B7"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063ADB3E" w14:textId="77777777" w:rsidTr="008F7A94">
        <w:trPr>
          <w:jc w:val="center"/>
        </w:trPr>
        <w:tc>
          <w:tcPr>
            <w:tcW w:w="2748" w:type="dxa"/>
            <w:vMerge/>
            <w:vAlign w:val="center"/>
          </w:tcPr>
          <w:p w14:paraId="4EDBAD1C" w14:textId="77777777" w:rsidR="00F45500" w:rsidRPr="007B192E" w:rsidRDefault="00F45500" w:rsidP="008F7A94">
            <w:pPr>
              <w:jc w:val="center"/>
              <w:rPr>
                <w:rFonts w:ascii="Arial" w:hAnsi="Arial" w:cs="Arial"/>
                <w:color w:val="000000" w:themeColor="text1"/>
                <w:sz w:val="18"/>
                <w:szCs w:val="18"/>
              </w:rPr>
            </w:pPr>
          </w:p>
        </w:tc>
        <w:tc>
          <w:tcPr>
            <w:tcW w:w="2276" w:type="dxa"/>
            <w:vAlign w:val="center"/>
          </w:tcPr>
          <w:p w14:paraId="5C8CE47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Gęstość</w:t>
            </w:r>
          </w:p>
        </w:tc>
        <w:tc>
          <w:tcPr>
            <w:tcW w:w="2337" w:type="dxa"/>
            <w:vAlign w:val="center"/>
          </w:tcPr>
          <w:p w14:paraId="242656AB"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1097-7 [17]</w:t>
            </w:r>
          </w:p>
        </w:tc>
        <w:tc>
          <w:tcPr>
            <w:tcW w:w="1387" w:type="dxa"/>
            <w:vAlign w:val="center"/>
          </w:tcPr>
          <w:p w14:paraId="6DD7ADFE"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5B05C1F7" w14:textId="77777777" w:rsidTr="008F7A94">
        <w:trPr>
          <w:jc w:val="center"/>
        </w:trPr>
        <w:tc>
          <w:tcPr>
            <w:tcW w:w="2748" w:type="dxa"/>
            <w:vAlign w:val="center"/>
          </w:tcPr>
          <w:p w14:paraId="1AF997A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Dodatki</w:t>
            </w:r>
          </w:p>
        </w:tc>
        <w:tc>
          <w:tcPr>
            <w:tcW w:w="2276" w:type="dxa"/>
            <w:vAlign w:val="center"/>
          </w:tcPr>
          <w:p w14:paraId="743B384E"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Typ</w:t>
            </w:r>
          </w:p>
        </w:tc>
        <w:tc>
          <w:tcPr>
            <w:tcW w:w="2337" w:type="dxa"/>
            <w:vAlign w:val="center"/>
          </w:tcPr>
          <w:p w14:paraId="1EEBFE5A" w14:textId="77777777" w:rsidR="00F45500" w:rsidRPr="007B192E" w:rsidRDefault="00F45500" w:rsidP="008F7A94">
            <w:pPr>
              <w:spacing w:before="60" w:after="60"/>
              <w:jc w:val="center"/>
              <w:rPr>
                <w:rFonts w:ascii="Arial" w:hAnsi="Arial" w:cs="Arial"/>
                <w:color w:val="000000" w:themeColor="text1"/>
                <w:sz w:val="18"/>
                <w:szCs w:val="18"/>
              </w:rPr>
            </w:pPr>
          </w:p>
        </w:tc>
        <w:tc>
          <w:tcPr>
            <w:tcW w:w="1387" w:type="dxa"/>
            <w:vAlign w:val="center"/>
          </w:tcPr>
          <w:p w14:paraId="5E897977" w14:textId="77777777" w:rsidR="00F45500" w:rsidRPr="007B192E" w:rsidRDefault="00F45500" w:rsidP="008F7A94">
            <w:pPr>
              <w:spacing w:before="60" w:after="60"/>
              <w:jc w:val="center"/>
              <w:rPr>
                <w:rFonts w:ascii="Arial" w:hAnsi="Arial" w:cs="Arial"/>
                <w:color w:val="000000" w:themeColor="text1"/>
                <w:sz w:val="18"/>
                <w:szCs w:val="18"/>
              </w:rPr>
            </w:pPr>
          </w:p>
        </w:tc>
      </w:tr>
    </w:tbl>
    <w:p w14:paraId="06EF049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vertAlign w:val="superscript"/>
        </w:rPr>
        <w:t>*)</w:t>
      </w:r>
      <w:r w:rsidRPr="007B192E">
        <w:rPr>
          <w:rFonts w:ascii="Arial" w:hAnsi="Arial" w:cs="Arial"/>
          <w:color w:val="000000" w:themeColor="text1"/>
          <w:sz w:val="18"/>
          <w:szCs w:val="18"/>
        </w:rPr>
        <w:t xml:space="preserve"> dotyczy jedynie lepiszczy wg PN-EN 14023[64]</w:t>
      </w:r>
    </w:p>
    <w:p w14:paraId="1A90B362" w14:textId="77777777" w:rsidR="00F45500" w:rsidRPr="007B192E" w:rsidRDefault="00F45500" w:rsidP="00C12426">
      <w:pPr>
        <w:widowControl/>
        <w:numPr>
          <w:ilvl w:val="0"/>
          <w:numId w:val="245"/>
        </w:numPr>
        <w:suppressAutoHyphens w:val="0"/>
        <w:autoSpaceDN w:val="0"/>
        <w:adjustRightInd w:val="0"/>
        <w:spacing w:before="120"/>
        <w:ind w:left="425" w:hanging="357"/>
        <w:jc w:val="both"/>
        <w:rPr>
          <w:rFonts w:ascii="Arial" w:hAnsi="Arial" w:cs="Arial"/>
          <w:color w:val="000000" w:themeColor="text1"/>
          <w:sz w:val="18"/>
          <w:szCs w:val="18"/>
        </w:rPr>
      </w:pPr>
      <w:r w:rsidRPr="007B192E">
        <w:rPr>
          <w:rFonts w:ascii="Arial" w:hAnsi="Arial" w:cs="Arial"/>
          <w:color w:val="000000" w:themeColor="text1"/>
          <w:sz w:val="18"/>
          <w:szCs w:val="18"/>
        </w:rPr>
        <w:t>informacje o mieszance mineralno-asfaltowej:</w:t>
      </w:r>
    </w:p>
    <w:p w14:paraId="3C3E80DB" w14:textId="77777777" w:rsidR="00F45500" w:rsidRPr="007B192E" w:rsidRDefault="00F45500" w:rsidP="00C12426">
      <w:pPr>
        <w:widowControl/>
        <w:numPr>
          <w:ilvl w:val="0"/>
          <w:numId w:val="23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skład mieszaki podany jako wejściowy (w przypadku walidacji w laboratorium) lub wyjściowy skład (w wypadku walidacji produkcji),</w:t>
      </w:r>
    </w:p>
    <w:p w14:paraId="44E22B9F" w14:textId="77777777" w:rsidR="00F45500" w:rsidRPr="007B192E" w:rsidRDefault="00F45500" w:rsidP="00C12426">
      <w:pPr>
        <w:widowControl/>
        <w:numPr>
          <w:ilvl w:val="0"/>
          <w:numId w:val="23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wyniki badań zgodnie z zestawieniem podanym w tablicy 25.</w:t>
      </w:r>
    </w:p>
    <w:p w14:paraId="33B05957" w14:textId="77777777" w:rsidR="00F45500" w:rsidRPr="007B192E" w:rsidRDefault="00F45500" w:rsidP="00F45500">
      <w:pPr>
        <w:spacing w:before="240" w:after="120"/>
        <w:jc w:val="both"/>
        <w:rPr>
          <w:rFonts w:ascii="Arial" w:hAnsi="Arial" w:cs="Arial"/>
          <w:color w:val="000000" w:themeColor="text1"/>
          <w:sz w:val="18"/>
          <w:szCs w:val="18"/>
        </w:rPr>
      </w:pPr>
      <w:r w:rsidRPr="007B192E">
        <w:rPr>
          <w:rFonts w:ascii="Arial" w:hAnsi="Arial" w:cs="Arial"/>
          <w:color w:val="000000" w:themeColor="text1"/>
          <w:sz w:val="18"/>
          <w:szCs w:val="18"/>
        </w:rPr>
        <w:t>Tablica 25. Rodzaj i liczba badań mieszanki mineralno-asfaltowej</w:t>
      </w:r>
    </w:p>
    <w:tbl>
      <w:tblPr>
        <w:tblW w:w="88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4D7D23" w:rsidRPr="007B192E" w14:paraId="7923D34D" w14:textId="77777777" w:rsidTr="008F7A94">
        <w:trPr>
          <w:jc w:val="center"/>
        </w:trPr>
        <w:tc>
          <w:tcPr>
            <w:tcW w:w="3828" w:type="dxa"/>
            <w:vAlign w:val="center"/>
          </w:tcPr>
          <w:p w14:paraId="0F602BA3"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Właściwość</w:t>
            </w:r>
          </w:p>
        </w:tc>
        <w:tc>
          <w:tcPr>
            <w:tcW w:w="3360" w:type="dxa"/>
            <w:vAlign w:val="center"/>
          </w:tcPr>
          <w:p w14:paraId="7776B533"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Metoda badania</w:t>
            </w:r>
          </w:p>
        </w:tc>
        <w:tc>
          <w:tcPr>
            <w:tcW w:w="1680" w:type="dxa"/>
            <w:vAlign w:val="center"/>
          </w:tcPr>
          <w:p w14:paraId="20124D15"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Liczba badań</w:t>
            </w:r>
          </w:p>
        </w:tc>
      </w:tr>
      <w:tr w:rsidR="004D7D23" w:rsidRPr="007B192E" w14:paraId="766E84CC" w14:textId="77777777" w:rsidTr="008F7A94">
        <w:trPr>
          <w:jc w:val="center"/>
        </w:trPr>
        <w:tc>
          <w:tcPr>
            <w:tcW w:w="3828" w:type="dxa"/>
            <w:vAlign w:val="center"/>
          </w:tcPr>
          <w:p w14:paraId="6E6E2569"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Zawartość lepiszcza (obowiązkowa)</w:t>
            </w:r>
          </w:p>
        </w:tc>
        <w:tc>
          <w:tcPr>
            <w:tcW w:w="3360" w:type="dxa"/>
            <w:vAlign w:val="center"/>
          </w:tcPr>
          <w:p w14:paraId="129E117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12697-1[31]</w:t>
            </w:r>
          </w:p>
          <w:p w14:paraId="5511313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12697-39[45]</w:t>
            </w:r>
          </w:p>
        </w:tc>
        <w:tc>
          <w:tcPr>
            <w:tcW w:w="1680" w:type="dxa"/>
            <w:vAlign w:val="center"/>
          </w:tcPr>
          <w:p w14:paraId="0F98DD4D"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06B5D579" w14:textId="77777777" w:rsidTr="008F7A94">
        <w:trPr>
          <w:jc w:val="center"/>
        </w:trPr>
        <w:tc>
          <w:tcPr>
            <w:tcW w:w="3828" w:type="dxa"/>
            <w:vAlign w:val="center"/>
          </w:tcPr>
          <w:p w14:paraId="08E97E4C"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Uziarnienie (obowiązkowa)</w:t>
            </w:r>
          </w:p>
        </w:tc>
        <w:tc>
          <w:tcPr>
            <w:tcW w:w="3360" w:type="dxa"/>
            <w:vAlign w:val="center"/>
          </w:tcPr>
          <w:p w14:paraId="009EEA94"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12697-2 [32]</w:t>
            </w:r>
          </w:p>
        </w:tc>
        <w:tc>
          <w:tcPr>
            <w:tcW w:w="1680" w:type="dxa"/>
            <w:vAlign w:val="center"/>
          </w:tcPr>
          <w:p w14:paraId="6B99CF62"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71F0FA6A" w14:textId="77777777" w:rsidTr="008F7A94">
        <w:trPr>
          <w:jc w:val="center"/>
        </w:trPr>
        <w:tc>
          <w:tcPr>
            <w:tcW w:w="3828" w:type="dxa"/>
            <w:vAlign w:val="center"/>
          </w:tcPr>
          <w:p w14:paraId="08CB2D2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wolnych przestrzeni łącznie z VFB i VMA przy wymaganej zawartości wolnych przestrzeni V</w:t>
            </w:r>
            <w:r w:rsidRPr="007B192E">
              <w:rPr>
                <w:rFonts w:ascii="Arial" w:hAnsi="Arial" w:cs="Arial"/>
                <w:color w:val="000000" w:themeColor="text1"/>
                <w:sz w:val="18"/>
                <w:szCs w:val="18"/>
                <w:vertAlign w:val="subscript"/>
              </w:rPr>
              <w:t>max</w:t>
            </w:r>
            <w:r w:rsidRPr="007B192E">
              <w:rPr>
                <w:rFonts w:ascii="Arial" w:hAnsi="Arial" w:cs="Arial"/>
                <w:color w:val="000000" w:themeColor="text1"/>
                <w:sz w:val="18"/>
                <w:szCs w:val="18"/>
              </w:rPr>
              <w:t>≤7% (obowiązkowa)</w:t>
            </w:r>
          </w:p>
        </w:tc>
        <w:tc>
          <w:tcPr>
            <w:tcW w:w="3360" w:type="dxa"/>
            <w:vAlign w:val="center"/>
          </w:tcPr>
          <w:p w14:paraId="758FA208"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12697-8 [35]</w:t>
            </w:r>
          </w:p>
          <w:p w14:paraId="2247F29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Gęstość objętościowa wg PN-EN 12697-6 [34], metoda B, w stanie </w:t>
            </w:r>
            <w:r w:rsidRPr="007B192E">
              <w:rPr>
                <w:rFonts w:ascii="Arial" w:hAnsi="Arial" w:cs="Arial"/>
                <w:color w:val="000000" w:themeColor="text1"/>
                <w:sz w:val="18"/>
                <w:szCs w:val="18"/>
              </w:rPr>
              <w:lastRenderedPageBreak/>
              <w:t>nasyconym powierz-</w:t>
            </w:r>
            <w:proofErr w:type="spellStart"/>
            <w:r w:rsidRPr="007B192E">
              <w:rPr>
                <w:rFonts w:ascii="Arial" w:hAnsi="Arial" w:cs="Arial"/>
                <w:color w:val="000000" w:themeColor="text1"/>
                <w:sz w:val="18"/>
                <w:szCs w:val="18"/>
              </w:rPr>
              <w:t>chniowo</w:t>
            </w:r>
            <w:proofErr w:type="spellEnd"/>
            <w:r w:rsidRPr="007B192E">
              <w:rPr>
                <w:rFonts w:ascii="Arial" w:hAnsi="Arial" w:cs="Arial"/>
                <w:color w:val="000000" w:themeColor="text1"/>
                <w:sz w:val="18"/>
                <w:szCs w:val="18"/>
              </w:rPr>
              <w:t xml:space="preserve"> suchym. Gęstość wg PN-EN 12697-5 [33], metoda A w wodzie</w:t>
            </w:r>
          </w:p>
        </w:tc>
        <w:tc>
          <w:tcPr>
            <w:tcW w:w="1680" w:type="dxa"/>
            <w:vAlign w:val="center"/>
          </w:tcPr>
          <w:p w14:paraId="3D322AB3" w14:textId="77777777" w:rsidR="00F45500" w:rsidRPr="007B192E" w:rsidRDefault="00F45500" w:rsidP="008F7A94">
            <w:pPr>
              <w:jc w:val="center"/>
              <w:rPr>
                <w:rFonts w:ascii="Arial" w:hAnsi="Arial" w:cs="Arial"/>
                <w:color w:val="000000" w:themeColor="text1"/>
                <w:sz w:val="18"/>
                <w:szCs w:val="18"/>
              </w:rPr>
            </w:pPr>
          </w:p>
          <w:p w14:paraId="489CF66F" w14:textId="77777777" w:rsidR="00F45500" w:rsidRPr="007B192E" w:rsidRDefault="00F45500" w:rsidP="008F7A94">
            <w:pPr>
              <w:jc w:val="center"/>
              <w:rPr>
                <w:rFonts w:ascii="Arial" w:hAnsi="Arial" w:cs="Arial"/>
                <w:color w:val="000000" w:themeColor="text1"/>
                <w:sz w:val="18"/>
                <w:szCs w:val="18"/>
              </w:rPr>
            </w:pPr>
          </w:p>
          <w:p w14:paraId="48A6DF42" w14:textId="77777777" w:rsidR="00F45500" w:rsidRPr="007B192E" w:rsidRDefault="00F45500" w:rsidP="008F7A94">
            <w:pPr>
              <w:jc w:val="center"/>
              <w:rPr>
                <w:rFonts w:ascii="Arial" w:hAnsi="Arial" w:cs="Arial"/>
                <w:color w:val="000000" w:themeColor="text1"/>
                <w:sz w:val="18"/>
                <w:szCs w:val="18"/>
              </w:rPr>
            </w:pPr>
          </w:p>
          <w:p w14:paraId="44CFC62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1</w:t>
            </w:r>
          </w:p>
        </w:tc>
      </w:tr>
      <w:tr w:rsidR="004D7D23" w:rsidRPr="007B192E" w14:paraId="56B580D9" w14:textId="77777777" w:rsidTr="008F7A94">
        <w:trPr>
          <w:jc w:val="center"/>
        </w:trPr>
        <w:tc>
          <w:tcPr>
            <w:tcW w:w="3828" w:type="dxa"/>
            <w:vAlign w:val="center"/>
          </w:tcPr>
          <w:p w14:paraId="44C39C3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Wrażliwość na działanie wody (powiązana funkcjonalnie)</w:t>
            </w:r>
          </w:p>
        </w:tc>
        <w:tc>
          <w:tcPr>
            <w:tcW w:w="3360" w:type="dxa"/>
            <w:vAlign w:val="center"/>
          </w:tcPr>
          <w:p w14:paraId="1F4C861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PN-EN 12697-12 [37]</w:t>
            </w:r>
          </w:p>
        </w:tc>
        <w:tc>
          <w:tcPr>
            <w:tcW w:w="1680" w:type="dxa"/>
            <w:vAlign w:val="center"/>
          </w:tcPr>
          <w:p w14:paraId="55C08B86"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28EA9179" w14:textId="77777777" w:rsidTr="008F7A94">
        <w:trPr>
          <w:jc w:val="center"/>
        </w:trPr>
        <w:tc>
          <w:tcPr>
            <w:tcW w:w="3828" w:type="dxa"/>
            <w:vAlign w:val="center"/>
          </w:tcPr>
          <w:p w14:paraId="0C1CF7A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Odporność na deformacje trwałe (powiązana funkcjonalnie), dotyczy betonu asfaltowego </w:t>
            </w:r>
            <w:proofErr w:type="spellStart"/>
            <w:r w:rsidRPr="007B192E">
              <w:rPr>
                <w:rFonts w:ascii="Arial" w:hAnsi="Arial" w:cs="Arial"/>
                <w:color w:val="000000" w:themeColor="text1"/>
                <w:sz w:val="18"/>
                <w:szCs w:val="18"/>
              </w:rPr>
              <w:t>zaprojektowa-nego</w:t>
            </w:r>
            <w:proofErr w:type="spellEnd"/>
            <w:r w:rsidRPr="007B192E">
              <w:rPr>
                <w:rFonts w:ascii="Arial" w:hAnsi="Arial" w:cs="Arial"/>
                <w:color w:val="000000" w:themeColor="text1"/>
                <w:sz w:val="18"/>
                <w:szCs w:val="18"/>
              </w:rPr>
              <w:t xml:space="preserve"> do maksymalnego obciążenia osi poniżej 130 </w:t>
            </w:r>
            <w:proofErr w:type="spellStart"/>
            <w:r w:rsidRPr="007B192E">
              <w:rPr>
                <w:rFonts w:ascii="Arial" w:hAnsi="Arial" w:cs="Arial"/>
                <w:color w:val="000000" w:themeColor="text1"/>
                <w:sz w:val="18"/>
                <w:szCs w:val="18"/>
              </w:rPr>
              <w:t>kN</w:t>
            </w:r>
            <w:proofErr w:type="spellEnd"/>
          </w:p>
        </w:tc>
        <w:tc>
          <w:tcPr>
            <w:tcW w:w="3360" w:type="dxa"/>
            <w:vAlign w:val="center"/>
          </w:tcPr>
          <w:p w14:paraId="4E54731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12697-22 [39]</w:t>
            </w:r>
          </w:p>
          <w:p w14:paraId="18D01B8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mały aparat, metoda B w powietrzu, przy wymaganej temperaturze</w:t>
            </w:r>
          </w:p>
        </w:tc>
        <w:tc>
          <w:tcPr>
            <w:tcW w:w="1680" w:type="dxa"/>
            <w:vAlign w:val="center"/>
          </w:tcPr>
          <w:p w14:paraId="02BC487C" w14:textId="77777777" w:rsidR="00F45500" w:rsidRPr="007B192E" w:rsidRDefault="00F45500" w:rsidP="008F7A94">
            <w:pPr>
              <w:jc w:val="center"/>
              <w:rPr>
                <w:rFonts w:ascii="Arial" w:hAnsi="Arial" w:cs="Arial"/>
                <w:color w:val="000000" w:themeColor="text1"/>
                <w:sz w:val="18"/>
                <w:szCs w:val="18"/>
              </w:rPr>
            </w:pPr>
          </w:p>
          <w:p w14:paraId="0C357300" w14:textId="77777777" w:rsidR="00F45500" w:rsidRPr="007B192E" w:rsidRDefault="00F45500" w:rsidP="008F7A94">
            <w:pPr>
              <w:jc w:val="center"/>
              <w:rPr>
                <w:rFonts w:ascii="Arial" w:hAnsi="Arial" w:cs="Arial"/>
                <w:color w:val="000000" w:themeColor="text1"/>
                <w:sz w:val="18"/>
                <w:szCs w:val="18"/>
              </w:rPr>
            </w:pPr>
          </w:p>
          <w:p w14:paraId="7989721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07E087EB" w14:textId="77777777" w:rsidTr="008F7A94">
        <w:trPr>
          <w:jc w:val="center"/>
        </w:trPr>
        <w:tc>
          <w:tcPr>
            <w:tcW w:w="3828" w:type="dxa"/>
            <w:vAlign w:val="center"/>
          </w:tcPr>
          <w:p w14:paraId="49DB9145"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Sztywność (funkcjonalna)</w:t>
            </w:r>
          </w:p>
        </w:tc>
        <w:tc>
          <w:tcPr>
            <w:tcW w:w="3360" w:type="dxa"/>
            <w:vAlign w:val="center"/>
          </w:tcPr>
          <w:p w14:paraId="0760D465"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PN-EN 12697-26 [42]</w:t>
            </w:r>
          </w:p>
        </w:tc>
        <w:tc>
          <w:tcPr>
            <w:tcW w:w="1680" w:type="dxa"/>
            <w:vAlign w:val="center"/>
          </w:tcPr>
          <w:p w14:paraId="28C0CF61"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74C41301" w14:textId="77777777" w:rsidTr="008F7A94">
        <w:trPr>
          <w:jc w:val="center"/>
        </w:trPr>
        <w:tc>
          <w:tcPr>
            <w:tcW w:w="3828" w:type="dxa"/>
            <w:vAlign w:val="center"/>
          </w:tcPr>
          <w:p w14:paraId="4BCB076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Zmęczenie (funkcjonalna) do nawierzchni zaprojektowanych wg kryterium opartym na czteropunktowym zginaniu</w:t>
            </w:r>
          </w:p>
        </w:tc>
        <w:tc>
          <w:tcPr>
            <w:tcW w:w="3360" w:type="dxa"/>
            <w:vAlign w:val="center"/>
          </w:tcPr>
          <w:p w14:paraId="46E6F93E" w14:textId="77777777" w:rsidR="00F45500" w:rsidRPr="007B192E" w:rsidRDefault="00F45500" w:rsidP="008F7A94">
            <w:pPr>
              <w:jc w:val="center"/>
              <w:rPr>
                <w:rFonts w:ascii="Arial" w:hAnsi="Arial" w:cs="Arial"/>
                <w:color w:val="000000" w:themeColor="text1"/>
                <w:sz w:val="18"/>
                <w:szCs w:val="18"/>
              </w:rPr>
            </w:pPr>
          </w:p>
          <w:p w14:paraId="25F493A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PN-EN 12697-24 [41], załącznik D</w:t>
            </w:r>
          </w:p>
        </w:tc>
        <w:tc>
          <w:tcPr>
            <w:tcW w:w="1680" w:type="dxa"/>
            <w:vAlign w:val="center"/>
          </w:tcPr>
          <w:p w14:paraId="32D1E049" w14:textId="77777777" w:rsidR="00F45500" w:rsidRPr="007B192E" w:rsidRDefault="00F45500" w:rsidP="008F7A94">
            <w:pPr>
              <w:jc w:val="center"/>
              <w:rPr>
                <w:rFonts w:ascii="Arial" w:hAnsi="Arial" w:cs="Arial"/>
                <w:color w:val="000000" w:themeColor="text1"/>
                <w:sz w:val="18"/>
                <w:szCs w:val="18"/>
              </w:rPr>
            </w:pPr>
          </w:p>
          <w:p w14:paraId="3896303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4D7D23" w:rsidRPr="007B192E" w14:paraId="2B7388EC" w14:textId="77777777" w:rsidTr="008F7A94">
        <w:trPr>
          <w:jc w:val="center"/>
        </w:trPr>
        <w:tc>
          <w:tcPr>
            <w:tcW w:w="3828" w:type="dxa"/>
            <w:vAlign w:val="center"/>
          </w:tcPr>
          <w:p w14:paraId="2119FE9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Odporność na paliwo (powiązana funkcjonalnie)</w:t>
            </w:r>
          </w:p>
        </w:tc>
        <w:tc>
          <w:tcPr>
            <w:tcW w:w="3360" w:type="dxa"/>
            <w:vAlign w:val="center"/>
          </w:tcPr>
          <w:p w14:paraId="7D485F49"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PN-EN 12697-43 [47]</w:t>
            </w:r>
          </w:p>
        </w:tc>
        <w:tc>
          <w:tcPr>
            <w:tcW w:w="1680" w:type="dxa"/>
            <w:vAlign w:val="center"/>
          </w:tcPr>
          <w:p w14:paraId="5C7C6675"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r w:rsidR="00F45500" w:rsidRPr="007B192E" w14:paraId="00DA5F94" w14:textId="77777777" w:rsidTr="008F7A94">
        <w:trPr>
          <w:jc w:val="center"/>
        </w:trPr>
        <w:tc>
          <w:tcPr>
            <w:tcW w:w="3828" w:type="dxa"/>
            <w:vAlign w:val="center"/>
          </w:tcPr>
          <w:p w14:paraId="0A58873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Odporność na środki odladzające (powiązana funkcjonalnie)</w:t>
            </w:r>
          </w:p>
        </w:tc>
        <w:tc>
          <w:tcPr>
            <w:tcW w:w="3360" w:type="dxa"/>
            <w:vAlign w:val="center"/>
          </w:tcPr>
          <w:p w14:paraId="0148661C"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PN-EN 12697-41 [46]</w:t>
            </w:r>
          </w:p>
        </w:tc>
        <w:tc>
          <w:tcPr>
            <w:tcW w:w="1680" w:type="dxa"/>
            <w:vAlign w:val="center"/>
          </w:tcPr>
          <w:p w14:paraId="5181EFD3"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r>
    </w:tbl>
    <w:p w14:paraId="54915B40" w14:textId="77777777" w:rsidR="00F45500" w:rsidRPr="007B192E" w:rsidRDefault="00F45500" w:rsidP="00F45500">
      <w:pPr>
        <w:jc w:val="both"/>
        <w:rPr>
          <w:rFonts w:ascii="Arial" w:hAnsi="Arial" w:cs="Arial"/>
          <w:color w:val="000000" w:themeColor="text1"/>
          <w:sz w:val="18"/>
          <w:szCs w:val="18"/>
          <w:highlight w:val="yellow"/>
        </w:rPr>
      </w:pPr>
    </w:p>
    <w:p w14:paraId="67667FB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Badanie typu należy przeprowadzić zgodnie z PN-EN 13108-20 [52] przy pierwszym wprowadzeniu mieszanek mineralno-asfaltowych do obrotu i powinno być powtórzone w wypadku:</w:t>
      </w:r>
    </w:p>
    <w:p w14:paraId="623E7023"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upływu trzech lat,</w:t>
      </w:r>
    </w:p>
    <w:p w14:paraId="1060D4B2"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złoża kruszywa,</w:t>
      </w:r>
    </w:p>
    <w:p w14:paraId="6DCC6C4E"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rodzaju kruszywa (typu petrograficznego),</w:t>
      </w:r>
    </w:p>
    <w:p w14:paraId="5663DCA7"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zmiany kategorii kruszywa grubego, jak definiowano w PN-EN 13043 [49], jednej z następujących właściwości: kształtu, udziału ziaren częściowo </w:t>
      </w:r>
      <w:proofErr w:type="spellStart"/>
      <w:r w:rsidRPr="007B192E">
        <w:rPr>
          <w:rFonts w:ascii="Arial" w:hAnsi="Arial" w:cs="Arial"/>
          <w:color w:val="000000" w:themeColor="text1"/>
          <w:sz w:val="18"/>
          <w:szCs w:val="18"/>
        </w:rPr>
        <w:t>przekruszonych</w:t>
      </w:r>
      <w:proofErr w:type="spellEnd"/>
      <w:r w:rsidRPr="007B192E">
        <w:rPr>
          <w:rFonts w:ascii="Arial" w:hAnsi="Arial" w:cs="Arial"/>
          <w:color w:val="000000" w:themeColor="text1"/>
          <w:sz w:val="18"/>
          <w:szCs w:val="18"/>
        </w:rPr>
        <w:t>, odporności na rozdrabnianie, odporności na ścieranie lub kanciastości kruszywa drobnego,</w:t>
      </w:r>
    </w:p>
    <w:p w14:paraId="5014D74C"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gęstości ziaren (średnia ważona) o więcej niż 0,05 Mg/m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w:t>
      </w:r>
    </w:p>
    <w:p w14:paraId="4A945646"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rodzaju lepiszcza,</w:t>
      </w:r>
    </w:p>
    <w:p w14:paraId="37BEA933"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zmiany typu mineralogicznego wypełniacza.</w:t>
      </w:r>
    </w:p>
    <w:p w14:paraId="286DE75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1B50B7F8"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6.3. Badania w czasie robót</w:t>
      </w:r>
    </w:p>
    <w:p w14:paraId="02AE63E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dzielą się na:</w:t>
      </w:r>
    </w:p>
    <w:p w14:paraId="773AB72E" w14:textId="77777777" w:rsidR="00F45500" w:rsidRPr="007B192E"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badania Wykonawcy (w ramach własnego nadzoru),</w:t>
      </w:r>
    </w:p>
    <w:p w14:paraId="22925700" w14:textId="77777777" w:rsidR="00F45500" w:rsidRPr="007B192E" w:rsidRDefault="00F45500" w:rsidP="00C12426">
      <w:pPr>
        <w:widowControl/>
        <w:numPr>
          <w:ilvl w:val="0"/>
          <w:numId w:val="21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badania kontrolne (w ramach nadzoru zleceniodawcy – Inżyniera):</w:t>
      </w:r>
    </w:p>
    <w:p w14:paraId="63206C25" w14:textId="77777777" w:rsidR="00F45500" w:rsidRPr="007B192E"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dodatkowe,</w:t>
      </w:r>
    </w:p>
    <w:p w14:paraId="6DE1BCC7" w14:textId="77777777" w:rsidR="00F45500" w:rsidRPr="007B192E" w:rsidRDefault="00F45500" w:rsidP="00C12426">
      <w:pPr>
        <w:widowControl/>
        <w:numPr>
          <w:ilvl w:val="0"/>
          <w:numId w:val="214"/>
        </w:numPr>
        <w:suppressAutoHyphens w:val="0"/>
        <w:autoSpaceDN w:val="0"/>
        <w:adjustRightInd w:val="0"/>
        <w:ind w:hanging="37"/>
        <w:jc w:val="both"/>
        <w:rPr>
          <w:rFonts w:ascii="Arial" w:hAnsi="Arial" w:cs="Arial"/>
          <w:color w:val="000000" w:themeColor="text1"/>
          <w:sz w:val="18"/>
          <w:szCs w:val="18"/>
        </w:rPr>
      </w:pPr>
      <w:r w:rsidRPr="007B192E">
        <w:rPr>
          <w:rFonts w:ascii="Arial" w:hAnsi="Arial" w:cs="Arial"/>
          <w:color w:val="000000" w:themeColor="text1"/>
          <w:sz w:val="18"/>
          <w:szCs w:val="18"/>
        </w:rPr>
        <w:t>arbitrażowe.</w:t>
      </w:r>
    </w:p>
    <w:p w14:paraId="0814095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6.4. Badania Wykonawcy</w:t>
      </w:r>
    </w:p>
    <w:p w14:paraId="03B8245B"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6.4.1.</w:t>
      </w:r>
      <w:r w:rsidRPr="007B192E">
        <w:rPr>
          <w:rFonts w:ascii="Arial" w:hAnsi="Arial" w:cs="Arial"/>
          <w:color w:val="000000" w:themeColor="text1"/>
          <w:sz w:val="18"/>
          <w:szCs w:val="18"/>
        </w:rPr>
        <w:t xml:space="preserve"> Badania w czasie wytwarzania mieszanki mineralno-asfaltowej </w:t>
      </w:r>
    </w:p>
    <w:p w14:paraId="4A577C4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Wykonawcy w czasie wytwarzania mieszanki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–asfaltowej powinny być wykonywane w ramach zakładowej kontroli produkcji, zgodnie z normą PN-EN 13108-21 [53].</w:t>
      </w:r>
    </w:p>
    <w:p w14:paraId="19481CC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Zakres badań Wykonawcy w systemie zakładowej kontroli produkcji obejmuje:</w:t>
      </w:r>
    </w:p>
    <w:p w14:paraId="7E855F86" w14:textId="77777777" w:rsidR="00F45500" w:rsidRPr="007B192E"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materiałów wsadowych do mieszanki mineralno-asfaltowej (asfaltów, kruszyw wypełniacza  i dodatków), </w:t>
      </w:r>
    </w:p>
    <w:p w14:paraId="5DAE9855" w14:textId="77777777" w:rsidR="00F45500" w:rsidRPr="007B192E" w:rsidRDefault="00F45500" w:rsidP="00C12426">
      <w:pPr>
        <w:widowControl/>
        <w:numPr>
          <w:ilvl w:val="0"/>
          <w:numId w:val="21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badanie składu i właściwości mieszanki mineralno-asfaltowej.</w:t>
      </w:r>
    </w:p>
    <w:p w14:paraId="0E16CA1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Częstotliwość oraz zakres badań i pomiarów w czasie wytwarzania mieszanki mineralno-asfaltowej powinno być zgodne z certyfikowanym systemem ZKP. </w:t>
      </w:r>
    </w:p>
    <w:p w14:paraId="1B530289"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6.4.2.</w:t>
      </w:r>
      <w:r w:rsidRPr="007B192E">
        <w:rPr>
          <w:rFonts w:ascii="Arial" w:hAnsi="Arial" w:cs="Arial"/>
          <w:color w:val="000000" w:themeColor="text1"/>
          <w:sz w:val="18"/>
          <w:szCs w:val="18"/>
        </w:rPr>
        <w:t xml:space="preserve"> Badania w czasie wykonywania warstwy asfaltowej i badania gotowej warstwy</w:t>
      </w:r>
      <w:r w:rsidRPr="007B192E">
        <w:rPr>
          <w:rFonts w:ascii="Arial" w:hAnsi="Arial" w:cs="Arial"/>
          <w:color w:val="000000" w:themeColor="text1"/>
          <w:sz w:val="18"/>
          <w:szCs w:val="18"/>
        </w:rPr>
        <w:tab/>
      </w:r>
    </w:p>
    <w:p w14:paraId="5A950E1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234B98A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262AF20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6.5.</w:t>
      </w:r>
    </w:p>
    <w:p w14:paraId="5894412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Zakres badań Wykonawcy związany z wykonywaniem nawierzchni:</w:t>
      </w:r>
    </w:p>
    <w:p w14:paraId="4A942EA3"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powietrza,</w:t>
      </w:r>
    </w:p>
    <w:p w14:paraId="31CE0945"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mieszanki mineralno-asfaltowej podczas wykonywania nawierzchni (wg PN-EN 12697-13 [38]),</w:t>
      </w:r>
    </w:p>
    <w:p w14:paraId="48465EAD"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mieszanki mineralno-asfaltowej,</w:t>
      </w:r>
    </w:p>
    <w:p w14:paraId="4EAAFF0B"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posypki,</w:t>
      </w:r>
    </w:p>
    <w:p w14:paraId="11072DED"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wykaz ilości materiałów lub grubości wykonanej warstwy,</w:t>
      </w:r>
    </w:p>
    <w:p w14:paraId="5B79AA46"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spadku poprzecznego warstwy asfaltowej,</w:t>
      </w:r>
    </w:p>
    <w:p w14:paraId="65861CB7"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pomiar równości warstwy asfaltowej (wg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6.5.4.4),</w:t>
      </w:r>
    </w:p>
    <w:p w14:paraId="650877CA"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dokumentacja działań podejmowanych celem zapewnienia odpowiednich właściwości przeciwpoślizgowych,</w:t>
      </w:r>
    </w:p>
    <w:p w14:paraId="10E85C06"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parametrów geometrycznych poboczy,</w:t>
      </w:r>
    </w:p>
    <w:p w14:paraId="3D1F0B47"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jednorodności powierzchni warstwy,</w:t>
      </w:r>
    </w:p>
    <w:p w14:paraId="6B006600" w14:textId="77777777" w:rsidR="00F45500" w:rsidRPr="007B192E" w:rsidRDefault="00F45500" w:rsidP="00C12426">
      <w:pPr>
        <w:widowControl/>
        <w:numPr>
          <w:ilvl w:val="0"/>
          <w:numId w:val="215"/>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jakości wykonania połączeń technologicznych.</w:t>
      </w:r>
    </w:p>
    <w:p w14:paraId="09560B9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6.5. Badania kontrolne zamawiającego</w:t>
      </w:r>
    </w:p>
    <w:p w14:paraId="4507171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3C0D9D88" w14:textId="77777777" w:rsidR="00F45500" w:rsidRPr="007B192E" w:rsidRDefault="00F45500" w:rsidP="00F45500">
      <w:pPr>
        <w:pStyle w:val="Wcicienormalne"/>
        <w:ind w:left="0" w:firstLine="709"/>
        <w:rPr>
          <w:rFonts w:ascii="Arial" w:hAnsi="Arial"/>
          <w:color w:val="000000" w:themeColor="text1"/>
          <w:sz w:val="18"/>
          <w:szCs w:val="18"/>
        </w:rPr>
      </w:pPr>
      <w:r w:rsidRPr="007B192E">
        <w:rPr>
          <w:rFonts w:ascii="Arial" w:hAnsi="Arial"/>
          <w:color w:val="000000" w:themeColor="text1"/>
          <w:sz w:val="18"/>
          <w:szCs w:val="18"/>
        </w:rPr>
        <w:t xml:space="preserve">Rodzaj i zakres badań kontrolnych Zamawiającego mieszanki mineralno-asfaltowej i wykonanej warstwy jest następujący: </w:t>
      </w:r>
    </w:p>
    <w:p w14:paraId="71612B84" w14:textId="77777777" w:rsidR="00F45500" w:rsidRPr="007B192E" w:rsidRDefault="00F45500" w:rsidP="00C12426">
      <w:pPr>
        <w:widowControl/>
        <w:numPr>
          <w:ilvl w:val="0"/>
          <w:numId w:val="220"/>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badania materiałów wsadowych do mieszanki mineralno-asfaltowej (asfaltów, kruszyw, wypełniacza  i dodatków).</w:t>
      </w:r>
    </w:p>
    <w:p w14:paraId="37CF613D" w14:textId="77777777" w:rsidR="00F45500" w:rsidRPr="007B192E" w:rsidRDefault="00F45500" w:rsidP="00F45500">
      <w:pPr>
        <w:pStyle w:val="Wcicienormalne"/>
        <w:ind w:left="0"/>
        <w:rPr>
          <w:rFonts w:ascii="Arial" w:hAnsi="Arial"/>
          <w:color w:val="000000" w:themeColor="text1"/>
          <w:sz w:val="18"/>
          <w:szCs w:val="18"/>
        </w:rPr>
      </w:pPr>
      <w:r w:rsidRPr="007B192E">
        <w:rPr>
          <w:rFonts w:ascii="Arial" w:hAnsi="Arial"/>
          <w:color w:val="000000" w:themeColor="text1"/>
          <w:sz w:val="18"/>
          <w:szCs w:val="18"/>
        </w:rPr>
        <w:t>Mieszanka mineralno-asfaltowa:</w:t>
      </w:r>
    </w:p>
    <w:p w14:paraId="29D2256C"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uziarnienie,</w:t>
      </w:r>
    </w:p>
    <w:p w14:paraId="7DF265EA"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zawartość lepiszcza,</w:t>
      </w:r>
    </w:p>
    <w:p w14:paraId="573CBF5D"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temperatura mięknienia odzyskanego lepiszcza,</w:t>
      </w:r>
    </w:p>
    <w:p w14:paraId="50862847" w14:textId="77777777" w:rsidR="00F45500" w:rsidRPr="007B192E" w:rsidRDefault="00F45500" w:rsidP="00C12426">
      <w:pPr>
        <w:pStyle w:val="Wcicienormalne"/>
        <w:numPr>
          <w:ilvl w:val="0"/>
          <w:numId w:val="221"/>
        </w:numPr>
        <w:rPr>
          <w:rFonts w:ascii="Arial" w:hAnsi="Arial"/>
          <w:color w:val="000000" w:themeColor="text1"/>
          <w:sz w:val="18"/>
          <w:szCs w:val="18"/>
        </w:rPr>
      </w:pPr>
      <w:r w:rsidRPr="007B192E">
        <w:rPr>
          <w:rFonts w:ascii="Arial" w:hAnsi="Arial"/>
          <w:color w:val="000000" w:themeColor="text1"/>
          <w:sz w:val="18"/>
          <w:szCs w:val="18"/>
        </w:rPr>
        <w:t>gęstość i zawartość wolnych przestrzeni próbki.</w:t>
      </w:r>
    </w:p>
    <w:p w14:paraId="45C40F4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Warunki technologiczne wbudowywania mieszanki mineralno-asfaltowej:</w:t>
      </w:r>
    </w:p>
    <w:p w14:paraId="0D8BB8D8" w14:textId="77777777" w:rsidR="00F45500" w:rsidRPr="007B192E"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powietrza podczas pobrania  próby do badań,</w:t>
      </w:r>
    </w:p>
    <w:p w14:paraId="443EEEF7" w14:textId="77777777" w:rsidR="00F45500" w:rsidRPr="007B192E"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mieszanki mineralno-asfaltowej,</w:t>
      </w:r>
    </w:p>
    <w:p w14:paraId="3D6251EC" w14:textId="77777777" w:rsidR="00F45500" w:rsidRPr="007B192E" w:rsidRDefault="00F45500" w:rsidP="00C12426">
      <w:pPr>
        <w:widowControl/>
        <w:numPr>
          <w:ilvl w:val="0"/>
          <w:numId w:val="222"/>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ocena wizualna dostarczonej mieszanki mineralno-asfaltowej.</w:t>
      </w:r>
    </w:p>
    <w:p w14:paraId="7FED9C8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Wykonana warstwa:</w:t>
      </w:r>
    </w:p>
    <w:p w14:paraId="599BDAE9"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wskaźnik zagęszczenia</w:t>
      </w:r>
    </w:p>
    <w:p w14:paraId="4B2A0911"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grubość warstwy lub ilość zużytego materiału,</w:t>
      </w:r>
    </w:p>
    <w:p w14:paraId="26AAA4A6"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równość podłużna i poprzeczna,</w:t>
      </w:r>
    </w:p>
    <w:p w14:paraId="7B7B351D"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spadki poprzeczne,</w:t>
      </w:r>
    </w:p>
    <w:p w14:paraId="40B19E4F"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zawartość wolnych przestrzeni,</w:t>
      </w:r>
    </w:p>
    <w:p w14:paraId="79131171"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złącza technologiczne,</w:t>
      </w:r>
    </w:p>
    <w:p w14:paraId="6B910699"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szerokość warstwy,</w:t>
      </w:r>
    </w:p>
    <w:p w14:paraId="35B700D0"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rzędne wysokościowe,</w:t>
      </w:r>
    </w:p>
    <w:p w14:paraId="48A6EE53"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ukształtowanie osi w planie,</w:t>
      </w:r>
    </w:p>
    <w:p w14:paraId="4711B9EC"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ocena wizualna warstwy,</w:t>
      </w:r>
    </w:p>
    <w:p w14:paraId="0E166F6D" w14:textId="77777777" w:rsidR="00F45500" w:rsidRPr="007B192E" w:rsidRDefault="00F45500" w:rsidP="00C12426">
      <w:pPr>
        <w:pStyle w:val="Wcicienormalne"/>
        <w:numPr>
          <w:ilvl w:val="0"/>
          <w:numId w:val="223"/>
        </w:numPr>
        <w:rPr>
          <w:rFonts w:ascii="Arial" w:hAnsi="Arial"/>
          <w:color w:val="000000" w:themeColor="text1"/>
          <w:sz w:val="18"/>
          <w:szCs w:val="18"/>
        </w:rPr>
      </w:pPr>
      <w:r w:rsidRPr="007B192E">
        <w:rPr>
          <w:rFonts w:ascii="Arial" w:hAnsi="Arial"/>
          <w:color w:val="000000" w:themeColor="text1"/>
          <w:sz w:val="18"/>
          <w:szCs w:val="18"/>
        </w:rPr>
        <w:t>właściwości przeciwpoślizgowe warstwy ścieralnej.</w:t>
      </w:r>
    </w:p>
    <w:p w14:paraId="0DBD502A" w14:textId="77777777" w:rsidR="00F45500" w:rsidRPr="007B192E" w:rsidRDefault="00F45500" w:rsidP="00F45500">
      <w:pPr>
        <w:keepNext/>
        <w:spacing w:before="120" w:after="120"/>
        <w:jc w:val="both"/>
        <w:rPr>
          <w:rFonts w:ascii="Arial" w:hAnsi="Arial" w:cs="Arial"/>
          <w:b/>
          <w:color w:val="000000" w:themeColor="text1"/>
          <w:sz w:val="18"/>
          <w:szCs w:val="18"/>
        </w:rPr>
      </w:pPr>
      <w:r w:rsidRPr="007B192E">
        <w:rPr>
          <w:rFonts w:ascii="Arial" w:hAnsi="Arial" w:cs="Arial"/>
          <w:b/>
          <w:color w:val="000000" w:themeColor="text1"/>
          <w:sz w:val="18"/>
          <w:szCs w:val="18"/>
        </w:rPr>
        <w:t xml:space="preserve">6.5.1. </w:t>
      </w:r>
      <w:r w:rsidRPr="007B192E">
        <w:rPr>
          <w:rFonts w:ascii="Arial" w:hAnsi="Arial" w:cs="Arial"/>
          <w:color w:val="000000" w:themeColor="text1"/>
          <w:sz w:val="18"/>
          <w:szCs w:val="18"/>
        </w:rPr>
        <w:t>Badanie materiałów wsadowych</w:t>
      </w:r>
    </w:p>
    <w:p w14:paraId="32B90B2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materiałów wsadowych należy oceniać na podstawie badań pobranych próbek w miejscu produkcji  mieszanki mineralno-asfaltowej. </w:t>
      </w:r>
    </w:p>
    <w:p w14:paraId="7FED1A2C"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oceny jakości materiałów wsadowych mieszanki mineralno-asfaltowej, za zgodą nadzoru i Zamawiającego mogą posłużyć wyniki badań wykonanych w ramach zakładowej kontroli produkcji. </w:t>
      </w:r>
    </w:p>
    <w:p w14:paraId="46120FBB"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color w:val="000000" w:themeColor="text1"/>
          <w:sz w:val="18"/>
          <w:szCs w:val="18"/>
        </w:rPr>
        <w:t>6.5.1.1.</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Kruszywa i wypełniacz</w:t>
      </w:r>
    </w:p>
    <w:p w14:paraId="3DF25B9D"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 kruszywa należy pobrać i zbadać średnie próbki. Wielkość pobranej średniej próbki nie może być mniejsza niż: </w:t>
      </w:r>
    </w:p>
    <w:p w14:paraId="15B17858"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wypełniacz</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t>2 kg,</w:t>
      </w:r>
    </w:p>
    <w:p w14:paraId="5462876F"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kruszywa o uziarnieniu do 8 mm</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5 kg,</w:t>
      </w:r>
    </w:p>
    <w:p w14:paraId="62F28164" w14:textId="77777777" w:rsidR="00F45500" w:rsidRPr="007B192E" w:rsidRDefault="00F45500" w:rsidP="00C12426">
      <w:pPr>
        <w:numPr>
          <w:ilvl w:val="0"/>
          <w:numId w:val="217"/>
        </w:numPr>
        <w:tabs>
          <w:tab w:val="left" w:pos="426"/>
        </w:tabs>
        <w:suppressAutoHyphens w:val="0"/>
        <w:overflowPunct/>
        <w:autoSpaceDE/>
        <w:ind w:left="426" w:right="-57" w:hanging="426"/>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kruszywa o uziarnieniu powyżej 8 mm</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t>15 kg.</w:t>
      </w:r>
    </w:p>
    <w:p w14:paraId="0C5AD1E4" w14:textId="77777777" w:rsidR="00F45500" w:rsidRPr="007B192E" w:rsidRDefault="00F45500" w:rsidP="00F45500">
      <w:pPr>
        <w:tabs>
          <w:tab w:val="left" w:pos="426"/>
        </w:tabs>
        <w:ind w:right="-57"/>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 xml:space="preserve">Wypełniacz i kruszywa powinny spełniać wymagania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2.3. i 2.4.</w:t>
      </w:r>
    </w:p>
    <w:p w14:paraId="1332D546"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6.5.1.2. Lepiszcze </w:t>
      </w:r>
    </w:p>
    <w:p w14:paraId="202C8FCF"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Z lepiszcza należy pobrać próbkę średnią składająca się z 3 próbek częściowych po 2 kg. Z tego jedną próbkę częściową należy poddać badaniom. Ponadto należy  zbadać kolejną próbkę, jeżeli wygląd zewnętrzny (jednolitość, kolor, zapach, zanieczyszczenia) może budzić obawy.</w:t>
      </w:r>
    </w:p>
    <w:p w14:paraId="6895C692"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powinny spełniać wymagania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2.2.</w:t>
      </w:r>
    </w:p>
    <w:p w14:paraId="54EFCF17" w14:textId="77777777" w:rsidR="00F45500" w:rsidRPr="007B192E" w:rsidRDefault="00F45500" w:rsidP="00F45500">
      <w:pPr>
        <w:spacing w:before="120" w:after="120"/>
        <w:ind w:right="-57"/>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6.5.1.3. Materiały do uszczelniania połączeń </w:t>
      </w:r>
    </w:p>
    <w:p w14:paraId="0EE88F75"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Z lepiszcza lub materiałów termoplastycznych należy pobrać próbki średnie składające się z 3 próbek częściowych po 2 kg. Z tego jedną próbkę częściową należy poddać badaniom. Ponadto należy pobrać i zbadać kolejną próbkę, jeżeli zewnętrzny wygląd (jednolitość, kolor, połysk, zapach, zanieczyszczenia) może budzić obawy.</w:t>
      </w:r>
    </w:p>
    <w:p w14:paraId="0AD436C7"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Materiały do uszczelniania połączeń powinny spełniać wymagania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2.6.</w:t>
      </w:r>
    </w:p>
    <w:p w14:paraId="0A461769" w14:textId="77777777" w:rsidR="00F45500" w:rsidRPr="007B192E" w:rsidRDefault="00F45500" w:rsidP="00F45500">
      <w:pPr>
        <w:keepNext/>
        <w:spacing w:before="120" w:after="120"/>
        <w:ind w:right="-57"/>
        <w:jc w:val="both"/>
        <w:rPr>
          <w:rFonts w:ascii="Arial" w:hAnsi="Arial" w:cs="Arial"/>
          <w:color w:val="000000" w:themeColor="text1"/>
          <w:sz w:val="18"/>
          <w:szCs w:val="18"/>
        </w:rPr>
      </w:pPr>
      <w:r w:rsidRPr="007B192E">
        <w:rPr>
          <w:rFonts w:ascii="Arial" w:hAnsi="Arial" w:cs="Arial"/>
          <w:b/>
          <w:color w:val="000000" w:themeColor="text1"/>
          <w:sz w:val="18"/>
          <w:szCs w:val="18"/>
        </w:rPr>
        <w:t>6.5.2.</w:t>
      </w:r>
      <w:r w:rsidRPr="007B192E">
        <w:rPr>
          <w:rFonts w:ascii="Arial" w:hAnsi="Arial" w:cs="Arial"/>
          <w:color w:val="000000" w:themeColor="text1"/>
          <w:sz w:val="18"/>
          <w:szCs w:val="18"/>
        </w:rPr>
        <w:t xml:space="preserve"> Badania mieszanki mineralno-asfaltowej  </w:t>
      </w:r>
    </w:p>
    <w:p w14:paraId="3DFCC39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Właściwości materiałów należy oceniać na podstawie badań pobranych próbek mieszanki mineralno-</w:t>
      </w:r>
      <w:r w:rsidRPr="007B192E">
        <w:rPr>
          <w:rFonts w:ascii="Arial" w:hAnsi="Arial" w:cs="Arial"/>
          <w:color w:val="000000" w:themeColor="text1"/>
          <w:sz w:val="18"/>
          <w:szCs w:val="18"/>
        </w:rPr>
        <w:lastRenderedPageBreak/>
        <w:t>asfaltowej przed wbudowaniem (wbudowanie oznacza wykonanie warstwy asfaltowej). Wyjątkowo dopuszcza się badania próbek pobranych z wykonanej warstwy asfaltowej.</w:t>
      </w:r>
    </w:p>
    <w:p w14:paraId="24E7D398"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oceny jakości mieszanki mineralno-asfaltowej za zgodą nadzoru i Zamawiającego mogą posłużyć wyniki badań wykonanych w ramach zakładowej kontroli produkcji.  </w:t>
      </w:r>
    </w:p>
    <w:p w14:paraId="6CAD24F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4970F5A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Właściwości materiałów budowlanych należy określać dla każdej warstwy technologicznej, a metody badań powinny być zgodne z wymaganiami podanymi poniżej, chyba że ST lub dokumentacja projektowa podają inaczej. </w:t>
      </w:r>
    </w:p>
    <w:p w14:paraId="0D8C9EF9"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6.5.2.1. Uziarnienie </w:t>
      </w:r>
    </w:p>
    <w:p w14:paraId="66BB7CBD" w14:textId="77777777" w:rsidR="00F45500" w:rsidRPr="007B192E" w:rsidRDefault="00F45500" w:rsidP="00F45500">
      <w:pPr>
        <w:ind w:firstLine="567"/>
        <w:jc w:val="both"/>
        <w:rPr>
          <w:rFonts w:ascii="Arial" w:hAnsi="Arial" w:cs="Arial"/>
          <w:color w:val="000000" w:themeColor="text1"/>
          <w:sz w:val="18"/>
          <w:szCs w:val="18"/>
        </w:rPr>
      </w:pPr>
      <w:r w:rsidRPr="007B192E">
        <w:rPr>
          <w:rFonts w:ascii="Arial" w:hAnsi="Arial" w:cs="Arial"/>
          <w:color w:val="000000" w:themeColor="text1"/>
          <w:sz w:val="18"/>
          <w:szCs w:val="18"/>
        </w:rPr>
        <w:t>Po wykonaniu ekstrakcji lepiszcza należy przeprowadzić kontrolę uziarnienia mieszanki kruszywa mineralnego wg PN-EN 12697-2 [32]. Uziarnienie każdej próbki pobranej z luźnej mieszanki mineralno-asfaltowej nie może odbiegać od wartości projektowanej, z uwzględnieniem dopuszczalnych odchyłek podanych poniżej.</w:t>
      </w:r>
    </w:p>
    <w:p w14:paraId="41AD4709" w14:textId="77777777" w:rsidR="00F45500" w:rsidRPr="007B192E" w:rsidRDefault="00F45500" w:rsidP="00F45500">
      <w:pPr>
        <w:ind w:firstLine="567"/>
        <w:jc w:val="both"/>
        <w:rPr>
          <w:rFonts w:ascii="Arial" w:hAnsi="Arial" w:cs="Arial"/>
          <w:color w:val="000000" w:themeColor="text1"/>
          <w:sz w:val="18"/>
          <w:szCs w:val="18"/>
        </w:rPr>
      </w:pPr>
    </w:p>
    <w:p w14:paraId="2F8AFF15"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Dopuszczalne odchyłki dotyczące pojedynczego wyniku badania, zawartość kruszywa o wymiarze &lt; 0,063 mm, ±2,0% (dla KR 1-2)</w:t>
      </w:r>
    </w:p>
    <w:p w14:paraId="0268A82B"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Dopuszczalne odchyłki dotyczące pojedynczego wyniku badania, zawartość kruszywa o wymiarze &lt; 0,063 mm, ±1,5% (dla KR ≥ 3)</w:t>
      </w:r>
    </w:p>
    <w:p w14:paraId="04081D71"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Dopuszczalne odchyłki dotyczące pojedynczego wyniku badania, zawartość kruszywa o wymiarze &lt; 0,125 mm, ±2,0% </w:t>
      </w:r>
    </w:p>
    <w:p w14:paraId="465E24C9"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Dopuszczalne odchyłki dotyczące pojedynczego wyniku badania, zawartość kruszywa o wymiarze &lt; 2 mm, ±3,0% </w:t>
      </w:r>
    </w:p>
    <w:p w14:paraId="24B60E5A"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Dopuszczalne odchyłki dotyczące pojedynczego wyniku badania, zawartość kruszywa grubego o wymiarze D/2 lub sito charakterystyczne dla kruszywa grubego, ±3%</w:t>
      </w:r>
    </w:p>
    <w:p w14:paraId="775146FE"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Dopuszczalne odchyłki dotyczące pojedynczego wyniku badania, zawartość ziaren grubych D ±3%. (mieszanki drobnoziarniste ≤16mm)</w:t>
      </w:r>
    </w:p>
    <w:p w14:paraId="041D763D" w14:textId="77777777" w:rsidR="00F45500" w:rsidRPr="007B192E" w:rsidRDefault="00F45500" w:rsidP="00BA5651">
      <w:pPr>
        <w:numPr>
          <w:ilvl w:val="0"/>
          <w:numId w:val="253"/>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Dopuszczalne odchyłki dotyczące pojedynczego wyniku badania, zawartość ziaren grubych D ±4%. (mieszanki gruboziarniste &gt;16mm)</w:t>
      </w:r>
    </w:p>
    <w:p w14:paraId="794DAE4A" w14:textId="77777777" w:rsidR="00F45500" w:rsidRPr="007B192E" w:rsidRDefault="00F45500" w:rsidP="00F45500">
      <w:pPr>
        <w:ind w:left="360"/>
        <w:jc w:val="both"/>
        <w:rPr>
          <w:rFonts w:ascii="Arial" w:hAnsi="Arial" w:cs="Arial"/>
          <w:color w:val="000000" w:themeColor="text1"/>
          <w:sz w:val="18"/>
          <w:szCs w:val="18"/>
        </w:rPr>
      </w:pPr>
    </w:p>
    <w:p w14:paraId="34244C90" w14:textId="77777777" w:rsidR="00F45500" w:rsidRPr="007B192E" w:rsidRDefault="00F45500" w:rsidP="00F45500">
      <w:pPr>
        <w:ind w:left="360"/>
        <w:jc w:val="both"/>
        <w:rPr>
          <w:rFonts w:ascii="Arial" w:hAnsi="Arial" w:cs="Arial"/>
          <w:color w:val="000000" w:themeColor="text1"/>
          <w:sz w:val="18"/>
          <w:szCs w:val="18"/>
        </w:rPr>
      </w:pPr>
      <w:r w:rsidRPr="007B192E">
        <w:rPr>
          <w:rFonts w:ascii="Arial" w:hAnsi="Arial" w:cs="Arial"/>
          <w:color w:val="000000" w:themeColor="text1"/>
          <w:sz w:val="18"/>
          <w:szCs w:val="18"/>
        </w:rPr>
        <w:t>Wymagania dotyczące udziału kruszywa grubego, drobnego i wypełniaczy powinny być spełnione jednocześnie.</w:t>
      </w:r>
    </w:p>
    <w:p w14:paraId="6F99F791"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6.5.2.2. Zawartość lepiszcza</w:t>
      </w:r>
    </w:p>
    <w:p w14:paraId="00BB6BEB" w14:textId="77777777" w:rsidR="00F45500" w:rsidRPr="007B192E" w:rsidRDefault="00F45500" w:rsidP="00F45500">
      <w:pPr>
        <w:ind w:right="-57" w:firstLine="709"/>
        <w:rPr>
          <w:rFonts w:ascii="Arial" w:hAnsi="Arial" w:cs="Arial"/>
          <w:color w:val="000000" w:themeColor="text1"/>
          <w:sz w:val="18"/>
          <w:szCs w:val="18"/>
        </w:rPr>
      </w:pPr>
      <w:r w:rsidRPr="007B192E">
        <w:rPr>
          <w:rFonts w:ascii="Arial" w:hAnsi="Arial" w:cs="Arial"/>
          <w:color w:val="000000" w:themeColor="text1"/>
          <w:sz w:val="18"/>
          <w:szCs w:val="18"/>
        </w:rPr>
        <w:t>Badanie polega na wykonaniu ekstrakcji lepiszcza, zgodnie z PN-EN 12697-1 [31], z próbki pobranej z mieszanki mineralno-asfaltowej. Zawartość rozpuszczalnego lepiszcza z każdej pobranej próbki nie może odbiegać od wartości projektowanych, z uwzględnieniem dopuszczalnej odchyłki ±0,3%.</w:t>
      </w:r>
    </w:p>
    <w:p w14:paraId="3127BBC3" w14:textId="77777777" w:rsidR="00F45500" w:rsidRPr="007B192E" w:rsidRDefault="00F45500" w:rsidP="00F45500">
      <w:pPr>
        <w:rPr>
          <w:rFonts w:ascii="Arial" w:hAnsi="Arial" w:cs="Arial"/>
          <w:color w:val="000000" w:themeColor="text1"/>
          <w:sz w:val="18"/>
          <w:szCs w:val="18"/>
        </w:rPr>
      </w:pPr>
    </w:p>
    <w:p w14:paraId="5C5AF3D1" w14:textId="77777777" w:rsidR="00F45500" w:rsidRPr="007B192E" w:rsidRDefault="00F45500" w:rsidP="00F45500">
      <w:pPr>
        <w:spacing w:before="120" w:after="120"/>
        <w:ind w:left="1200" w:right="-57" w:hanging="1200"/>
        <w:jc w:val="both"/>
        <w:rPr>
          <w:rFonts w:ascii="Arial" w:hAnsi="Arial" w:cs="Arial"/>
          <w:color w:val="000000" w:themeColor="text1"/>
          <w:sz w:val="18"/>
          <w:szCs w:val="18"/>
        </w:rPr>
      </w:pPr>
      <w:r w:rsidRPr="007B192E">
        <w:rPr>
          <w:rFonts w:ascii="Arial" w:hAnsi="Arial" w:cs="Arial"/>
          <w:color w:val="000000" w:themeColor="text1"/>
          <w:sz w:val="18"/>
          <w:szCs w:val="18"/>
        </w:rPr>
        <w:t>Tablica 27. Dopuszczalne odchyłki pojedynczego wyniku badania i średniej arytmetycznej wyników badań zawartości lepiszcza rozpuszczalnego [%(m/m)]</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4D7D23" w:rsidRPr="007B192E" w14:paraId="04C22CA5" w14:textId="77777777" w:rsidTr="008F7A94">
        <w:trPr>
          <w:jc w:val="center"/>
        </w:trPr>
        <w:tc>
          <w:tcPr>
            <w:tcW w:w="2148" w:type="dxa"/>
            <w:vMerge w:val="restart"/>
            <w:vAlign w:val="center"/>
          </w:tcPr>
          <w:p w14:paraId="28488550" w14:textId="77777777" w:rsidR="00F45500" w:rsidRPr="007B192E" w:rsidRDefault="00F45500" w:rsidP="008F7A94">
            <w:pPr>
              <w:spacing w:before="120"/>
              <w:ind w:right="-57"/>
              <w:jc w:val="both"/>
              <w:rPr>
                <w:rFonts w:ascii="Arial" w:hAnsi="Arial" w:cs="Arial"/>
                <w:color w:val="000000" w:themeColor="text1"/>
                <w:sz w:val="18"/>
                <w:szCs w:val="18"/>
              </w:rPr>
            </w:pPr>
            <w:r w:rsidRPr="007B192E">
              <w:rPr>
                <w:rFonts w:ascii="Arial" w:hAnsi="Arial" w:cs="Arial"/>
                <w:color w:val="000000" w:themeColor="text1"/>
                <w:sz w:val="18"/>
                <w:szCs w:val="18"/>
              </w:rPr>
              <w:t>Rodzaj mieszanki</w:t>
            </w:r>
          </w:p>
        </w:tc>
        <w:tc>
          <w:tcPr>
            <w:tcW w:w="6720" w:type="dxa"/>
            <w:gridSpan w:val="6"/>
          </w:tcPr>
          <w:p w14:paraId="012F0AE9"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Liczba wyników badań</w:t>
            </w:r>
          </w:p>
        </w:tc>
      </w:tr>
      <w:tr w:rsidR="004D7D23" w:rsidRPr="007B192E" w14:paraId="64983876" w14:textId="77777777" w:rsidTr="008F7A94">
        <w:trPr>
          <w:jc w:val="center"/>
        </w:trPr>
        <w:tc>
          <w:tcPr>
            <w:tcW w:w="2148" w:type="dxa"/>
            <w:vMerge/>
          </w:tcPr>
          <w:p w14:paraId="28375890" w14:textId="77777777" w:rsidR="00F45500" w:rsidRPr="007B192E" w:rsidRDefault="00F45500" w:rsidP="008F7A94">
            <w:pPr>
              <w:ind w:right="-57"/>
              <w:jc w:val="both"/>
              <w:rPr>
                <w:rFonts w:ascii="Arial" w:hAnsi="Arial" w:cs="Arial"/>
                <w:color w:val="000000" w:themeColor="text1"/>
                <w:sz w:val="18"/>
                <w:szCs w:val="18"/>
              </w:rPr>
            </w:pPr>
          </w:p>
        </w:tc>
        <w:tc>
          <w:tcPr>
            <w:tcW w:w="960" w:type="dxa"/>
            <w:vAlign w:val="center"/>
          </w:tcPr>
          <w:p w14:paraId="6E4D4823"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002" w:type="dxa"/>
            <w:vAlign w:val="center"/>
          </w:tcPr>
          <w:p w14:paraId="25D54DA1"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158" w:type="dxa"/>
            <w:vAlign w:val="center"/>
          </w:tcPr>
          <w:p w14:paraId="030FF2BB"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Od 3 do 4</w:t>
            </w:r>
          </w:p>
        </w:tc>
        <w:tc>
          <w:tcPr>
            <w:tcW w:w="1058" w:type="dxa"/>
            <w:vAlign w:val="center"/>
          </w:tcPr>
          <w:p w14:paraId="15DFB03A"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Od 5</w:t>
            </w:r>
          </w:p>
          <w:p w14:paraId="41784EB4" w14:textId="77777777" w:rsidR="00F45500" w:rsidRPr="007B192E" w:rsidRDefault="00F45500" w:rsidP="008F7A94">
            <w:pPr>
              <w:ind w:right="-57"/>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do 8</w:t>
            </w:r>
            <w:r w:rsidRPr="007B192E">
              <w:rPr>
                <w:rFonts w:ascii="Arial" w:hAnsi="Arial" w:cs="Arial"/>
                <w:color w:val="000000" w:themeColor="text1"/>
                <w:sz w:val="18"/>
                <w:szCs w:val="18"/>
                <w:vertAlign w:val="superscript"/>
              </w:rPr>
              <w:t>a)</w:t>
            </w:r>
          </w:p>
        </w:tc>
        <w:tc>
          <w:tcPr>
            <w:tcW w:w="1178" w:type="dxa"/>
            <w:vAlign w:val="center"/>
          </w:tcPr>
          <w:p w14:paraId="3F70319F"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Od 9</w:t>
            </w:r>
          </w:p>
          <w:p w14:paraId="4E2C7F9F" w14:textId="77777777" w:rsidR="00F45500" w:rsidRPr="007B192E" w:rsidRDefault="00F45500" w:rsidP="008F7A94">
            <w:pPr>
              <w:ind w:right="-57"/>
              <w:jc w:val="both"/>
              <w:rPr>
                <w:rFonts w:ascii="Arial" w:hAnsi="Arial" w:cs="Arial"/>
                <w:color w:val="000000" w:themeColor="text1"/>
                <w:sz w:val="18"/>
                <w:szCs w:val="18"/>
                <w:vertAlign w:val="superscript"/>
              </w:rPr>
            </w:pPr>
            <w:r w:rsidRPr="007B192E">
              <w:rPr>
                <w:rFonts w:ascii="Arial" w:hAnsi="Arial" w:cs="Arial"/>
                <w:color w:val="000000" w:themeColor="text1"/>
                <w:sz w:val="18"/>
                <w:szCs w:val="18"/>
              </w:rPr>
              <w:t>do 19</w:t>
            </w:r>
            <w:r w:rsidRPr="007B192E">
              <w:rPr>
                <w:rFonts w:ascii="Arial" w:hAnsi="Arial" w:cs="Arial"/>
                <w:color w:val="000000" w:themeColor="text1"/>
                <w:sz w:val="18"/>
                <w:szCs w:val="18"/>
                <w:vertAlign w:val="superscript"/>
              </w:rPr>
              <w:t>a)</w:t>
            </w:r>
          </w:p>
        </w:tc>
        <w:tc>
          <w:tcPr>
            <w:tcW w:w="1364" w:type="dxa"/>
            <w:vAlign w:val="center"/>
          </w:tcPr>
          <w:p w14:paraId="1C28CEF4" w14:textId="77777777" w:rsidR="00F45500" w:rsidRPr="007B192E" w:rsidRDefault="00F45500" w:rsidP="008F7A94">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≥20</w:t>
            </w:r>
          </w:p>
        </w:tc>
      </w:tr>
      <w:tr w:rsidR="004D7D23" w:rsidRPr="007B192E" w14:paraId="49220D69" w14:textId="77777777" w:rsidTr="008F7A94">
        <w:trPr>
          <w:jc w:val="center"/>
        </w:trPr>
        <w:tc>
          <w:tcPr>
            <w:tcW w:w="2148" w:type="dxa"/>
          </w:tcPr>
          <w:p w14:paraId="3EBAEE32"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Mieszanki gruboziarniste</w:t>
            </w:r>
          </w:p>
        </w:tc>
        <w:tc>
          <w:tcPr>
            <w:tcW w:w="960" w:type="dxa"/>
          </w:tcPr>
          <w:p w14:paraId="2450BA26"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±0,6</w:t>
            </w:r>
          </w:p>
        </w:tc>
        <w:tc>
          <w:tcPr>
            <w:tcW w:w="1002" w:type="dxa"/>
          </w:tcPr>
          <w:p w14:paraId="4802104E"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±0,55</w:t>
            </w:r>
          </w:p>
        </w:tc>
        <w:tc>
          <w:tcPr>
            <w:tcW w:w="1158" w:type="dxa"/>
          </w:tcPr>
          <w:p w14:paraId="12386BA3"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±0,50</w:t>
            </w:r>
          </w:p>
        </w:tc>
        <w:tc>
          <w:tcPr>
            <w:tcW w:w="1058" w:type="dxa"/>
          </w:tcPr>
          <w:p w14:paraId="198603E4"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±0,40</w:t>
            </w:r>
          </w:p>
        </w:tc>
        <w:tc>
          <w:tcPr>
            <w:tcW w:w="1178" w:type="dxa"/>
          </w:tcPr>
          <w:p w14:paraId="454FF3BB"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±0,35</w:t>
            </w:r>
          </w:p>
        </w:tc>
        <w:tc>
          <w:tcPr>
            <w:tcW w:w="1364" w:type="dxa"/>
          </w:tcPr>
          <w:p w14:paraId="274625BA"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±0,30</w:t>
            </w:r>
          </w:p>
        </w:tc>
      </w:tr>
      <w:tr w:rsidR="004D7D23" w:rsidRPr="007B192E" w14:paraId="68027C11" w14:textId="77777777" w:rsidTr="008F7A94">
        <w:trPr>
          <w:jc w:val="center"/>
        </w:trPr>
        <w:tc>
          <w:tcPr>
            <w:tcW w:w="2148" w:type="dxa"/>
          </w:tcPr>
          <w:p w14:paraId="3A6961DE"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Mieszanki drobnoziarniste</w:t>
            </w:r>
          </w:p>
        </w:tc>
        <w:tc>
          <w:tcPr>
            <w:tcW w:w="960" w:type="dxa"/>
          </w:tcPr>
          <w:p w14:paraId="77DC4AA0"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±0,5</w:t>
            </w:r>
          </w:p>
        </w:tc>
        <w:tc>
          <w:tcPr>
            <w:tcW w:w="1002" w:type="dxa"/>
          </w:tcPr>
          <w:p w14:paraId="5927D92E"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±0,45</w:t>
            </w:r>
          </w:p>
        </w:tc>
        <w:tc>
          <w:tcPr>
            <w:tcW w:w="1158" w:type="dxa"/>
          </w:tcPr>
          <w:p w14:paraId="68C399B1"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±0,40</w:t>
            </w:r>
          </w:p>
        </w:tc>
        <w:tc>
          <w:tcPr>
            <w:tcW w:w="1058" w:type="dxa"/>
          </w:tcPr>
          <w:p w14:paraId="32EC0F4A"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±0,40</w:t>
            </w:r>
          </w:p>
        </w:tc>
        <w:tc>
          <w:tcPr>
            <w:tcW w:w="1178" w:type="dxa"/>
          </w:tcPr>
          <w:p w14:paraId="25136A9E"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±0,35</w:t>
            </w:r>
          </w:p>
        </w:tc>
        <w:tc>
          <w:tcPr>
            <w:tcW w:w="1364" w:type="dxa"/>
          </w:tcPr>
          <w:p w14:paraId="74EDF5FA" w14:textId="77777777" w:rsidR="00F45500" w:rsidRPr="007B192E" w:rsidRDefault="00F45500" w:rsidP="008F7A94">
            <w:pPr>
              <w:ind w:right="-57"/>
              <w:jc w:val="both"/>
              <w:rPr>
                <w:rFonts w:ascii="Arial" w:hAnsi="Arial" w:cs="Arial"/>
                <w:color w:val="000000" w:themeColor="text1"/>
                <w:sz w:val="18"/>
                <w:szCs w:val="18"/>
              </w:rPr>
            </w:pPr>
            <w:r w:rsidRPr="007B192E">
              <w:rPr>
                <w:rFonts w:ascii="Arial" w:hAnsi="Arial" w:cs="Arial"/>
                <w:color w:val="000000" w:themeColor="text1"/>
                <w:sz w:val="18"/>
                <w:szCs w:val="18"/>
              </w:rPr>
              <w:t>±0,30</w:t>
            </w:r>
          </w:p>
        </w:tc>
      </w:tr>
      <w:tr w:rsidR="004D7D23" w:rsidRPr="007B192E" w14:paraId="3FB86D8D" w14:textId="77777777" w:rsidTr="008F7A94">
        <w:trPr>
          <w:jc w:val="center"/>
        </w:trPr>
        <w:tc>
          <w:tcPr>
            <w:tcW w:w="8868" w:type="dxa"/>
            <w:gridSpan w:val="7"/>
          </w:tcPr>
          <w:p w14:paraId="425E88F1" w14:textId="77777777" w:rsidR="00F45500" w:rsidRPr="007B192E" w:rsidRDefault="00F45500" w:rsidP="00C12426">
            <w:pPr>
              <w:widowControl/>
              <w:numPr>
                <w:ilvl w:val="0"/>
                <w:numId w:val="234"/>
              </w:numPr>
              <w:tabs>
                <w:tab w:val="left" w:pos="426"/>
              </w:tabs>
              <w:suppressAutoHyphens w:val="0"/>
              <w:overflowPunct/>
              <w:autoSpaceDE/>
              <w:ind w:left="426" w:right="-57"/>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214F988F"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6.5.2.3. Temperatura mięknienia i nawrót sprężysty lepiszcza odzyskanego </w:t>
      </w:r>
    </w:p>
    <w:p w14:paraId="059C73BB"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5E106EE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mięknienia </w:t>
      </w:r>
      <w:proofErr w:type="spellStart"/>
      <w:r w:rsidRPr="007B192E">
        <w:rPr>
          <w:rFonts w:ascii="Arial" w:hAnsi="Arial" w:cs="Arial"/>
          <w:color w:val="000000" w:themeColor="text1"/>
          <w:sz w:val="18"/>
          <w:szCs w:val="18"/>
        </w:rPr>
        <w:t>polimeroasfaltu</w:t>
      </w:r>
      <w:proofErr w:type="spellEnd"/>
      <w:r w:rsidRPr="007B192E">
        <w:rPr>
          <w:rFonts w:ascii="Arial" w:hAnsi="Arial" w:cs="Arial"/>
          <w:color w:val="000000" w:themeColor="text1"/>
          <w:sz w:val="18"/>
          <w:szCs w:val="18"/>
        </w:rPr>
        <w:t xml:space="preserve"> wyekstrahowanego z mieszanki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 xml:space="preserve"> asfaltowej nie powinna przekroczyć wartości dopuszczalnych podanych w tablicy 28.</w:t>
      </w:r>
    </w:p>
    <w:p w14:paraId="377A6C14" w14:textId="77777777" w:rsidR="00F45500" w:rsidRPr="007B192E" w:rsidRDefault="00F45500" w:rsidP="00F45500">
      <w:pPr>
        <w:spacing w:before="120" w:after="120"/>
        <w:ind w:left="1276" w:hanging="1276"/>
        <w:jc w:val="both"/>
        <w:rPr>
          <w:rFonts w:ascii="Arial" w:hAnsi="Arial" w:cs="Arial"/>
          <w:color w:val="000000" w:themeColor="text1"/>
          <w:sz w:val="18"/>
          <w:szCs w:val="18"/>
        </w:rPr>
      </w:pPr>
      <w:r w:rsidRPr="007B192E">
        <w:rPr>
          <w:rFonts w:ascii="Arial" w:hAnsi="Arial" w:cs="Arial"/>
          <w:color w:val="000000" w:themeColor="text1"/>
          <w:sz w:val="18"/>
          <w:szCs w:val="18"/>
        </w:rPr>
        <w:t>Tablica 28.</w:t>
      </w:r>
      <w:r w:rsidRPr="007B192E">
        <w:rPr>
          <w:rFonts w:ascii="Arial" w:hAnsi="Arial" w:cs="Arial"/>
          <w:color w:val="000000" w:themeColor="text1"/>
          <w:sz w:val="18"/>
          <w:szCs w:val="18"/>
        </w:rPr>
        <w:tab/>
        <w:t xml:space="preserve">Najwyższa temperatura mięknienia wyekstrahowanego </w:t>
      </w:r>
      <w:proofErr w:type="spellStart"/>
      <w:r w:rsidRPr="007B192E">
        <w:rPr>
          <w:rFonts w:ascii="Arial" w:hAnsi="Arial" w:cs="Arial"/>
          <w:color w:val="000000" w:themeColor="text1"/>
          <w:sz w:val="18"/>
          <w:szCs w:val="18"/>
        </w:rPr>
        <w:t>polimeroasfaltu</w:t>
      </w:r>
      <w:proofErr w:type="spellEnd"/>
      <w:r w:rsidRPr="007B192E">
        <w:rPr>
          <w:rFonts w:ascii="Arial" w:hAnsi="Arial" w:cs="Arial"/>
          <w:color w:val="000000" w:themeColor="text1"/>
          <w:sz w:val="18"/>
          <w:szCs w:val="18"/>
        </w:rPr>
        <w:t xml:space="preserve"> drogowego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4D7D23" w:rsidRPr="007B192E" w14:paraId="1A12873A" w14:textId="77777777" w:rsidTr="008F7A94">
        <w:trPr>
          <w:jc w:val="center"/>
        </w:trPr>
        <w:tc>
          <w:tcPr>
            <w:tcW w:w="3755" w:type="dxa"/>
            <w:vAlign w:val="center"/>
          </w:tcPr>
          <w:p w14:paraId="6E9119E6" w14:textId="77777777" w:rsidR="00F45500" w:rsidRPr="007B192E" w:rsidRDefault="00F45500" w:rsidP="008F7A94">
            <w:pPr>
              <w:spacing w:before="60" w:after="60"/>
              <w:ind w:right="57"/>
              <w:jc w:val="center"/>
              <w:rPr>
                <w:rFonts w:ascii="Arial" w:hAnsi="Arial" w:cs="Arial"/>
                <w:color w:val="000000" w:themeColor="text1"/>
                <w:sz w:val="18"/>
                <w:szCs w:val="18"/>
              </w:rPr>
            </w:pPr>
            <w:r w:rsidRPr="007B192E">
              <w:rPr>
                <w:rFonts w:ascii="Arial" w:hAnsi="Arial" w:cs="Arial"/>
                <w:color w:val="000000" w:themeColor="text1"/>
                <w:sz w:val="18"/>
                <w:szCs w:val="18"/>
              </w:rPr>
              <w:t>Rodzaj lepiszcza</w:t>
            </w:r>
          </w:p>
        </w:tc>
        <w:tc>
          <w:tcPr>
            <w:tcW w:w="3756" w:type="dxa"/>
            <w:vAlign w:val="center"/>
          </w:tcPr>
          <w:p w14:paraId="4F9B7634" w14:textId="77777777" w:rsidR="00F45500" w:rsidRPr="007B192E" w:rsidRDefault="00F45500" w:rsidP="008F7A94">
            <w:pPr>
              <w:spacing w:before="60" w:after="60"/>
              <w:ind w:right="57"/>
              <w:jc w:val="center"/>
              <w:rPr>
                <w:rFonts w:ascii="Arial" w:hAnsi="Arial" w:cs="Arial"/>
                <w:color w:val="000000" w:themeColor="text1"/>
                <w:sz w:val="18"/>
                <w:szCs w:val="18"/>
              </w:rPr>
            </w:pPr>
            <w:r w:rsidRPr="007B192E">
              <w:rPr>
                <w:rFonts w:ascii="Arial" w:hAnsi="Arial" w:cs="Arial"/>
                <w:color w:val="000000" w:themeColor="text1"/>
                <w:sz w:val="18"/>
                <w:szCs w:val="18"/>
              </w:rPr>
              <w:t>Najwyższa temperatura mięknienia, °C</w:t>
            </w:r>
          </w:p>
        </w:tc>
      </w:tr>
      <w:tr w:rsidR="004D7D23" w:rsidRPr="007B192E" w14:paraId="18AFAD6C" w14:textId="77777777" w:rsidTr="008F7A94">
        <w:trPr>
          <w:jc w:val="center"/>
        </w:trPr>
        <w:tc>
          <w:tcPr>
            <w:tcW w:w="3755" w:type="dxa"/>
            <w:vAlign w:val="center"/>
          </w:tcPr>
          <w:p w14:paraId="53DA89D8" w14:textId="77777777" w:rsidR="00F45500" w:rsidRPr="007B192E" w:rsidRDefault="00F45500" w:rsidP="008F7A94">
            <w:pPr>
              <w:spacing w:before="60" w:after="60"/>
              <w:ind w:right="57"/>
              <w:jc w:val="center"/>
              <w:rPr>
                <w:rFonts w:ascii="Arial" w:hAnsi="Arial" w:cs="Arial"/>
                <w:color w:val="000000" w:themeColor="text1"/>
                <w:sz w:val="18"/>
                <w:szCs w:val="18"/>
              </w:rPr>
            </w:pPr>
            <w:r w:rsidRPr="007B192E">
              <w:rPr>
                <w:rFonts w:ascii="Arial" w:hAnsi="Arial" w:cs="Arial"/>
                <w:color w:val="000000" w:themeColor="text1"/>
                <w:sz w:val="18"/>
                <w:szCs w:val="18"/>
              </w:rPr>
              <w:t>PMB 45/80-65</w:t>
            </w:r>
          </w:p>
        </w:tc>
        <w:tc>
          <w:tcPr>
            <w:tcW w:w="3756" w:type="dxa"/>
            <w:vAlign w:val="center"/>
          </w:tcPr>
          <w:p w14:paraId="01E71224" w14:textId="77777777" w:rsidR="00F45500" w:rsidRPr="007B192E" w:rsidRDefault="00F45500" w:rsidP="008F7A94">
            <w:pPr>
              <w:spacing w:before="60" w:after="60"/>
              <w:ind w:right="57"/>
              <w:jc w:val="center"/>
              <w:rPr>
                <w:rFonts w:ascii="Arial" w:hAnsi="Arial" w:cs="Arial"/>
                <w:color w:val="000000" w:themeColor="text1"/>
                <w:sz w:val="18"/>
                <w:szCs w:val="18"/>
              </w:rPr>
            </w:pPr>
            <w:r w:rsidRPr="007B192E">
              <w:rPr>
                <w:rFonts w:ascii="Arial" w:hAnsi="Arial" w:cs="Arial"/>
                <w:color w:val="000000" w:themeColor="text1"/>
                <w:sz w:val="18"/>
                <w:szCs w:val="18"/>
              </w:rPr>
              <w:t>83</w:t>
            </w:r>
          </w:p>
        </w:tc>
      </w:tr>
    </w:tbl>
    <w:p w14:paraId="269CC082" w14:textId="77777777" w:rsidR="00F45500" w:rsidRPr="007B192E" w:rsidRDefault="00F45500" w:rsidP="00F45500">
      <w:pPr>
        <w:spacing w:before="24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przypadku, gdy dostarczony na wytwornię </w:t>
      </w:r>
      <w:proofErr w:type="spellStart"/>
      <w:r w:rsidRPr="007B192E">
        <w:rPr>
          <w:rFonts w:ascii="Arial" w:hAnsi="Arial" w:cs="Arial"/>
          <w:color w:val="000000" w:themeColor="text1"/>
          <w:sz w:val="18"/>
          <w:szCs w:val="18"/>
        </w:rPr>
        <w:t>polimeroasfalt</w:t>
      </w:r>
      <w:proofErr w:type="spellEnd"/>
      <w:r w:rsidRPr="007B192E">
        <w:rPr>
          <w:rFonts w:ascii="Arial" w:hAnsi="Arial" w:cs="Arial"/>
          <w:color w:val="000000" w:themeColor="text1"/>
          <w:sz w:val="18"/>
          <w:szCs w:val="18"/>
        </w:rPr>
        <w:t xml:space="preserve"> charakteryzuje się wysoką temperaturą mięknienia (tzn. większą niż dolna granica normowa + 10°C), która została udokumentowana w ramach kontroli jakości i zasad ZKP na wytworni, stosuje się wymaganie górnej granicy temperatury mięknienia wyekstrahowanego lepiszcza obliczone w następujący </w:t>
      </w:r>
      <w:proofErr w:type="spellStart"/>
      <w:r w:rsidRPr="007B192E">
        <w:rPr>
          <w:rFonts w:ascii="Arial" w:hAnsi="Arial" w:cs="Arial"/>
          <w:color w:val="000000" w:themeColor="text1"/>
          <w:sz w:val="18"/>
          <w:szCs w:val="18"/>
        </w:rPr>
        <w:t>sposob</w:t>
      </w:r>
      <w:proofErr w:type="spellEnd"/>
      <w:r w:rsidRPr="007B192E">
        <w:rPr>
          <w:rFonts w:ascii="Arial" w:hAnsi="Arial" w:cs="Arial"/>
          <w:color w:val="000000" w:themeColor="text1"/>
          <w:sz w:val="18"/>
          <w:szCs w:val="18"/>
        </w:rPr>
        <w:t>:</w:t>
      </w:r>
    </w:p>
    <w:p w14:paraId="6692158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Najwyższa dopuszczalna temperatura mięknienia wyekstrahowanego </w:t>
      </w:r>
      <w:proofErr w:type="spellStart"/>
      <w:r w:rsidRPr="007B192E">
        <w:rPr>
          <w:rFonts w:ascii="Arial" w:hAnsi="Arial" w:cs="Arial"/>
          <w:color w:val="000000" w:themeColor="text1"/>
          <w:sz w:val="18"/>
          <w:szCs w:val="18"/>
        </w:rPr>
        <w:t>polimeroasfaltu</w:t>
      </w:r>
      <w:proofErr w:type="spellEnd"/>
      <w:r w:rsidRPr="007B192E">
        <w:rPr>
          <w:rFonts w:ascii="Arial" w:hAnsi="Arial" w:cs="Arial"/>
          <w:color w:val="000000" w:themeColor="text1"/>
          <w:sz w:val="18"/>
          <w:szCs w:val="18"/>
        </w:rPr>
        <w:t xml:space="preserve"> = temperatura mięknienia zbadanej dostawy na wytwórnię + dopuszczalny wg Załącznika krajowego NA do PN-EN 14023 [64a] wzrost temperatury mięknienia po starzeniu RTFOT.</w:t>
      </w:r>
    </w:p>
    <w:p w14:paraId="0D503E1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W wypadku mieszanki mineralno-asfaltowej z </w:t>
      </w:r>
      <w:proofErr w:type="spellStart"/>
      <w:r w:rsidRPr="007B192E">
        <w:rPr>
          <w:rFonts w:ascii="Arial" w:hAnsi="Arial" w:cs="Arial"/>
          <w:color w:val="000000" w:themeColor="text1"/>
          <w:sz w:val="18"/>
          <w:szCs w:val="18"/>
        </w:rPr>
        <w:t>polimeroasfaltem</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nawrot</w:t>
      </w:r>
      <w:proofErr w:type="spellEnd"/>
      <w:r w:rsidRPr="007B192E">
        <w:rPr>
          <w:rFonts w:ascii="Arial" w:hAnsi="Arial" w:cs="Arial"/>
          <w:color w:val="000000" w:themeColor="text1"/>
          <w:sz w:val="18"/>
          <w:szCs w:val="18"/>
        </w:rPr>
        <w:t xml:space="preserve"> sprężysty lepiszcza wyekstrahowanego powinien wynieść co najmniej 40%. Dotyczy to również przedwczesnego zerwania tego lepiszcza w badaniu, przy czym należy wtedy podać wartość wydłużenia (zgodnie z zapisami normy PN-EN 13398 [56]).</w:t>
      </w:r>
    </w:p>
    <w:p w14:paraId="5A6A1F90" w14:textId="77777777" w:rsidR="00F45500" w:rsidRPr="007B192E" w:rsidRDefault="00F45500" w:rsidP="00F45500">
      <w:pPr>
        <w:keepNext/>
        <w:spacing w:before="120" w:after="120"/>
        <w:ind w:right="-57"/>
        <w:jc w:val="both"/>
        <w:rPr>
          <w:rFonts w:ascii="Arial" w:hAnsi="Arial" w:cs="Arial"/>
          <w:color w:val="000000" w:themeColor="text1"/>
          <w:sz w:val="18"/>
          <w:szCs w:val="18"/>
        </w:rPr>
      </w:pPr>
      <w:r w:rsidRPr="007B192E">
        <w:rPr>
          <w:rFonts w:ascii="Arial" w:hAnsi="Arial" w:cs="Arial"/>
          <w:color w:val="000000" w:themeColor="text1"/>
          <w:sz w:val="18"/>
          <w:szCs w:val="18"/>
        </w:rPr>
        <w:t>6.5.2.4. Gęstość i zawartość wolnych przestrzeni</w:t>
      </w:r>
    </w:p>
    <w:p w14:paraId="3449CE26" w14:textId="77777777" w:rsidR="00F45500" w:rsidRPr="007B192E" w:rsidRDefault="00F45500" w:rsidP="00F45500">
      <w:pPr>
        <w:ind w:right="-57"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Zawartość wolnych przestrzeni w próbce Marshalla pobranej z mieszanki mineralno-asfaltowej lub wyjątkowo powtórnie rozgrzanej próbki pobranej z nawierzchni nie może wykroczyć poza wartości podane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2.10 o więcej niż 1,5% (v/v).</w:t>
      </w:r>
    </w:p>
    <w:p w14:paraId="0E7664CB"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6.5.3. </w:t>
      </w:r>
      <w:r w:rsidRPr="007B192E">
        <w:rPr>
          <w:rFonts w:ascii="Arial" w:hAnsi="Arial" w:cs="Arial"/>
          <w:color w:val="000000" w:themeColor="text1"/>
          <w:sz w:val="18"/>
          <w:szCs w:val="18"/>
        </w:rPr>
        <w:t xml:space="preserve">Warunki technologiczne wbudowywania mieszanki mineralno-asfaltowej </w:t>
      </w:r>
    </w:p>
    <w:p w14:paraId="6F05832E"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Temperatura powietrza powinna być mierzona przed i w czasie robót; nie powinna być mniejsza niż podano w tablicy 23.  </w:t>
      </w:r>
    </w:p>
    <w:p w14:paraId="418667D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5C4A346A"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Pomiar temperatury mieszanki  mineralno-asfaltowej należy wykonać zgodnie z wymaganiami normy PN-EN 12697-13 [38]. </w:t>
      </w:r>
    </w:p>
    <w:p w14:paraId="25C99EC6" w14:textId="77777777" w:rsidR="00F45500" w:rsidRPr="007B192E" w:rsidRDefault="00F45500" w:rsidP="00F45500">
      <w:pPr>
        <w:ind w:firstLine="709"/>
        <w:jc w:val="both"/>
        <w:rPr>
          <w:rFonts w:ascii="Arial" w:hAnsi="Arial" w:cs="Arial"/>
          <w:b/>
          <w:color w:val="000000" w:themeColor="text1"/>
          <w:sz w:val="18"/>
          <w:szCs w:val="18"/>
        </w:rPr>
      </w:pPr>
      <w:r w:rsidRPr="007B192E">
        <w:rPr>
          <w:rFonts w:ascii="Arial" w:hAnsi="Arial" w:cs="Arial"/>
          <w:color w:val="000000" w:themeColor="text1"/>
          <w:sz w:val="18"/>
          <w:szCs w:val="18"/>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42DCEAB8"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6.5.4.</w:t>
      </w:r>
      <w:r w:rsidRPr="007B192E">
        <w:rPr>
          <w:rFonts w:ascii="Arial" w:hAnsi="Arial" w:cs="Arial"/>
          <w:color w:val="000000" w:themeColor="text1"/>
          <w:sz w:val="18"/>
          <w:szCs w:val="18"/>
        </w:rPr>
        <w:t xml:space="preserve"> Wykonana warstwa</w:t>
      </w:r>
    </w:p>
    <w:p w14:paraId="3025780D" w14:textId="77777777" w:rsidR="00F45500" w:rsidRPr="007B192E" w:rsidRDefault="00F45500" w:rsidP="00F45500">
      <w:pPr>
        <w:spacing w:after="120"/>
        <w:ind w:right="-57"/>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6.5.4.1. Wskaźnik zagęszczenia i zawartość wolnych przestrzeni </w:t>
      </w:r>
    </w:p>
    <w:p w14:paraId="287B511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Zagęszczenie wykonanej warstwy wyrażone wskaźnikiem zagęszczenia oraz zawartością wolnych przestrzeni nie może przekroczyć wartości dopuszczalnych  podanych w tablicy 29. Dotyczy to każdego pojedynczego oznaczenia danej właściwości.</w:t>
      </w:r>
    </w:p>
    <w:p w14:paraId="1DE25B9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Określenie gęstości objętościowej należy wykonywać według PN-EN 12697-6 [34].</w:t>
      </w:r>
    </w:p>
    <w:p w14:paraId="0FE1465E" w14:textId="77777777" w:rsidR="00F45500" w:rsidRPr="007B192E" w:rsidRDefault="00F45500" w:rsidP="00F45500">
      <w:pPr>
        <w:rPr>
          <w:rFonts w:ascii="Arial" w:hAnsi="Arial" w:cs="Arial"/>
          <w:color w:val="000000" w:themeColor="text1"/>
          <w:sz w:val="18"/>
          <w:szCs w:val="18"/>
        </w:rPr>
      </w:pPr>
    </w:p>
    <w:p w14:paraId="50553DB1"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29. Właściwości warstwy AC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4D7D23" w:rsidRPr="007B192E" w14:paraId="1FA0E3CA" w14:textId="77777777" w:rsidTr="008F7A94">
        <w:trPr>
          <w:jc w:val="center"/>
        </w:trPr>
        <w:tc>
          <w:tcPr>
            <w:tcW w:w="2748" w:type="dxa"/>
            <w:vAlign w:val="center"/>
          </w:tcPr>
          <w:p w14:paraId="712C9C52" w14:textId="77777777" w:rsidR="00F45500" w:rsidRPr="007B192E" w:rsidRDefault="00F45500" w:rsidP="008F7A94">
            <w:pPr>
              <w:jc w:val="center"/>
              <w:rPr>
                <w:rFonts w:ascii="Arial" w:hAnsi="Arial" w:cs="Arial"/>
                <w:color w:val="000000" w:themeColor="text1"/>
                <w:sz w:val="18"/>
                <w:szCs w:val="18"/>
              </w:rPr>
            </w:pPr>
          </w:p>
          <w:p w14:paraId="5775DAA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Typ i wymiar mieszanki</w:t>
            </w:r>
          </w:p>
        </w:tc>
        <w:tc>
          <w:tcPr>
            <w:tcW w:w="1680" w:type="dxa"/>
            <w:vAlign w:val="center"/>
          </w:tcPr>
          <w:p w14:paraId="5F51B24C"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Wskaźnik zagęszczenia</w:t>
            </w:r>
          </w:p>
          <w:p w14:paraId="5C31FCF4" w14:textId="77777777" w:rsidR="00F45500" w:rsidRPr="007B192E" w:rsidRDefault="00F45500" w:rsidP="008F7A94">
            <w:pPr>
              <w:ind w:left="87"/>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2400" w:type="dxa"/>
            <w:vAlign w:val="center"/>
          </w:tcPr>
          <w:p w14:paraId="04C1F35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wolnych przestrzeni w warstwie  [%(v/v)]</w:t>
            </w:r>
          </w:p>
        </w:tc>
      </w:tr>
      <w:tr w:rsidR="004D7D23" w:rsidRPr="007B192E" w14:paraId="17C83E8D" w14:textId="77777777" w:rsidTr="008F7A94">
        <w:trPr>
          <w:jc w:val="center"/>
        </w:trPr>
        <w:tc>
          <w:tcPr>
            <w:tcW w:w="2748" w:type="dxa"/>
            <w:vAlign w:val="center"/>
          </w:tcPr>
          <w:p w14:paraId="7A4F8309"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AC11S,   KR3-KR4</w:t>
            </w:r>
          </w:p>
        </w:tc>
        <w:tc>
          <w:tcPr>
            <w:tcW w:w="1680" w:type="dxa"/>
            <w:vAlign w:val="center"/>
          </w:tcPr>
          <w:p w14:paraId="5762FB7C"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 98</w:t>
            </w:r>
          </w:p>
        </w:tc>
        <w:tc>
          <w:tcPr>
            <w:tcW w:w="2400" w:type="dxa"/>
            <w:vAlign w:val="center"/>
          </w:tcPr>
          <w:p w14:paraId="0B56B0C5" w14:textId="77777777" w:rsidR="00F45500" w:rsidRPr="007B192E" w:rsidRDefault="00F45500" w:rsidP="008F7A94">
            <w:pPr>
              <w:spacing w:before="40" w:after="40"/>
              <w:jc w:val="center"/>
              <w:rPr>
                <w:rFonts w:ascii="Arial" w:hAnsi="Arial" w:cs="Arial"/>
                <w:color w:val="000000" w:themeColor="text1"/>
                <w:sz w:val="18"/>
                <w:szCs w:val="18"/>
              </w:rPr>
            </w:pPr>
            <w:r w:rsidRPr="007B192E">
              <w:rPr>
                <w:rFonts w:ascii="Arial" w:hAnsi="Arial" w:cs="Arial"/>
                <w:color w:val="000000" w:themeColor="text1"/>
                <w:sz w:val="18"/>
                <w:szCs w:val="18"/>
              </w:rPr>
              <w:t>2,0÷5,0</w:t>
            </w:r>
          </w:p>
        </w:tc>
      </w:tr>
    </w:tbl>
    <w:p w14:paraId="7814578C" w14:textId="77777777" w:rsidR="00F45500" w:rsidRPr="007B192E" w:rsidRDefault="00F45500" w:rsidP="00F45500">
      <w:pPr>
        <w:spacing w:before="120" w:after="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Wskaźnik zagęszczenia i zawartość wolnych przestrzeni  należy badać dla każdej warstwy i na każde rozpoczęte 6000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nawierzchni jedna próbka; w razie potrzeby liczba próbek może zostać zwiększona (np. nawierzchnie mostowe).</w:t>
      </w:r>
    </w:p>
    <w:p w14:paraId="3F6F9C22" w14:textId="77777777" w:rsidR="00F45500" w:rsidRPr="007B192E" w:rsidRDefault="00F45500" w:rsidP="00F45500">
      <w:pPr>
        <w:keepNext/>
        <w:spacing w:after="120"/>
        <w:ind w:right="-57"/>
        <w:jc w:val="both"/>
        <w:rPr>
          <w:rFonts w:ascii="Arial" w:hAnsi="Arial" w:cs="Arial"/>
          <w:color w:val="000000" w:themeColor="text1"/>
          <w:sz w:val="18"/>
          <w:szCs w:val="18"/>
        </w:rPr>
      </w:pPr>
      <w:r w:rsidRPr="007B192E">
        <w:rPr>
          <w:rFonts w:ascii="Arial" w:hAnsi="Arial" w:cs="Arial"/>
          <w:color w:val="000000" w:themeColor="text1"/>
          <w:sz w:val="18"/>
          <w:szCs w:val="18"/>
        </w:rPr>
        <w:t xml:space="preserve"> 6.5.4.2. Grubość warstwy   </w:t>
      </w:r>
    </w:p>
    <w:p w14:paraId="37C58B0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3072B095"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 xml:space="preserve">Tablica 30. Dopuszczalne odchyłki grubości warstwy [%] </w:t>
      </w:r>
    </w:p>
    <w:tbl>
      <w:tblPr>
        <w:tblW w:w="92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4D7D23" w:rsidRPr="007B192E" w14:paraId="2F867C52" w14:textId="77777777" w:rsidTr="008F7A94">
        <w:trPr>
          <w:jc w:val="center"/>
        </w:trPr>
        <w:tc>
          <w:tcPr>
            <w:tcW w:w="4931" w:type="dxa"/>
            <w:vAlign w:val="center"/>
          </w:tcPr>
          <w:p w14:paraId="3AED0A5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Warunki oceny</w:t>
            </w:r>
          </w:p>
        </w:tc>
        <w:tc>
          <w:tcPr>
            <w:tcW w:w="1977" w:type="dxa"/>
            <w:vAlign w:val="center"/>
          </w:tcPr>
          <w:p w14:paraId="32B266A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Pakiet: warstwa </w:t>
            </w:r>
            <w:proofErr w:type="spellStart"/>
            <w:r w:rsidRPr="007B192E">
              <w:rPr>
                <w:rFonts w:ascii="Arial" w:hAnsi="Arial" w:cs="Arial"/>
                <w:color w:val="000000" w:themeColor="text1"/>
                <w:sz w:val="18"/>
                <w:szCs w:val="18"/>
              </w:rPr>
              <w:t>ścieralna+wiążąca</w:t>
            </w:r>
            <w:proofErr w:type="spellEnd"/>
            <w:r w:rsidRPr="007B192E">
              <w:rPr>
                <w:rFonts w:ascii="Arial" w:hAnsi="Arial" w:cs="Arial"/>
                <w:color w:val="000000" w:themeColor="text1"/>
                <w:sz w:val="18"/>
                <w:szCs w:val="18"/>
              </w:rPr>
              <w:t xml:space="preserve"> +podbudowa asfaltowa razem</w:t>
            </w:r>
          </w:p>
        </w:tc>
        <w:tc>
          <w:tcPr>
            <w:tcW w:w="2331" w:type="dxa"/>
            <w:vAlign w:val="center"/>
          </w:tcPr>
          <w:p w14:paraId="0118CD3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Warstwa ścieralna</w:t>
            </w:r>
          </w:p>
        </w:tc>
      </w:tr>
      <w:tr w:rsidR="004D7D23" w:rsidRPr="007B192E" w14:paraId="5CCF3F2D" w14:textId="77777777" w:rsidTr="008F7A94">
        <w:trPr>
          <w:trHeight w:val="892"/>
          <w:jc w:val="center"/>
        </w:trPr>
        <w:tc>
          <w:tcPr>
            <w:tcW w:w="4931" w:type="dxa"/>
            <w:tcBorders>
              <w:bottom w:val="nil"/>
            </w:tcBorders>
            <w:vAlign w:val="center"/>
          </w:tcPr>
          <w:p w14:paraId="555C237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Dla wartości średniej grubości wbudowanej warstwy z całego odcinka budowy</w:t>
            </w:r>
          </w:p>
        </w:tc>
        <w:tc>
          <w:tcPr>
            <w:tcW w:w="1977" w:type="dxa"/>
            <w:tcBorders>
              <w:bottom w:val="nil"/>
            </w:tcBorders>
            <w:vAlign w:val="center"/>
          </w:tcPr>
          <w:p w14:paraId="4ACA659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Nie dopuszcza się zaniżenia grubości</w:t>
            </w:r>
          </w:p>
        </w:tc>
        <w:tc>
          <w:tcPr>
            <w:tcW w:w="2331" w:type="dxa"/>
            <w:tcBorders>
              <w:bottom w:val="nil"/>
            </w:tcBorders>
            <w:vAlign w:val="center"/>
          </w:tcPr>
          <w:p w14:paraId="51A9091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Nie dopuszcza się zaniżenia grubości</w:t>
            </w:r>
          </w:p>
        </w:tc>
      </w:tr>
      <w:tr w:rsidR="004D7D23" w:rsidRPr="007B192E" w14:paraId="0F856D54" w14:textId="77777777" w:rsidTr="008F7A94">
        <w:trPr>
          <w:jc w:val="center"/>
        </w:trPr>
        <w:tc>
          <w:tcPr>
            <w:tcW w:w="4931" w:type="dxa"/>
            <w:vAlign w:val="center"/>
          </w:tcPr>
          <w:p w14:paraId="15B7908B"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Dla wartości pojedynczych wyników pomiarów grubości wbudowanej warstwy</w:t>
            </w:r>
          </w:p>
        </w:tc>
        <w:tc>
          <w:tcPr>
            <w:tcW w:w="1977" w:type="dxa"/>
            <w:vAlign w:val="center"/>
          </w:tcPr>
          <w:p w14:paraId="3E30ED40"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0÷10%, ale nie więcej niż 1,0 cm</w:t>
            </w:r>
          </w:p>
        </w:tc>
        <w:tc>
          <w:tcPr>
            <w:tcW w:w="2331" w:type="dxa"/>
            <w:vAlign w:val="center"/>
          </w:tcPr>
          <w:p w14:paraId="760A9866" w14:textId="77777777" w:rsidR="00F45500" w:rsidRPr="007B192E" w:rsidRDefault="00F45500" w:rsidP="008F7A94">
            <w:pPr>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0÷5%</w:t>
            </w:r>
          </w:p>
        </w:tc>
      </w:tr>
    </w:tbl>
    <w:p w14:paraId="0CBFF521"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Należy sprawdzić zachowanie zasady mówiącej, że grubość warstwy musi być co najmniej dwuipółkrotnie większa od wymiaru D kruszywa danej mieszanki (h ≥ 2,5×D).</w:t>
      </w:r>
    </w:p>
    <w:p w14:paraId="3B2B9CA6"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Zwiększone grubości poszczególnych warstw będą zaliczane jako wyrównanie ewentualnych niedoborów niżej leżącej warstwy.</w:t>
      </w:r>
    </w:p>
    <w:p w14:paraId="132565D9"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6.5.4.3. Spadki poprzeczne</w:t>
      </w:r>
    </w:p>
    <w:p w14:paraId="1CC0EBA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Spadki poprzeczne nawierzchni należy badać nie rzadziej niż co 20 m oraz w punktach głównych łuków poziomych.</w:t>
      </w:r>
    </w:p>
    <w:p w14:paraId="301C695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Spadki poprzeczne powinny być zgodne z dokumentacją projektową, z tolerancją       </w:t>
      </w:r>
      <w:r w:rsidRPr="007B192E">
        <w:rPr>
          <w:rFonts w:ascii="Arial" w:hAnsi="Arial" w:cs="Arial"/>
          <w:color w:val="000000" w:themeColor="text1"/>
          <w:sz w:val="18"/>
          <w:szCs w:val="18"/>
        </w:rPr>
        <w:sym w:font="Symbol" w:char="00B1"/>
      </w:r>
      <w:r w:rsidRPr="007B192E">
        <w:rPr>
          <w:rFonts w:ascii="Arial" w:hAnsi="Arial" w:cs="Arial"/>
          <w:color w:val="000000" w:themeColor="text1"/>
          <w:sz w:val="18"/>
          <w:szCs w:val="18"/>
        </w:rPr>
        <w:t xml:space="preserve"> 0,5%. </w:t>
      </w:r>
    </w:p>
    <w:p w14:paraId="4D02E183"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6.5.4.4. Równość </w:t>
      </w:r>
    </w:p>
    <w:p w14:paraId="0292386F"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 Równość podłużna</w:t>
      </w:r>
    </w:p>
    <w:p w14:paraId="3E8BA5A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pomiarach równości podłużnej warstw konstrukcji nawierzchni należy stosować metody:</w:t>
      </w:r>
    </w:p>
    <w:p w14:paraId="0E5E113F" w14:textId="77777777" w:rsidR="00F45500" w:rsidRPr="007B192E" w:rsidRDefault="00F45500" w:rsidP="00C12426">
      <w:pPr>
        <w:widowControl/>
        <w:numPr>
          <w:ilvl w:val="0"/>
          <w:numId w:val="244"/>
        </w:numPr>
        <w:suppressAutoHyphens w:val="0"/>
        <w:overflowPunct/>
        <w:autoSpaceDN w:val="0"/>
        <w:adjustRightInd w:val="0"/>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profilometryczną bazującą na wskaźnikach równości IRI,</w:t>
      </w:r>
    </w:p>
    <w:p w14:paraId="49C85CC0" w14:textId="77777777" w:rsidR="00F45500" w:rsidRPr="007B192E" w:rsidRDefault="00F45500" w:rsidP="00C12426">
      <w:pPr>
        <w:widowControl/>
        <w:numPr>
          <w:ilvl w:val="0"/>
          <w:numId w:val="244"/>
        </w:numPr>
        <w:suppressAutoHyphens w:val="0"/>
        <w:overflowPunct/>
        <w:autoSpaceDN w:val="0"/>
        <w:adjustRightInd w:val="0"/>
        <w:ind w:left="284" w:hanging="218"/>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pomiaru ciągłego równoważną użyciu łaty i klina np. z wykorzystaniem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xml:space="preserve"> (w miejscach niedostępnych dla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xml:space="preserve"> pomiar z użyciem łaty i klina). Długość łaty w pomiarze równości podłużnej powinna wynosić 4 m.</w:t>
      </w:r>
    </w:p>
    <w:p w14:paraId="269B1ACD" w14:textId="77777777" w:rsidR="00F45500" w:rsidRPr="007B192E" w:rsidRDefault="00F45500" w:rsidP="00F45500">
      <w:pPr>
        <w:ind w:firstLine="709"/>
        <w:jc w:val="both"/>
        <w:rPr>
          <w:rFonts w:ascii="Arial" w:hAnsi="Arial" w:cs="Arial"/>
          <w:color w:val="000000" w:themeColor="text1"/>
          <w:sz w:val="18"/>
          <w:szCs w:val="18"/>
        </w:rPr>
      </w:pPr>
    </w:p>
    <w:p w14:paraId="275FF74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oceny równości podłużnej</w:t>
      </w:r>
      <w:r w:rsidRPr="007B192E">
        <w:rPr>
          <w:rFonts w:ascii="Arial" w:eastAsia="TimesNewRoman" w:hAnsi="Arial" w:cs="Arial"/>
          <w:color w:val="000000" w:themeColor="text1"/>
          <w:sz w:val="18"/>
          <w:szCs w:val="18"/>
        </w:rPr>
        <w:t xml:space="preserve"> </w:t>
      </w:r>
      <w:r w:rsidRPr="007B192E">
        <w:rPr>
          <w:rFonts w:ascii="Arial" w:hAnsi="Arial" w:cs="Arial"/>
          <w:color w:val="000000" w:themeColor="text1"/>
          <w:sz w:val="18"/>
          <w:szCs w:val="18"/>
        </w:rPr>
        <w:t xml:space="preserve">warstwy ścieralnej nawierzchni dróg klasy Z, L, D oraz placów i parkingów należy stosować metodę pomiaru ciągłego równoważną użyciu łaty i klina np. z wykorzystaniem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umożliwiającego wyznaczanie odchyleń równości podłużnej jako największej odległości (prześwitu) pomiędzy teoretyczną linią łączącą spody kołek jezdnych urządzenia a mierzoną powierzchnią warstwy [mm].</w:t>
      </w:r>
    </w:p>
    <w:p w14:paraId="279E193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 miejscach niedostępnych dla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xml:space="preserve"> pomiar równości podłużnej warstw nawierzchni należy wykonać w sposób ciągły z użyciem łaty i klina.</w:t>
      </w:r>
    </w:p>
    <w:p w14:paraId="773B06B5" w14:textId="77777777" w:rsidR="00F45500" w:rsidRPr="007B192E" w:rsidRDefault="00F45500" w:rsidP="00F45500">
      <w:pPr>
        <w:ind w:firstLine="709"/>
        <w:jc w:val="both"/>
        <w:rPr>
          <w:rFonts w:ascii="Arial" w:hAnsi="Arial" w:cs="Arial"/>
          <w:color w:val="000000" w:themeColor="text1"/>
          <w:sz w:val="18"/>
          <w:szCs w:val="18"/>
        </w:rPr>
      </w:pPr>
    </w:p>
    <w:p w14:paraId="2E7D4DE2"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Maksymalne wartości odchyleń równości podłużnej dla warstwy oznaczone pomiarem ciągłym równoważnym użyciu łaty i klina np. z wykorzystaniem </w:t>
      </w:r>
      <w:proofErr w:type="spellStart"/>
      <w:r w:rsidRPr="007B192E">
        <w:rPr>
          <w:rFonts w:ascii="Arial" w:hAnsi="Arial" w:cs="Arial"/>
          <w:color w:val="000000" w:themeColor="text1"/>
          <w:sz w:val="18"/>
          <w:szCs w:val="18"/>
        </w:rPr>
        <w:t>planografu</w:t>
      </w:r>
      <w:proofErr w:type="spellEnd"/>
      <w:r w:rsidRPr="007B192E">
        <w:rPr>
          <w:rFonts w:ascii="Arial" w:hAnsi="Arial" w:cs="Arial"/>
          <w:color w:val="000000" w:themeColor="text1"/>
          <w:sz w:val="18"/>
          <w:szCs w:val="18"/>
        </w:rPr>
        <w:t>, łaty i klina określa tablica 32.</w:t>
      </w:r>
    </w:p>
    <w:p w14:paraId="1821A1F5" w14:textId="77777777" w:rsidR="00F45500" w:rsidRPr="007B192E" w:rsidRDefault="00F45500" w:rsidP="00F45500">
      <w:pPr>
        <w:tabs>
          <w:tab w:val="left" w:pos="1134"/>
        </w:tabs>
        <w:spacing w:before="120" w:after="120"/>
        <w:ind w:left="1134" w:hanging="1134"/>
        <w:jc w:val="both"/>
        <w:rPr>
          <w:rFonts w:ascii="Arial" w:hAnsi="Arial" w:cs="Arial"/>
          <w:color w:val="000000" w:themeColor="text1"/>
          <w:sz w:val="18"/>
          <w:szCs w:val="18"/>
        </w:rPr>
      </w:pPr>
      <w:r w:rsidRPr="007B192E">
        <w:rPr>
          <w:rFonts w:ascii="Arial" w:hAnsi="Arial" w:cs="Arial"/>
          <w:bCs/>
          <w:color w:val="000000" w:themeColor="text1"/>
          <w:sz w:val="18"/>
          <w:szCs w:val="18"/>
        </w:rPr>
        <w:t>Tablica 32.</w:t>
      </w:r>
      <w:r w:rsidRPr="007B192E">
        <w:rPr>
          <w:rFonts w:ascii="Arial" w:hAnsi="Arial" w:cs="Arial"/>
          <w:bCs/>
          <w:color w:val="000000" w:themeColor="text1"/>
          <w:sz w:val="18"/>
          <w:szCs w:val="18"/>
        </w:rPr>
        <w:tab/>
        <w:t>Maksymalne wartości odchyleń równości podłużnej dla warstwy ścieralnej określone za pomocą pomiaru ciągłego, łaty i klina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4D7D23" w:rsidRPr="007B192E" w14:paraId="62FE78A7" w14:textId="77777777" w:rsidTr="008F7A94">
        <w:trPr>
          <w:jc w:val="center"/>
        </w:trPr>
        <w:tc>
          <w:tcPr>
            <w:tcW w:w="1809" w:type="dxa"/>
            <w:vAlign w:val="center"/>
          </w:tcPr>
          <w:p w14:paraId="5D4EF91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Klasa drogi</w:t>
            </w:r>
          </w:p>
        </w:tc>
        <w:tc>
          <w:tcPr>
            <w:tcW w:w="4142" w:type="dxa"/>
            <w:vAlign w:val="center"/>
          </w:tcPr>
          <w:p w14:paraId="39B6ACF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Element nawierzchni</w:t>
            </w:r>
          </w:p>
        </w:tc>
        <w:tc>
          <w:tcPr>
            <w:tcW w:w="2976" w:type="dxa"/>
            <w:vAlign w:val="center"/>
          </w:tcPr>
          <w:p w14:paraId="30164FC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Maksymalne wartości odchyleń równości podłużnej warstwy [mm] dla warstwy ścieralnej</w:t>
            </w:r>
          </w:p>
        </w:tc>
      </w:tr>
      <w:tr w:rsidR="004D7D23" w:rsidRPr="007B192E" w14:paraId="61E4B1CD" w14:textId="77777777" w:rsidTr="008F7A94">
        <w:trPr>
          <w:jc w:val="center"/>
        </w:trPr>
        <w:tc>
          <w:tcPr>
            <w:tcW w:w="1809" w:type="dxa"/>
            <w:vAlign w:val="center"/>
          </w:tcPr>
          <w:p w14:paraId="57677AD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G,Z</w:t>
            </w:r>
          </w:p>
        </w:tc>
        <w:tc>
          <w:tcPr>
            <w:tcW w:w="4142" w:type="dxa"/>
            <w:vAlign w:val="center"/>
          </w:tcPr>
          <w:p w14:paraId="37E000E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Pasy ruchu zasadnicze, dodatkowe,</w:t>
            </w:r>
          </w:p>
          <w:p w14:paraId="278EF78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włączenia i wyłączenia, postojowe,</w:t>
            </w:r>
          </w:p>
          <w:p w14:paraId="32BBDC6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jezdnie łącznic, utwardzone pobocza</w:t>
            </w:r>
          </w:p>
        </w:tc>
        <w:tc>
          <w:tcPr>
            <w:tcW w:w="2976" w:type="dxa"/>
            <w:vAlign w:val="center"/>
          </w:tcPr>
          <w:p w14:paraId="6C04134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w:t>
            </w:r>
          </w:p>
          <w:p w14:paraId="73641774"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(dotyczy jedynie klasy Z)</w:t>
            </w:r>
          </w:p>
        </w:tc>
      </w:tr>
      <w:tr w:rsidR="00F45500" w:rsidRPr="007B192E" w14:paraId="31CC0CEC" w14:textId="77777777" w:rsidTr="008F7A94">
        <w:trPr>
          <w:jc w:val="center"/>
        </w:trPr>
        <w:tc>
          <w:tcPr>
            <w:tcW w:w="1809" w:type="dxa"/>
            <w:vAlign w:val="center"/>
          </w:tcPr>
          <w:p w14:paraId="1D85FEA2"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L,D, place parkingi,</w:t>
            </w:r>
          </w:p>
        </w:tc>
        <w:tc>
          <w:tcPr>
            <w:tcW w:w="4142" w:type="dxa"/>
            <w:vAlign w:val="center"/>
          </w:tcPr>
          <w:p w14:paraId="38865BA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Wszystkie pasy ruchu i powierzchnie przeznaczone do ruchu i postoju pojazdów</w:t>
            </w:r>
          </w:p>
        </w:tc>
        <w:tc>
          <w:tcPr>
            <w:tcW w:w="2976" w:type="dxa"/>
            <w:vAlign w:val="center"/>
          </w:tcPr>
          <w:p w14:paraId="1577D8F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w:t>
            </w:r>
          </w:p>
        </w:tc>
      </w:tr>
    </w:tbl>
    <w:p w14:paraId="7C18773F" w14:textId="77777777" w:rsidR="00F45500" w:rsidRPr="007B192E" w:rsidRDefault="00F45500" w:rsidP="00F45500">
      <w:pPr>
        <w:jc w:val="both"/>
        <w:rPr>
          <w:rFonts w:ascii="Arial" w:hAnsi="Arial" w:cs="Arial"/>
          <w:color w:val="000000" w:themeColor="text1"/>
          <w:sz w:val="18"/>
          <w:szCs w:val="18"/>
        </w:rPr>
      </w:pPr>
    </w:p>
    <w:p w14:paraId="51A3B0F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b) Równość poprzeczna</w:t>
      </w:r>
    </w:p>
    <w:p w14:paraId="0FC897A0"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1D6D88D4"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 miejscach niedostępnych dla profilografu pomiar równości poprzecznej warstw</w:t>
      </w:r>
    </w:p>
    <w:p w14:paraId="0E26ED3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nawierzchni należy wykonać z użyciem łaty i klina. Długość łaty w pomiarze równości</w:t>
      </w:r>
    </w:p>
    <w:p w14:paraId="0667BD7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poprzecznej powinna wynosić 2 m. Pomiar powinien być wykonywany nie rzadziej niż co</w:t>
      </w:r>
    </w:p>
    <w:p w14:paraId="54DC273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5 m.</w:t>
      </w:r>
    </w:p>
    <w:p w14:paraId="1CD95089"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Maksymalne wartości odchyleń równości poprzecznej określa tablica 33.</w:t>
      </w:r>
    </w:p>
    <w:p w14:paraId="57F34C4B"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Cs/>
          <w:color w:val="000000" w:themeColor="text1"/>
          <w:sz w:val="18"/>
          <w:szCs w:val="18"/>
        </w:rPr>
        <w:t xml:space="preserve">Tablica 33. Maksymalne wartości odchyleń równości poprzecznej dla warstwy ścieralnej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4D7D23" w:rsidRPr="007B192E" w14:paraId="1D66DD4D" w14:textId="77777777" w:rsidTr="008F7A94">
        <w:trPr>
          <w:jc w:val="center"/>
        </w:trPr>
        <w:tc>
          <w:tcPr>
            <w:tcW w:w="1809" w:type="dxa"/>
            <w:vAlign w:val="center"/>
          </w:tcPr>
          <w:p w14:paraId="2BC2BFC0"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Klasa drogi</w:t>
            </w:r>
          </w:p>
        </w:tc>
        <w:tc>
          <w:tcPr>
            <w:tcW w:w="4142" w:type="dxa"/>
            <w:vAlign w:val="center"/>
          </w:tcPr>
          <w:p w14:paraId="6942EEC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Element nawierzchni</w:t>
            </w:r>
          </w:p>
        </w:tc>
        <w:tc>
          <w:tcPr>
            <w:tcW w:w="2976" w:type="dxa"/>
            <w:vAlign w:val="center"/>
          </w:tcPr>
          <w:p w14:paraId="47D04EA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Maksymalne wartości odchyleń równości poprzecznej warstwy [mm] dla warstwy ścieralnej</w:t>
            </w:r>
          </w:p>
        </w:tc>
      </w:tr>
      <w:tr w:rsidR="004D7D23" w:rsidRPr="007B192E" w14:paraId="17A0866B" w14:textId="77777777" w:rsidTr="008F7A94">
        <w:trPr>
          <w:jc w:val="center"/>
        </w:trPr>
        <w:tc>
          <w:tcPr>
            <w:tcW w:w="1809" w:type="dxa"/>
            <w:vAlign w:val="center"/>
          </w:tcPr>
          <w:p w14:paraId="0E448B0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G,Z</w:t>
            </w:r>
          </w:p>
        </w:tc>
        <w:tc>
          <w:tcPr>
            <w:tcW w:w="4142" w:type="dxa"/>
            <w:vAlign w:val="center"/>
          </w:tcPr>
          <w:p w14:paraId="7696138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Pasy ruchu zasadnicze, dodatkowe,</w:t>
            </w:r>
          </w:p>
          <w:p w14:paraId="76793F7F"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włączenia i wyłączenia, postojowe,</w:t>
            </w:r>
          </w:p>
          <w:p w14:paraId="2485D05E"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jezdnie łącznic, utwardzone pobocza</w:t>
            </w:r>
          </w:p>
        </w:tc>
        <w:tc>
          <w:tcPr>
            <w:tcW w:w="2976" w:type="dxa"/>
            <w:vAlign w:val="center"/>
          </w:tcPr>
          <w:p w14:paraId="3C9768E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6</w:t>
            </w:r>
          </w:p>
        </w:tc>
      </w:tr>
      <w:tr w:rsidR="00F45500" w:rsidRPr="007B192E" w14:paraId="5788BF0B" w14:textId="77777777" w:rsidTr="008F7A94">
        <w:trPr>
          <w:jc w:val="center"/>
        </w:trPr>
        <w:tc>
          <w:tcPr>
            <w:tcW w:w="1809" w:type="dxa"/>
            <w:vAlign w:val="center"/>
          </w:tcPr>
          <w:p w14:paraId="04516D3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L,D, place parkingi,</w:t>
            </w:r>
          </w:p>
        </w:tc>
        <w:tc>
          <w:tcPr>
            <w:tcW w:w="4142" w:type="dxa"/>
            <w:vAlign w:val="center"/>
          </w:tcPr>
          <w:p w14:paraId="42D6E51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Wszystkie pasy ruchu i powierzchnie przeznaczone do ruchu i postoju pojazdów</w:t>
            </w:r>
          </w:p>
        </w:tc>
        <w:tc>
          <w:tcPr>
            <w:tcW w:w="2976" w:type="dxa"/>
            <w:vAlign w:val="center"/>
          </w:tcPr>
          <w:p w14:paraId="491F7999"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9</w:t>
            </w:r>
          </w:p>
        </w:tc>
      </w:tr>
    </w:tbl>
    <w:p w14:paraId="3415E862" w14:textId="77777777" w:rsidR="00F45500" w:rsidRPr="007B192E" w:rsidRDefault="00F45500" w:rsidP="00F45500">
      <w:pPr>
        <w:jc w:val="both"/>
        <w:rPr>
          <w:rFonts w:ascii="Arial" w:hAnsi="Arial" w:cs="Arial"/>
          <w:color w:val="000000" w:themeColor="text1"/>
          <w:sz w:val="18"/>
          <w:szCs w:val="18"/>
        </w:rPr>
      </w:pPr>
    </w:p>
    <w:p w14:paraId="4780B3D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6.5.4.5. Złącza technologiczne </w:t>
      </w:r>
    </w:p>
    <w:p w14:paraId="2F8040C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Złącza podłużne i poprzeczne, sprawdzone wizualnie, powinny być równe i związane, wykonane w linii prostej, równolegle lub prostopadle do osi drogi. Przylegające warstwy powinny być w jednym poziomie.</w:t>
      </w:r>
    </w:p>
    <w:p w14:paraId="664308C8"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6.5.4.6. Szerokość warstwy </w:t>
      </w:r>
    </w:p>
    <w:p w14:paraId="34B4DAB7"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Szerokość warstwy, mierzona 10 razy na 1 km każdej jezdni powinna być zgodna z dokumentacją projektową, z tolerancją  w zakresie od 0 do +5 cm, przy czym szerokość warstwy wiążącej powinna być odpowiednio szersza, tak aby stanowiła odsadzkę dla warstwy ścieralnej. W przypadku wyprofilowanej ukośnej krawędzi szerokość należy mierzyć w środku linii skosu.</w:t>
      </w:r>
    </w:p>
    <w:p w14:paraId="19377433" w14:textId="77777777" w:rsidR="00F45500" w:rsidRPr="007B192E" w:rsidRDefault="00F45500" w:rsidP="00F45500">
      <w:pPr>
        <w:numPr>
          <w:ilvl w:val="12"/>
          <w:numId w:val="0"/>
        </w:num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6.5.4.7. Rzędne wysokościowe </w:t>
      </w:r>
    </w:p>
    <w:p w14:paraId="7F719A9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Rzędne wysokościowe, mierzone co 10 m na prostych i co 10 m na osi podłużnej i krawędziach, powinny być zgodne z dokumentacją projektową, z dopuszczalną tolerancją ± 1 cm, przy czym co najmniej 95% wykonanych pomiarów nie może przekraczać przedziału dopuszczalnych odchyleń.</w:t>
      </w:r>
    </w:p>
    <w:p w14:paraId="4443CF45"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6.5.4.8. Ukształtowanie osi w planie </w:t>
      </w:r>
    </w:p>
    <w:p w14:paraId="78736A32"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Ukształtowanie osi w planie, mierzone co 100 m, nie powinno różnić się od dokumentacji projektowej o </w:t>
      </w:r>
      <w:r w:rsidRPr="007B192E">
        <w:rPr>
          <w:rFonts w:ascii="Arial" w:hAnsi="Arial" w:cs="Arial"/>
          <w:color w:val="000000" w:themeColor="text1"/>
          <w:sz w:val="18"/>
          <w:szCs w:val="18"/>
        </w:rPr>
        <w:lastRenderedPageBreak/>
        <w:t>więcej niż ± 5 cm.</w:t>
      </w:r>
    </w:p>
    <w:p w14:paraId="7EBE0216"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6.5.4.9. Ocena wizualna warstwy </w:t>
      </w:r>
    </w:p>
    <w:p w14:paraId="5A6304FF"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Wygląd zewnętrzny warstwy, sprawdzony wizualnie, powinien być jednorodny, bez spękań, deformacji, plam i </w:t>
      </w:r>
      <w:proofErr w:type="spellStart"/>
      <w:r w:rsidRPr="007B192E">
        <w:rPr>
          <w:rFonts w:ascii="Arial" w:hAnsi="Arial" w:cs="Arial"/>
          <w:color w:val="000000" w:themeColor="text1"/>
          <w:sz w:val="18"/>
          <w:szCs w:val="18"/>
        </w:rPr>
        <w:t>wykruszeń</w:t>
      </w:r>
      <w:proofErr w:type="spellEnd"/>
      <w:r w:rsidRPr="007B192E">
        <w:rPr>
          <w:rFonts w:ascii="Arial" w:hAnsi="Arial" w:cs="Arial"/>
          <w:color w:val="000000" w:themeColor="text1"/>
          <w:sz w:val="18"/>
          <w:szCs w:val="18"/>
        </w:rPr>
        <w:t>.</w:t>
      </w:r>
    </w:p>
    <w:p w14:paraId="23C37FFB" w14:textId="77777777" w:rsidR="00F45500" w:rsidRPr="007B192E" w:rsidRDefault="00F45500" w:rsidP="00F45500">
      <w:pPr>
        <w:ind w:firstLine="709"/>
        <w:jc w:val="both"/>
        <w:rPr>
          <w:rFonts w:ascii="Arial" w:hAnsi="Arial" w:cs="Arial"/>
          <w:color w:val="000000" w:themeColor="text1"/>
          <w:sz w:val="18"/>
          <w:szCs w:val="18"/>
        </w:rPr>
      </w:pPr>
    </w:p>
    <w:p w14:paraId="1E1195C1"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6.5.5. </w:t>
      </w:r>
      <w:r w:rsidRPr="007B192E">
        <w:rPr>
          <w:rFonts w:ascii="Arial" w:hAnsi="Arial" w:cs="Arial"/>
          <w:color w:val="000000" w:themeColor="text1"/>
          <w:sz w:val="18"/>
          <w:szCs w:val="18"/>
        </w:rPr>
        <w:t>Badania kontrolne dodatkowe</w:t>
      </w:r>
    </w:p>
    <w:p w14:paraId="23AAD13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wypadku uznania, że jeden z wyników badań kontrolnych nie jest reprezentatywny dla ocenianego odcinka budowy, Wykonawca ma prawo żądać przeprowadzenia badań kontrolnych dodatkowych.</w:t>
      </w:r>
    </w:p>
    <w:p w14:paraId="6B2955D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2BCE122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 odbioru uwzględniane są wyniki badań kontrolnych i badań kontrolnych dodatkowych do wyznaczonych odcinków częściowych.</w:t>
      </w:r>
    </w:p>
    <w:p w14:paraId="1B9B83A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Koszty badań kontrolnych dodatkowych zażądanych przez Wykonawcę ponosi Wykonawca.</w:t>
      </w:r>
    </w:p>
    <w:p w14:paraId="3815EEC4"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6.5.6. </w:t>
      </w:r>
      <w:r w:rsidRPr="007B192E">
        <w:rPr>
          <w:rFonts w:ascii="Arial" w:hAnsi="Arial" w:cs="Arial"/>
          <w:color w:val="000000" w:themeColor="text1"/>
          <w:sz w:val="18"/>
          <w:szCs w:val="18"/>
        </w:rPr>
        <w:t>Badania arbitrażowe</w:t>
      </w:r>
    </w:p>
    <w:p w14:paraId="3C7593E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arbitrażowe są powtórzeniem badań kontrolnych, co do których istnieją uzasadnione wątpliwości ze strony Inżyniera lub Wykonawcy (np. na podstawie własnych badań).</w:t>
      </w:r>
    </w:p>
    <w:p w14:paraId="05B8797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Badania arbitrażowe wykonuje na wniosek strony kontraktu niezależne laboratorium, które nie wykonywało badań kontrolnych.</w:t>
      </w:r>
    </w:p>
    <w:p w14:paraId="11195F1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Koszty badań arbitrażowych wraz ze wszystkimi kosztami ubocznymi ponosi strona, na której niekorzyść przemawia wynik badania.</w:t>
      </w:r>
    </w:p>
    <w:p w14:paraId="1561D56B" w14:textId="77777777" w:rsidR="00F45500" w:rsidRPr="007B192E" w:rsidRDefault="002562DC" w:rsidP="00B9283B">
      <w:pPr>
        <w:pStyle w:val="Nagwek2"/>
        <w:rPr>
          <w:i w:val="0"/>
          <w:color w:val="000000" w:themeColor="text1"/>
        </w:rPr>
      </w:pPr>
      <w:bookmarkStart w:id="319" w:name="_Toc462133772"/>
      <w:r w:rsidRPr="007B192E">
        <w:rPr>
          <w:i w:val="0"/>
          <w:color w:val="000000" w:themeColor="text1"/>
        </w:rPr>
        <w:t>7. OBMIAR ROBÓT</w:t>
      </w:r>
      <w:bookmarkEnd w:id="319"/>
    </w:p>
    <w:p w14:paraId="6545181A"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7.1. Ogólne zasady obmiaru robót</w:t>
      </w:r>
    </w:p>
    <w:p w14:paraId="26BA7A0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5AE95868"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7.2. Jednostka obmiarowa</w:t>
      </w:r>
    </w:p>
    <w:p w14:paraId="44F1682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wykonanej warstwy ścieralnej z betonu asfaltowego (AC).</w:t>
      </w:r>
    </w:p>
    <w:p w14:paraId="7C352F86" w14:textId="77777777" w:rsidR="00F45500" w:rsidRPr="007B192E" w:rsidRDefault="002562DC" w:rsidP="00B9283B">
      <w:pPr>
        <w:pStyle w:val="Nagwek2"/>
        <w:rPr>
          <w:i w:val="0"/>
          <w:color w:val="000000" w:themeColor="text1"/>
        </w:rPr>
      </w:pPr>
      <w:bookmarkStart w:id="320" w:name="_Toc462133773"/>
      <w:r w:rsidRPr="007B192E">
        <w:rPr>
          <w:i w:val="0"/>
          <w:color w:val="000000" w:themeColor="text1"/>
        </w:rPr>
        <w:t>8. ODBIÓR ROBÓT</w:t>
      </w:r>
      <w:bookmarkEnd w:id="320"/>
    </w:p>
    <w:p w14:paraId="1F6D30F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3AFBAB20"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Roboty uznaje się za wykonane zgodnie z dokumentacją projektową, ST i wymaganiami Inżyniera, jeżeli wszystkie pomiary i badania z zachowaniem tolerancji według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6 dały wyniki pozytywne.</w:t>
      </w:r>
    </w:p>
    <w:p w14:paraId="63E0C416" w14:textId="77777777" w:rsidR="00F45500" w:rsidRPr="007B192E" w:rsidRDefault="002562DC" w:rsidP="00B9283B">
      <w:pPr>
        <w:pStyle w:val="Nagwek2"/>
        <w:rPr>
          <w:i w:val="0"/>
          <w:color w:val="000000" w:themeColor="text1"/>
        </w:rPr>
      </w:pPr>
      <w:bookmarkStart w:id="321" w:name="_Toc462133774"/>
      <w:r w:rsidRPr="007B192E">
        <w:rPr>
          <w:i w:val="0"/>
          <w:color w:val="000000" w:themeColor="text1"/>
        </w:rPr>
        <w:t>9. PODSTAWA PŁATNOŚCI</w:t>
      </w:r>
      <w:bookmarkEnd w:id="321"/>
    </w:p>
    <w:p w14:paraId="40CF7B8D"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9.1. Ogólne ustalenia dotyczące podstawy płatności</w:t>
      </w:r>
    </w:p>
    <w:p w14:paraId="72C397D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54A578E9" w14:textId="77777777" w:rsidR="00F45500" w:rsidRPr="007B192E" w:rsidRDefault="00F45500" w:rsidP="00F45500">
      <w:pPr>
        <w:pStyle w:val="Nagwek2"/>
        <w:numPr>
          <w:ilvl w:val="12"/>
          <w:numId w:val="0"/>
        </w:numPr>
        <w:rPr>
          <w:color w:val="000000" w:themeColor="text1"/>
          <w:sz w:val="18"/>
          <w:szCs w:val="18"/>
        </w:rPr>
      </w:pPr>
      <w:r w:rsidRPr="007B192E">
        <w:rPr>
          <w:color w:val="000000" w:themeColor="text1"/>
          <w:sz w:val="18"/>
          <w:szCs w:val="18"/>
        </w:rPr>
        <w:t>9.2. Cena jednostki obmiarowej</w:t>
      </w:r>
    </w:p>
    <w:p w14:paraId="6B1C6014" w14:textId="77777777" w:rsidR="00F45500" w:rsidRPr="007B192E" w:rsidRDefault="00F45500" w:rsidP="00F45500">
      <w:pPr>
        <w:numPr>
          <w:ilvl w:val="12"/>
          <w:numId w:val="0"/>
        </w:num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Cena wykonania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warstwy ścieralnej z betonu asfaltowego (AC) obejmuje:</w:t>
      </w:r>
    </w:p>
    <w:p w14:paraId="3A9ECC83"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prace pomiarowe i roboty przygotowawcze, </w:t>
      </w:r>
    </w:p>
    <w:p w14:paraId="79189122"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3E84B37F"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oczyszczenie i skropienie podłoża,</w:t>
      </w:r>
    </w:p>
    <w:p w14:paraId="03E6E994"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4C9B8F75"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opracowanie recepty laboratoryjnej,</w:t>
      </w:r>
    </w:p>
    <w:p w14:paraId="06DB5A4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wykonanie próby technologicznej i odcinka próbnego,</w:t>
      </w:r>
    </w:p>
    <w:p w14:paraId="28239A1B"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wyprodukowanie mieszanki betonu asfaltowego i jej transport na miejsce wbudowania,</w:t>
      </w:r>
    </w:p>
    <w:p w14:paraId="78DBD3C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posmarowanie lepiszczem lub pokrycie taśmą asfaltową krawędzi urządzeń obcych i krawężników,</w:t>
      </w:r>
    </w:p>
    <w:p w14:paraId="245753B4"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rozłożenie i zagęszczenie mieszanki betonu asfaltowego,</w:t>
      </w:r>
    </w:p>
    <w:p w14:paraId="4532EA0C"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obcięcie krawędzi i posmarowanie lepiszczem,</w:t>
      </w:r>
    </w:p>
    <w:p w14:paraId="4D49970A"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wymaganych w specyfikacji technicznej,</w:t>
      </w:r>
    </w:p>
    <w:p w14:paraId="1B343BD1" w14:textId="77777777" w:rsidR="00F45500" w:rsidRPr="007B192E" w:rsidRDefault="00F45500" w:rsidP="00F45500">
      <w:pPr>
        <w:widowControl/>
        <w:numPr>
          <w:ilvl w:val="0"/>
          <w:numId w:val="196"/>
        </w:numPr>
        <w:suppressAutoHyphens w:val="0"/>
        <w:autoSpaceDN w:val="0"/>
        <w:adjustRightInd w:val="0"/>
        <w:jc w:val="both"/>
        <w:rPr>
          <w:rFonts w:ascii="Arial" w:hAnsi="Arial" w:cs="Arial"/>
          <w:b/>
          <w:color w:val="000000" w:themeColor="text1"/>
          <w:sz w:val="18"/>
          <w:szCs w:val="18"/>
        </w:rPr>
      </w:pPr>
      <w:r w:rsidRPr="007B192E">
        <w:rPr>
          <w:rFonts w:ascii="Arial" w:hAnsi="Arial" w:cs="Arial"/>
          <w:color w:val="000000" w:themeColor="text1"/>
          <w:sz w:val="18"/>
          <w:szCs w:val="18"/>
        </w:rPr>
        <w:t>odwiezienie sprzętu.</w:t>
      </w:r>
    </w:p>
    <w:p w14:paraId="3DE78AF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76CA9E2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OST obejmuje:</w:t>
      </w:r>
    </w:p>
    <w:p w14:paraId="56227DD5"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044246CC"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7DA2C198" w14:textId="77777777" w:rsidR="00F45500" w:rsidRPr="007B192E" w:rsidRDefault="002562DC" w:rsidP="00B9283B">
      <w:pPr>
        <w:pStyle w:val="Nagwek2"/>
        <w:rPr>
          <w:i w:val="0"/>
          <w:color w:val="000000" w:themeColor="text1"/>
        </w:rPr>
      </w:pPr>
      <w:bookmarkStart w:id="322" w:name="_Toc462133775"/>
      <w:r w:rsidRPr="007B192E">
        <w:rPr>
          <w:i w:val="0"/>
          <w:color w:val="000000" w:themeColor="text1"/>
        </w:rPr>
        <w:lastRenderedPageBreak/>
        <w:t>10. PRZEPISY ZWIĄZANE</w:t>
      </w:r>
      <w:bookmarkEnd w:id="322"/>
    </w:p>
    <w:p w14:paraId="67E9DAF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4D7D23" w:rsidRPr="007B192E" w14:paraId="34D18E94" w14:textId="77777777" w:rsidTr="008F7A94">
        <w:tc>
          <w:tcPr>
            <w:tcW w:w="670" w:type="dxa"/>
          </w:tcPr>
          <w:p w14:paraId="1182A54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701" w:type="dxa"/>
          </w:tcPr>
          <w:p w14:paraId="5C0B635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w:t>
            </w:r>
          </w:p>
        </w:tc>
        <w:tc>
          <w:tcPr>
            <w:tcW w:w="6492" w:type="dxa"/>
          </w:tcPr>
          <w:p w14:paraId="3BEE020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6BC11EBE" w14:textId="77777777" w:rsidTr="008F7A94">
        <w:tc>
          <w:tcPr>
            <w:tcW w:w="670" w:type="dxa"/>
          </w:tcPr>
          <w:p w14:paraId="6657A6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701" w:type="dxa"/>
          </w:tcPr>
          <w:p w14:paraId="4B8DC63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D-04.03.01a</w:t>
            </w:r>
          </w:p>
        </w:tc>
        <w:tc>
          <w:tcPr>
            <w:tcW w:w="6492" w:type="dxa"/>
          </w:tcPr>
          <w:p w14:paraId="18FAE21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Połączenie </w:t>
            </w:r>
            <w:proofErr w:type="spellStart"/>
            <w:r w:rsidRPr="007B192E">
              <w:rPr>
                <w:rFonts w:ascii="Arial" w:hAnsi="Arial" w:cs="Arial"/>
                <w:color w:val="000000" w:themeColor="text1"/>
                <w:sz w:val="18"/>
                <w:szCs w:val="18"/>
              </w:rPr>
              <w:t>międzywarstwowe</w:t>
            </w:r>
            <w:proofErr w:type="spellEnd"/>
            <w:r w:rsidRPr="007B192E">
              <w:rPr>
                <w:rFonts w:ascii="Arial" w:hAnsi="Arial" w:cs="Arial"/>
                <w:color w:val="000000" w:themeColor="text1"/>
                <w:sz w:val="18"/>
                <w:szCs w:val="18"/>
              </w:rPr>
              <w:t xml:space="preserve"> nawierzchni drogowej emulsją asfaltową</w:t>
            </w:r>
          </w:p>
        </w:tc>
      </w:tr>
    </w:tbl>
    <w:p w14:paraId="6AC53F4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10.2. Normy</w:t>
      </w:r>
    </w:p>
    <w:p w14:paraId="2C1A7CE9"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(Zestawienie zawiera dodatkowo normy PN-EN związane z badaniami materiałów występujących w niniejszej OST)</w:t>
      </w:r>
    </w:p>
    <w:tbl>
      <w:tblPr>
        <w:tblW w:w="8897" w:type="dxa"/>
        <w:tblLayout w:type="fixed"/>
        <w:tblLook w:val="01E0" w:firstRow="1" w:lastRow="1" w:firstColumn="1" w:lastColumn="1" w:noHBand="0" w:noVBand="0"/>
      </w:tblPr>
      <w:tblGrid>
        <w:gridCol w:w="708"/>
        <w:gridCol w:w="2280"/>
        <w:gridCol w:w="5909"/>
      </w:tblGrid>
      <w:tr w:rsidR="004D7D23" w:rsidRPr="007B192E" w14:paraId="2B318721" w14:textId="77777777" w:rsidTr="008F7A94">
        <w:tc>
          <w:tcPr>
            <w:tcW w:w="708" w:type="dxa"/>
          </w:tcPr>
          <w:p w14:paraId="0F36CD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280" w:type="dxa"/>
          </w:tcPr>
          <w:p w14:paraId="44873B1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196-2</w:t>
            </w:r>
          </w:p>
        </w:tc>
        <w:tc>
          <w:tcPr>
            <w:tcW w:w="5909" w:type="dxa"/>
          </w:tcPr>
          <w:p w14:paraId="12F3B9F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Metody badania cementu – Część 2: Analiza chemiczna cementu</w:t>
            </w:r>
          </w:p>
        </w:tc>
      </w:tr>
      <w:tr w:rsidR="004D7D23" w:rsidRPr="007B192E" w14:paraId="25B09432" w14:textId="77777777" w:rsidTr="008F7A94">
        <w:tc>
          <w:tcPr>
            <w:tcW w:w="708" w:type="dxa"/>
          </w:tcPr>
          <w:p w14:paraId="2619CD6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280" w:type="dxa"/>
          </w:tcPr>
          <w:p w14:paraId="46E924F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459-2</w:t>
            </w:r>
          </w:p>
        </w:tc>
        <w:tc>
          <w:tcPr>
            <w:tcW w:w="5909" w:type="dxa"/>
          </w:tcPr>
          <w:p w14:paraId="793C9F1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Wapno budowlane – Część 2: Metody badań</w:t>
            </w:r>
          </w:p>
        </w:tc>
      </w:tr>
      <w:tr w:rsidR="004D7D23" w:rsidRPr="007B192E" w14:paraId="663BD3E4" w14:textId="77777777" w:rsidTr="008F7A94">
        <w:tc>
          <w:tcPr>
            <w:tcW w:w="708" w:type="dxa"/>
          </w:tcPr>
          <w:p w14:paraId="0231FD7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280" w:type="dxa"/>
          </w:tcPr>
          <w:p w14:paraId="52D458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932-3</w:t>
            </w:r>
          </w:p>
        </w:tc>
        <w:tc>
          <w:tcPr>
            <w:tcW w:w="5909" w:type="dxa"/>
          </w:tcPr>
          <w:p w14:paraId="375F834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podstawowych właściwości kruszyw – Procedura i terminologia uproszczonego opisu petrograficznego</w:t>
            </w:r>
          </w:p>
        </w:tc>
      </w:tr>
      <w:tr w:rsidR="004D7D23" w:rsidRPr="007B192E" w14:paraId="7A177624" w14:textId="77777777" w:rsidTr="008F7A94">
        <w:tc>
          <w:tcPr>
            <w:tcW w:w="708" w:type="dxa"/>
          </w:tcPr>
          <w:p w14:paraId="203CCC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280" w:type="dxa"/>
          </w:tcPr>
          <w:p w14:paraId="5774F88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933-1</w:t>
            </w:r>
          </w:p>
        </w:tc>
        <w:tc>
          <w:tcPr>
            <w:tcW w:w="5909" w:type="dxa"/>
          </w:tcPr>
          <w:p w14:paraId="3D6F839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1: Oznaczanie składu ziarnowego – Metoda przesiewania</w:t>
            </w:r>
          </w:p>
        </w:tc>
      </w:tr>
      <w:tr w:rsidR="004D7D23" w:rsidRPr="007B192E" w14:paraId="589690A2" w14:textId="77777777" w:rsidTr="008F7A94">
        <w:tc>
          <w:tcPr>
            <w:tcW w:w="708" w:type="dxa"/>
          </w:tcPr>
          <w:p w14:paraId="711C37D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280" w:type="dxa"/>
          </w:tcPr>
          <w:p w14:paraId="629626C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933-3</w:t>
            </w:r>
          </w:p>
        </w:tc>
        <w:tc>
          <w:tcPr>
            <w:tcW w:w="5909" w:type="dxa"/>
          </w:tcPr>
          <w:p w14:paraId="3559FEF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Część 3: Oznaczanie kształtu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za pomocą wskaźnika płaskości</w:t>
            </w:r>
          </w:p>
        </w:tc>
      </w:tr>
      <w:tr w:rsidR="004D7D23" w:rsidRPr="007B192E" w14:paraId="6836544A" w14:textId="77777777" w:rsidTr="008F7A94">
        <w:tc>
          <w:tcPr>
            <w:tcW w:w="708" w:type="dxa"/>
          </w:tcPr>
          <w:p w14:paraId="2337875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2280" w:type="dxa"/>
          </w:tcPr>
          <w:p w14:paraId="244F20E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933-4</w:t>
            </w:r>
          </w:p>
        </w:tc>
        <w:tc>
          <w:tcPr>
            <w:tcW w:w="5909" w:type="dxa"/>
          </w:tcPr>
          <w:p w14:paraId="0AAE9FD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Część 4: Oznaczanie kształtu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 Wskaźnik kształtu</w:t>
            </w:r>
          </w:p>
        </w:tc>
      </w:tr>
      <w:tr w:rsidR="004D7D23" w:rsidRPr="007B192E" w14:paraId="174109B5" w14:textId="77777777" w:rsidTr="008F7A94">
        <w:tc>
          <w:tcPr>
            <w:tcW w:w="708" w:type="dxa"/>
          </w:tcPr>
          <w:p w14:paraId="074C97A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2280" w:type="dxa"/>
          </w:tcPr>
          <w:p w14:paraId="2062329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933-5</w:t>
            </w:r>
          </w:p>
        </w:tc>
        <w:tc>
          <w:tcPr>
            <w:tcW w:w="5909" w:type="dxa"/>
          </w:tcPr>
          <w:p w14:paraId="723C882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geometrycznych właściwości kruszyw – Oznaczanie procentowej zawartości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o powierzchniach powstałych w wyniku </w:t>
            </w:r>
            <w:proofErr w:type="spellStart"/>
            <w:r w:rsidRPr="007B192E">
              <w:rPr>
                <w:rFonts w:ascii="Arial" w:hAnsi="Arial" w:cs="Arial"/>
                <w:color w:val="000000" w:themeColor="text1"/>
                <w:sz w:val="18"/>
                <w:szCs w:val="18"/>
              </w:rPr>
              <w:t>przekruszenia</w:t>
            </w:r>
            <w:proofErr w:type="spellEnd"/>
            <w:r w:rsidRPr="007B192E">
              <w:rPr>
                <w:rFonts w:ascii="Arial" w:hAnsi="Arial" w:cs="Arial"/>
                <w:color w:val="000000" w:themeColor="text1"/>
                <w:sz w:val="18"/>
                <w:szCs w:val="18"/>
              </w:rPr>
              <w:t xml:space="preserve"> lub łamania kruszyw grubych</w:t>
            </w:r>
          </w:p>
        </w:tc>
      </w:tr>
      <w:tr w:rsidR="004D7D23" w:rsidRPr="007B192E" w14:paraId="31DC3E28" w14:textId="77777777" w:rsidTr="008F7A94">
        <w:tc>
          <w:tcPr>
            <w:tcW w:w="708" w:type="dxa"/>
          </w:tcPr>
          <w:p w14:paraId="351E12D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2280" w:type="dxa"/>
          </w:tcPr>
          <w:p w14:paraId="5DC56A6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933-6</w:t>
            </w:r>
          </w:p>
        </w:tc>
        <w:tc>
          <w:tcPr>
            <w:tcW w:w="5909" w:type="dxa"/>
          </w:tcPr>
          <w:p w14:paraId="79905A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6: Ocena właściwości powierzchni – Wskaźnik przepływu kruszyw</w:t>
            </w:r>
          </w:p>
        </w:tc>
      </w:tr>
      <w:tr w:rsidR="004D7D23" w:rsidRPr="007B192E" w14:paraId="72F9BCC8" w14:textId="77777777" w:rsidTr="008F7A94">
        <w:tc>
          <w:tcPr>
            <w:tcW w:w="708" w:type="dxa"/>
          </w:tcPr>
          <w:p w14:paraId="6949414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2280" w:type="dxa"/>
          </w:tcPr>
          <w:p w14:paraId="3A5AE65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933-9</w:t>
            </w:r>
          </w:p>
        </w:tc>
        <w:tc>
          <w:tcPr>
            <w:tcW w:w="5909" w:type="dxa"/>
          </w:tcPr>
          <w:p w14:paraId="4C444AE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9: Ocena zawartości drobnych cząstek – Badania błękitem metylenowym</w:t>
            </w:r>
          </w:p>
        </w:tc>
      </w:tr>
      <w:tr w:rsidR="004D7D23" w:rsidRPr="007B192E" w14:paraId="321B6FCC" w14:textId="77777777" w:rsidTr="008F7A94">
        <w:tc>
          <w:tcPr>
            <w:tcW w:w="708" w:type="dxa"/>
          </w:tcPr>
          <w:p w14:paraId="71CC28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2280" w:type="dxa"/>
          </w:tcPr>
          <w:p w14:paraId="402AAF5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933-10</w:t>
            </w:r>
          </w:p>
        </w:tc>
        <w:tc>
          <w:tcPr>
            <w:tcW w:w="5909" w:type="dxa"/>
          </w:tcPr>
          <w:p w14:paraId="4095138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geometrycznych właściwości kruszyw – Część 10: Ocena zawartości drobnych cząstek – Uziarnienie wypełniaczy (przesiewanie w strumieniu powietrza)</w:t>
            </w:r>
          </w:p>
        </w:tc>
      </w:tr>
      <w:tr w:rsidR="004D7D23" w:rsidRPr="007B192E" w14:paraId="0EE9580C" w14:textId="77777777" w:rsidTr="008F7A94">
        <w:tc>
          <w:tcPr>
            <w:tcW w:w="708" w:type="dxa"/>
          </w:tcPr>
          <w:p w14:paraId="619CB6B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2280" w:type="dxa"/>
          </w:tcPr>
          <w:p w14:paraId="541A102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1097-2</w:t>
            </w:r>
          </w:p>
        </w:tc>
        <w:tc>
          <w:tcPr>
            <w:tcW w:w="5909" w:type="dxa"/>
          </w:tcPr>
          <w:p w14:paraId="06EB60B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2: Metody oznaczania odporności na rozdrabnianie</w:t>
            </w:r>
          </w:p>
        </w:tc>
      </w:tr>
      <w:tr w:rsidR="004D7D23" w:rsidRPr="007B192E" w14:paraId="5E7C86CC" w14:textId="77777777" w:rsidTr="008F7A94">
        <w:tc>
          <w:tcPr>
            <w:tcW w:w="708" w:type="dxa"/>
          </w:tcPr>
          <w:p w14:paraId="28E36D7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2280" w:type="dxa"/>
          </w:tcPr>
          <w:p w14:paraId="37EC70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1097-4</w:t>
            </w:r>
          </w:p>
        </w:tc>
        <w:tc>
          <w:tcPr>
            <w:tcW w:w="5909" w:type="dxa"/>
          </w:tcPr>
          <w:p w14:paraId="049B8CF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4: Oznaczanie pustych przestrzeni suchego, zagęszczonego wypełniacza</w:t>
            </w:r>
          </w:p>
        </w:tc>
      </w:tr>
      <w:tr w:rsidR="004D7D23" w:rsidRPr="007B192E" w14:paraId="2120D493" w14:textId="77777777" w:rsidTr="008F7A94">
        <w:tc>
          <w:tcPr>
            <w:tcW w:w="708" w:type="dxa"/>
          </w:tcPr>
          <w:p w14:paraId="6A4C25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2280" w:type="dxa"/>
          </w:tcPr>
          <w:p w14:paraId="0646FD0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1097-5</w:t>
            </w:r>
          </w:p>
        </w:tc>
        <w:tc>
          <w:tcPr>
            <w:tcW w:w="5909" w:type="dxa"/>
          </w:tcPr>
          <w:p w14:paraId="6C6606D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5: Oznaczanie zawartości wody przez suszenie w suszarce z wentylacją</w:t>
            </w:r>
          </w:p>
        </w:tc>
      </w:tr>
      <w:tr w:rsidR="004D7D23" w:rsidRPr="007B192E" w14:paraId="20B6F1E8" w14:textId="77777777" w:rsidTr="008F7A94">
        <w:tc>
          <w:tcPr>
            <w:tcW w:w="708" w:type="dxa"/>
          </w:tcPr>
          <w:p w14:paraId="0387D21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2280" w:type="dxa"/>
          </w:tcPr>
          <w:p w14:paraId="0C926E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1097-6</w:t>
            </w:r>
          </w:p>
        </w:tc>
        <w:tc>
          <w:tcPr>
            <w:tcW w:w="5909" w:type="dxa"/>
          </w:tcPr>
          <w:p w14:paraId="689E6C8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mechanicznych i fizycznych właściwości kruszyw – Część 6: Oznaczanie gęstości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i nasiąkliwości</w:t>
            </w:r>
          </w:p>
        </w:tc>
      </w:tr>
      <w:tr w:rsidR="004D7D23" w:rsidRPr="007B192E" w14:paraId="1127312E" w14:textId="77777777" w:rsidTr="008F7A94">
        <w:tc>
          <w:tcPr>
            <w:tcW w:w="708" w:type="dxa"/>
          </w:tcPr>
          <w:p w14:paraId="256B09D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17.</w:t>
            </w:r>
          </w:p>
        </w:tc>
        <w:tc>
          <w:tcPr>
            <w:tcW w:w="2280" w:type="dxa"/>
          </w:tcPr>
          <w:p w14:paraId="1665CF5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1097-7</w:t>
            </w:r>
          </w:p>
        </w:tc>
        <w:tc>
          <w:tcPr>
            <w:tcW w:w="5909" w:type="dxa"/>
          </w:tcPr>
          <w:p w14:paraId="5AD0A3C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mechanicznych i fizycznych właściwości kruszyw – Część 7: Oznaczanie gęstości wypełniacza – Metoda piknometryczna</w:t>
            </w:r>
          </w:p>
        </w:tc>
      </w:tr>
      <w:tr w:rsidR="004D7D23" w:rsidRPr="007B192E" w14:paraId="55595E17" w14:textId="77777777" w:rsidTr="008F7A94">
        <w:tc>
          <w:tcPr>
            <w:tcW w:w="708" w:type="dxa"/>
          </w:tcPr>
          <w:p w14:paraId="2796742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18.</w:t>
            </w:r>
          </w:p>
        </w:tc>
        <w:tc>
          <w:tcPr>
            <w:tcW w:w="2280" w:type="dxa"/>
          </w:tcPr>
          <w:p w14:paraId="51F39A3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1097-8</w:t>
            </w:r>
          </w:p>
        </w:tc>
        <w:tc>
          <w:tcPr>
            <w:tcW w:w="5909" w:type="dxa"/>
          </w:tcPr>
          <w:p w14:paraId="097129B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mechanicznych i fizycznych właściwości kruszyw – Część 8: Oznaczanie </w:t>
            </w:r>
            <w:proofErr w:type="spellStart"/>
            <w:r w:rsidRPr="007B192E">
              <w:rPr>
                <w:rFonts w:ascii="Arial" w:hAnsi="Arial" w:cs="Arial"/>
                <w:color w:val="000000" w:themeColor="text1"/>
                <w:sz w:val="18"/>
                <w:szCs w:val="18"/>
              </w:rPr>
              <w:t>polerowalności</w:t>
            </w:r>
            <w:proofErr w:type="spellEnd"/>
            <w:r w:rsidRPr="007B192E">
              <w:rPr>
                <w:rFonts w:ascii="Arial" w:hAnsi="Arial" w:cs="Arial"/>
                <w:color w:val="000000" w:themeColor="text1"/>
                <w:sz w:val="18"/>
                <w:szCs w:val="18"/>
              </w:rPr>
              <w:t xml:space="preserve"> kamienia</w:t>
            </w:r>
          </w:p>
        </w:tc>
      </w:tr>
      <w:tr w:rsidR="004D7D23" w:rsidRPr="007B192E" w14:paraId="6EBF6309" w14:textId="77777777" w:rsidTr="008F7A94">
        <w:tc>
          <w:tcPr>
            <w:tcW w:w="708" w:type="dxa"/>
          </w:tcPr>
          <w:p w14:paraId="607B7CA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19.</w:t>
            </w:r>
          </w:p>
        </w:tc>
        <w:tc>
          <w:tcPr>
            <w:tcW w:w="2280" w:type="dxa"/>
          </w:tcPr>
          <w:p w14:paraId="7C6B27B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1367-3</w:t>
            </w:r>
          </w:p>
        </w:tc>
        <w:tc>
          <w:tcPr>
            <w:tcW w:w="5909" w:type="dxa"/>
          </w:tcPr>
          <w:p w14:paraId="35E008D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3: Badanie bazaltowej zgorzeli słonecznej metodą gotowania</w:t>
            </w:r>
          </w:p>
        </w:tc>
      </w:tr>
      <w:tr w:rsidR="004D7D23" w:rsidRPr="007B192E" w14:paraId="0A81621D" w14:textId="77777777" w:rsidTr="008F7A94">
        <w:tc>
          <w:tcPr>
            <w:tcW w:w="708" w:type="dxa"/>
          </w:tcPr>
          <w:p w14:paraId="3F474F0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2280" w:type="dxa"/>
          </w:tcPr>
          <w:p w14:paraId="2DB0661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1367-6</w:t>
            </w:r>
          </w:p>
        </w:tc>
        <w:tc>
          <w:tcPr>
            <w:tcW w:w="5909" w:type="dxa"/>
          </w:tcPr>
          <w:p w14:paraId="634934F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właściwości cieplnych i odporności kruszyw na działanie czynników atmosferycznych - Część 6: Mrozoodporność w obecności soli</w:t>
            </w:r>
          </w:p>
        </w:tc>
      </w:tr>
      <w:tr w:rsidR="004D7D23" w:rsidRPr="007B192E" w14:paraId="17F548CC" w14:textId="77777777" w:rsidTr="008F7A94">
        <w:tc>
          <w:tcPr>
            <w:tcW w:w="708" w:type="dxa"/>
          </w:tcPr>
          <w:p w14:paraId="209DB47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21.</w:t>
            </w:r>
          </w:p>
        </w:tc>
        <w:tc>
          <w:tcPr>
            <w:tcW w:w="2280" w:type="dxa"/>
          </w:tcPr>
          <w:p w14:paraId="5D2159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1426</w:t>
            </w:r>
          </w:p>
        </w:tc>
        <w:tc>
          <w:tcPr>
            <w:tcW w:w="5909" w:type="dxa"/>
          </w:tcPr>
          <w:p w14:paraId="637EF12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Oznaczanie penetracji igłą</w:t>
            </w:r>
          </w:p>
        </w:tc>
      </w:tr>
      <w:tr w:rsidR="004D7D23" w:rsidRPr="007B192E" w14:paraId="406B16D0" w14:textId="77777777" w:rsidTr="008F7A94">
        <w:tc>
          <w:tcPr>
            <w:tcW w:w="708" w:type="dxa"/>
          </w:tcPr>
          <w:p w14:paraId="37F66A5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22.</w:t>
            </w:r>
          </w:p>
        </w:tc>
        <w:tc>
          <w:tcPr>
            <w:tcW w:w="2280" w:type="dxa"/>
          </w:tcPr>
          <w:p w14:paraId="035B4AB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1427</w:t>
            </w:r>
          </w:p>
        </w:tc>
        <w:tc>
          <w:tcPr>
            <w:tcW w:w="5909" w:type="dxa"/>
          </w:tcPr>
          <w:p w14:paraId="604E8C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Oznaczanie temperatury mięknienia – Metoda Pierścień i Kula</w:t>
            </w:r>
          </w:p>
        </w:tc>
      </w:tr>
      <w:tr w:rsidR="004D7D23" w:rsidRPr="007B192E" w14:paraId="32566905" w14:textId="77777777" w:rsidTr="008F7A94">
        <w:tc>
          <w:tcPr>
            <w:tcW w:w="708" w:type="dxa"/>
          </w:tcPr>
          <w:p w14:paraId="6756F34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23.</w:t>
            </w:r>
          </w:p>
        </w:tc>
        <w:tc>
          <w:tcPr>
            <w:tcW w:w="2280" w:type="dxa"/>
          </w:tcPr>
          <w:p w14:paraId="0DC053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1744-1</w:t>
            </w:r>
          </w:p>
        </w:tc>
        <w:tc>
          <w:tcPr>
            <w:tcW w:w="5909" w:type="dxa"/>
          </w:tcPr>
          <w:p w14:paraId="265F55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chemicznych właściwości kruszyw – Analiza chemiczna</w:t>
            </w:r>
          </w:p>
        </w:tc>
      </w:tr>
      <w:tr w:rsidR="004D7D23" w:rsidRPr="007B192E" w14:paraId="56760363" w14:textId="77777777" w:rsidTr="008F7A94">
        <w:tc>
          <w:tcPr>
            <w:tcW w:w="708" w:type="dxa"/>
          </w:tcPr>
          <w:p w14:paraId="3807A6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2280" w:type="dxa"/>
          </w:tcPr>
          <w:p w14:paraId="18898E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12591</w:t>
            </w:r>
          </w:p>
        </w:tc>
        <w:tc>
          <w:tcPr>
            <w:tcW w:w="5909" w:type="dxa"/>
          </w:tcPr>
          <w:p w14:paraId="702BAC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Wymagania dla asfaltów drogowych</w:t>
            </w:r>
          </w:p>
        </w:tc>
      </w:tr>
      <w:tr w:rsidR="004D7D23" w:rsidRPr="007B192E" w14:paraId="60EDCB3A" w14:textId="77777777" w:rsidTr="008F7A94">
        <w:tc>
          <w:tcPr>
            <w:tcW w:w="708" w:type="dxa"/>
          </w:tcPr>
          <w:p w14:paraId="086CD1B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2280" w:type="dxa"/>
          </w:tcPr>
          <w:p w14:paraId="51B74BA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12592</w:t>
            </w:r>
          </w:p>
        </w:tc>
        <w:tc>
          <w:tcPr>
            <w:tcW w:w="5909" w:type="dxa"/>
          </w:tcPr>
          <w:p w14:paraId="7FDD1EA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produkty asfaltowe – Oznaczanie rozpuszczalności</w:t>
            </w:r>
          </w:p>
        </w:tc>
      </w:tr>
      <w:tr w:rsidR="004D7D23" w:rsidRPr="007B192E" w14:paraId="56BF4D7B" w14:textId="77777777" w:rsidTr="008F7A94">
        <w:tc>
          <w:tcPr>
            <w:tcW w:w="708" w:type="dxa"/>
          </w:tcPr>
          <w:p w14:paraId="1D9A52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26.</w:t>
            </w:r>
          </w:p>
        </w:tc>
        <w:tc>
          <w:tcPr>
            <w:tcW w:w="2280" w:type="dxa"/>
          </w:tcPr>
          <w:p w14:paraId="446B31C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12593</w:t>
            </w:r>
          </w:p>
        </w:tc>
        <w:tc>
          <w:tcPr>
            <w:tcW w:w="5909" w:type="dxa"/>
          </w:tcPr>
          <w:p w14:paraId="5F623C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produkty asfaltowe – Oznaczanie temperatury łamliwości </w:t>
            </w:r>
            <w:proofErr w:type="spellStart"/>
            <w:r w:rsidRPr="007B192E">
              <w:rPr>
                <w:rFonts w:ascii="Arial" w:hAnsi="Arial" w:cs="Arial"/>
                <w:color w:val="000000" w:themeColor="text1"/>
                <w:sz w:val="18"/>
                <w:szCs w:val="18"/>
              </w:rPr>
              <w:t>Fraassa</w:t>
            </w:r>
            <w:proofErr w:type="spellEnd"/>
          </w:p>
        </w:tc>
      </w:tr>
      <w:tr w:rsidR="004D7D23" w:rsidRPr="007B192E" w14:paraId="5940334A" w14:textId="77777777" w:rsidTr="008F7A94">
        <w:tc>
          <w:tcPr>
            <w:tcW w:w="708" w:type="dxa"/>
          </w:tcPr>
          <w:p w14:paraId="040C593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27.</w:t>
            </w:r>
          </w:p>
        </w:tc>
        <w:tc>
          <w:tcPr>
            <w:tcW w:w="2280" w:type="dxa"/>
          </w:tcPr>
          <w:p w14:paraId="68C6DA7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12595</w:t>
            </w:r>
          </w:p>
        </w:tc>
        <w:tc>
          <w:tcPr>
            <w:tcW w:w="5909" w:type="dxa"/>
          </w:tcPr>
          <w:p w14:paraId="2FB8A28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lepkości kinematycznej</w:t>
            </w:r>
          </w:p>
        </w:tc>
      </w:tr>
      <w:tr w:rsidR="004D7D23" w:rsidRPr="007B192E" w14:paraId="57835B19" w14:textId="77777777" w:rsidTr="008F7A94">
        <w:tc>
          <w:tcPr>
            <w:tcW w:w="708" w:type="dxa"/>
          </w:tcPr>
          <w:p w14:paraId="0EFC8FB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28.</w:t>
            </w:r>
          </w:p>
        </w:tc>
        <w:tc>
          <w:tcPr>
            <w:tcW w:w="2280" w:type="dxa"/>
          </w:tcPr>
          <w:p w14:paraId="0A219C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12596</w:t>
            </w:r>
          </w:p>
        </w:tc>
        <w:tc>
          <w:tcPr>
            <w:tcW w:w="5909" w:type="dxa"/>
          </w:tcPr>
          <w:p w14:paraId="467D7F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lepkości dynamicznej metodą próżniowej kapilary</w:t>
            </w:r>
          </w:p>
        </w:tc>
      </w:tr>
      <w:tr w:rsidR="004D7D23" w:rsidRPr="007B192E" w14:paraId="4EB03E0D" w14:textId="77777777" w:rsidTr="008F7A94">
        <w:tc>
          <w:tcPr>
            <w:tcW w:w="708" w:type="dxa"/>
          </w:tcPr>
          <w:p w14:paraId="654AB1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29.</w:t>
            </w:r>
          </w:p>
        </w:tc>
        <w:tc>
          <w:tcPr>
            <w:tcW w:w="2280" w:type="dxa"/>
          </w:tcPr>
          <w:p w14:paraId="7D94495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12606-1</w:t>
            </w:r>
          </w:p>
        </w:tc>
        <w:tc>
          <w:tcPr>
            <w:tcW w:w="5909" w:type="dxa"/>
          </w:tcPr>
          <w:p w14:paraId="3CCE3AB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zawartości parafiny – Część 1: Metoda destylacji</w:t>
            </w:r>
          </w:p>
        </w:tc>
      </w:tr>
      <w:tr w:rsidR="004D7D23" w:rsidRPr="007B192E" w14:paraId="2F97C8FC" w14:textId="77777777" w:rsidTr="008F7A94">
        <w:tc>
          <w:tcPr>
            <w:tcW w:w="708" w:type="dxa"/>
          </w:tcPr>
          <w:p w14:paraId="5A4946F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2280" w:type="dxa"/>
          </w:tcPr>
          <w:p w14:paraId="4833A40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12607-1</w:t>
            </w:r>
          </w:p>
        </w:tc>
        <w:tc>
          <w:tcPr>
            <w:tcW w:w="5909" w:type="dxa"/>
          </w:tcPr>
          <w:p w14:paraId="002892E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odporności na starzenie pod wpływem ciepła i powietrza – Część 1: Metoda RTFOT</w:t>
            </w:r>
          </w:p>
        </w:tc>
      </w:tr>
      <w:tr w:rsidR="004D7D23" w:rsidRPr="007B192E" w14:paraId="7CC2FB03" w14:textId="77777777" w:rsidTr="008F7A94">
        <w:tc>
          <w:tcPr>
            <w:tcW w:w="708" w:type="dxa"/>
          </w:tcPr>
          <w:p w14:paraId="6D0640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31.</w:t>
            </w:r>
          </w:p>
        </w:tc>
        <w:tc>
          <w:tcPr>
            <w:tcW w:w="2280" w:type="dxa"/>
          </w:tcPr>
          <w:p w14:paraId="23D4B03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w:t>
            </w:r>
          </w:p>
        </w:tc>
        <w:tc>
          <w:tcPr>
            <w:tcW w:w="5909" w:type="dxa"/>
          </w:tcPr>
          <w:p w14:paraId="3178A79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1: Zawartość lepiszcza rozpuszczalnego</w:t>
            </w:r>
          </w:p>
        </w:tc>
      </w:tr>
      <w:tr w:rsidR="004D7D23" w:rsidRPr="007B192E" w14:paraId="7C414070" w14:textId="77777777" w:rsidTr="008F7A94">
        <w:tc>
          <w:tcPr>
            <w:tcW w:w="708" w:type="dxa"/>
          </w:tcPr>
          <w:p w14:paraId="5F249F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32.</w:t>
            </w:r>
          </w:p>
        </w:tc>
        <w:tc>
          <w:tcPr>
            <w:tcW w:w="2280" w:type="dxa"/>
          </w:tcPr>
          <w:p w14:paraId="1AFA2E6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w:t>
            </w:r>
          </w:p>
        </w:tc>
        <w:tc>
          <w:tcPr>
            <w:tcW w:w="5909" w:type="dxa"/>
          </w:tcPr>
          <w:p w14:paraId="0AD3D9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 Oznaczanie składu ziarnowego</w:t>
            </w:r>
          </w:p>
        </w:tc>
      </w:tr>
      <w:tr w:rsidR="004D7D23" w:rsidRPr="007B192E" w14:paraId="2598B799" w14:textId="77777777" w:rsidTr="008F7A94">
        <w:tc>
          <w:tcPr>
            <w:tcW w:w="708" w:type="dxa"/>
          </w:tcPr>
          <w:p w14:paraId="6E51F5A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33.</w:t>
            </w:r>
          </w:p>
        </w:tc>
        <w:tc>
          <w:tcPr>
            <w:tcW w:w="2280" w:type="dxa"/>
          </w:tcPr>
          <w:p w14:paraId="594925E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12697-5</w:t>
            </w:r>
          </w:p>
        </w:tc>
        <w:tc>
          <w:tcPr>
            <w:tcW w:w="5909" w:type="dxa"/>
          </w:tcPr>
          <w:p w14:paraId="663F4DC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5: Oznaczanie gęstości</w:t>
            </w:r>
          </w:p>
        </w:tc>
      </w:tr>
      <w:tr w:rsidR="004D7D23" w:rsidRPr="007B192E" w14:paraId="113C6E17" w14:textId="77777777" w:rsidTr="008F7A94">
        <w:tc>
          <w:tcPr>
            <w:tcW w:w="708" w:type="dxa"/>
          </w:tcPr>
          <w:p w14:paraId="6EC8214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34.</w:t>
            </w:r>
          </w:p>
        </w:tc>
        <w:tc>
          <w:tcPr>
            <w:tcW w:w="2280" w:type="dxa"/>
          </w:tcPr>
          <w:p w14:paraId="0EB2741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12697-6</w:t>
            </w:r>
          </w:p>
        </w:tc>
        <w:tc>
          <w:tcPr>
            <w:tcW w:w="5909" w:type="dxa"/>
          </w:tcPr>
          <w:p w14:paraId="6F1B9BF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6: Oznaczanie gęstości objętościowej próbek mieszanki mineralno-asfaltowej</w:t>
            </w:r>
          </w:p>
        </w:tc>
      </w:tr>
      <w:tr w:rsidR="004D7D23" w:rsidRPr="007B192E" w14:paraId="2C6504A9" w14:textId="77777777" w:rsidTr="008F7A94">
        <w:tc>
          <w:tcPr>
            <w:tcW w:w="708" w:type="dxa"/>
          </w:tcPr>
          <w:p w14:paraId="565823E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35.</w:t>
            </w:r>
          </w:p>
        </w:tc>
        <w:tc>
          <w:tcPr>
            <w:tcW w:w="2280" w:type="dxa"/>
          </w:tcPr>
          <w:p w14:paraId="0E66FE1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12697-8</w:t>
            </w:r>
          </w:p>
        </w:tc>
        <w:tc>
          <w:tcPr>
            <w:tcW w:w="5909" w:type="dxa"/>
          </w:tcPr>
          <w:p w14:paraId="202E54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8: Oznaczanie zawartości wolnej przestrzeni</w:t>
            </w:r>
          </w:p>
        </w:tc>
      </w:tr>
      <w:tr w:rsidR="004D7D23" w:rsidRPr="007B192E" w14:paraId="51DE2493" w14:textId="77777777" w:rsidTr="008F7A94">
        <w:tc>
          <w:tcPr>
            <w:tcW w:w="708" w:type="dxa"/>
          </w:tcPr>
          <w:p w14:paraId="3A70967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36.</w:t>
            </w:r>
          </w:p>
        </w:tc>
        <w:tc>
          <w:tcPr>
            <w:tcW w:w="2280" w:type="dxa"/>
          </w:tcPr>
          <w:p w14:paraId="0C485F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12697-11</w:t>
            </w:r>
          </w:p>
        </w:tc>
        <w:tc>
          <w:tcPr>
            <w:tcW w:w="5909" w:type="dxa"/>
          </w:tcPr>
          <w:p w14:paraId="4F74E0B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badania mieszanek mineralno-asfaltowych na gorąco – Część 11: Oznaczanie powinowactwa pomiędzy kruszywem i asfaltem</w:t>
            </w:r>
          </w:p>
        </w:tc>
      </w:tr>
      <w:tr w:rsidR="004D7D23" w:rsidRPr="007B192E" w14:paraId="681DA666" w14:textId="77777777" w:rsidTr="008F7A94">
        <w:tc>
          <w:tcPr>
            <w:tcW w:w="708" w:type="dxa"/>
          </w:tcPr>
          <w:p w14:paraId="522DEF8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37.</w:t>
            </w:r>
          </w:p>
        </w:tc>
        <w:tc>
          <w:tcPr>
            <w:tcW w:w="2280" w:type="dxa"/>
          </w:tcPr>
          <w:p w14:paraId="474BA7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12697-12</w:t>
            </w:r>
          </w:p>
        </w:tc>
        <w:tc>
          <w:tcPr>
            <w:tcW w:w="5909" w:type="dxa"/>
          </w:tcPr>
          <w:p w14:paraId="3C5370D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badania mieszanek mineralno-asfaltowych na gorąco – Część 12: Określanie wrażliwości próbek asfaltowych na wodę</w:t>
            </w:r>
          </w:p>
        </w:tc>
      </w:tr>
      <w:tr w:rsidR="004D7D23" w:rsidRPr="007B192E" w14:paraId="0ABC1757" w14:textId="77777777" w:rsidTr="008F7A94">
        <w:tc>
          <w:tcPr>
            <w:tcW w:w="708" w:type="dxa"/>
          </w:tcPr>
          <w:p w14:paraId="5485884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38.</w:t>
            </w:r>
          </w:p>
        </w:tc>
        <w:tc>
          <w:tcPr>
            <w:tcW w:w="2280" w:type="dxa"/>
          </w:tcPr>
          <w:p w14:paraId="21C9AA8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12697-13</w:t>
            </w:r>
          </w:p>
        </w:tc>
        <w:tc>
          <w:tcPr>
            <w:tcW w:w="5909" w:type="dxa"/>
          </w:tcPr>
          <w:p w14:paraId="509F4F9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13: Pomiar temperatury</w:t>
            </w:r>
          </w:p>
        </w:tc>
      </w:tr>
      <w:tr w:rsidR="004D7D23" w:rsidRPr="007B192E" w14:paraId="11599AF2" w14:textId="77777777" w:rsidTr="008F7A94">
        <w:tc>
          <w:tcPr>
            <w:tcW w:w="708" w:type="dxa"/>
          </w:tcPr>
          <w:p w14:paraId="6CD817C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39.</w:t>
            </w:r>
          </w:p>
        </w:tc>
        <w:tc>
          <w:tcPr>
            <w:tcW w:w="2280" w:type="dxa"/>
          </w:tcPr>
          <w:p w14:paraId="39152F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12697-22</w:t>
            </w:r>
          </w:p>
        </w:tc>
        <w:tc>
          <w:tcPr>
            <w:tcW w:w="5909" w:type="dxa"/>
          </w:tcPr>
          <w:p w14:paraId="7CD84EF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22: Koleinowanie</w:t>
            </w:r>
          </w:p>
        </w:tc>
      </w:tr>
      <w:tr w:rsidR="004D7D23" w:rsidRPr="007B192E" w14:paraId="49BF14BB" w14:textId="77777777" w:rsidTr="008F7A94">
        <w:tc>
          <w:tcPr>
            <w:tcW w:w="708" w:type="dxa"/>
          </w:tcPr>
          <w:p w14:paraId="3599E14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2280" w:type="dxa"/>
          </w:tcPr>
          <w:p w14:paraId="6B6500F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12697-22</w:t>
            </w:r>
          </w:p>
        </w:tc>
        <w:tc>
          <w:tcPr>
            <w:tcW w:w="5909" w:type="dxa"/>
          </w:tcPr>
          <w:p w14:paraId="1CE2F43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22: Koleinowanie</w:t>
            </w:r>
          </w:p>
        </w:tc>
      </w:tr>
      <w:tr w:rsidR="004D7D23" w:rsidRPr="007B192E" w14:paraId="509A126F" w14:textId="77777777" w:rsidTr="008F7A94">
        <w:tc>
          <w:tcPr>
            <w:tcW w:w="708" w:type="dxa"/>
          </w:tcPr>
          <w:p w14:paraId="428B195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41.</w:t>
            </w:r>
          </w:p>
        </w:tc>
        <w:tc>
          <w:tcPr>
            <w:tcW w:w="2280" w:type="dxa"/>
          </w:tcPr>
          <w:p w14:paraId="6D58A69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12697-24</w:t>
            </w:r>
          </w:p>
        </w:tc>
        <w:tc>
          <w:tcPr>
            <w:tcW w:w="5909" w:type="dxa"/>
          </w:tcPr>
          <w:p w14:paraId="7CFB528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24: Odporność na zmęczenie</w:t>
            </w:r>
          </w:p>
        </w:tc>
      </w:tr>
      <w:tr w:rsidR="004D7D23" w:rsidRPr="007B192E" w14:paraId="276F5147" w14:textId="77777777" w:rsidTr="008F7A94">
        <w:tc>
          <w:tcPr>
            <w:tcW w:w="708" w:type="dxa"/>
          </w:tcPr>
          <w:p w14:paraId="41C1FCD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42.</w:t>
            </w:r>
          </w:p>
        </w:tc>
        <w:tc>
          <w:tcPr>
            <w:tcW w:w="2280" w:type="dxa"/>
          </w:tcPr>
          <w:p w14:paraId="4A0EDAF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12697-26</w:t>
            </w:r>
          </w:p>
        </w:tc>
        <w:tc>
          <w:tcPr>
            <w:tcW w:w="5909" w:type="dxa"/>
          </w:tcPr>
          <w:p w14:paraId="36F31B6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26: Sztywność</w:t>
            </w:r>
          </w:p>
        </w:tc>
      </w:tr>
      <w:tr w:rsidR="004D7D23" w:rsidRPr="007B192E" w14:paraId="122FA221" w14:textId="77777777" w:rsidTr="008F7A94">
        <w:tc>
          <w:tcPr>
            <w:tcW w:w="708" w:type="dxa"/>
          </w:tcPr>
          <w:p w14:paraId="748DEB3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43.</w:t>
            </w:r>
          </w:p>
        </w:tc>
        <w:tc>
          <w:tcPr>
            <w:tcW w:w="2280" w:type="dxa"/>
          </w:tcPr>
          <w:p w14:paraId="0386197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12697-27</w:t>
            </w:r>
          </w:p>
        </w:tc>
        <w:tc>
          <w:tcPr>
            <w:tcW w:w="5909" w:type="dxa"/>
          </w:tcPr>
          <w:p w14:paraId="4A8CAF5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27: Pobieranie próbek</w:t>
            </w:r>
          </w:p>
        </w:tc>
      </w:tr>
      <w:tr w:rsidR="004D7D23" w:rsidRPr="007B192E" w14:paraId="614657E4" w14:textId="77777777" w:rsidTr="008F7A94">
        <w:tc>
          <w:tcPr>
            <w:tcW w:w="708" w:type="dxa"/>
          </w:tcPr>
          <w:p w14:paraId="486B99B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44.</w:t>
            </w:r>
          </w:p>
        </w:tc>
        <w:tc>
          <w:tcPr>
            <w:tcW w:w="2280" w:type="dxa"/>
          </w:tcPr>
          <w:p w14:paraId="62F3DCA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12697-36</w:t>
            </w:r>
          </w:p>
        </w:tc>
        <w:tc>
          <w:tcPr>
            <w:tcW w:w="5909" w:type="dxa"/>
          </w:tcPr>
          <w:p w14:paraId="4064420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36: Oznaczanie grubości nawierzchni asfaltowych</w:t>
            </w:r>
          </w:p>
        </w:tc>
      </w:tr>
      <w:tr w:rsidR="004D7D23" w:rsidRPr="007B192E" w14:paraId="6105C641" w14:textId="77777777" w:rsidTr="008F7A94">
        <w:tc>
          <w:tcPr>
            <w:tcW w:w="708" w:type="dxa"/>
          </w:tcPr>
          <w:p w14:paraId="62A6B2F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45.</w:t>
            </w:r>
          </w:p>
        </w:tc>
        <w:tc>
          <w:tcPr>
            <w:tcW w:w="2280" w:type="dxa"/>
          </w:tcPr>
          <w:p w14:paraId="302DD3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12697-39</w:t>
            </w:r>
          </w:p>
        </w:tc>
        <w:tc>
          <w:tcPr>
            <w:tcW w:w="5909" w:type="dxa"/>
          </w:tcPr>
          <w:p w14:paraId="6914E0E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39: Oznaczanie zawartości lepiszcza metodą spalania</w:t>
            </w:r>
          </w:p>
        </w:tc>
      </w:tr>
      <w:tr w:rsidR="004D7D23" w:rsidRPr="007B192E" w14:paraId="3B2D51AB" w14:textId="77777777" w:rsidTr="008F7A94">
        <w:tc>
          <w:tcPr>
            <w:tcW w:w="708" w:type="dxa"/>
          </w:tcPr>
          <w:p w14:paraId="3593838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46.</w:t>
            </w:r>
          </w:p>
        </w:tc>
        <w:tc>
          <w:tcPr>
            <w:tcW w:w="2280" w:type="dxa"/>
          </w:tcPr>
          <w:p w14:paraId="7728C82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12697-41</w:t>
            </w:r>
          </w:p>
        </w:tc>
        <w:tc>
          <w:tcPr>
            <w:tcW w:w="5909" w:type="dxa"/>
          </w:tcPr>
          <w:p w14:paraId="729437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41: Odporność na płyny zapobiegające oblodzeniu</w:t>
            </w:r>
          </w:p>
        </w:tc>
      </w:tr>
      <w:tr w:rsidR="004D7D23" w:rsidRPr="007B192E" w14:paraId="7D8E837D" w14:textId="77777777" w:rsidTr="008F7A94">
        <w:tc>
          <w:tcPr>
            <w:tcW w:w="708" w:type="dxa"/>
          </w:tcPr>
          <w:p w14:paraId="54A2EEC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47.</w:t>
            </w:r>
          </w:p>
        </w:tc>
        <w:tc>
          <w:tcPr>
            <w:tcW w:w="2280" w:type="dxa"/>
          </w:tcPr>
          <w:p w14:paraId="09AE2F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12697-43</w:t>
            </w:r>
          </w:p>
        </w:tc>
        <w:tc>
          <w:tcPr>
            <w:tcW w:w="5909" w:type="dxa"/>
          </w:tcPr>
          <w:p w14:paraId="7A6486A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Metody badań mieszanek mineralno-asfaltowych na gorąco - Część 43: Odporność na paliwo</w:t>
            </w:r>
          </w:p>
        </w:tc>
      </w:tr>
      <w:tr w:rsidR="004D7D23" w:rsidRPr="007B192E" w14:paraId="5E37B37A" w14:textId="77777777" w:rsidTr="008F7A94">
        <w:tc>
          <w:tcPr>
            <w:tcW w:w="708" w:type="dxa"/>
          </w:tcPr>
          <w:p w14:paraId="5F5755E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48.</w:t>
            </w:r>
          </w:p>
        </w:tc>
        <w:tc>
          <w:tcPr>
            <w:tcW w:w="2280" w:type="dxa"/>
          </w:tcPr>
          <w:p w14:paraId="34879D1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12846-1</w:t>
            </w:r>
          </w:p>
        </w:tc>
        <w:tc>
          <w:tcPr>
            <w:tcW w:w="5909" w:type="dxa"/>
          </w:tcPr>
          <w:p w14:paraId="51A2663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czasu wypływu lepkościomierzem wypływowym - Część 1: Emulsje asfaltowe</w:t>
            </w:r>
          </w:p>
        </w:tc>
      </w:tr>
      <w:tr w:rsidR="004D7D23" w:rsidRPr="007B192E" w14:paraId="73DEE00E" w14:textId="77777777" w:rsidTr="008F7A94">
        <w:tc>
          <w:tcPr>
            <w:tcW w:w="708" w:type="dxa"/>
          </w:tcPr>
          <w:p w14:paraId="19ED405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49.</w:t>
            </w:r>
          </w:p>
        </w:tc>
        <w:tc>
          <w:tcPr>
            <w:tcW w:w="2280" w:type="dxa"/>
          </w:tcPr>
          <w:p w14:paraId="3DC913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13043</w:t>
            </w:r>
          </w:p>
        </w:tc>
        <w:tc>
          <w:tcPr>
            <w:tcW w:w="5909" w:type="dxa"/>
          </w:tcPr>
          <w:p w14:paraId="6601F34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Kruszywa do mieszanek bitumicznych i powierzchniowych utrwaleń stosowanych na drogach, lotniskach i innych powierzchniach przeznaczonych do ruchu</w:t>
            </w:r>
          </w:p>
        </w:tc>
      </w:tr>
      <w:tr w:rsidR="004D7D23" w:rsidRPr="007B192E" w14:paraId="6983EE01" w14:textId="77777777" w:rsidTr="008F7A94">
        <w:tc>
          <w:tcPr>
            <w:tcW w:w="708" w:type="dxa"/>
          </w:tcPr>
          <w:p w14:paraId="48465D3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50.</w:t>
            </w:r>
          </w:p>
        </w:tc>
        <w:tc>
          <w:tcPr>
            <w:tcW w:w="2280" w:type="dxa"/>
          </w:tcPr>
          <w:p w14:paraId="4E71EE0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13108-1</w:t>
            </w:r>
          </w:p>
        </w:tc>
        <w:tc>
          <w:tcPr>
            <w:tcW w:w="5909" w:type="dxa"/>
          </w:tcPr>
          <w:p w14:paraId="03C64CF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1: Beton asfaltowy</w:t>
            </w:r>
          </w:p>
        </w:tc>
      </w:tr>
      <w:tr w:rsidR="004D7D23" w:rsidRPr="007B192E" w14:paraId="122FA851" w14:textId="77777777" w:rsidTr="008F7A94">
        <w:tc>
          <w:tcPr>
            <w:tcW w:w="708" w:type="dxa"/>
          </w:tcPr>
          <w:p w14:paraId="054E9EB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51.</w:t>
            </w:r>
          </w:p>
        </w:tc>
        <w:tc>
          <w:tcPr>
            <w:tcW w:w="2280" w:type="dxa"/>
          </w:tcPr>
          <w:p w14:paraId="342C949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13108-4</w:t>
            </w:r>
          </w:p>
        </w:tc>
        <w:tc>
          <w:tcPr>
            <w:tcW w:w="5909" w:type="dxa"/>
          </w:tcPr>
          <w:p w14:paraId="2D4D86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4: Mieszanka HRA</w:t>
            </w:r>
          </w:p>
        </w:tc>
      </w:tr>
      <w:tr w:rsidR="004D7D23" w:rsidRPr="007B192E" w14:paraId="0DFA5B39" w14:textId="77777777" w:rsidTr="008F7A94">
        <w:tc>
          <w:tcPr>
            <w:tcW w:w="708" w:type="dxa"/>
          </w:tcPr>
          <w:p w14:paraId="4958DDC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52.</w:t>
            </w:r>
          </w:p>
        </w:tc>
        <w:tc>
          <w:tcPr>
            <w:tcW w:w="2280" w:type="dxa"/>
          </w:tcPr>
          <w:p w14:paraId="7140F78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13108-20</w:t>
            </w:r>
          </w:p>
        </w:tc>
        <w:tc>
          <w:tcPr>
            <w:tcW w:w="5909" w:type="dxa"/>
          </w:tcPr>
          <w:p w14:paraId="6464E6E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20: Badanie typu</w:t>
            </w:r>
          </w:p>
        </w:tc>
      </w:tr>
      <w:tr w:rsidR="004D7D23" w:rsidRPr="007B192E" w14:paraId="64DA4C3F" w14:textId="77777777" w:rsidTr="008F7A94">
        <w:tc>
          <w:tcPr>
            <w:tcW w:w="708" w:type="dxa"/>
          </w:tcPr>
          <w:p w14:paraId="588A5B7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53.</w:t>
            </w:r>
          </w:p>
        </w:tc>
        <w:tc>
          <w:tcPr>
            <w:tcW w:w="2280" w:type="dxa"/>
          </w:tcPr>
          <w:p w14:paraId="4EE4DD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13108-21</w:t>
            </w:r>
          </w:p>
        </w:tc>
        <w:tc>
          <w:tcPr>
            <w:tcW w:w="5909" w:type="dxa"/>
          </w:tcPr>
          <w:p w14:paraId="3D00DAE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Mieszanki mineralno-asfaltowe - Wymagania - Część 21: Zakładowa kontrola produkcji</w:t>
            </w:r>
          </w:p>
        </w:tc>
      </w:tr>
      <w:tr w:rsidR="004D7D23" w:rsidRPr="007B192E" w14:paraId="6A4C0792" w14:textId="77777777" w:rsidTr="008F7A94">
        <w:tc>
          <w:tcPr>
            <w:tcW w:w="708" w:type="dxa"/>
          </w:tcPr>
          <w:p w14:paraId="25ABEA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54.</w:t>
            </w:r>
          </w:p>
        </w:tc>
        <w:tc>
          <w:tcPr>
            <w:tcW w:w="2280" w:type="dxa"/>
          </w:tcPr>
          <w:p w14:paraId="4F51D8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13179-1</w:t>
            </w:r>
          </w:p>
        </w:tc>
        <w:tc>
          <w:tcPr>
            <w:tcW w:w="5909" w:type="dxa"/>
          </w:tcPr>
          <w:p w14:paraId="11F11F5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kruszyw wypełniających stosowanych do mieszanek bitumicznych – Część 1: Badanie metodą pierścienia delta i kuli</w:t>
            </w:r>
          </w:p>
        </w:tc>
      </w:tr>
      <w:tr w:rsidR="004D7D23" w:rsidRPr="007B192E" w14:paraId="185D0AD3" w14:textId="77777777" w:rsidTr="008F7A94">
        <w:tc>
          <w:tcPr>
            <w:tcW w:w="708" w:type="dxa"/>
          </w:tcPr>
          <w:p w14:paraId="01CB6A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55.</w:t>
            </w:r>
          </w:p>
        </w:tc>
        <w:tc>
          <w:tcPr>
            <w:tcW w:w="2280" w:type="dxa"/>
          </w:tcPr>
          <w:p w14:paraId="73BC7B6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13179-2</w:t>
            </w:r>
          </w:p>
        </w:tc>
        <w:tc>
          <w:tcPr>
            <w:tcW w:w="5909" w:type="dxa"/>
          </w:tcPr>
          <w:p w14:paraId="20D7F84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Badania kruszyw wypełniających stosowanych do mieszanek bitumicznych – Część 2: Liczba bitumiczna</w:t>
            </w:r>
          </w:p>
        </w:tc>
      </w:tr>
      <w:tr w:rsidR="004D7D23" w:rsidRPr="007B192E" w14:paraId="78026B10" w14:textId="77777777" w:rsidTr="008F7A94">
        <w:tc>
          <w:tcPr>
            <w:tcW w:w="708" w:type="dxa"/>
          </w:tcPr>
          <w:p w14:paraId="4474EF4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56.</w:t>
            </w:r>
          </w:p>
        </w:tc>
        <w:tc>
          <w:tcPr>
            <w:tcW w:w="2280" w:type="dxa"/>
          </w:tcPr>
          <w:p w14:paraId="550B901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13398</w:t>
            </w:r>
          </w:p>
        </w:tc>
        <w:tc>
          <w:tcPr>
            <w:tcW w:w="5909" w:type="dxa"/>
          </w:tcPr>
          <w:p w14:paraId="37A2B4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nawrotu sprężystego asfaltów modyfikowanych</w:t>
            </w:r>
          </w:p>
        </w:tc>
      </w:tr>
      <w:tr w:rsidR="004D7D23" w:rsidRPr="007B192E" w14:paraId="35F04EE5" w14:textId="77777777" w:rsidTr="008F7A94">
        <w:tc>
          <w:tcPr>
            <w:tcW w:w="708" w:type="dxa"/>
          </w:tcPr>
          <w:p w14:paraId="0FD235A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57.</w:t>
            </w:r>
          </w:p>
        </w:tc>
        <w:tc>
          <w:tcPr>
            <w:tcW w:w="2280" w:type="dxa"/>
          </w:tcPr>
          <w:p w14:paraId="0E6136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13399</w:t>
            </w:r>
          </w:p>
        </w:tc>
        <w:tc>
          <w:tcPr>
            <w:tcW w:w="5909" w:type="dxa"/>
          </w:tcPr>
          <w:p w14:paraId="427FA52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lepiszcza asfaltowe – Oznaczanie stabilności podczas magazynowania asfaltów modyfikowanych </w:t>
            </w:r>
          </w:p>
        </w:tc>
      </w:tr>
      <w:tr w:rsidR="004D7D23" w:rsidRPr="007B192E" w14:paraId="0A1819F6" w14:textId="77777777" w:rsidTr="008F7A94">
        <w:tc>
          <w:tcPr>
            <w:tcW w:w="708" w:type="dxa"/>
          </w:tcPr>
          <w:p w14:paraId="5F0F6CB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58.</w:t>
            </w:r>
          </w:p>
        </w:tc>
        <w:tc>
          <w:tcPr>
            <w:tcW w:w="2280" w:type="dxa"/>
          </w:tcPr>
          <w:p w14:paraId="6DCAE49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13587</w:t>
            </w:r>
          </w:p>
        </w:tc>
        <w:tc>
          <w:tcPr>
            <w:tcW w:w="5909" w:type="dxa"/>
          </w:tcPr>
          <w:p w14:paraId="1BB1ABC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właściwości mechanicznych lepiszczy asfaltowych metodą rozciągania</w:t>
            </w:r>
          </w:p>
        </w:tc>
      </w:tr>
      <w:tr w:rsidR="004D7D23" w:rsidRPr="007B192E" w14:paraId="52B0DBA3" w14:textId="77777777" w:rsidTr="008F7A94">
        <w:tc>
          <w:tcPr>
            <w:tcW w:w="708" w:type="dxa"/>
          </w:tcPr>
          <w:p w14:paraId="59A8A0F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59.</w:t>
            </w:r>
          </w:p>
        </w:tc>
        <w:tc>
          <w:tcPr>
            <w:tcW w:w="2280" w:type="dxa"/>
          </w:tcPr>
          <w:p w14:paraId="3534498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13588</w:t>
            </w:r>
          </w:p>
        </w:tc>
        <w:tc>
          <w:tcPr>
            <w:tcW w:w="5909" w:type="dxa"/>
          </w:tcPr>
          <w:p w14:paraId="31F6589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kohezji lepiszczy asfaltowych metodą testu wahadłowego</w:t>
            </w:r>
          </w:p>
        </w:tc>
      </w:tr>
      <w:tr w:rsidR="004D7D23" w:rsidRPr="007B192E" w14:paraId="34F88820" w14:textId="77777777" w:rsidTr="008F7A94">
        <w:tc>
          <w:tcPr>
            <w:tcW w:w="708" w:type="dxa"/>
          </w:tcPr>
          <w:p w14:paraId="65E6ED0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60.</w:t>
            </w:r>
          </w:p>
        </w:tc>
        <w:tc>
          <w:tcPr>
            <w:tcW w:w="2280" w:type="dxa"/>
          </w:tcPr>
          <w:p w14:paraId="6721210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13589</w:t>
            </w:r>
          </w:p>
        </w:tc>
        <w:tc>
          <w:tcPr>
            <w:tcW w:w="5909" w:type="dxa"/>
          </w:tcPr>
          <w:p w14:paraId="7CFDF04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lepiszcza asfaltowe – Oznaczanie siły rozciągania asfaltów modyfikowanych – Metoda z </w:t>
            </w:r>
            <w:proofErr w:type="spellStart"/>
            <w:r w:rsidRPr="007B192E">
              <w:rPr>
                <w:rFonts w:ascii="Arial" w:hAnsi="Arial" w:cs="Arial"/>
                <w:color w:val="000000" w:themeColor="text1"/>
                <w:sz w:val="18"/>
                <w:szCs w:val="18"/>
              </w:rPr>
              <w:t>duktylometrem</w:t>
            </w:r>
            <w:proofErr w:type="spellEnd"/>
          </w:p>
        </w:tc>
      </w:tr>
      <w:tr w:rsidR="004D7D23" w:rsidRPr="007B192E" w14:paraId="3E06BE26" w14:textId="77777777" w:rsidTr="008F7A94">
        <w:tc>
          <w:tcPr>
            <w:tcW w:w="708" w:type="dxa"/>
          </w:tcPr>
          <w:p w14:paraId="3D8AF8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61.</w:t>
            </w:r>
          </w:p>
        </w:tc>
        <w:tc>
          <w:tcPr>
            <w:tcW w:w="2280" w:type="dxa"/>
          </w:tcPr>
          <w:p w14:paraId="176B841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13703</w:t>
            </w:r>
          </w:p>
        </w:tc>
        <w:tc>
          <w:tcPr>
            <w:tcW w:w="5909" w:type="dxa"/>
          </w:tcPr>
          <w:p w14:paraId="12B828E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Oznaczanie energii odkształcenia</w:t>
            </w:r>
          </w:p>
        </w:tc>
      </w:tr>
      <w:tr w:rsidR="004D7D23" w:rsidRPr="007B192E" w14:paraId="00DADEB4" w14:textId="77777777" w:rsidTr="008F7A94">
        <w:tc>
          <w:tcPr>
            <w:tcW w:w="708" w:type="dxa"/>
          </w:tcPr>
          <w:p w14:paraId="23B99E8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62.</w:t>
            </w:r>
          </w:p>
        </w:tc>
        <w:tc>
          <w:tcPr>
            <w:tcW w:w="2280" w:type="dxa"/>
          </w:tcPr>
          <w:p w14:paraId="2303A2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13808</w:t>
            </w:r>
          </w:p>
        </w:tc>
        <w:tc>
          <w:tcPr>
            <w:tcW w:w="5909" w:type="dxa"/>
          </w:tcPr>
          <w:p w14:paraId="5D78DD9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specyfikacji kationowych emulsji asfaltowych</w:t>
            </w:r>
          </w:p>
        </w:tc>
      </w:tr>
      <w:tr w:rsidR="004D7D23" w:rsidRPr="007B192E" w14:paraId="3BDB05EE" w14:textId="77777777" w:rsidTr="008F7A94">
        <w:tc>
          <w:tcPr>
            <w:tcW w:w="708" w:type="dxa"/>
          </w:tcPr>
          <w:p w14:paraId="679E4CD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62a.</w:t>
            </w:r>
          </w:p>
        </w:tc>
        <w:tc>
          <w:tcPr>
            <w:tcW w:w="2280" w:type="dxa"/>
          </w:tcPr>
          <w:p w14:paraId="3EF7EAA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13808:2013-10/Ap1:2014-07</w:t>
            </w:r>
          </w:p>
        </w:tc>
        <w:tc>
          <w:tcPr>
            <w:tcW w:w="5909" w:type="dxa"/>
          </w:tcPr>
          <w:p w14:paraId="47F277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specyfikacji kationowych emulsji asfaltowych. Załącznik krajowy NA</w:t>
            </w:r>
          </w:p>
        </w:tc>
      </w:tr>
      <w:tr w:rsidR="004D7D23" w:rsidRPr="007B192E" w14:paraId="02B76E75" w14:textId="77777777" w:rsidTr="008F7A94">
        <w:tc>
          <w:tcPr>
            <w:tcW w:w="708" w:type="dxa"/>
          </w:tcPr>
          <w:p w14:paraId="5C7F43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63.</w:t>
            </w:r>
          </w:p>
        </w:tc>
        <w:tc>
          <w:tcPr>
            <w:tcW w:w="2280" w:type="dxa"/>
          </w:tcPr>
          <w:p w14:paraId="1954BB0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13924-2</w:t>
            </w:r>
          </w:p>
        </w:tc>
        <w:tc>
          <w:tcPr>
            <w:tcW w:w="5909" w:type="dxa"/>
          </w:tcPr>
          <w:p w14:paraId="62982B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lepiszcza asfaltowe - Zasady klasyfikacji asfaltów drogowych specjalnych - Część 2: Asfalty drogowe wielorodzajowe </w:t>
            </w:r>
          </w:p>
        </w:tc>
      </w:tr>
      <w:tr w:rsidR="004D7D23" w:rsidRPr="007B192E" w14:paraId="45BF2DCD" w14:textId="77777777" w:rsidTr="008F7A94">
        <w:tc>
          <w:tcPr>
            <w:tcW w:w="708" w:type="dxa"/>
          </w:tcPr>
          <w:p w14:paraId="521539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63a</w:t>
            </w:r>
          </w:p>
        </w:tc>
        <w:tc>
          <w:tcPr>
            <w:tcW w:w="2280" w:type="dxa"/>
          </w:tcPr>
          <w:p w14:paraId="13590E48"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PN-EN 13924-2:</w:t>
            </w:r>
          </w:p>
          <w:p w14:paraId="5A859F78"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2014-04/Ap1:</w:t>
            </w:r>
          </w:p>
          <w:p w14:paraId="5343AB17"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 xml:space="preserve">2014-07 </w:t>
            </w:r>
            <w:proofErr w:type="spellStart"/>
            <w:r w:rsidRPr="007B192E">
              <w:rPr>
                <w:rFonts w:ascii="Arial" w:hAnsi="Arial" w:cs="Arial"/>
                <w:color w:val="000000" w:themeColor="text1"/>
                <w:sz w:val="18"/>
                <w:szCs w:val="18"/>
                <w:lang w:val="en-US"/>
              </w:rPr>
              <w:t>i</w:t>
            </w:r>
            <w:proofErr w:type="spellEnd"/>
            <w:r w:rsidRPr="007B192E">
              <w:rPr>
                <w:rFonts w:ascii="Arial" w:hAnsi="Arial" w:cs="Arial"/>
                <w:color w:val="000000" w:themeColor="text1"/>
                <w:sz w:val="18"/>
                <w:szCs w:val="18"/>
                <w:lang w:val="en-US"/>
              </w:rPr>
              <w:t xml:space="preserve"> PN-EN 13924-2:2014-04/Ap2:2015-09E</w:t>
            </w:r>
          </w:p>
        </w:tc>
        <w:tc>
          <w:tcPr>
            <w:tcW w:w="5909" w:type="dxa"/>
          </w:tcPr>
          <w:p w14:paraId="66076B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klasyfikacji asfaltów drogowych specjalnych - Część 2: Asfalty drogowe wielorodzajowe. Załącznik krajowy NA</w:t>
            </w:r>
          </w:p>
        </w:tc>
      </w:tr>
      <w:tr w:rsidR="004D7D23" w:rsidRPr="007B192E" w14:paraId="1621019F" w14:textId="77777777" w:rsidTr="008F7A94">
        <w:tc>
          <w:tcPr>
            <w:tcW w:w="708" w:type="dxa"/>
          </w:tcPr>
          <w:p w14:paraId="524CF04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64.</w:t>
            </w:r>
          </w:p>
        </w:tc>
        <w:tc>
          <w:tcPr>
            <w:tcW w:w="2280" w:type="dxa"/>
          </w:tcPr>
          <w:p w14:paraId="6CA9E532" w14:textId="77777777" w:rsidR="00F45500" w:rsidRPr="007B192E" w:rsidRDefault="00F45500" w:rsidP="008F7A94">
            <w:pPr>
              <w:tabs>
                <w:tab w:val="right" w:pos="2064"/>
              </w:tabs>
              <w:jc w:val="both"/>
              <w:rPr>
                <w:rFonts w:ascii="Arial" w:hAnsi="Arial" w:cs="Arial"/>
                <w:color w:val="000000" w:themeColor="text1"/>
                <w:sz w:val="18"/>
                <w:szCs w:val="18"/>
              </w:rPr>
            </w:pPr>
            <w:r w:rsidRPr="007B192E">
              <w:rPr>
                <w:rFonts w:ascii="Arial" w:hAnsi="Arial" w:cs="Arial"/>
                <w:color w:val="000000" w:themeColor="text1"/>
                <w:sz w:val="18"/>
                <w:szCs w:val="18"/>
              </w:rPr>
              <w:t>PN-EN 14023</w:t>
            </w:r>
            <w:r w:rsidRPr="007B192E">
              <w:rPr>
                <w:rFonts w:ascii="Arial" w:hAnsi="Arial" w:cs="Arial"/>
                <w:color w:val="000000" w:themeColor="text1"/>
                <w:sz w:val="18"/>
                <w:szCs w:val="18"/>
              </w:rPr>
              <w:tab/>
            </w:r>
          </w:p>
        </w:tc>
        <w:tc>
          <w:tcPr>
            <w:tcW w:w="5909" w:type="dxa"/>
          </w:tcPr>
          <w:p w14:paraId="4CCAAB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Asfalty i lepiszcza asfaltowe – Zasady specyfikacji asfaltów </w:t>
            </w:r>
            <w:r w:rsidRPr="007B192E">
              <w:rPr>
                <w:rFonts w:ascii="Arial" w:hAnsi="Arial" w:cs="Arial"/>
                <w:color w:val="000000" w:themeColor="text1"/>
                <w:sz w:val="18"/>
                <w:szCs w:val="18"/>
              </w:rPr>
              <w:lastRenderedPageBreak/>
              <w:t>modyfikowanych polimerami</w:t>
            </w:r>
          </w:p>
        </w:tc>
      </w:tr>
      <w:tr w:rsidR="004D7D23" w:rsidRPr="007B192E" w14:paraId="261FC360" w14:textId="77777777" w:rsidTr="008F7A94">
        <w:tc>
          <w:tcPr>
            <w:tcW w:w="708" w:type="dxa"/>
          </w:tcPr>
          <w:p w14:paraId="0B48013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64a.</w:t>
            </w:r>
          </w:p>
        </w:tc>
        <w:tc>
          <w:tcPr>
            <w:tcW w:w="2280" w:type="dxa"/>
          </w:tcPr>
          <w:p w14:paraId="646437C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14023:2011/Ap1:</w:t>
            </w:r>
          </w:p>
          <w:p w14:paraId="73BCDD7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2014-04</w:t>
            </w:r>
          </w:p>
        </w:tc>
        <w:tc>
          <w:tcPr>
            <w:tcW w:w="5909" w:type="dxa"/>
          </w:tcPr>
          <w:p w14:paraId="2F8897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Zasady klasyfikacji asfaltów modyfikowanych polimerami. Załącznik krajowy NA</w:t>
            </w:r>
          </w:p>
        </w:tc>
      </w:tr>
      <w:tr w:rsidR="004D7D23" w:rsidRPr="007B192E" w14:paraId="461A01EB" w14:textId="77777777" w:rsidTr="008F7A94">
        <w:tc>
          <w:tcPr>
            <w:tcW w:w="708" w:type="dxa"/>
          </w:tcPr>
          <w:p w14:paraId="2B9712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65.</w:t>
            </w:r>
          </w:p>
        </w:tc>
        <w:tc>
          <w:tcPr>
            <w:tcW w:w="2280" w:type="dxa"/>
          </w:tcPr>
          <w:p w14:paraId="5D9FC7D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14188-1</w:t>
            </w:r>
          </w:p>
        </w:tc>
        <w:tc>
          <w:tcPr>
            <w:tcW w:w="5909" w:type="dxa"/>
          </w:tcPr>
          <w:p w14:paraId="55C372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Wypełniacze szczelin i zalewy drogowe – Część 1: Wymagania wobec zalew drogowych na gorąco</w:t>
            </w:r>
          </w:p>
        </w:tc>
      </w:tr>
      <w:tr w:rsidR="004D7D23" w:rsidRPr="007B192E" w14:paraId="0EA3F4E8" w14:textId="77777777" w:rsidTr="008F7A94">
        <w:tc>
          <w:tcPr>
            <w:tcW w:w="708" w:type="dxa"/>
          </w:tcPr>
          <w:p w14:paraId="6EC85D5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66.</w:t>
            </w:r>
          </w:p>
        </w:tc>
        <w:tc>
          <w:tcPr>
            <w:tcW w:w="2280" w:type="dxa"/>
          </w:tcPr>
          <w:p w14:paraId="17B21C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14188-2</w:t>
            </w:r>
          </w:p>
        </w:tc>
        <w:tc>
          <w:tcPr>
            <w:tcW w:w="5909" w:type="dxa"/>
          </w:tcPr>
          <w:p w14:paraId="26F7E1F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Wypełniacze szczelin i zalewy drogowe – Część 2: Wymagania wobec zalew drogowych na zimno</w:t>
            </w:r>
          </w:p>
        </w:tc>
      </w:tr>
      <w:tr w:rsidR="004D7D23" w:rsidRPr="007B192E" w14:paraId="5B03290B" w14:textId="77777777" w:rsidTr="008F7A94">
        <w:tc>
          <w:tcPr>
            <w:tcW w:w="708" w:type="dxa"/>
          </w:tcPr>
          <w:p w14:paraId="42F722A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67.</w:t>
            </w:r>
          </w:p>
        </w:tc>
        <w:tc>
          <w:tcPr>
            <w:tcW w:w="2280" w:type="dxa"/>
          </w:tcPr>
          <w:p w14:paraId="1DF927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22592</w:t>
            </w:r>
          </w:p>
        </w:tc>
        <w:tc>
          <w:tcPr>
            <w:tcW w:w="5909" w:type="dxa"/>
          </w:tcPr>
          <w:p w14:paraId="7A63A02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Przetwory naftowe – Oznaczanie temperatury zapłonu i palenia – Pomiar metodą otwartego tygla Clevelanda</w:t>
            </w:r>
          </w:p>
        </w:tc>
      </w:tr>
      <w:tr w:rsidR="004D7D23" w:rsidRPr="007B192E" w14:paraId="06687753" w14:textId="77777777" w:rsidTr="008F7A94">
        <w:tc>
          <w:tcPr>
            <w:tcW w:w="708" w:type="dxa"/>
          </w:tcPr>
          <w:p w14:paraId="234A6C0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68.</w:t>
            </w:r>
          </w:p>
        </w:tc>
        <w:tc>
          <w:tcPr>
            <w:tcW w:w="2280" w:type="dxa"/>
          </w:tcPr>
          <w:p w14:paraId="791F2AF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ISO 2592</w:t>
            </w:r>
          </w:p>
        </w:tc>
        <w:tc>
          <w:tcPr>
            <w:tcW w:w="5909" w:type="dxa"/>
          </w:tcPr>
          <w:p w14:paraId="3BC16C6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Oznaczanie temperatury zapłonu i palenia – Metoda otwartego tygla Clevelanda</w:t>
            </w:r>
          </w:p>
        </w:tc>
      </w:tr>
      <w:tr w:rsidR="004D7D23" w:rsidRPr="007B192E" w14:paraId="11AD0CD2" w14:textId="77777777" w:rsidTr="008F7A94">
        <w:tc>
          <w:tcPr>
            <w:tcW w:w="708" w:type="dxa"/>
          </w:tcPr>
          <w:p w14:paraId="70B65EB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69.</w:t>
            </w:r>
          </w:p>
        </w:tc>
        <w:tc>
          <w:tcPr>
            <w:tcW w:w="2280" w:type="dxa"/>
          </w:tcPr>
          <w:p w14:paraId="1F5BF80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13880-2</w:t>
            </w:r>
          </w:p>
        </w:tc>
        <w:tc>
          <w:tcPr>
            <w:tcW w:w="5909" w:type="dxa"/>
          </w:tcPr>
          <w:p w14:paraId="2647204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2: Metoda badania dla określenia penetracji stożka w temperaturze 25 C</w:t>
            </w:r>
          </w:p>
        </w:tc>
      </w:tr>
      <w:tr w:rsidR="004D7D23" w:rsidRPr="007B192E" w14:paraId="0D0F8F72" w14:textId="77777777" w:rsidTr="008F7A94">
        <w:tc>
          <w:tcPr>
            <w:tcW w:w="708" w:type="dxa"/>
          </w:tcPr>
          <w:p w14:paraId="36D1986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70.</w:t>
            </w:r>
          </w:p>
        </w:tc>
        <w:tc>
          <w:tcPr>
            <w:tcW w:w="2280" w:type="dxa"/>
          </w:tcPr>
          <w:p w14:paraId="21D05F2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13880-3</w:t>
            </w:r>
          </w:p>
        </w:tc>
        <w:tc>
          <w:tcPr>
            <w:tcW w:w="5909" w:type="dxa"/>
          </w:tcPr>
          <w:p w14:paraId="51DFAD7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3: Metoda badania określająca penetrację i odprężenie sprężyste (odbojność)</w:t>
            </w:r>
          </w:p>
        </w:tc>
      </w:tr>
      <w:tr w:rsidR="004D7D23" w:rsidRPr="007B192E" w14:paraId="5F9DC169" w14:textId="77777777" w:rsidTr="008F7A94">
        <w:tc>
          <w:tcPr>
            <w:tcW w:w="708" w:type="dxa"/>
          </w:tcPr>
          <w:p w14:paraId="28FEC5A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71.</w:t>
            </w:r>
          </w:p>
        </w:tc>
        <w:tc>
          <w:tcPr>
            <w:tcW w:w="2280" w:type="dxa"/>
          </w:tcPr>
          <w:p w14:paraId="50F09AB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13880-5</w:t>
            </w:r>
          </w:p>
        </w:tc>
        <w:tc>
          <w:tcPr>
            <w:tcW w:w="5909" w:type="dxa"/>
          </w:tcPr>
          <w:p w14:paraId="396B2CA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5: Metody badań do oznaczania odporności na spływanie</w:t>
            </w:r>
          </w:p>
        </w:tc>
      </w:tr>
      <w:tr w:rsidR="004D7D23" w:rsidRPr="007B192E" w14:paraId="66C6C31C" w14:textId="77777777" w:rsidTr="008F7A94">
        <w:tc>
          <w:tcPr>
            <w:tcW w:w="708" w:type="dxa"/>
          </w:tcPr>
          <w:p w14:paraId="4211CDC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72.</w:t>
            </w:r>
          </w:p>
        </w:tc>
        <w:tc>
          <w:tcPr>
            <w:tcW w:w="2280" w:type="dxa"/>
          </w:tcPr>
          <w:p w14:paraId="401150E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13880-6</w:t>
            </w:r>
          </w:p>
        </w:tc>
        <w:tc>
          <w:tcPr>
            <w:tcW w:w="5909" w:type="dxa"/>
          </w:tcPr>
          <w:p w14:paraId="735A359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6: Metoda przygotowania próbek do badania</w:t>
            </w:r>
          </w:p>
        </w:tc>
      </w:tr>
      <w:tr w:rsidR="004D7D23" w:rsidRPr="007B192E" w14:paraId="1429D2B3" w14:textId="77777777" w:rsidTr="008F7A94">
        <w:tc>
          <w:tcPr>
            <w:tcW w:w="708" w:type="dxa"/>
          </w:tcPr>
          <w:p w14:paraId="723800A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73.</w:t>
            </w:r>
          </w:p>
        </w:tc>
        <w:tc>
          <w:tcPr>
            <w:tcW w:w="2280" w:type="dxa"/>
          </w:tcPr>
          <w:p w14:paraId="697F088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13880-13</w:t>
            </w:r>
          </w:p>
        </w:tc>
        <w:tc>
          <w:tcPr>
            <w:tcW w:w="5909" w:type="dxa"/>
          </w:tcPr>
          <w:p w14:paraId="4977CE1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Zalewy szczelin na gorąco -- Część 13: Metoda badania służąca do określenia wydłużenia nieciągłego (próba przyczepności)</w:t>
            </w:r>
          </w:p>
        </w:tc>
      </w:tr>
      <w:tr w:rsidR="004D7D23" w:rsidRPr="007B192E" w14:paraId="211FBD04" w14:textId="77777777" w:rsidTr="008F7A94">
        <w:trPr>
          <w:trHeight w:val="555"/>
        </w:trPr>
        <w:tc>
          <w:tcPr>
            <w:tcW w:w="708" w:type="dxa"/>
          </w:tcPr>
          <w:p w14:paraId="2384D30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74.</w:t>
            </w:r>
          </w:p>
        </w:tc>
        <w:tc>
          <w:tcPr>
            <w:tcW w:w="2280" w:type="dxa"/>
          </w:tcPr>
          <w:p w14:paraId="39A172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DIN 52123</w:t>
            </w:r>
          </w:p>
        </w:tc>
        <w:tc>
          <w:tcPr>
            <w:tcW w:w="5909" w:type="dxa"/>
          </w:tcPr>
          <w:p w14:paraId="01A48F72" w14:textId="77777777" w:rsidR="00F45500" w:rsidRPr="007B192E" w:rsidRDefault="00F45500" w:rsidP="00F45500">
            <w:pPr>
              <w:pStyle w:val="Nagwek2"/>
              <w:numPr>
                <w:ilvl w:val="1"/>
                <w:numId w:val="30"/>
              </w:numPr>
              <w:overflowPunct/>
              <w:autoSpaceDE/>
              <w:spacing w:before="0" w:after="0"/>
              <w:jc w:val="both"/>
              <w:textAlignment w:val="auto"/>
              <w:rPr>
                <w:color w:val="000000" w:themeColor="text1"/>
                <w:sz w:val="18"/>
                <w:szCs w:val="18"/>
              </w:rPr>
            </w:pPr>
            <w:proofErr w:type="spellStart"/>
            <w:r w:rsidRPr="007B192E">
              <w:rPr>
                <w:rStyle w:val="value"/>
                <w:rFonts w:eastAsia="Lucida Sans Unicode"/>
                <w:b w:val="0"/>
                <w:color w:val="000000" w:themeColor="text1"/>
                <w:sz w:val="18"/>
                <w:szCs w:val="18"/>
              </w:rPr>
              <w:t>Prüfung</w:t>
            </w:r>
            <w:proofErr w:type="spellEnd"/>
            <w:r w:rsidRPr="007B192E">
              <w:rPr>
                <w:rStyle w:val="value"/>
                <w:rFonts w:eastAsia="Lucida Sans Unicode"/>
                <w:b w:val="0"/>
                <w:color w:val="000000" w:themeColor="text1"/>
                <w:sz w:val="18"/>
                <w:szCs w:val="18"/>
              </w:rPr>
              <w:t xml:space="preserve"> von Bitumen- </w:t>
            </w:r>
            <w:proofErr w:type="spellStart"/>
            <w:r w:rsidRPr="007B192E">
              <w:rPr>
                <w:rStyle w:val="value"/>
                <w:rFonts w:eastAsia="Lucida Sans Unicode"/>
                <w:b w:val="0"/>
                <w:color w:val="000000" w:themeColor="text1"/>
                <w:sz w:val="18"/>
                <w:szCs w:val="18"/>
              </w:rPr>
              <w:t>und</w:t>
            </w:r>
            <w:proofErr w:type="spellEnd"/>
            <w:r w:rsidRPr="007B192E">
              <w:rPr>
                <w:rStyle w:val="value"/>
                <w:rFonts w:eastAsia="Lucida Sans Unicode"/>
                <w:b w:val="0"/>
                <w:color w:val="000000" w:themeColor="text1"/>
                <w:sz w:val="18"/>
                <w:szCs w:val="18"/>
              </w:rPr>
              <w:t xml:space="preserve"> </w:t>
            </w:r>
            <w:proofErr w:type="spellStart"/>
            <w:r w:rsidRPr="007B192E">
              <w:rPr>
                <w:rStyle w:val="value"/>
                <w:rFonts w:eastAsia="Lucida Sans Unicode"/>
                <w:b w:val="0"/>
                <w:color w:val="000000" w:themeColor="text1"/>
                <w:sz w:val="18"/>
                <w:szCs w:val="18"/>
              </w:rPr>
              <w:t>Polymerbitumenbahnen</w:t>
            </w:r>
            <w:proofErr w:type="spellEnd"/>
            <w:r w:rsidRPr="007B192E">
              <w:rPr>
                <w:rStyle w:val="value"/>
                <w:rFonts w:eastAsia="Lucida Sans Unicode"/>
                <w:b w:val="0"/>
                <w:color w:val="000000" w:themeColor="text1"/>
                <w:sz w:val="18"/>
                <w:szCs w:val="18"/>
              </w:rPr>
              <w:t xml:space="preserve"> (Badanie taśm bitumicznych i polimerowo-bitumicznych)</w:t>
            </w:r>
          </w:p>
        </w:tc>
      </w:tr>
      <w:tr w:rsidR="004D7D23" w:rsidRPr="007B192E" w14:paraId="40F91CA8" w14:textId="77777777" w:rsidTr="008F7A94">
        <w:tc>
          <w:tcPr>
            <w:tcW w:w="708" w:type="dxa"/>
          </w:tcPr>
          <w:p w14:paraId="59A3098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75.</w:t>
            </w:r>
          </w:p>
        </w:tc>
        <w:tc>
          <w:tcPr>
            <w:tcW w:w="2280" w:type="dxa"/>
          </w:tcPr>
          <w:p w14:paraId="5EB2A6C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1425</w:t>
            </w:r>
          </w:p>
        </w:tc>
        <w:tc>
          <w:tcPr>
            <w:tcW w:w="5909" w:type="dxa"/>
          </w:tcPr>
          <w:p w14:paraId="06B3F636" w14:textId="77777777" w:rsidR="00F45500" w:rsidRPr="007B192E" w:rsidRDefault="00F45500" w:rsidP="00F45500">
            <w:pPr>
              <w:pStyle w:val="Nagwek2"/>
              <w:numPr>
                <w:ilvl w:val="1"/>
                <w:numId w:val="30"/>
              </w:numPr>
              <w:overflowPunct/>
              <w:autoSpaceDE/>
              <w:spacing w:before="0" w:after="0"/>
              <w:jc w:val="both"/>
              <w:textAlignment w:val="auto"/>
              <w:rPr>
                <w:rStyle w:val="value"/>
                <w:rFonts w:eastAsia="Lucida Sans Unicode"/>
                <w:b w:val="0"/>
                <w:color w:val="000000" w:themeColor="text1"/>
                <w:sz w:val="18"/>
                <w:szCs w:val="18"/>
              </w:rPr>
            </w:pPr>
            <w:r w:rsidRPr="007B192E">
              <w:rPr>
                <w:b w:val="0"/>
                <w:color w:val="000000" w:themeColor="text1"/>
                <w:sz w:val="18"/>
                <w:szCs w:val="18"/>
              </w:rPr>
              <w:t>Asfalty i lepiszcza asfaltowe -- Ocena organoleptyczna</w:t>
            </w:r>
          </w:p>
        </w:tc>
      </w:tr>
      <w:tr w:rsidR="004D7D23" w:rsidRPr="007B192E" w14:paraId="0DFBDC31" w14:textId="77777777" w:rsidTr="008F7A94">
        <w:tc>
          <w:tcPr>
            <w:tcW w:w="708" w:type="dxa"/>
          </w:tcPr>
          <w:p w14:paraId="2FCD24D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76.</w:t>
            </w:r>
          </w:p>
        </w:tc>
        <w:tc>
          <w:tcPr>
            <w:tcW w:w="2280" w:type="dxa"/>
          </w:tcPr>
          <w:p w14:paraId="6C0BDED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1428</w:t>
            </w:r>
          </w:p>
        </w:tc>
        <w:tc>
          <w:tcPr>
            <w:tcW w:w="5909" w:type="dxa"/>
          </w:tcPr>
          <w:p w14:paraId="1E71C769" w14:textId="77777777" w:rsidR="00F45500" w:rsidRPr="007B192E" w:rsidRDefault="00F45500" w:rsidP="008F7A94">
            <w:pPr>
              <w:jc w:val="both"/>
              <w:rPr>
                <w:rFonts w:ascii="Arial" w:hAnsi="Arial" w:cs="Arial"/>
                <w:b/>
                <w:color w:val="000000" w:themeColor="text1"/>
                <w:sz w:val="18"/>
                <w:szCs w:val="18"/>
              </w:rPr>
            </w:pPr>
            <w:r w:rsidRPr="007B192E">
              <w:rPr>
                <w:rFonts w:ascii="Arial" w:hAnsi="Arial" w:cs="Arial"/>
                <w:color w:val="000000" w:themeColor="text1"/>
                <w:sz w:val="18"/>
                <w:szCs w:val="18"/>
              </w:rPr>
              <w:t>Asfalty i lepiszcza asfaltowe -- Oznaczanie zawartości wody w emulsjach asfaltowych -- Metoda destylacji azeotropowej</w:t>
            </w:r>
          </w:p>
        </w:tc>
      </w:tr>
      <w:tr w:rsidR="004D7D23" w:rsidRPr="007B192E" w14:paraId="77C688D0" w14:textId="77777777" w:rsidTr="008F7A94">
        <w:tc>
          <w:tcPr>
            <w:tcW w:w="708" w:type="dxa"/>
          </w:tcPr>
          <w:p w14:paraId="123AFD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77. </w:t>
            </w:r>
          </w:p>
        </w:tc>
        <w:tc>
          <w:tcPr>
            <w:tcW w:w="2280" w:type="dxa"/>
          </w:tcPr>
          <w:p w14:paraId="7C1BC5B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13074-1</w:t>
            </w:r>
          </w:p>
        </w:tc>
        <w:tc>
          <w:tcPr>
            <w:tcW w:w="5909" w:type="dxa"/>
          </w:tcPr>
          <w:p w14:paraId="507D738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Odzyskiwanie lepiszcza z emulsji asfaltowych lub asfaltów upłynnionych lub fluksowanych -- Część 1: Odzyskiwanie metodą odparowania</w:t>
            </w:r>
          </w:p>
        </w:tc>
      </w:tr>
      <w:tr w:rsidR="004D7D23" w:rsidRPr="007B192E" w14:paraId="403743A1" w14:textId="77777777" w:rsidTr="008F7A94">
        <w:tc>
          <w:tcPr>
            <w:tcW w:w="708" w:type="dxa"/>
          </w:tcPr>
          <w:p w14:paraId="167B944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78.</w:t>
            </w:r>
          </w:p>
        </w:tc>
        <w:tc>
          <w:tcPr>
            <w:tcW w:w="2280" w:type="dxa"/>
          </w:tcPr>
          <w:p w14:paraId="1DF4B71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13074-2</w:t>
            </w:r>
          </w:p>
        </w:tc>
        <w:tc>
          <w:tcPr>
            <w:tcW w:w="5909" w:type="dxa"/>
          </w:tcPr>
          <w:p w14:paraId="5021EAB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Asfalty i lepiszcza asfaltowe -- Odzyskiwanie lepiszcza z emulsji asfaltowych lub asfaltów upłynnionych lub fluksowanych -- Część 2: Stabilizacja po odzyskaniu metodą odparowania</w:t>
            </w:r>
          </w:p>
        </w:tc>
      </w:tr>
    </w:tbl>
    <w:p w14:paraId="232A51B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10.3. Wymagania techniczne i katalogi</w:t>
      </w:r>
    </w:p>
    <w:p w14:paraId="298D348B" w14:textId="77777777" w:rsidR="00F45500" w:rsidRPr="007B192E" w:rsidRDefault="00F45500" w:rsidP="00BA5651">
      <w:pPr>
        <w:widowControl/>
        <w:numPr>
          <w:ilvl w:val="0"/>
          <w:numId w:val="336"/>
        </w:numPr>
        <w:tabs>
          <w:tab w:val="left" w:pos="426"/>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29257D48" w14:textId="77777777" w:rsidR="00F45500" w:rsidRPr="007B192E" w:rsidRDefault="00F45500" w:rsidP="00BA5651">
      <w:pPr>
        <w:widowControl/>
        <w:numPr>
          <w:ilvl w:val="0"/>
          <w:numId w:val="336"/>
        </w:numPr>
        <w:tabs>
          <w:tab w:val="left" w:pos="426"/>
        </w:tabs>
        <w:suppressAutoHyphens w:val="0"/>
        <w:autoSpaceDN w:val="0"/>
        <w:adjustRightInd w:val="0"/>
        <w:ind w:left="426" w:hanging="66"/>
        <w:jc w:val="both"/>
        <w:rPr>
          <w:rFonts w:ascii="Arial" w:hAnsi="Arial" w:cs="Arial"/>
          <w:color w:val="000000" w:themeColor="text1"/>
          <w:sz w:val="18"/>
          <w:szCs w:val="18"/>
        </w:rPr>
      </w:pPr>
      <w:r w:rsidRPr="007B192E">
        <w:rPr>
          <w:rFonts w:ascii="Arial" w:hAnsi="Arial" w:cs="Arial"/>
          <w:color w:val="000000" w:themeColor="text1"/>
          <w:sz w:val="18"/>
          <w:szCs w:val="18"/>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1E440342" w14:textId="77777777" w:rsidR="00F45500" w:rsidRPr="007B192E" w:rsidRDefault="00F45500" w:rsidP="00BA5651">
      <w:pPr>
        <w:widowControl/>
        <w:numPr>
          <w:ilvl w:val="0"/>
          <w:numId w:val="336"/>
        </w:numPr>
        <w:tabs>
          <w:tab w:val="left" w:pos="426"/>
        </w:tabs>
        <w:suppressAutoHyphens w:val="0"/>
        <w:autoSpaceDN w:val="0"/>
        <w:adjustRightInd w:val="0"/>
        <w:ind w:left="426" w:hanging="66"/>
        <w:jc w:val="both"/>
        <w:rPr>
          <w:rFonts w:ascii="Arial" w:hAnsi="Arial" w:cs="Arial"/>
          <w:color w:val="000000" w:themeColor="text1"/>
          <w:sz w:val="18"/>
          <w:szCs w:val="18"/>
        </w:rPr>
      </w:pPr>
      <w:r w:rsidRPr="007B192E">
        <w:rPr>
          <w:rFonts w:ascii="Arial" w:hAnsi="Arial" w:cs="Arial"/>
          <w:color w:val="000000" w:themeColor="text1"/>
          <w:sz w:val="18"/>
          <w:szCs w:val="18"/>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323DB51F" w14:textId="77777777" w:rsidR="00F45500" w:rsidRPr="007B192E" w:rsidRDefault="00F45500" w:rsidP="00BA5651">
      <w:pPr>
        <w:widowControl/>
        <w:numPr>
          <w:ilvl w:val="0"/>
          <w:numId w:val="336"/>
        </w:numPr>
        <w:tabs>
          <w:tab w:val="left" w:pos="426"/>
          <w:tab w:val="left" w:pos="567"/>
        </w:tabs>
        <w:suppressAutoHyphens w:val="0"/>
        <w:autoSpaceDN w:val="0"/>
        <w:adjustRightInd w:val="0"/>
        <w:ind w:left="426" w:hanging="66"/>
        <w:jc w:val="both"/>
        <w:rPr>
          <w:rFonts w:ascii="Arial" w:hAnsi="Arial" w:cs="Arial"/>
          <w:color w:val="000000" w:themeColor="text1"/>
          <w:sz w:val="18"/>
          <w:szCs w:val="18"/>
        </w:rPr>
      </w:pPr>
      <w:r w:rsidRPr="007B192E">
        <w:rPr>
          <w:rFonts w:ascii="Arial" w:hAnsi="Arial" w:cs="Arial"/>
          <w:color w:val="000000" w:themeColor="text1"/>
          <w:sz w:val="18"/>
          <w:szCs w:val="18"/>
        </w:rPr>
        <w:t>Katalog typowych konstrukcji nawierzchni podatnych i półsztywnych. Załącznik do Zarządzenia nr 31 Generalnego Dyrektora Dróg Krajowych i Autostrad z dnia 16 czerwca 2014 r.</w:t>
      </w:r>
    </w:p>
    <w:p w14:paraId="045A3E4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10.4. Inne dokumenty</w:t>
      </w:r>
    </w:p>
    <w:p w14:paraId="1514FA39" w14:textId="77777777" w:rsidR="00F45500" w:rsidRPr="007B192E" w:rsidRDefault="00F45500" w:rsidP="00BA5651">
      <w:pPr>
        <w:widowControl/>
        <w:numPr>
          <w:ilvl w:val="0"/>
          <w:numId w:val="337"/>
        </w:numPr>
        <w:tabs>
          <w:tab w:val="left" w:pos="426"/>
          <w:tab w:val="left" w:pos="567"/>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Rozporządzenie Ministra Transportu i Gospodarki Morskiej z dnia 2 marca 1999 r. w sprawie warunków technicznych, jakim powinny odpowiadać drogi publiczne i ich usytuowanie (jednolity tekst Dz.U. z 2016, poz. 124)</w:t>
      </w:r>
    </w:p>
    <w:p w14:paraId="60D025E9" w14:textId="77777777" w:rsidR="00F45500" w:rsidRPr="007B192E" w:rsidRDefault="00F45500" w:rsidP="00BA5651">
      <w:pPr>
        <w:widowControl/>
        <w:numPr>
          <w:ilvl w:val="0"/>
          <w:numId w:val="337"/>
        </w:numPr>
        <w:tabs>
          <w:tab w:val="left" w:pos="426"/>
          <w:tab w:val="left" w:pos="567"/>
        </w:tabs>
        <w:suppressAutoHyphens w:val="0"/>
        <w:autoSpaceDN w:val="0"/>
        <w:adjustRightInd w:val="0"/>
        <w:ind w:left="426" w:hanging="66"/>
        <w:jc w:val="both"/>
        <w:rPr>
          <w:rFonts w:ascii="Arial" w:hAnsi="Arial" w:cs="Arial"/>
          <w:color w:val="000000" w:themeColor="text1"/>
          <w:sz w:val="18"/>
          <w:szCs w:val="18"/>
        </w:rPr>
      </w:pPr>
      <w:r w:rsidRPr="007B192E">
        <w:rPr>
          <w:rFonts w:ascii="Arial" w:hAnsi="Arial" w:cs="Arial"/>
          <w:color w:val="000000" w:themeColor="text1"/>
          <w:sz w:val="18"/>
          <w:szCs w:val="18"/>
        </w:rPr>
        <w:t xml:space="preserve">Ustawa z dnia 19 sierpnia 2011 r. o przewozie drogowym towarów niebezpiecznych (Dz.U. nr 227, poz. 1367 z </w:t>
      </w:r>
      <w:proofErr w:type="spellStart"/>
      <w:r w:rsidRPr="007B192E">
        <w:rPr>
          <w:rFonts w:ascii="Arial" w:hAnsi="Arial" w:cs="Arial"/>
          <w:color w:val="000000" w:themeColor="text1"/>
          <w:sz w:val="18"/>
          <w:szCs w:val="18"/>
        </w:rPr>
        <w:t>późn</w:t>
      </w:r>
      <w:proofErr w:type="spellEnd"/>
      <w:r w:rsidRPr="007B192E">
        <w:rPr>
          <w:rFonts w:ascii="Arial" w:hAnsi="Arial" w:cs="Arial"/>
          <w:color w:val="000000" w:themeColor="text1"/>
          <w:sz w:val="18"/>
          <w:szCs w:val="18"/>
        </w:rPr>
        <w:t>. zm.)</w:t>
      </w:r>
    </w:p>
    <w:p w14:paraId="2C4B473E" w14:textId="77777777" w:rsidR="00F45500" w:rsidRPr="007B192E" w:rsidRDefault="00F45500" w:rsidP="00F45500">
      <w:pPr>
        <w:rPr>
          <w:rFonts w:ascii="Arial" w:hAnsi="Arial" w:cs="Arial"/>
          <w:b/>
          <w:bCs/>
          <w:color w:val="000000" w:themeColor="text1"/>
          <w:sz w:val="18"/>
          <w:szCs w:val="18"/>
        </w:rPr>
      </w:pPr>
    </w:p>
    <w:p w14:paraId="5EF8E911" w14:textId="77777777" w:rsidR="00F45500" w:rsidRPr="007B192E" w:rsidRDefault="00F45500" w:rsidP="00F45500">
      <w:pPr>
        <w:rPr>
          <w:rFonts w:ascii="Arial" w:hAnsi="Arial" w:cs="Arial"/>
          <w:b/>
          <w:bCs/>
          <w:color w:val="000000" w:themeColor="text1"/>
          <w:sz w:val="28"/>
          <w:szCs w:val="28"/>
        </w:rPr>
      </w:pPr>
    </w:p>
    <w:p w14:paraId="0E121F53" w14:textId="77777777" w:rsidR="00F45500" w:rsidRPr="007B192E" w:rsidRDefault="00F45500" w:rsidP="00F45500">
      <w:pPr>
        <w:rPr>
          <w:rFonts w:ascii="Arial" w:hAnsi="Arial" w:cs="Arial"/>
          <w:b/>
          <w:bCs/>
          <w:color w:val="000000" w:themeColor="text1"/>
          <w:sz w:val="28"/>
          <w:szCs w:val="28"/>
        </w:rPr>
      </w:pPr>
    </w:p>
    <w:p w14:paraId="68486713" w14:textId="77777777" w:rsidR="00F45500" w:rsidRPr="007B192E" w:rsidRDefault="00F45500" w:rsidP="00F45500">
      <w:pPr>
        <w:rPr>
          <w:rFonts w:ascii="Arial" w:hAnsi="Arial" w:cs="Arial"/>
          <w:b/>
          <w:bCs/>
          <w:color w:val="000000" w:themeColor="text1"/>
          <w:sz w:val="28"/>
          <w:szCs w:val="28"/>
        </w:rPr>
      </w:pPr>
    </w:p>
    <w:p w14:paraId="3CA73F62" w14:textId="77777777" w:rsidR="00F45500" w:rsidRPr="007B192E" w:rsidRDefault="00F45500" w:rsidP="00F45500">
      <w:pPr>
        <w:rPr>
          <w:rFonts w:ascii="Arial" w:hAnsi="Arial" w:cs="Arial"/>
          <w:b/>
          <w:bCs/>
          <w:color w:val="000000" w:themeColor="text1"/>
          <w:sz w:val="28"/>
          <w:szCs w:val="28"/>
        </w:rPr>
      </w:pPr>
    </w:p>
    <w:p w14:paraId="773779A0" w14:textId="77777777" w:rsidR="00F45500" w:rsidRPr="007B192E" w:rsidRDefault="00F45500" w:rsidP="00F45500">
      <w:pPr>
        <w:rPr>
          <w:rFonts w:ascii="Arial" w:hAnsi="Arial" w:cs="Arial"/>
          <w:b/>
          <w:bCs/>
          <w:color w:val="000000" w:themeColor="text1"/>
          <w:sz w:val="28"/>
          <w:szCs w:val="28"/>
        </w:rPr>
      </w:pPr>
    </w:p>
    <w:p w14:paraId="2641E5F7" w14:textId="77777777" w:rsidR="00F45500" w:rsidRPr="007B192E" w:rsidRDefault="00F45500" w:rsidP="00F45500">
      <w:pPr>
        <w:rPr>
          <w:rFonts w:ascii="Arial" w:hAnsi="Arial" w:cs="Arial"/>
          <w:b/>
          <w:bCs/>
          <w:color w:val="000000" w:themeColor="text1"/>
          <w:sz w:val="28"/>
          <w:szCs w:val="28"/>
        </w:rPr>
      </w:pPr>
    </w:p>
    <w:p w14:paraId="491FEB81" w14:textId="77777777" w:rsidR="002139EA" w:rsidRPr="007B192E" w:rsidRDefault="002139EA" w:rsidP="00F45500">
      <w:pPr>
        <w:rPr>
          <w:rFonts w:ascii="Arial" w:hAnsi="Arial" w:cs="Arial"/>
          <w:b/>
          <w:bCs/>
          <w:color w:val="000000" w:themeColor="text1"/>
          <w:sz w:val="28"/>
          <w:szCs w:val="28"/>
        </w:rPr>
      </w:pPr>
    </w:p>
    <w:p w14:paraId="689A853C" w14:textId="77777777" w:rsidR="002139EA" w:rsidRPr="007B192E" w:rsidRDefault="002139EA" w:rsidP="00F45500">
      <w:pPr>
        <w:rPr>
          <w:rFonts w:ascii="Arial" w:hAnsi="Arial" w:cs="Arial"/>
          <w:b/>
          <w:bCs/>
          <w:color w:val="000000" w:themeColor="text1"/>
          <w:sz w:val="28"/>
          <w:szCs w:val="28"/>
        </w:rPr>
      </w:pPr>
    </w:p>
    <w:p w14:paraId="0AF632AE" w14:textId="77777777" w:rsidR="00F45500" w:rsidRPr="004D7D23" w:rsidRDefault="00F45500" w:rsidP="00F45500">
      <w:pPr>
        <w:rPr>
          <w:rFonts w:ascii="Arial" w:hAnsi="Arial" w:cs="Arial"/>
          <w:b/>
          <w:bCs/>
          <w:color w:val="FF0000"/>
          <w:sz w:val="28"/>
          <w:szCs w:val="28"/>
        </w:rPr>
      </w:pPr>
    </w:p>
    <w:p w14:paraId="2202F58F" w14:textId="77777777" w:rsidR="003C3EE8" w:rsidRPr="007B192E" w:rsidRDefault="003C3EE8" w:rsidP="003C3EE8">
      <w:pPr>
        <w:pStyle w:val="Nagwek1"/>
        <w:jc w:val="center"/>
        <w:rPr>
          <w:color w:val="000000" w:themeColor="text1"/>
          <w:sz w:val="40"/>
        </w:rPr>
      </w:pPr>
      <w:bookmarkStart w:id="323" w:name="_Toc163481058"/>
      <w:bookmarkStart w:id="324" w:name="_Toc138757109"/>
      <w:r w:rsidRPr="007B192E">
        <w:rPr>
          <w:color w:val="000000" w:themeColor="text1"/>
          <w:sz w:val="40"/>
          <w:szCs w:val="28"/>
        </w:rPr>
        <w:lastRenderedPageBreak/>
        <w:t xml:space="preserve">D-05.03.23a </w:t>
      </w:r>
      <w:r w:rsidRPr="007B192E">
        <w:rPr>
          <w:color w:val="000000" w:themeColor="text1"/>
          <w:sz w:val="40"/>
        </w:rPr>
        <w:t>NAWIERZCHNIA Z BETONOWEJ KOSTKI BRUKOWEJ</w:t>
      </w:r>
      <w:bookmarkEnd w:id="323"/>
    </w:p>
    <w:p w14:paraId="66933933" w14:textId="77777777" w:rsidR="003C3EE8" w:rsidRPr="007B192E" w:rsidRDefault="003C3EE8" w:rsidP="003C3EE8">
      <w:pPr>
        <w:pStyle w:val="Nagwek2"/>
        <w:rPr>
          <w:i w:val="0"/>
          <w:color w:val="000000" w:themeColor="text1"/>
        </w:rPr>
      </w:pPr>
      <w:r w:rsidRPr="007B192E">
        <w:rPr>
          <w:i w:val="0"/>
          <w:color w:val="000000" w:themeColor="text1"/>
        </w:rPr>
        <w:t>1. WSTĘP</w:t>
      </w:r>
    </w:p>
    <w:p w14:paraId="390659F5"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1.1. Przedmiot ST</w:t>
      </w:r>
    </w:p>
    <w:p w14:paraId="43B5CC38"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Przedmiotem niniejszej specyfikacji technicznej (ST) są wymagania dotyczące wykonania i odbioru robót związanych z wykonaniem nawierzchni z betonowej kostki brukowej.</w:t>
      </w:r>
    </w:p>
    <w:p w14:paraId="30684D5F"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1.2. Zakres stosowania ST</w:t>
      </w:r>
    </w:p>
    <w:p w14:paraId="2C6D04D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Specyfikacja techniczna stanowi dokument przetargowy i kontraktowy stosowany przy zlecaniu i realizacji robót budowlanych wymienionych w punkcie 1.1.</w:t>
      </w:r>
    </w:p>
    <w:p w14:paraId="6D605378"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236F23D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Ustalenia zawarte w niniejszej specyfikacji dotyczą zasad prowadzenia robót związanych z wykonaniem i odbiorem nawierzchni z betonowej kostki brukowej.</w:t>
      </w:r>
    </w:p>
    <w:p w14:paraId="79BEFC0B"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2ED82563"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1.4.1. Betonowa kostka brukowa - prefabrykowany element budowlany, przeznaczony do budowy warstwy ścieralnej nawierzchni, wykonany metodą </w:t>
      </w:r>
      <w:proofErr w:type="spellStart"/>
      <w:r w:rsidRPr="007B192E">
        <w:rPr>
          <w:rFonts w:ascii="Arial" w:eastAsia="Lucida Sans Unicode" w:hAnsi="Arial" w:cs="Arial"/>
          <w:color w:val="000000" w:themeColor="text1"/>
          <w:kern w:val="1"/>
          <w:sz w:val="18"/>
          <w:szCs w:val="18"/>
        </w:rPr>
        <w:t>wibroprasowania</w:t>
      </w:r>
      <w:proofErr w:type="spellEnd"/>
      <w:r w:rsidRPr="007B192E">
        <w:rPr>
          <w:rFonts w:ascii="Arial" w:eastAsia="Lucida Sans Unicode" w:hAnsi="Arial" w:cs="Arial"/>
          <w:color w:val="000000" w:themeColor="text1"/>
          <w:kern w:val="1"/>
          <w:sz w:val="18"/>
          <w:szCs w:val="18"/>
        </w:rPr>
        <w:t xml:space="preserve"> z betonu niezbrojonego niebarwionego lub barwionego, jedno- lub dwuwarstwowego, charakteryzujący się kształtem, który umożliwia wzajemne przystawanie elementów.</w:t>
      </w:r>
    </w:p>
    <w:p w14:paraId="351F165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1.4.2. Krawężnik - prosty lub łukowy element budowlany oddzielający jezdnię od chodnika, charakteryzujący się stałym lub zmiennym przekrojem poprzecznym i długością nie większą niż 1,0 m.</w:t>
      </w:r>
    </w:p>
    <w:p w14:paraId="04A7E29E"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1.4.3. Ściek - umocnione zagłębienie, poniżej krawędzi jezdni, zbierające i odprowadzające wodę.</w:t>
      </w:r>
    </w:p>
    <w:p w14:paraId="37AD7BE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1.4.4. Obrzeże - element budowlany, oddzielający nawierzchnie chodników i ciągów pieszych od terenów nie przeznaczonych  do komunikacji.</w:t>
      </w:r>
    </w:p>
    <w:p w14:paraId="1577F33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1.4.5. Spoina - odstęp pomiędzy przylegającymi elementami (kostkami) wypełniony określonymi materiałami wypełniającymi.</w:t>
      </w:r>
    </w:p>
    <w:p w14:paraId="35BB3138"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1.4.6. Szczelina dylatacyjna - odstęp dzielący duży fragment nawierzchni na sekcje w celu umożliwienia odkształceń temperaturowych, wypełniony określonymi materiałami wypełniającymi.</w:t>
      </w:r>
    </w:p>
    <w:p w14:paraId="695C04D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1.4.7. Pozostałe określenia podstawowe są zgodne z obowiązującymi, odpowiednimi polskimi normami i z definicjami podanymi w ST D-M-00.00.00 „Wymagania ogólne” [5] pkt 1.4.</w:t>
      </w:r>
    </w:p>
    <w:p w14:paraId="0A3186BE"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290ADF12"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Ogólne wymagania dotyczące robót podano w ST D-00.00.00 „Wymagania ogólne” [5] pkt 1.5.</w:t>
      </w:r>
    </w:p>
    <w:p w14:paraId="211C8A49" w14:textId="77777777" w:rsidR="003C3EE8" w:rsidRPr="007B192E" w:rsidRDefault="003C3EE8" w:rsidP="003C3EE8">
      <w:pPr>
        <w:pStyle w:val="Nagwek2"/>
        <w:rPr>
          <w:i w:val="0"/>
          <w:color w:val="000000" w:themeColor="text1"/>
        </w:rPr>
      </w:pPr>
      <w:r w:rsidRPr="007B192E">
        <w:rPr>
          <w:i w:val="0"/>
          <w:color w:val="000000" w:themeColor="text1"/>
        </w:rPr>
        <w:t>2. MATERIAŁY</w:t>
      </w:r>
    </w:p>
    <w:p w14:paraId="5EF1D6B4"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7EC69C7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Ogólne wymagania dotyczące materiałów, ich pozyskiwania i składowania, podano w ST D-00.00.00 „Wymagania ogólne” [5] pkt 2.</w:t>
      </w:r>
    </w:p>
    <w:p w14:paraId="246D82B5"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2.2. Betonowa kostka brukowa  </w:t>
      </w:r>
    </w:p>
    <w:p w14:paraId="183C2ECD"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2.2.1. Klasyfikacja betonowych kostek brukowych</w:t>
      </w:r>
    </w:p>
    <w:p w14:paraId="57DC282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Do wykonania robót należy wykorzystać betonową kostkę brukową z rozbiórki nawierzchni istniejącej. </w:t>
      </w:r>
    </w:p>
    <w:p w14:paraId="33FDCE37"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2.2.3. Składowanie kostek</w:t>
      </w:r>
    </w:p>
    <w:p w14:paraId="2ADCF098"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 </w:t>
      </w:r>
      <w:r w:rsidRPr="007B192E">
        <w:rPr>
          <w:rFonts w:ascii="Arial" w:eastAsia="Lucida Sans Unicode" w:hAnsi="Arial" w:cs="Arial"/>
          <w:color w:val="000000" w:themeColor="text1"/>
          <w:kern w:val="1"/>
          <w:sz w:val="18"/>
          <w:szCs w:val="18"/>
        </w:rPr>
        <w:tab/>
        <w:t>Kostkę zaleca się pakować na paletach. Palety z kostką mogą być składowane na otwartej przestrzeni, przy czym podłoże powinno być wyrównane i odwodnione.</w:t>
      </w:r>
    </w:p>
    <w:p w14:paraId="7906BE2C"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 2.3. Materiały na podsypkę i do wypełnienia spoin oraz szczelin w nawierzchni</w:t>
      </w:r>
    </w:p>
    <w:p w14:paraId="12BA9EB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Jeśli dokumentacja projektowa lub ST nie ustala inaczej, to należy stosować następujące materiały:</w:t>
      </w:r>
    </w:p>
    <w:p w14:paraId="1C67885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na podsypkę cementowo-piaskową pod nawierzchnię:</w:t>
      </w:r>
    </w:p>
    <w:p w14:paraId="4AE6D58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kruszywo drobne 0/2, 0/4 lub 0/5 wg. normy PN-EN 13242 kategorii uziarnienia GF80, zawartości pyłów f10,</w:t>
      </w:r>
    </w:p>
    <w:p w14:paraId="149AD7BE"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kruszywo 1/4, 2/5 lub 2/8, wg. normy PN-EN 13242 kategorii uziarnienia GC80-20, zawartości pyłów </w:t>
      </w:r>
      <w:proofErr w:type="spellStart"/>
      <w:r w:rsidRPr="007B192E">
        <w:rPr>
          <w:rFonts w:ascii="Arial" w:eastAsia="Lucida Sans Unicode" w:hAnsi="Arial" w:cs="Arial"/>
          <w:color w:val="000000" w:themeColor="text1"/>
          <w:kern w:val="1"/>
          <w:sz w:val="18"/>
          <w:szCs w:val="18"/>
        </w:rPr>
        <w:t>fDeklarowana</w:t>
      </w:r>
      <w:proofErr w:type="spellEnd"/>
      <w:r w:rsidRPr="007B192E">
        <w:rPr>
          <w:rFonts w:ascii="Arial" w:eastAsia="Lucida Sans Unicode" w:hAnsi="Arial" w:cs="Arial"/>
          <w:color w:val="000000" w:themeColor="text1"/>
          <w:kern w:val="1"/>
          <w:sz w:val="18"/>
          <w:szCs w:val="18"/>
        </w:rPr>
        <w:t> (max. Do 10% pyłów)</w:t>
      </w:r>
    </w:p>
    <w:p w14:paraId="135347E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 stosunku wagowym 1:4</w:t>
      </w:r>
    </w:p>
    <w:p w14:paraId="7CF92A8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do wypełniania spoin w nawierzchni na podsypce cementowo-piaskowej:</w:t>
      </w:r>
    </w:p>
    <w:p w14:paraId="7DE141D3"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kruszywo drobne 0/2 wg. normy PN-EN 13242 kategorii uziarnienia GF80, zawartość pyłów f3,</w:t>
      </w:r>
    </w:p>
    <w:p w14:paraId="45A73244"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do wypełniania szczelin dylatacyjnych w nawierzchni na podsypce cementowo-piaskowej</w:t>
      </w:r>
    </w:p>
    <w:p w14:paraId="3A4022D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do wypełnienia górnej części szczeliny dylatacyjnej należy stosować drogowe zalewy kauczukowo-asfaltowe lub syntetyczne masy uszczelniające (np. poliuretanowe, poliwinylowe itp.), spełniające wymagania norm lub aprobat technicznych,</w:t>
      </w:r>
    </w:p>
    <w:p w14:paraId="498628B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do wypełnienia dolnej części szczeliny dylatacyjnej należy stosować wilgotną mieszankę cementowo-piaskową 1:8 z materiałów spełniających wymagania wg 2.3 a) lub inny materiał zaakceptowany przez Inżyniera.</w:t>
      </w:r>
    </w:p>
    <w:p w14:paraId="3AD3CED1" w14:textId="77777777" w:rsidR="003C3EE8" w:rsidRPr="007B192E" w:rsidRDefault="003C3EE8" w:rsidP="003C3EE8">
      <w:pPr>
        <w:jc w:val="both"/>
        <w:rPr>
          <w:rFonts w:ascii="Arial" w:hAnsi="Arial" w:cs="Arial"/>
          <w:color w:val="000000" w:themeColor="text1"/>
          <w:sz w:val="20"/>
        </w:rPr>
      </w:pPr>
      <w:r w:rsidRPr="007B192E">
        <w:rPr>
          <w:rFonts w:ascii="Arial" w:hAnsi="Arial" w:cs="Arial"/>
          <w:color w:val="000000" w:themeColor="text1"/>
          <w:sz w:val="20"/>
        </w:rPr>
        <w:tab/>
      </w:r>
    </w:p>
    <w:p w14:paraId="6AB1EA7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467C9618"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Cement w workach, co najmniej trzywarstwowych, o masie np. 50 kg, można przechowywać do: a) 10 dni w miejscach zadaszonych na otwartym terenie o podłożu twardym i suchym, b) terminu trwałości, podanego przez </w:t>
      </w:r>
      <w:r w:rsidRPr="007B192E">
        <w:rPr>
          <w:rFonts w:ascii="Arial" w:eastAsia="Lucida Sans Unicode" w:hAnsi="Arial" w:cs="Arial"/>
          <w:color w:val="000000" w:themeColor="text1"/>
          <w:kern w:val="1"/>
          <w:sz w:val="18"/>
          <w:szCs w:val="18"/>
        </w:rPr>
        <w:lastRenderedPageBreak/>
        <w:t xml:space="preserve">producenta, w pomieszczeniach o szczelnym dachu i ścianach oraz podłogach suchych i czystych. Cement dostarczony na paletach magazynuje się razem z paletami, z dopuszczalną wysokością 3 szt. palet. Cement </w:t>
      </w:r>
      <w:proofErr w:type="spellStart"/>
      <w:r w:rsidRPr="007B192E">
        <w:rPr>
          <w:rFonts w:ascii="Arial" w:eastAsia="Lucida Sans Unicode" w:hAnsi="Arial" w:cs="Arial"/>
          <w:color w:val="000000" w:themeColor="text1"/>
          <w:kern w:val="1"/>
          <w:sz w:val="18"/>
          <w:szCs w:val="18"/>
        </w:rPr>
        <w:t>niespaletowany</w:t>
      </w:r>
      <w:proofErr w:type="spellEnd"/>
      <w:r w:rsidRPr="007B192E">
        <w:rPr>
          <w:rFonts w:ascii="Arial" w:eastAsia="Lucida Sans Unicode" w:hAnsi="Arial" w:cs="Arial"/>
          <w:color w:val="000000" w:themeColor="text1"/>
          <w:kern w:val="1"/>
          <w:sz w:val="18"/>
          <w:szCs w:val="18"/>
        </w:rPr>
        <w:t xml:space="preserve"> układa się w stosy płaskie o liczbie warstw 12 (dla worków trzywarstwowych). Cement dostarczany luzem przechowuje się w magazynach specjalnych (zbiornikach stalowych, betonowych), przystosowanych do pneumatycznego załadowania i wyładowania.</w:t>
      </w:r>
    </w:p>
    <w:p w14:paraId="3496FFC5"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2.5.</w:t>
      </w:r>
      <w:r w:rsidRPr="007B192E">
        <w:rPr>
          <w:color w:val="000000" w:themeColor="text1"/>
          <w:sz w:val="18"/>
          <w:szCs w:val="18"/>
        </w:rPr>
        <w:tab/>
        <w:t>Materiały do podbudowy ułożonej pod nawierzchnią z betonowej kostki brukowej</w:t>
      </w:r>
    </w:p>
    <w:p w14:paraId="1FDEF55F"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Materiały do podbudowy, ustalonej w dokumentacji projektowej, powinny odpowiadać wymaganiom właściwej ST lub innym dokumentom zaakceptowanym przez Inżyniera.</w:t>
      </w:r>
    </w:p>
    <w:p w14:paraId="4777F7F5" w14:textId="77777777" w:rsidR="003C3EE8" w:rsidRPr="007B192E" w:rsidRDefault="003C3EE8" w:rsidP="003C3EE8">
      <w:pPr>
        <w:pStyle w:val="Nagwek2"/>
        <w:rPr>
          <w:i w:val="0"/>
          <w:color w:val="000000" w:themeColor="text1"/>
        </w:rPr>
      </w:pPr>
      <w:r w:rsidRPr="007B192E">
        <w:rPr>
          <w:i w:val="0"/>
          <w:color w:val="000000" w:themeColor="text1"/>
        </w:rPr>
        <w:t>3. SPRZĘT</w:t>
      </w:r>
    </w:p>
    <w:p w14:paraId="60703F8E"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3.1. Ogólne wymagania dotyczące sprzętu</w:t>
      </w:r>
    </w:p>
    <w:p w14:paraId="4D43045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Ogólne wymagania dotyczące sprzętu podano w ST D-00.00.00 „Wymagania ogólne” [5] pkt 3.</w:t>
      </w:r>
    </w:p>
    <w:p w14:paraId="1F0ABB67"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3.2. Sprzęt do wykonania nawierzchni  </w:t>
      </w:r>
    </w:p>
    <w:p w14:paraId="79C4159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hAnsi="Arial" w:cs="Arial"/>
          <w:color w:val="000000" w:themeColor="text1"/>
        </w:rPr>
        <w:tab/>
      </w:r>
      <w:r w:rsidRPr="007B192E">
        <w:rPr>
          <w:rFonts w:ascii="Arial" w:eastAsia="Lucida Sans Unicode" w:hAnsi="Arial" w:cs="Arial"/>
          <w:color w:val="000000" w:themeColor="text1"/>
          <w:kern w:val="1"/>
          <w:sz w:val="18"/>
          <w:szCs w:val="18"/>
        </w:rPr>
        <w:t xml:space="preserve"> Układanie betonowej kostki brukowej może odbywać się:</w:t>
      </w:r>
    </w:p>
    <w:p w14:paraId="727C298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ręcznie, zwłaszcza na małych powierzchniach,</w:t>
      </w:r>
    </w:p>
    <w:p w14:paraId="2051EF6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0259B6F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Do przycinania kostek można stosować specjalne narzędzia tnące (np. przycinarki, szlifierki z tarczą).</w:t>
      </w:r>
    </w:p>
    <w:p w14:paraId="46CC907F"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Do zagęszczania nawierzchni z kostki należy stosować zagęszczarki wibracyjne (płytowe) z wykładziną elastomerową, chroniące kostki przed ścieraniem i wykruszaniem naroży.</w:t>
      </w:r>
    </w:p>
    <w:p w14:paraId="30D03A8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Sprzęt do wykonania koryta, podbudowy i podsypki powinien odpowiadać wymaganiom właściwych ST, wymienionych w </w:t>
      </w:r>
      <w:proofErr w:type="spellStart"/>
      <w:r w:rsidRPr="007B192E">
        <w:rPr>
          <w:rFonts w:ascii="Arial" w:eastAsia="Lucida Sans Unicode" w:hAnsi="Arial" w:cs="Arial"/>
          <w:color w:val="000000" w:themeColor="text1"/>
          <w:kern w:val="1"/>
          <w:sz w:val="18"/>
          <w:szCs w:val="18"/>
        </w:rPr>
        <w:t>pkcie</w:t>
      </w:r>
      <w:proofErr w:type="spellEnd"/>
      <w:r w:rsidRPr="007B192E">
        <w:rPr>
          <w:rFonts w:ascii="Arial" w:eastAsia="Lucida Sans Unicode" w:hAnsi="Arial" w:cs="Arial"/>
          <w:color w:val="000000" w:themeColor="text1"/>
          <w:kern w:val="1"/>
          <w:sz w:val="18"/>
          <w:szCs w:val="18"/>
        </w:rPr>
        <w:t xml:space="preserve"> 5.4 lub innym dokumentom (normom PN i BN, wytycznym </w:t>
      </w:r>
      <w:proofErr w:type="spellStart"/>
      <w:r w:rsidRPr="007B192E">
        <w:rPr>
          <w:rFonts w:ascii="Arial" w:eastAsia="Lucida Sans Unicode" w:hAnsi="Arial" w:cs="Arial"/>
          <w:color w:val="000000" w:themeColor="text1"/>
          <w:kern w:val="1"/>
          <w:sz w:val="18"/>
          <w:szCs w:val="18"/>
        </w:rPr>
        <w:t>IBDiM</w:t>
      </w:r>
      <w:proofErr w:type="spellEnd"/>
      <w:r w:rsidRPr="007B192E">
        <w:rPr>
          <w:rFonts w:ascii="Arial" w:eastAsia="Lucida Sans Unicode" w:hAnsi="Arial" w:cs="Arial"/>
          <w:color w:val="000000" w:themeColor="text1"/>
          <w:kern w:val="1"/>
          <w:sz w:val="18"/>
          <w:szCs w:val="18"/>
        </w:rPr>
        <w:t>) względnie opracowanym ST zaakceptowanym przez Inżyniera.</w:t>
      </w:r>
    </w:p>
    <w:p w14:paraId="3F61DDC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Do wytwarzania podsypki cementowo-piaskowej i zapraw należy stosować betoniarki.</w:t>
      </w:r>
    </w:p>
    <w:p w14:paraId="2884FBFF"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Do wypełniania szczelin dylatacyjnych należy stosować sprzęt odpowiadający wymaganiom  ST D-05.03.04a [12].</w:t>
      </w:r>
    </w:p>
    <w:p w14:paraId="10C43909" w14:textId="77777777" w:rsidR="003C3EE8" w:rsidRPr="007B192E" w:rsidRDefault="003C3EE8" w:rsidP="003C3EE8">
      <w:pPr>
        <w:pStyle w:val="Nagwek2"/>
        <w:rPr>
          <w:i w:val="0"/>
          <w:color w:val="000000" w:themeColor="text1"/>
        </w:rPr>
      </w:pPr>
      <w:r w:rsidRPr="007B192E">
        <w:rPr>
          <w:i w:val="0"/>
          <w:color w:val="000000" w:themeColor="text1"/>
        </w:rPr>
        <w:t>4. TRANSPORT</w:t>
      </w:r>
    </w:p>
    <w:p w14:paraId="52CCC81D"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4.1. Ogólne wymagania dotyczące transportu</w:t>
      </w:r>
    </w:p>
    <w:p w14:paraId="1525E312"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Ogólne wymagania dotyczące transportu podano w ST D-00.00.00 „Wymagania ogólne” [5] pkt 4.</w:t>
      </w:r>
    </w:p>
    <w:p w14:paraId="6984D78B"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4.2. Transport materiałów do wykonania nawierzchni</w:t>
      </w:r>
    </w:p>
    <w:p w14:paraId="284DDD9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Betonowe kostki brukowe mogą być przewożone na paletach - dowolnymi środkami transportowymi po osiągnięciu przez beton wytrzymałości na ściskanie co najmniej 15 </w:t>
      </w:r>
      <w:proofErr w:type="spellStart"/>
      <w:r w:rsidRPr="007B192E">
        <w:rPr>
          <w:rFonts w:ascii="Arial" w:eastAsia="Lucida Sans Unicode" w:hAnsi="Arial" w:cs="Arial"/>
          <w:color w:val="000000" w:themeColor="text1"/>
          <w:kern w:val="1"/>
          <w:sz w:val="18"/>
          <w:szCs w:val="18"/>
        </w:rPr>
        <w:t>MPa</w:t>
      </w:r>
      <w:proofErr w:type="spellEnd"/>
      <w:r w:rsidRPr="007B192E">
        <w:rPr>
          <w:rFonts w:ascii="Arial" w:eastAsia="Lucida Sans Unicode" w:hAnsi="Arial" w:cs="Arial"/>
          <w:color w:val="000000" w:themeColor="text1"/>
          <w:kern w:val="1"/>
          <w:sz w:val="18"/>
          <w:szCs w:val="18"/>
        </w:rPr>
        <w:t>. Kostki w trakcie transportu powinny być zabezpieczone przed przemieszczaniem się i uszkodzeniem.</w:t>
      </w:r>
    </w:p>
    <w:p w14:paraId="4E39D6FF"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Jako środki transportu wewnątrzzakładowego kostek na środki transportu zewnętrznego mogą służyć wózki widłowe, którymi można dokonać załadunku palet. Do załadunku palet na środki transportu można wykorzystywać również dźwigi samochodowe.</w:t>
      </w:r>
    </w:p>
    <w:p w14:paraId="1BF9CDE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1200 kg do 1700 kg. Pożądane jest, aby palety z kostkami były wysyłane do odbiorcy środkiem transportu samochodowego wyposażonym w dźwig do za- i rozładunku.</w:t>
      </w:r>
    </w:p>
    <w:p w14:paraId="595BF10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373A6D8A"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Cement w workach może być przewożony samochodami krytymi, wagonami towarowymi i innymi środkami transportu, w sposób nie powodujący uszkodzeń opakowania. Worki przewożone na paletach układa się po 5 warstw worków, po 4 szt. w warstwie. Worki </w:t>
      </w:r>
      <w:proofErr w:type="spellStart"/>
      <w:r w:rsidRPr="007B192E">
        <w:rPr>
          <w:rFonts w:ascii="Arial" w:eastAsia="Lucida Sans Unicode" w:hAnsi="Arial" w:cs="Arial"/>
          <w:color w:val="000000" w:themeColor="text1"/>
          <w:kern w:val="1"/>
          <w:sz w:val="18"/>
          <w:szCs w:val="18"/>
        </w:rPr>
        <w:t>niespaletowane</w:t>
      </w:r>
      <w:proofErr w:type="spellEnd"/>
      <w:r w:rsidRPr="007B192E">
        <w:rPr>
          <w:rFonts w:ascii="Arial" w:eastAsia="Lucida Sans Unicode" w:hAnsi="Arial" w:cs="Arial"/>
          <w:color w:val="000000" w:themeColor="text1"/>
          <w:kern w:val="1"/>
          <w:sz w:val="18"/>
          <w:szCs w:val="18"/>
        </w:rPr>
        <w:t xml:space="preserv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w:t>
      </w:r>
      <w:r w:rsidRPr="007B192E">
        <w:rPr>
          <w:rFonts w:ascii="Arial" w:eastAsia="Lucida Sans Unicode" w:hAnsi="Arial" w:cs="Arial"/>
          <w:color w:val="000000" w:themeColor="text1"/>
          <w:kern w:val="1"/>
          <w:sz w:val="18"/>
          <w:szCs w:val="18"/>
        </w:rPr>
        <w:tab/>
      </w:r>
    </w:p>
    <w:p w14:paraId="5789125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Materiały do podbudowy powinny być przewożone w sposób odpowiadający wymaganiom właściwej ST.</w:t>
      </w:r>
    </w:p>
    <w:p w14:paraId="40923B59"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i w:val="0"/>
          <w:color w:val="000000" w:themeColor="text1"/>
        </w:rPr>
        <w:t>5. WYKONANIE ROBÓT</w:t>
      </w:r>
    </w:p>
    <w:p w14:paraId="44FB9CB3"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03B750EE" w14:textId="77777777" w:rsidR="003C3EE8" w:rsidRPr="007B192E" w:rsidRDefault="003C3EE8" w:rsidP="003C3EE8">
      <w:pPr>
        <w:pStyle w:val="Standardowytekst"/>
        <w:rPr>
          <w:rFonts w:ascii="Arial" w:hAnsi="Arial" w:cs="Arial"/>
          <w:color w:val="000000" w:themeColor="text1"/>
        </w:rPr>
      </w:pPr>
      <w:r w:rsidRPr="007B192E">
        <w:rPr>
          <w:rFonts w:ascii="Arial" w:eastAsia="Lucida Sans Unicode" w:hAnsi="Arial" w:cs="Arial"/>
          <w:color w:val="000000" w:themeColor="text1"/>
          <w:kern w:val="1"/>
          <w:sz w:val="18"/>
          <w:szCs w:val="18"/>
        </w:rPr>
        <w:tab/>
        <w:t>Ogólne zasady wykonania robót podano w ST D-00.00.00 „Wymagania ogólne” [5] pkt 5.</w:t>
      </w:r>
    </w:p>
    <w:p w14:paraId="2AA85C08"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Podłoże i koryto</w:t>
      </w:r>
    </w:p>
    <w:p w14:paraId="17DF60C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hAnsi="Arial" w:cs="Arial"/>
          <w:color w:val="000000" w:themeColor="text1"/>
        </w:rPr>
        <w:tab/>
      </w:r>
      <w:r w:rsidRPr="007B192E">
        <w:rPr>
          <w:rFonts w:ascii="Arial" w:eastAsia="Lucida Sans Unicode" w:hAnsi="Arial" w:cs="Arial"/>
          <w:color w:val="000000" w:themeColor="text1"/>
          <w:kern w:val="1"/>
          <w:sz w:val="18"/>
          <w:szCs w:val="18"/>
        </w:rPr>
        <w:t xml:space="preserve">Grunty podłoża powinny być </w:t>
      </w:r>
      <w:proofErr w:type="spellStart"/>
      <w:r w:rsidRPr="007B192E">
        <w:rPr>
          <w:rFonts w:ascii="Arial" w:eastAsia="Lucida Sans Unicode" w:hAnsi="Arial" w:cs="Arial"/>
          <w:color w:val="000000" w:themeColor="text1"/>
          <w:kern w:val="1"/>
          <w:sz w:val="18"/>
          <w:szCs w:val="18"/>
        </w:rPr>
        <w:t>niewysadzinowe</w:t>
      </w:r>
      <w:proofErr w:type="spellEnd"/>
      <w:r w:rsidRPr="007B192E">
        <w:rPr>
          <w:rFonts w:ascii="Arial" w:eastAsia="Lucida Sans Unicode" w:hAnsi="Arial" w:cs="Arial"/>
          <w:color w:val="000000" w:themeColor="text1"/>
          <w:kern w:val="1"/>
          <w:sz w:val="18"/>
          <w:szCs w:val="18"/>
        </w:rPr>
        <w:t>, jednorodne i nośne oraz zabezpieczone przed nadmiernym zawilgoceniem i ujemnymi skutkami przemarzania, zgodnie z dokumentacją projektową.</w:t>
      </w:r>
    </w:p>
    <w:p w14:paraId="6F90327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Koryto pod podbudowę lub nawierzchnię powinno być wyprofilowane zgodnie z projektowanymi spadkami oraz przygotowane zgodnie z wymaganiami ST D-04.01.01 [6].</w:t>
      </w:r>
    </w:p>
    <w:p w14:paraId="09EC00D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Koryto musi mieć skuteczne odwodnienie, zgodne z dokumentacją projektową.</w:t>
      </w:r>
    </w:p>
    <w:p w14:paraId="3DE88E85"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5.3. Konstrukcja nawierzchni</w:t>
      </w:r>
    </w:p>
    <w:p w14:paraId="1DB0656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Konstrukcja nawierzchni powinna być zgodna z dokumentacją projektową lub ST.</w:t>
      </w:r>
    </w:p>
    <w:p w14:paraId="132FC9A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Konstrukcja nawierzchni może obejmować ułożenie warstwy ścieralnej z betonowej kostki brukowej na podsypce piaskowej lub cementowo-piaskowej oraz podbudowie.</w:t>
      </w:r>
    </w:p>
    <w:p w14:paraId="2B5821A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Podstawowe czynności przy wykonywaniu nawierzchni, z występowaniem podbudowy, podsypki cementowo-piaskowej i wypełnieniem spoin zaprawą cementowo-piaskową, obejmują:</w:t>
      </w:r>
    </w:p>
    <w:p w14:paraId="6F10B60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wykonanie podbudowy,</w:t>
      </w:r>
    </w:p>
    <w:p w14:paraId="6F24E02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wykonanie obramowania nawierzchni (z krawężników, obrzeży i ew. ścieków),</w:t>
      </w:r>
    </w:p>
    <w:p w14:paraId="74B7D9F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przygotowanie i rozścielenie podsypki cementowo-piaskowej,</w:t>
      </w:r>
    </w:p>
    <w:p w14:paraId="4C31893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ułożenie kostek z ubiciem,</w:t>
      </w:r>
    </w:p>
    <w:p w14:paraId="2369A42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przygotowanie zaprawy cementowo-piaskowej i wypełnienie nią szczelin,</w:t>
      </w:r>
    </w:p>
    <w:p w14:paraId="26CC17B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wypełnienie szczelin dylatacyjnych,</w:t>
      </w:r>
    </w:p>
    <w:p w14:paraId="7EB7426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pielęgnację nawierzchni i oddanie jej do ruchu.</w:t>
      </w:r>
    </w:p>
    <w:p w14:paraId="577BC26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Przy wykonywaniu nawierzchni na podsypce piaskowej, podstawowych czynności jest mniej, gdyż nie występują zwykle poz. 1, 6 i 7, a poz. 3 dotyczy podsypki piaskowej, zaś poz. 5 - wypełnienia szczelin piaskiem.</w:t>
      </w:r>
    </w:p>
    <w:p w14:paraId="41DE112F"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Podbudowa</w:t>
      </w:r>
    </w:p>
    <w:p w14:paraId="7F46062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Rodzaj podbudowy przewidzianej do wykonania pod warstwą betonowej kostki brukowej powinien być zgodny z dokumentacją projektową.</w:t>
      </w:r>
    </w:p>
    <w:p w14:paraId="3C66C3FC"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5.6. Podsypka</w:t>
      </w:r>
    </w:p>
    <w:p w14:paraId="4D796ED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Rodzaj podsypki i jej grubość powinny być zgodne z dokumentacją projektową lub ST.</w:t>
      </w:r>
    </w:p>
    <w:p w14:paraId="469E153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Jeśli dokumentacja projektowa lub ST nie ustala inaczej to grubość podsypki powinna wynosić po zagęszczeniu 3</w:t>
      </w:r>
      <w:r w:rsidRPr="007B192E">
        <w:rPr>
          <w:rFonts w:ascii="Arial" w:eastAsia="Lucida Sans Unicode" w:hAnsi="Arial" w:cs="Arial"/>
          <w:color w:val="000000" w:themeColor="text1"/>
          <w:kern w:val="1"/>
          <w:sz w:val="18"/>
          <w:szCs w:val="18"/>
        </w:rPr>
        <w:t xml:space="preserve">5 cm, a wymagania dla materiałów na podsypkę powinny być zgodne z </w:t>
      </w:r>
      <w:proofErr w:type="spellStart"/>
      <w:r w:rsidRPr="007B192E">
        <w:rPr>
          <w:rFonts w:ascii="Arial" w:eastAsia="Lucida Sans Unicode" w:hAnsi="Arial" w:cs="Arial"/>
          <w:color w:val="000000" w:themeColor="text1"/>
          <w:kern w:val="1"/>
          <w:sz w:val="18"/>
          <w:szCs w:val="18"/>
        </w:rPr>
        <w:t>pktem</w:t>
      </w:r>
      <w:proofErr w:type="spellEnd"/>
      <w:r w:rsidRPr="007B192E">
        <w:rPr>
          <w:rFonts w:ascii="Arial" w:eastAsia="Lucida Sans Unicode" w:hAnsi="Arial" w:cs="Arial"/>
          <w:color w:val="000000" w:themeColor="text1"/>
          <w:kern w:val="1"/>
          <w:sz w:val="18"/>
          <w:szCs w:val="18"/>
        </w:rPr>
        <w:t xml:space="preserve"> 2.3. Dopuszczalne odchyłki od zaprojektowanej grubości podsypki nie powinny przekraczać </w:t>
      </w:r>
      <w:r w:rsidRPr="007B192E">
        <w:rPr>
          <w:rFonts w:ascii="Arial" w:eastAsia="Lucida Sans Unicode" w:hAnsi="Arial" w:cs="Arial"/>
          <w:color w:val="000000" w:themeColor="text1"/>
          <w:kern w:val="1"/>
          <w:sz w:val="18"/>
          <w:szCs w:val="18"/>
        </w:rPr>
        <w:t> 1 cm.</w:t>
      </w:r>
    </w:p>
    <w:p w14:paraId="39A069B2"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Podsypkę cementowo-piaskową stosuje się z zasady przy występowaniu podbudowy pod nawierzchnią z kostki. Podsypkę cementowo-piaskową przygotowuje się w betoniarkach, a następnie rozściela się na uprzednio zwilżonej podbudowie, przy zachowaniu:</w:t>
      </w:r>
    </w:p>
    <w:p w14:paraId="5A03AA8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współczynnika wodnocementowego od 0,25 do 0,35,</w:t>
      </w:r>
    </w:p>
    <w:p w14:paraId="59B1E73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wytrzymałości na ściskanie nie mniejszej niż R7 = 10 </w:t>
      </w:r>
      <w:proofErr w:type="spellStart"/>
      <w:r w:rsidRPr="007B192E">
        <w:rPr>
          <w:rFonts w:ascii="Arial" w:eastAsia="Lucida Sans Unicode" w:hAnsi="Arial" w:cs="Arial"/>
          <w:color w:val="000000" w:themeColor="text1"/>
          <w:kern w:val="1"/>
          <w:sz w:val="18"/>
          <w:szCs w:val="18"/>
        </w:rPr>
        <w:t>MPa</w:t>
      </w:r>
      <w:proofErr w:type="spellEnd"/>
      <w:r w:rsidRPr="007B192E">
        <w:rPr>
          <w:rFonts w:ascii="Arial" w:eastAsia="Lucida Sans Unicode" w:hAnsi="Arial" w:cs="Arial"/>
          <w:color w:val="000000" w:themeColor="text1"/>
          <w:kern w:val="1"/>
          <w:sz w:val="18"/>
          <w:szCs w:val="18"/>
        </w:rPr>
        <w:t xml:space="preserve">, R28 = 14 </w:t>
      </w:r>
      <w:proofErr w:type="spellStart"/>
      <w:r w:rsidRPr="007B192E">
        <w:rPr>
          <w:rFonts w:ascii="Arial" w:eastAsia="Lucida Sans Unicode" w:hAnsi="Arial" w:cs="Arial"/>
          <w:color w:val="000000" w:themeColor="text1"/>
          <w:kern w:val="1"/>
          <w:sz w:val="18"/>
          <w:szCs w:val="18"/>
        </w:rPr>
        <w:t>MPa</w:t>
      </w:r>
      <w:proofErr w:type="spellEnd"/>
      <w:r w:rsidRPr="007B192E">
        <w:rPr>
          <w:rFonts w:ascii="Arial" w:eastAsia="Lucida Sans Unicode" w:hAnsi="Arial" w:cs="Arial"/>
          <w:color w:val="000000" w:themeColor="text1"/>
          <w:kern w:val="1"/>
          <w:sz w:val="18"/>
          <w:szCs w:val="18"/>
        </w:rPr>
        <w:t>.</w:t>
      </w:r>
    </w:p>
    <w:p w14:paraId="1900119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lekkimi walcami (np. ręcznymi) lub zagęszczarkami wibracyjnymi.</w:t>
      </w:r>
    </w:p>
    <w:p w14:paraId="32AF4A7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Jeśli podsypka jest wykonana z suchej zaprawy cementowo-piaskowej to po zawałowaniu nawierzchni należy ją polać wodą w takiej ilości, aby woda zwilżyła całą grubość podsypki. Rozścielenie podsypki z suchej zaprawy może wyprzedzać układanie nawierzchni z kostek o około 20 m.</w:t>
      </w:r>
    </w:p>
    <w:p w14:paraId="09C94A3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Całkowite ubicie nawierzchni i wypełnienie spoin zaprawą musi być zakończone przed rozpoczęciem wiązania cementu w podsypce.</w:t>
      </w:r>
    </w:p>
    <w:p w14:paraId="0A3111A6"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20"/>
          <w:szCs w:val="20"/>
        </w:rPr>
      </w:pPr>
      <w:r w:rsidRPr="007B192E">
        <w:rPr>
          <w:color w:val="000000" w:themeColor="text1"/>
          <w:sz w:val="18"/>
          <w:szCs w:val="18"/>
        </w:rPr>
        <w:t>5.7. Układanie nawierzchni z betonowych kostek brukowych</w:t>
      </w:r>
    </w:p>
    <w:p w14:paraId="177ED5D7"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5.7.1. Ustalenie kształtu, wymiaru i koloru kostek oraz desenia ich układania</w:t>
      </w:r>
    </w:p>
    <w:p w14:paraId="77DE45F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Kształt, wymiary, barwę i inne cechy charakterystyczne kostek wg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2.2.1 oraz deseń ich układania powinny być zgodne z dokumentacją projektową lub ST, a w przypadku braku wystarczających ustaleń Wykonawca przedkłada odpowiednie propozycje do zaakceptowania Inżynierowi. Przed ostatecznym zaakceptowaniem kształtu, koloru, sposobu układania i wytwórni kostek, Inżynier może polecić Wykonawcy ułożenie po 1 m2 wstępnie wybranych kostek, wyłącznie na podsypce piaskowej.</w:t>
      </w:r>
    </w:p>
    <w:p w14:paraId="252FCD2F"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5.7.2. Warunki atmosferyczne</w:t>
      </w:r>
    </w:p>
    <w:p w14:paraId="35DF48A2"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Ułożenie nawierzchni z kostki na podsypce cementowo-piaskowej zaleca się wykonywać przy temperaturze otoczenia nie niższej niż +5oC. Dopuszcza się wykonanie nawierzchni jeśli w ciągu dnia temperatura utrzymuje się w granicach od 0oC do +5oC, przy czym jeśli w nocy spodziewane są przymrozki kostkę należy zabezpieczyć materiałami o złym przewodnictwie ciepła (np. matami ze słomy, papą itp.).</w:t>
      </w:r>
    </w:p>
    <w:p w14:paraId="51F25068"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5.7.3. Ułożenie nawierzchni z kostek</w:t>
      </w:r>
    </w:p>
    <w:p w14:paraId="580392A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Warstwa nawierzchni z kostki powinna być wykonana z elementów o jednakowej grubości. Na większym fragmencie robót zaleca się stosować kostki dostarczone w tej samej partii materiału, w której niedopuszczalne są różne odcienie wybranego koloru kostki.</w:t>
      </w:r>
    </w:p>
    <w:p w14:paraId="1C1DE79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Układanie kostki można wykonywać ręcznie lub mechanicznie.</w:t>
      </w:r>
    </w:p>
    <w:p w14:paraId="424A33F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w:t>
      </w:r>
    </w:p>
    <w:p w14:paraId="33B7853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227E283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Kostkę układa się około 1,5 cm wyżej od projektowanej niwelety, ponieważ po procesie ubijania podsypka zagęszcza się.</w:t>
      </w:r>
    </w:p>
    <w:p w14:paraId="5CDA417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lastRenderedPageBreak/>
        <w:tab/>
        <w:t>Powierzchnia kostek położonych obok urządzeń infrastruktury technicznej (np. studzienek, włazów itp.) powinna trwale wystawać od 3 mm do 5 mm powyżej powierzchni tych urządzeń oraz od 3 mm do 10 mm powyżej korytek ściekowych (ścieków).</w:t>
      </w:r>
    </w:p>
    <w:p w14:paraId="3C0D560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66A948EA"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14:paraId="075F3013"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5.7.4. Ubicie nawierzchni z kostek</w:t>
      </w:r>
    </w:p>
    <w:p w14:paraId="69C3EE1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Ubicie nawierzchni należy przeprowadzić za pomocą zagęszczarki wibracyjnej (płytowej) z osłoną z tworzywa sztucznego. Do ubicia nawierzchni nie wolno używać walca.</w:t>
      </w:r>
    </w:p>
    <w:p w14:paraId="1C90DF9D"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Ubijanie nawierzchni należy prowadzić od krawędzi powierzchni w kierunku jej środka i jednocześnie w kierunku poprzecznym kształtek. Ewentualne nierówności powierzchniowe mogą być zlikwidowane przez ubijanie w kierunku wzdłużnym kostki.</w:t>
      </w:r>
    </w:p>
    <w:p w14:paraId="7CDF50EA"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Po ubiciu nawierzchni wszystkie kostki uszkodzone (np. pęknięte) należy wymienić na kostki całe.</w:t>
      </w:r>
    </w:p>
    <w:p w14:paraId="1E301AC5"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5.7.5. Spoiny i szczeliny dylatacyjne</w:t>
      </w:r>
    </w:p>
    <w:p w14:paraId="367FB17D"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5.7.5.1. Spoiny</w:t>
      </w:r>
    </w:p>
    <w:p w14:paraId="5BC8CB8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Szerokość spoin pomiędzy betonowymi kostkami brukowymi powinna wynosić od 3 mm do 5 mm.</w:t>
      </w:r>
    </w:p>
    <w:p w14:paraId="41358A1C"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w:t>
      </w:r>
    </w:p>
    <w:p w14:paraId="3E001C4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Po ułożeniu kostek, spoiny należy wypełnić piaskiem, spełniającym wymagania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2.3 c).</w:t>
      </w:r>
    </w:p>
    <w:p w14:paraId="2548B96A"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Wypełnienie spoin piaskiem polega na rozsypaniu warstwy piasku i wmieceniu go w spoiny na sucho lub, po obfitym polaniu wodą - wmieceniu papki piaskowej szczotkami względnie </w:t>
      </w:r>
      <w:proofErr w:type="spellStart"/>
      <w:r w:rsidRPr="007B192E">
        <w:rPr>
          <w:rFonts w:ascii="Arial" w:eastAsia="Lucida Sans Unicode" w:hAnsi="Arial" w:cs="Arial"/>
          <w:color w:val="000000" w:themeColor="text1"/>
          <w:kern w:val="1"/>
          <w:sz w:val="18"/>
          <w:szCs w:val="18"/>
        </w:rPr>
        <w:t>rozgarniaczkami</w:t>
      </w:r>
      <w:proofErr w:type="spellEnd"/>
      <w:r w:rsidRPr="007B192E">
        <w:rPr>
          <w:rFonts w:ascii="Arial" w:eastAsia="Lucida Sans Unicode" w:hAnsi="Arial" w:cs="Arial"/>
          <w:color w:val="000000" w:themeColor="text1"/>
          <w:kern w:val="1"/>
          <w:sz w:val="18"/>
          <w:szCs w:val="18"/>
        </w:rPr>
        <w:t xml:space="preserve"> z piórami gumowymi.</w:t>
      </w:r>
    </w:p>
    <w:p w14:paraId="71FDDC24"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7B192E">
        <w:rPr>
          <w:rFonts w:ascii="Arial" w:eastAsia="Lucida Sans Unicode" w:hAnsi="Arial" w:cs="Arial"/>
          <w:color w:val="000000" w:themeColor="text1"/>
          <w:kern w:val="1"/>
          <w:sz w:val="18"/>
          <w:szCs w:val="18"/>
        </w:rPr>
        <w:t>rozgarniaczkami</w:t>
      </w:r>
      <w:proofErr w:type="spellEnd"/>
      <w:r w:rsidRPr="007B192E">
        <w:rPr>
          <w:rFonts w:ascii="Arial" w:eastAsia="Lucida Sans Unicode" w:hAnsi="Arial" w:cs="Arial"/>
          <w:color w:val="000000" w:themeColor="text1"/>
          <w:kern w:val="1"/>
          <w:sz w:val="18"/>
          <w:szCs w:val="18"/>
        </w:rPr>
        <w:t xml:space="preserve"> z piórami gumowymi. Przed rozpoczęciem zalewania kostka powinna być oczyszczona i dobrze zwilżona wodą. Zalewa powinna całkowicie wypełnić spoiny i tworzyć monolit z kostkami.</w:t>
      </w:r>
    </w:p>
    <w:p w14:paraId="32F3399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Przy wypełnianiu spoin zaprawą cementowo-piaskową należy zabezpieczyć przed zalaniem nią szczeliny dylatacyjne, wkładając zwinięte paski papy, zwitki z worków po cemencie itp.</w:t>
      </w:r>
    </w:p>
    <w:p w14:paraId="37F5B1C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Po wypełnianiu spoin zaprawą cementowo-piaskową nawierzchnię należy starannie oczyścić; szczególnie dotyczy to nawierzchni z kostek kolorowych i z różnymi deseniami układania.</w:t>
      </w:r>
    </w:p>
    <w:p w14:paraId="67B1B0D3" w14:textId="77777777" w:rsidR="003C3EE8" w:rsidRPr="007B192E" w:rsidRDefault="003C3EE8" w:rsidP="003C3EE8">
      <w:pPr>
        <w:pStyle w:val="Standard"/>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5.7.5.2. Szczeliny dylatacyjne</w:t>
      </w:r>
    </w:p>
    <w:p w14:paraId="26D97BD3"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W przypadku układania kostek na podsypce cementowo-piaskowej i wypełnianiu spoin zaprawą cementowo-piaskową, należy przewidzieć wykonanie szczelin dylatacyjnych w odległościach zgodnych z dokumentacją projektową lub ST względnie nie większych niż co 8 m. Szerokość szczelin dylatacyjnych powinna umożliwiać przejęcie przez nie przemieszczeń wywołanych wysokimi temperaturami nawierzchni w okresie letnim, lecz nie powinna być mniejsza niż 8 mm. Szczeliny te powinny być wypełnione trwale zalewami i masami określonymi w </w:t>
      </w:r>
      <w:proofErr w:type="spellStart"/>
      <w:r w:rsidRPr="007B192E">
        <w:rPr>
          <w:rFonts w:ascii="Arial" w:eastAsia="Lucida Sans Unicode" w:hAnsi="Arial" w:cs="Arial"/>
          <w:color w:val="000000" w:themeColor="text1"/>
          <w:kern w:val="1"/>
          <w:sz w:val="18"/>
          <w:szCs w:val="18"/>
        </w:rPr>
        <w:t>pkcie</w:t>
      </w:r>
      <w:proofErr w:type="spellEnd"/>
      <w:r w:rsidRPr="007B192E">
        <w:rPr>
          <w:rFonts w:ascii="Arial" w:eastAsia="Lucida Sans Unicode" w:hAnsi="Arial" w:cs="Arial"/>
          <w:color w:val="000000" w:themeColor="text1"/>
          <w:kern w:val="1"/>
          <w:sz w:val="18"/>
          <w:szCs w:val="18"/>
        </w:rPr>
        <w:t xml:space="preserve"> 2.3 c).</w:t>
      </w:r>
    </w:p>
    <w:p w14:paraId="00701A1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Szczeliny dylatacyjne poprzeczne należy stosować dodatkowo w miejscach, w których występuje zmiana sztywności podłoża (np. nad przepustami, przy przyczółkach mostowych, nad szczelinami dylatacyjnymi w podbudowie itp.).</w:t>
      </w:r>
    </w:p>
    <w:p w14:paraId="67A55598"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5.8. Pielęgnacja nawierzchni i oddanie jej dla ruchu</w:t>
      </w:r>
    </w:p>
    <w:p w14:paraId="4CD18A6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Nawierzchnię po jej wykonaniu należy przykryć warstwą wilgotnego piasku o grubości od 3,0 do 4,0 cm i utrzymywać ją w stanie wilgotnym przez 7 do 10 dni. Po upływie od 2 tygodni (przy temperaturze średniej otoczenia nie niższej niż 15oC) do 3 tygodni (w porze chłodniejszej) nawierzchnię należy oczyścić z piasku i można oddać do użytku.</w:t>
      </w:r>
    </w:p>
    <w:p w14:paraId="1DB6683B" w14:textId="77777777" w:rsidR="003C3EE8" w:rsidRPr="007B192E" w:rsidRDefault="003C3EE8" w:rsidP="003C3EE8">
      <w:pPr>
        <w:pStyle w:val="Nagwek2"/>
        <w:rPr>
          <w:i w:val="0"/>
          <w:color w:val="000000" w:themeColor="text1"/>
        </w:rPr>
      </w:pPr>
      <w:r w:rsidRPr="007B192E">
        <w:rPr>
          <w:i w:val="0"/>
          <w:color w:val="000000" w:themeColor="text1"/>
        </w:rPr>
        <w:t>6. KONTROLA JAKOŚCI ROBÓT</w:t>
      </w:r>
    </w:p>
    <w:p w14:paraId="79C973BA"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20"/>
          <w:szCs w:val="20"/>
        </w:rPr>
      </w:pPr>
      <w:r w:rsidRPr="007B192E">
        <w:rPr>
          <w:color w:val="000000" w:themeColor="text1"/>
          <w:sz w:val="18"/>
          <w:szCs w:val="18"/>
        </w:rPr>
        <w:t>6.1. Ogólne zasady kontroli jakości robót</w:t>
      </w:r>
    </w:p>
    <w:p w14:paraId="40698DAC" w14:textId="77777777" w:rsidR="003C3EE8" w:rsidRPr="007B192E" w:rsidRDefault="003C3EE8" w:rsidP="003C3EE8">
      <w:pPr>
        <w:pStyle w:val="Standardowytekst"/>
        <w:rPr>
          <w:rFonts w:ascii="Arial" w:hAnsi="Arial" w:cs="Arial"/>
          <w:color w:val="000000" w:themeColor="text1"/>
        </w:rPr>
      </w:pPr>
      <w:r w:rsidRPr="007B192E">
        <w:rPr>
          <w:rFonts w:ascii="Arial" w:eastAsia="Lucida Sans Unicode" w:hAnsi="Arial" w:cs="Arial"/>
          <w:color w:val="000000" w:themeColor="text1"/>
          <w:kern w:val="1"/>
          <w:sz w:val="18"/>
          <w:szCs w:val="18"/>
        </w:rPr>
        <w:tab/>
        <w:t>Ogólne zasady kontroli jakości robót podano w ST D-00.00.00 „Wymagania ogólne” [5] pkt 6.</w:t>
      </w:r>
    </w:p>
    <w:p w14:paraId="2C6CD6ED"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6.2. Badania przed przystąpieniem do robót</w:t>
      </w:r>
    </w:p>
    <w:p w14:paraId="667E1AF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Przed przystąpieniem do robót Wykonawca powinien:</w:t>
      </w:r>
    </w:p>
    <w:p w14:paraId="0EDD398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uzyskać wymagane dokumenty, dopuszczające wyroby budowlane do obrotu i powszechnego stosowania (aprobaty techniczne, certyfikaty zgodności, deklaracje zgodności, ew. badania materiałów wykonane przez dostawców itp.),</w:t>
      </w:r>
    </w:p>
    <w:p w14:paraId="57F54BB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wykonać badania właściwości materiałów przeznaczonych do wykonania robót, określone w </w:t>
      </w:r>
      <w:proofErr w:type="spellStart"/>
      <w:r w:rsidRPr="007B192E">
        <w:rPr>
          <w:rFonts w:ascii="Arial" w:eastAsia="Lucida Sans Unicode" w:hAnsi="Arial" w:cs="Arial"/>
          <w:color w:val="000000" w:themeColor="text1"/>
          <w:kern w:val="1"/>
          <w:sz w:val="18"/>
          <w:szCs w:val="18"/>
        </w:rPr>
        <w:t>pkcie</w:t>
      </w:r>
      <w:proofErr w:type="spellEnd"/>
      <w:r w:rsidRPr="007B192E">
        <w:rPr>
          <w:rFonts w:ascii="Arial" w:eastAsia="Lucida Sans Unicode" w:hAnsi="Arial" w:cs="Arial"/>
          <w:color w:val="000000" w:themeColor="text1"/>
          <w:kern w:val="1"/>
          <w:sz w:val="18"/>
          <w:szCs w:val="18"/>
        </w:rPr>
        <w:t xml:space="preserve"> 2,</w:t>
      </w:r>
    </w:p>
    <w:p w14:paraId="786734A6"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sprawdzić cechy zewnętrzne gotowych materiałów z tworzyw i prefabrykowanych.</w:t>
      </w:r>
    </w:p>
    <w:p w14:paraId="2A5BBDD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Wszystkie dokumenty oraz wyniki badań Wykonawca przedstawia Inżynierowi do akceptacji.</w:t>
      </w:r>
    </w:p>
    <w:p w14:paraId="1C8EAC90"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6.3. Badania odbiorcze betonowej kostki brukowej</w:t>
      </w:r>
    </w:p>
    <w:p w14:paraId="287EC06B"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Badania odbiorcze kostki brukowej oparto o normę PN-EN 1338 Załącznik B. Rozróżnia się dwa przypadki:</w:t>
      </w:r>
    </w:p>
    <w:p w14:paraId="21A893E0"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Przypadek I: Wyrób nie został poddany ocenie zgodności przez stronę trzecią;</w:t>
      </w:r>
    </w:p>
    <w:p w14:paraId="5B3DCB6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Przypadek II: Wyrób został poddany ocenie zgodności przez stronę trzecią – laboratorium posiadające odpowiednie kompetencje.</w:t>
      </w:r>
    </w:p>
    <w:p w14:paraId="6CB0C56B" w14:textId="77777777" w:rsidR="003C3EE8" w:rsidRPr="007B192E" w:rsidRDefault="003C3EE8" w:rsidP="003C3EE8">
      <w:pPr>
        <w:jc w:val="both"/>
        <w:rPr>
          <w:rFonts w:ascii="Arial" w:hAnsi="Arial" w:cs="Arial"/>
          <w:color w:val="000000" w:themeColor="text1"/>
          <w:sz w:val="20"/>
        </w:rPr>
      </w:pPr>
    </w:p>
    <w:p w14:paraId="54929102"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Plan pobierania próbek do badań odbiorczych wg Tablicy 2 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83"/>
        <w:gridCol w:w="1892"/>
        <w:gridCol w:w="2369"/>
        <w:gridCol w:w="2370"/>
      </w:tblGrid>
      <w:tr w:rsidR="004D7D23" w:rsidRPr="007B192E" w14:paraId="33109BA7" w14:textId="77777777" w:rsidTr="004D7D23">
        <w:tc>
          <w:tcPr>
            <w:tcW w:w="2943" w:type="dxa"/>
            <w:shd w:val="clear" w:color="auto" w:fill="auto"/>
          </w:tcPr>
          <w:p w14:paraId="15D1CC6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Właściwość</w:t>
            </w:r>
          </w:p>
        </w:tc>
        <w:tc>
          <w:tcPr>
            <w:tcW w:w="1945" w:type="dxa"/>
            <w:shd w:val="clear" w:color="auto" w:fill="auto"/>
          </w:tcPr>
          <w:p w14:paraId="2C9A3FC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Metoda badania</w:t>
            </w:r>
          </w:p>
        </w:tc>
        <w:tc>
          <w:tcPr>
            <w:tcW w:w="2444" w:type="dxa"/>
            <w:shd w:val="clear" w:color="auto" w:fill="auto"/>
          </w:tcPr>
          <w:p w14:paraId="348D013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Przypadek I</w:t>
            </w:r>
          </w:p>
        </w:tc>
        <w:tc>
          <w:tcPr>
            <w:tcW w:w="2445" w:type="dxa"/>
            <w:shd w:val="clear" w:color="auto" w:fill="auto"/>
          </w:tcPr>
          <w:p w14:paraId="207491F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Przypadek II 3)</w:t>
            </w:r>
          </w:p>
        </w:tc>
      </w:tr>
      <w:tr w:rsidR="004D7D23" w:rsidRPr="007B192E" w14:paraId="05BF0CD7" w14:textId="77777777" w:rsidTr="004D7D23">
        <w:tc>
          <w:tcPr>
            <w:tcW w:w="2943" w:type="dxa"/>
            <w:shd w:val="clear" w:color="auto" w:fill="auto"/>
          </w:tcPr>
          <w:p w14:paraId="1F30373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Wygląd</w:t>
            </w:r>
          </w:p>
        </w:tc>
        <w:tc>
          <w:tcPr>
            <w:tcW w:w="1945" w:type="dxa"/>
            <w:shd w:val="clear" w:color="auto" w:fill="auto"/>
          </w:tcPr>
          <w:p w14:paraId="17C3729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J</w:t>
            </w:r>
          </w:p>
        </w:tc>
        <w:tc>
          <w:tcPr>
            <w:tcW w:w="2444" w:type="dxa"/>
            <w:shd w:val="clear" w:color="auto" w:fill="auto"/>
          </w:tcPr>
          <w:p w14:paraId="400F6EA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8</w:t>
            </w:r>
          </w:p>
        </w:tc>
        <w:tc>
          <w:tcPr>
            <w:tcW w:w="2445" w:type="dxa"/>
            <w:shd w:val="clear" w:color="auto" w:fill="auto"/>
          </w:tcPr>
          <w:p w14:paraId="2B15FE0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4 (16) 1)</w:t>
            </w:r>
          </w:p>
        </w:tc>
      </w:tr>
      <w:tr w:rsidR="004D7D23" w:rsidRPr="007B192E" w14:paraId="105FFC1F" w14:textId="77777777" w:rsidTr="004D7D23">
        <w:tc>
          <w:tcPr>
            <w:tcW w:w="2943" w:type="dxa"/>
            <w:shd w:val="clear" w:color="auto" w:fill="auto"/>
          </w:tcPr>
          <w:p w14:paraId="0D5C53B9"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Grubość warstwy ścieralnej </w:t>
            </w:r>
          </w:p>
        </w:tc>
        <w:tc>
          <w:tcPr>
            <w:tcW w:w="1945" w:type="dxa"/>
            <w:shd w:val="clear" w:color="auto" w:fill="auto"/>
          </w:tcPr>
          <w:p w14:paraId="2A049BD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C.6 2)</w:t>
            </w:r>
          </w:p>
        </w:tc>
        <w:tc>
          <w:tcPr>
            <w:tcW w:w="2444" w:type="dxa"/>
            <w:shd w:val="clear" w:color="auto" w:fill="auto"/>
          </w:tcPr>
          <w:p w14:paraId="0DDBC42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8</w:t>
            </w:r>
          </w:p>
        </w:tc>
        <w:tc>
          <w:tcPr>
            <w:tcW w:w="2445" w:type="dxa"/>
            <w:shd w:val="clear" w:color="auto" w:fill="auto"/>
          </w:tcPr>
          <w:p w14:paraId="4300CA5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4 (16)</w:t>
            </w:r>
          </w:p>
        </w:tc>
      </w:tr>
      <w:tr w:rsidR="004D7D23" w:rsidRPr="007B192E" w14:paraId="1FEC2573" w14:textId="77777777" w:rsidTr="004D7D23">
        <w:tc>
          <w:tcPr>
            <w:tcW w:w="2943" w:type="dxa"/>
            <w:shd w:val="clear" w:color="auto" w:fill="auto"/>
          </w:tcPr>
          <w:p w14:paraId="4D57FCC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Kształt i wymiary</w:t>
            </w:r>
          </w:p>
        </w:tc>
        <w:tc>
          <w:tcPr>
            <w:tcW w:w="1945" w:type="dxa"/>
            <w:shd w:val="clear" w:color="auto" w:fill="auto"/>
          </w:tcPr>
          <w:p w14:paraId="4389AED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C</w:t>
            </w:r>
          </w:p>
        </w:tc>
        <w:tc>
          <w:tcPr>
            <w:tcW w:w="2444" w:type="dxa"/>
            <w:shd w:val="clear" w:color="auto" w:fill="auto"/>
          </w:tcPr>
          <w:p w14:paraId="1404752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8</w:t>
            </w:r>
          </w:p>
        </w:tc>
        <w:tc>
          <w:tcPr>
            <w:tcW w:w="2445" w:type="dxa"/>
            <w:shd w:val="clear" w:color="auto" w:fill="auto"/>
          </w:tcPr>
          <w:p w14:paraId="0A0FEC6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4 (16) 1)</w:t>
            </w:r>
          </w:p>
        </w:tc>
      </w:tr>
      <w:tr w:rsidR="004D7D23" w:rsidRPr="007B192E" w14:paraId="0F53A192" w14:textId="77777777" w:rsidTr="004D7D23">
        <w:tc>
          <w:tcPr>
            <w:tcW w:w="2943" w:type="dxa"/>
            <w:shd w:val="clear" w:color="auto" w:fill="auto"/>
          </w:tcPr>
          <w:p w14:paraId="416568F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Wytrzymałość na rozciąganie przy rozłupaniu oraz obciążenie niszczące</w:t>
            </w:r>
          </w:p>
        </w:tc>
        <w:tc>
          <w:tcPr>
            <w:tcW w:w="1945" w:type="dxa"/>
            <w:shd w:val="clear" w:color="auto" w:fill="auto"/>
          </w:tcPr>
          <w:p w14:paraId="6A77E04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F</w:t>
            </w:r>
          </w:p>
        </w:tc>
        <w:tc>
          <w:tcPr>
            <w:tcW w:w="2444" w:type="dxa"/>
            <w:shd w:val="clear" w:color="auto" w:fill="auto"/>
          </w:tcPr>
          <w:p w14:paraId="13E4183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8</w:t>
            </w:r>
          </w:p>
        </w:tc>
        <w:tc>
          <w:tcPr>
            <w:tcW w:w="2445" w:type="dxa"/>
            <w:shd w:val="clear" w:color="auto" w:fill="auto"/>
          </w:tcPr>
          <w:p w14:paraId="30823C6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4 (16)</w:t>
            </w:r>
          </w:p>
        </w:tc>
      </w:tr>
      <w:tr w:rsidR="004D7D23" w:rsidRPr="007B192E" w14:paraId="59E8A1F0" w14:textId="77777777" w:rsidTr="004D7D23">
        <w:tc>
          <w:tcPr>
            <w:tcW w:w="2943" w:type="dxa"/>
            <w:shd w:val="clear" w:color="auto" w:fill="auto"/>
          </w:tcPr>
          <w:p w14:paraId="166A1E5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Odporność na ścieranie 4)</w:t>
            </w:r>
          </w:p>
        </w:tc>
        <w:tc>
          <w:tcPr>
            <w:tcW w:w="1945" w:type="dxa"/>
            <w:shd w:val="clear" w:color="auto" w:fill="auto"/>
          </w:tcPr>
          <w:p w14:paraId="001A508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G lub H</w:t>
            </w:r>
          </w:p>
        </w:tc>
        <w:tc>
          <w:tcPr>
            <w:tcW w:w="2444" w:type="dxa"/>
            <w:shd w:val="clear" w:color="auto" w:fill="auto"/>
          </w:tcPr>
          <w:p w14:paraId="0C8F7CD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tc>
        <w:tc>
          <w:tcPr>
            <w:tcW w:w="2445" w:type="dxa"/>
            <w:shd w:val="clear" w:color="auto" w:fill="auto"/>
          </w:tcPr>
          <w:p w14:paraId="77B445D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tc>
      </w:tr>
      <w:tr w:rsidR="004D7D23" w:rsidRPr="007B192E" w14:paraId="64379B12" w14:textId="77777777" w:rsidTr="004D7D23">
        <w:tc>
          <w:tcPr>
            <w:tcW w:w="2943" w:type="dxa"/>
            <w:shd w:val="clear" w:color="auto" w:fill="auto"/>
          </w:tcPr>
          <w:p w14:paraId="4C99588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Odporność na poślizg/poślizgnięcie 4)</w:t>
            </w:r>
          </w:p>
        </w:tc>
        <w:tc>
          <w:tcPr>
            <w:tcW w:w="1945" w:type="dxa"/>
            <w:shd w:val="clear" w:color="auto" w:fill="auto"/>
          </w:tcPr>
          <w:p w14:paraId="31E5A21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I</w:t>
            </w:r>
          </w:p>
        </w:tc>
        <w:tc>
          <w:tcPr>
            <w:tcW w:w="2444" w:type="dxa"/>
            <w:shd w:val="clear" w:color="auto" w:fill="auto"/>
          </w:tcPr>
          <w:p w14:paraId="5188E41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5</w:t>
            </w:r>
          </w:p>
        </w:tc>
        <w:tc>
          <w:tcPr>
            <w:tcW w:w="2445" w:type="dxa"/>
            <w:shd w:val="clear" w:color="auto" w:fill="auto"/>
          </w:tcPr>
          <w:p w14:paraId="0BA2162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5 1)</w:t>
            </w:r>
          </w:p>
        </w:tc>
      </w:tr>
      <w:tr w:rsidR="004D7D23" w:rsidRPr="007B192E" w14:paraId="0671B4FD" w14:textId="77777777" w:rsidTr="004D7D23">
        <w:tc>
          <w:tcPr>
            <w:tcW w:w="2943" w:type="dxa"/>
            <w:shd w:val="clear" w:color="auto" w:fill="auto"/>
          </w:tcPr>
          <w:p w14:paraId="4444EC6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Odporność na warunki atmosferyczne</w:t>
            </w:r>
          </w:p>
          <w:p w14:paraId="232D6C8E"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Nasiąkliwość</w:t>
            </w:r>
          </w:p>
          <w:p w14:paraId="20AA4E3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Złuszczanie powierzchniowe 4)</w:t>
            </w:r>
          </w:p>
          <w:p w14:paraId="40876A8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Po 150 cyklach w wodzie lub 30 cyklach w 3% roztworze NaCl 4)</w:t>
            </w:r>
          </w:p>
        </w:tc>
        <w:tc>
          <w:tcPr>
            <w:tcW w:w="1945" w:type="dxa"/>
            <w:shd w:val="clear" w:color="auto" w:fill="auto"/>
          </w:tcPr>
          <w:p w14:paraId="260E68A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p w14:paraId="11D19D9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p w14:paraId="3196A7C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E</w:t>
            </w:r>
          </w:p>
          <w:p w14:paraId="7BAF70E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Załącznik D</w:t>
            </w:r>
          </w:p>
          <w:p w14:paraId="148B588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PN-B-06250</w:t>
            </w:r>
          </w:p>
        </w:tc>
        <w:tc>
          <w:tcPr>
            <w:tcW w:w="2444" w:type="dxa"/>
            <w:shd w:val="clear" w:color="auto" w:fill="auto"/>
          </w:tcPr>
          <w:p w14:paraId="40D05B1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p w14:paraId="144404C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p w14:paraId="10775A2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p w14:paraId="4DCB1FB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p w14:paraId="048C0E7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8</w:t>
            </w:r>
          </w:p>
        </w:tc>
        <w:tc>
          <w:tcPr>
            <w:tcW w:w="2445" w:type="dxa"/>
            <w:shd w:val="clear" w:color="auto" w:fill="auto"/>
          </w:tcPr>
          <w:p w14:paraId="0C12B48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p w14:paraId="44A58B9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p w14:paraId="1DE82DA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p w14:paraId="6F2CB37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p w14:paraId="20EEAF5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8</w:t>
            </w:r>
          </w:p>
          <w:p w14:paraId="7FCA141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r>
      <w:tr w:rsidR="004D7D23" w:rsidRPr="007B192E" w14:paraId="57C32D18" w14:textId="77777777" w:rsidTr="004D7D23">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14:paraId="5339007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Można użyć kostek brukowych do następnych badań</w:t>
            </w:r>
          </w:p>
          <w:p w14:paraId="4CD4863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Punkt C.6 2) stosuje się tylko do kostek</w:t>
            </w:r>
          </w:p>
          <w:p w14:paraId="102CC3E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Liczba w nawiasie odpowiada liczbie, która powinna być pobrana z partii w celu uniknięcia powtórnego pobierania próbek w przypadku gdy według kryteriów zgodności należy zbadać dodatkowe kostki brukowe w celu dokonania oceny zgodności</w:t>
            </w:r>
          </w:p>
          <w:p w14:paraId="2064D81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Badanie wymagane w przypadku wątpliwości lub sytuacji spornej</w:t>
            </w:r>
          </w:p>
        </w:tc>
      </w:tr>
    </w:tbl>
    <w:p w14:paraId="75A5CEC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Wyniki powinny spełniać wymagania podane w p.2 </w:t>
      </w:r>
    </w:p>
    <w:p w14:paraId="74FA990F" w14:textId="77777777" w:rsidR="003C3EE8" w:rsidRPr="007B192E" w:rsidRDefault="003C3EE8" w:rsidP="003C3EE8">
      <w:pPr>
        <w:widowControl/>
        <w:suppressAutoHyphens w:val="0"/>
        <w:adjustRightInd w:val="0"/>
        <w:jc w:val="both"/>
        <w:rPr>
          <w:rFonts w:ascii="Arial" w:hAnsi="Arial" w:cs="Arial"/>
          <w:color w:val="000000" w:themeColor="text1"/>
          <w:sz w:val="20"/>
          <w:lang w:eastAsia="pl-PL"/>
        </w:rPr>
      </w:pPr>
    </w:p>
    <w:p w14:paraId="4CCEBC86"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6.4. Badania w czasie robót</w:t>
      </w:r>
    </w:p>
    <w:p w14:paraId="3223460F"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hAnsi="Arial" w:cs="Arial"/>
          <w:color w:val="000000" w:themeColor="text1"/>
        </w:rPr>
        <w:tab/>
      </w:r>
      <w:r w:rsidRPr="007B192E">
        <w:rPr>
          <w:rFonts w:ascii="Arial" w:eastAsia="Lucida Sans Unicode" w:hAnsi="Arial" w:cs="Arial"/>
          <w:color w:val="000000" w:themeColor="text1"/>
          <w:kern w:val="1"/>
          <w:sz w:val="18"/>
          <w:szCs w:val="18"/>
        </w:rPr>
        <w:t>Częstotliwość oraz zakres badań i pomiarów w czasie robót nawierzchniowych z kostki podaje tablica 2.</w:t>
      </w:r>
    </w:p>
    <w:p w14:paraId="0E437E13"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Tablica 2. Częstotliwość oraz zakres badań i pomiarów w czasie robót</w:t>
      </w:r>
    </w:p>
    <w:tbl>
      <w:tblPr>
        <w:tblW w:w="8504" w:type="dxa"/>
        <w:jc w:val="center"/>
        <w:tblLayout w:type="fixed"/>
        <w:tblCellMar>
          <w:left w:w="10" w:type="dxa"/>
          <w:right w:w="10" w:type="dxa"/>
        </w:tblCellMar>
        <w:tblLook w:val="0000" w:firstRow="0" w:lastRow="0" w:firstColumn="0" w:lastColumn="0" w:noHBand="0" w:noVBand="0"/>
      </w:tblPr>
      <w:tblGrid>
        <w:gridCol w:w="544"/>
        <w:gridCol w:w="3358"/>
        <w:gridCol w:w="3027"/>
        <w:gridCol w:w="1575"/>
      </w:tblGrid>
      <w:tr w:rsidR="004D7D23" w:rsidRPr="007B192E" w14:paraId="0CD10B7A" w14:textId="77777777" w:rsidTr="004D7D23">
        <w:trPr>
          <w:jc w:val="center"/>
        </w:trPr>
        <w:tc>
          <w:tcPr>
            <w:tcW w:w="544" w:type="dxa"/>
            <w:tcBorders>
              <w:top w:val="single" w:sz="4" w:space="0" w:color="000000"/>
              <w:left w:val="single" w:sz="4" w:space="0" w:color="000000"/>
              <w:bottom w:val="single" w:sz="4" w:space="0" w:color="000000"/>
            </w:tcBorders>
            <w:tcMar>
              <w:top w:w="0" w:type="dxa"/>
              <w:left w:w="70" w:type="dxa"/>
              <w:bottom w:w="0" w:type="dxa"/>
              <w:right w:w="70" w:type="dxa"/>
            </w:tcMar>
          </w:tcPr>
          <w:p w14:paraId="4E48637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Lp.</w:t>
            </w: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4A1C876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Wyszczególnienie</w:t>
            </w:r>
          </w:p>
          <w:p w14:paraId="4384271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badań i pomiarów</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3FDD0DB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Częstotliwość badań</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E64670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Wartości dopuszczalne</w:t>
            </w:r>
          </w:p>
        </w:tc>
      </w:tr>
      <w:tr w:rsidR="004D7D23" w:rsidRPr="007B192E" w14:paraId="48D26D06" w14:textId="77777777" w:rsidTr="004D7D23">
        <w:trPr>
          <w:jc w:val="center"/>
        </w:trPr>
        <w:tc>
          <w:tcPr>
            <w:tcW w:w="544" w:type="dxa"/>
            <w:tcBorders>
              <w:top w:val="single" w:sz="4" w:space="0" w:color="000000"/>
              <w:left w:val="single" w:sz="4" w:space="0" w:color="000000"/>
            </w:tcBorders>
            <w:tcMar>
              <w:top w:w="0" w:type="dxa"/>
              <w:left w:w="70" w:type="dxa"/>
              <w:bottom w:w="0" w:type="dxa"/>
              <w:right w:w="70" w:type="dxa"/>
            </w:tcMar>
          </w:tcPr>
          <w:p w14:paraId="4AB206E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w:t>
            </w:r>
          </w:p>
        </w:tc>
        <w:tc>
          <w:tcPr>
            <w:tcW w:w="3358" w:type="dxa"/>
            <w:tcBorders>
              <w:top w:val="single" w:sz="4" w:space="0" w:color="000000"/>
              <w:left w:val="single" w:sz="4" w:space="0" w:color="000000"/>
            </w:tcBorders>
            <w:tcMar>
              <w:top w:w="0" w:type="dxa"/>
              <w:left w:w="70" w:type="dxa"/>
              <w:bottom w:w="0" w:type="dxa"/>
              <w:right w:w="70" w:type="dxa"/>
            </w:tcMar>
          </w:tcPr>
          <w:p w14:paraId="2AC0E0D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Sprawdzenie podłoża i koryta</w:t>
            </w:r>
          </w:p>
        </w:tc>
        <w:tc>
          <w:tcPr>
            <w:tcW w:w="3027" w:type="dxa"/>
            <w:tcBorders>
              <w:top w:val="single" w:sz="4" w:space="0" w:color="000000"/>
              <w:left w:val="single" w:sz="4" w:space="0" w:color="000000"/>
            </w:tcBorders>
            <w:tcMar>
              <w:top w:w="0" w:type="dxa"/>
              <w:left w:w="70" w:type="dxa"/>
              <w:bottom w:w="0" w:type="dxa"/>
              <w:right w:w="70" w:type="dxa"/>
            </w:tcMar>
          </w:tcPr>
          <w:p w14:paraId="447E155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Wg ST D-04.01.01 [6]</w:t>
            </w:r>
          </w:p>
        </w:tc>
        <w:tc>
          <w:tcPr>
            <w:tcW w:w="1575" w:type="dxa"/>
            <w:tcBorders>
              <w:top w:val="single" w:sz="4" w:space="0" w:color="000000"/>
              <w:right w:val="single" w:sz="4" w:space="0" w:color="000000"/>
            </w:tcBorders>
            <w:tcMar>
              <w:top w:w="0" w:type="dxa"/>
              <w:left w:w="70" w:type="dxa"/>
              <w:bottom w:w="0" w:type="dxa"/>
              <w:right w:w="70" w:type="dxa"/>
            </w:tcMar>
          </w:tcPr>
          <w:p w14:paraId="3405426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r>
      <w:tr w:rsidR="004D7D23" w:rsidRPr="007B192E" w14:paraId="50CA4F60" w14:textId="77777777" w:rsidTr="004D7D23">
        <w:trPr>
          <w:jc w:val="center"/>
        </w:trPr>
        <w:tc>
          <w:tcPr>
            <w:tcW w:w="544" w:type="dxa"/>
            <w:tcBorders>
              <w:top w:val="single" w:sz="4" w:space="0" w:color="000000"/>
              <w:left w:val="single" w:sz="4" w:space="0" w:color="000000"/>
            </w:tcBorders>
            <w:tcMar>
              <w:top w:w="0" w:type="dxa"/>
              <w:left w:w="70" w:type="dxa"/>
              <w:bottom w:w="0" w:type="dxa"/>
              <w:right w:w="70" w:type="dxa"/>
            </w:tcMar>
          </w:tcPr>
          <w:p w14:paraId="4BAD4AB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2</w:t>
            </w:r>
          </w:p>
        </w:tc>
        <w:tc>
          <w:tcPr>
            <w:tcW w:w="3358" w:type="dxa"/>
            <w:tcBorders>
              <w:top w:val="single" w:sz="4" w:space="0" w:color="000000"/>
              <w:left w:val="single" w:sz="4" w:space="0" w:color="000000"/>
            </w:tcBorders>
            <w:tcMar>
              <w:top w:w="0" w:type="dxa"/>
              <w:left w:w="70" w:type="dxa"/>
              <w:bottom w:w="0" w:type="dxa"/>
              <w:right w:w="70" w:type="dxa"/>
            </w:tcMar>
          </w:tcPr>
          <w:p w14:paraId="5217DF3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Sprawdzenie ew. podbudowy</w:t>
            </w:r>
          </w:p>
        </w:tc>
        <w:tc>
          <w:tcPr>
            <w:tcW w:w="3027" w:type="dxa"/>
            <w:tcBorders>
              <w:top w:val="single" w:sz="4" w:space="0" w:color="000000"/>
              <w:left w:val="single" w:sz="4" w:space="0" w:color="000000"/>
            </w:tcBorders>
            <w:tcMar>
              <w:top w:w="0" w:type="dxa"/>
              <w:left w:w="70" w:type="dxa"/>
              <w:bottom w:w="0" w:type="dxa"/>
              <w:right w:w="70" w:type="dxa"/>
            </w:tcMar>
          </w:tcPr>
          <w:p w14:paraId="78DA21AE"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Wg ST, norm, wytycznych, wymienionych w </w:t>
            </w:r>
            <w:proofErr w:type="spellStart"/>
            <w:r w:rsidRPr="007B192E">
              <w:rPr>
                <w:rFonts w:ascii="Arial" w:eastAsia="Lucida Sans Unicode" w:hAnsi="Arial" w:cs="Arial"/>
                <w:color w:val="000000" w:themeColor="text1"/>
                <w:kern w:val="1"/>
                <w:sz w:val="18"/>
                <w:szCs w:val="18"/>
              </w:rPr>
              <w:t>pkcie</w:t>
            </w:r>
            <w:proofErr w:type="spellEnd"/>
            <w:r w:rsidRPr="007B192E">
              <w:rPr>
                <w:rFonts w:ascii="Arial" w:eastAsia="Lucida Sans Unicode" w:hAnsi="Arial" w:cs="Arial"/>
                <w:color w:val="000000" w:themeColor="text1"/>
                <w:kern w:val="1"/>
                <w:sz w:val="18"/>
                <w:szCs w:val="18"/>
              </w:rPr>
              <w:t xml:space="preserve"> 5.4</w:t>
            </w:r>
          </w:p>
        </w:tc>
        <w:tc>
          <w:tcPr>
            <w:tcW w:w="1575" w:type="dxa"/>
            <w:tcBorders>
              <w:top w:val="single" w:sz="4" w:space="0" w:color="000000"/>
              <w:bottom w:val="single" w:sz="4" w:space="0" w:color="000000"/>
              <w:right w:val="single" w:sz="4" w:space="0" w:color="000000"/>
            </w:tcBorders>
            <w:tcMar>
              <w:top w:w="0" w:type="dxa"/>
              <w:left w:w="70" w:type="dxa"/>
              <w:bottom w:w="0" w:type="dxa"/>
              <w:right w:w="70" w:type="dxa"/>
            </w:tcMar>
          </w:tcPr>
          <w:p w14:paraId="634B09F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r>
      <w:tr w:rsidR="004D7D23" w:rsidRPr="007B192E" w14:paraId="3843E21D" w14:textId="77777777" w:rsidTr="004D7D23">
        <w:trPr>
          <w:jc w:val="center"/>
        </w:trPr>
        <w:tc>
          <w:tcPr>
            <w:tcW w:w="544" w:type="dxa"/>
            <w:tcBorders>
              <w:top w:val="single" w:sz="4" w:space="0" w:color="000000"/>
              <w:left w:val="single" w:sz="4" w:space="0" w:color="000000"/>
            </w:tcBorders>
            <w:tcMar>
              <w:top w:w="0" w:type="dxa"/>
              <w:left w:w="70" w:type="dxa"/>
              <w:bottom w:w="0" w:type="dxa"/>
              <w:right w:w="70" w:type="dxa"/>
            </w:tcMar>
          </w:tcPr>
          <w:p w14:paraId="7C53FF5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tc>
        <w:tc>
          <w:tcPr>
            <w:tcW w:w="3358" w:type="dxa"/>
            <w:tcBorders>
              <w:top w:val="single" w:sz="4" w:space="0" w:color="000000"/>
              <w:left w:val="single" w:sz="4" w:space="0" w:color="000000"/>
            </w:tcBorders>
            <w:tcMar>
              <w:top w:w="0" w:type="dxa"/>
              <w:left w:w="70" w:type="dxa"/>
              <w:bottom w:w="0" w:type="dxa"/>
              <w:right w:w="70" w:type="dxa"/>
            </w:tcMar>
          </w:tcPr>
          <w:p w14:paraId="3D78D62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Sprawdzenie obramowania nawierzchni</w:t>
            </w:r>
          </w:p>
        </w:tc>
        <w:tc>
          <w:tcPr>
            <w:tcW w:w="3027" w:type="dxa"/>
            <w:tcBorders>
              <w:top w:val="single" w:sz="4" w:space="0" w:color="000000"/>
              <w:left w:val="single" w:sz="4" w:space="0" w:color="000000"/>
            </w:tcBorders>
            <w:tcMar>
              <w:top w:w="0" w:type="dxa"/>
              <w:left w:w="70" w:type="dxa"/>
              <w:bottom w:w="0" w:type="dxa"/>
              <w:right w:w="70" w:type="dxa"/>
            </w:tcMar>
          </w:tcPr>
          <w:p w14:paraId="5FBB51C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wg właściwych ST</w:t>
            </w:r>
          </w:p>
        </w:tc>
        <w:tc>
          <w:tcPr>
            <w:tcW w:w="1575" w:type="dxa"/>
            <w:tcBorders>
              <w:right w:val="single" w:sz="4" w:space="0" w:color="000000"/>
            </w:tcBorders>
            <w:tcMar>
              <w:top w:w="0" w:type="dxa"/>
              <w:left w:w="70" w:type="dxa"/>
              <w:bottom w:w="0" w:type="dxa"/>
              <w:right w:w="70" w:type="dxa"/>
            </w:tcMar>
          </w:tcPr>
          <w:p w14:paraId="303D3C6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r>
      <w:tr w:rsidR="004D7D23" w:rsidRPr="007B192E" w14:paraId="200DA551" w14:textId="77777777" w:rsidTr="004D7D23">
        <w:trPr>
          <w:jc w:val="center"/>
        </w:trPr>
        <w:tc>
          <w:tcPr>
            <w:tcW w:w="544" w:type="dxa"/>
            <w:tcBorders>
              <w:top w:val="single" w:sz="4" w:space="0" w:color="000000"/>
              <w:left w:val="single" w:sz="4" w:space="0" w:color="000000"/>
            </w:tcBorders>
            <w:tcMar>
              <w:top w:w="0" w:type="dxa"/>
              <w:left w:w="70" w:type="dxa"/>
              <w:bottom w:w="0" w:type="dxa"/>
              <w:right w:w="70" w:type="dxa"/>
            </w:tcMar>
          </w:tcPr>
          <w:p w14:paraId="1F46351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4</w:t>
            </w:r>
          </w:p>
        </w:tc>
        <w:tc>
          <w:tcPr>
            <w:tcW w:w="3358" w:type="dxa"/>
            <w:tcBorders>
              <w:top w:val="single" w:sz="4" w:space="0" w:color="000000"/>
              <w:left w:val="single" w:sz="4" w:space="0" w:color="000000"/>
            </w:tcBorders>
            <w:tcMar>
              <w:top w:w="0" w:type="dxa"/>
              <w:left w:w="70" w:type="dxa"/>
              <w:bottom w:w="0" w:type="dxa"/>
              <w:right w:w="70" w:type="dxa"/>
            </w:tcMar>
          </w:tcPr>
          <w:p w14:paraId="636ED8C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Sprawdzenie podsypki (przymiarem liniowym lub metodą niwelacji)</w:t>
            </w:r>
          </w:p>
        </w:tc>
        <w:tc>
          <w:tcPr>
            <w:tcW w:w="3027" w:type="dxa"/>
            <w:tcBorders>
              <w:top w:val="single" w:sz="4" w:space="0" w:color="000000"/>
              <w:left w:val="single" w:sz="4" w:space="0" w:color="000000"/>
            </w:tcBorders>
            <w:tcMar>
              <w:top w:w="0" w:type="dxa"/>
              <w:left w:w="70" w:type="dxa"/>
              <w:bottom w:w="0" w:type="dxa"/>
              <w:right w:w="70" w:type="dxa"/>
            </w:tcMar>
          </w:tcPr>
          <w:p w14:paraId="2E7EC04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Bieżąca kontrola w 10 punktach dziennej działki roboczej: grubości, spadków i cech konstrukcyjnych w porównaniu z dokumentacją pro-</w:t>
            </w:r>
            <w:proofErr w:type="spellStart"/>
            <w:r w:rsidRPr="007B192E">
              <w:rPr>
                <w:rFonts w:ascii="Arial" w:eastAsia="Lucida Sans Unicode" w:hAnsi="Arial" w:cs="Arial"/>
                <w:color w:val="000000" w:themeColor="text1"/>
                <w:kern w:val="1"/>
                <w:sz w:val="18"/>
                <w:szCs w:val="18"/>
              </w:rPr>
              <w:t>jektową</w:t>
            </w:r>
            <w:proofErr w:type="spellEnd"/>
            <w:r w:rsidRPr="007B192E">
              <w:rPr>
                <w:rFonts w:ascii="Arial" w:eastAsia="Lucida Sans Unicode" w:hAnsi="Arial" w:cs="Arial"/>
                <w:color w:val="000000" w:themeColor="text1"/>
                <w:kern w:val="1"/>
                <w:sz w:val="18"/>
                <w:szCs w:val="18"/>
              </w:rPr>
              <w:t xml:space="preserve"> i specyfikacją</w:t>
            </w:r>
          </w:p>
        </w:tc>
        <w:tc>
          <w:tcPr>
            <w:tcW w:w="1575" w:type="dxa"/>
            <w:tcBorders>
              <w:top w:val="single" w:sz="4" w:space="0" w:color="000000"/>
              <w:left w:val="single" w:sz="4" w:space="0" w:color="000000"/>
              <w:right w:val="single" w:sz="4" w:space="0" w:color="000000"/>
            </w:tcBorders>
            <w:tcMar>
              <w:top w:w="0" w:type="dxa"/>
              <w:left w:w="70" w:type="dxa"/>
              <w:bottom w:w="0" w:type="dxa"/>
              <w:right w:w="70" w:type="dxa"/>
            </w:tcMar>
          </w:tcPr>
          <w:p w14:paraId="4FA24A6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Wg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5.6; odchyłki od projektowanej grubości </w:t>
            </w:r>
            <w:r w:rsidRPr="007B192E">
              <w:rPr>
                <w:rFonts w:ascii="Arial" w:eastAsia="Lucida Sans Unicode" w:hAnsi="Arial" w:cs="Arial"/>
                <w:color w:val="000000" w:themeColor="text1"/>
                <w:kern w:val="1"/>
                <w:sz w:val="18"/>
                <w:szCs w:val="18"/>
              </w:rPr>
              <w:t>1 cm</w:t>
            </w:r>
          </w:p>
        </w:tc>
      </w:tr>
      <w:tr w:rsidR="004D7D23" w:rsidRPr="007B192E" w14:paraId="10E817A6" w14:textId="77777777" w:rsidTr="004D7D23">
        <w:trPr>
          <w:jc w:val="center"/>
        </w:trPr>
        <w:tc>
          <w:tcPr>
            <w:tcW w:w="544" w:type="dxa"/>
            <w:tcBorders>
              <w:top w:val="single" w:sz="4" w:space="0" w:color="000000"/>
              <w:left w:val="single" w:sz="4" w:space="0" w:color="000000"/>
            </w:tcBorders>
            <w:tcMar>
              <w:top w:w="0" w:type="dxa"/>
              <w:left w:w="70" w:type="dxa"/>
              <w:bottom w:w="0" w:type="dxa"/>
              <w:right w:w="70" w:type="dxa"/>
            </w:tcMar>
          </w:tcPr>
          <w:p w14:paraId="468BE1F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5</w:t>
            </w:r>
          </w:p>
        </w:tc>
        <w:tc>
          <w:tcPr>
            <w:tcW w:w="3358" w:type="dxa"/>
            <w:tcBorders>
              <w:top w:val="single" w:sz="4" w:space="0" w:color="000000"/>
              <w:left w:val="single" w:sz="4" w:space="0" w:color="000000"/>
            </w:tcBorders>
            <w:tcMar>
              <w:top w:w="0" w:type="dxa"/>
              <w:left w:w="70" w:type="dxa"/>
              <w:bottom w:w="0" w:type="dxa"/>
              <w:right w:w="70" w:type="dxa"/>
            </w:tcMar>
          </w:tcPr>
          <w:p w14:paraId="7F690D9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Badania  wykonywania  nawierzchni  z</w:t>
            </w:r>
          </w:p>
        </w:tc>
        <w:tc>
          <w:tcPr>
            <w:tcW w:w="3027" w:type="dxa"/>
            <w:tcBorders>
              <w:top w:val="single" w:sz="4" w:space="0" w:color="000000"/>
            </w:tcBorders>
            <w:tcMar>
              <w:top w:w="0" w:type="dxa"/>
              <w:left w:w="70" w:type="dxa"/>
              <w:bottom w:w="0" w:type="dxa"/>
              <w:right w:w="70" w:type="dxa"/>
            </w:tcMar>
          </w:tcPr>
          <w:p w14:paraId="7C3AFE3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kostki</w:t>
            </w:r>
          </w:p>
        </w:tc>
        <w:tc>
          <w:tcPr>
            <w:tcW w:w="1575" w:type="dxa"/>
            <w:tcBorders>
              <w:top w:val="single" w:sz="4" w:space="0" w:color="000000"/>
              <w:right w:val="single" w:sz="4" w:space="0" w:color="000000"/>
            </w:tcBorders>
            <w:tcMar>
              <w:top w:w="0" w:type="dxa"/>
              <w:left w:w="70" w:type="dxa"/>
              <w:bottom w:w="0" w:type="dxa"/>
              <w:right w:w="70" w:type="dxa"/>
            </w:tcMar>
          </w:tcPr>
          <w:p w14:paraId="7E36A1B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r>
      <w:tr w:rsidR="004D7D23" w:rsidRPr="007B192E" w14:paraId="1B22E858" w14:textId="77777777" w:rsidTr="004D7D23">
        <w:trPr>
          <w:jc w:val="center"/>
        </w:trPr>
        <w:tc>
          <w:tcPr>
            <w:tcW w:w="544" w:type="dxa"/>
            <w:tcBorders>
              <w:left w:val="single" w:sz="4" w:space="0" w:color="000000"/>
            </w:tcBorders>
            <w:tcMar>
              <w:top w:w="0" w:type="dxa"/>
              <w:left w:w="70" w:type="dxa"/>
              <w:bottom w:w="0" w:type="dxa"/>
              <w:right w:w="70" w:type="dxa"/>
            </w:tcMar>
          </w:tcPr>
          <w:p w14:paraId="32DFE72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52B30D8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zgodność z dokumentacją projektową</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3A1A7F0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Sukcesywnie na każdej działce roboczej</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58930D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t>
            </w:r>
          </w:p>
        </w:tc>
      </w:tr>
      <w:tr w:rsidR="004D7D23" w:rsidRPr="007B192E" w14:paraId="1246F396" w14:textId="77777777" w:rsidTr="004D7D23">
        <w:trPr>
          <w:jc w:val="center"/>
        </w:trPr>
        <w:tc>
          <w:tcPr>
            <w:tcW w:w="544" w:type="dxa"/>
            <w:tcBorders>
              <w:left w:val="single" w:sz="4" w:space="0" w:color="000000"/>
            </w:tcBorders>
            <w:tcMar>
              <w:top w:w="0" w:type="dxa"/>
              <w:left w:w="70" w:type="dxa"/>
              <w:bottom w:w="0" w:type="dxa"/>
              <w:right w:w="70" w:type="dxa"/>
            </w:tcMar>
          </w:tcPr>
          <w:p w14:paraId="25383BB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79574A0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położenie osi w planie (sprawdzone geodezyjnie)</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24BF95A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Co 100 m i we wszystkich punktach charakterystycznych</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4DD20F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Przesunięcie od osi </w:t>
            </w:r>
            <w:proofErr w:type="spellStart"/>
            <w:r w:rsidRPr="007B192E">
              <w:rPr>
                <w:rFonts w:ascii="Arial" w:eastAsia="Lucida Sans Unicode" w:hAnsi="Arial" w:cs="Arial"/>
                <w:color w:val="000000" w:themeColor="text1"/>
                <w:kern w:val="1"/>
                <w:sz w:val="18"/>
                <w:szCs w:val="18"/>
              </w:rPr>
              <w:t>projektowa-nej</w:t>
            </w:r>
            <w:proofErr w:type="spellEnd"/>
            <w:r w:rsidRPr="007B192E">
              <w:rPr>
                <w:rFonts w:ascii="Arial" w:eastAsia="Lucida Sans Unicode" w:hAnsi="Arial" w:cs="Arial"/>
                <w:color w:val="000000" w:themeColor="text1"/>
                <w:kern w:val="1"/>
                <w:sz w:val="18"/>
                <w:szCs w:val="18"/>
              </w:rPr>
              <w:t xml:space="preserve"> do 2 cm</w:t>
            </w:r>
          </w:p>
        </w:tc>
      </w:tr>
      <w:tr w:rsidR="004D7D23" w:rsidRPr="007B192E" w14:paraId="65370ED0" w14:textId="77777777" w:rsidTr="004D7D23">
        <w:trPr>
          <w:jc w:val="center"/>
        </w:trPr>
        <w:tc>
          <w:tcPr>
            <w:tcW w:w="544" w:type="dxa"/>
            <w:tcBorders>
              <w:left w:val="single" w:sz="4" w:space="0" w:color="000000"/>
            </w:tcBorders>
            <w:tcMar>
              <w:top w:w="0" w:type="dxa"/>
              <w:left w:w="70" w:type="dxa"/>
              <w:bottom w:w="0" w:type="dxa"/>
              <w:right w:w="70" w:type="dxa"/>
            </w:tcMar>
          </w:tcPr>
          <w:p w14:paraId="46FB700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3705684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rzędne wysokościowe (pomierzone instrumentem pomiarowym)</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657F2EC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Co 25 m w osi i przy krawędziach oraz we wszystkich punktach cha-</w:t>
            </w:r>
            <w:proofErr w:type="spellStart"/>
            <w:r w:rsidRPr="007B192E">
              <w:rPr>
                <w:rFonts w:ascii="Arial" w:eastAsia="Lucida Sans Unicode" w:hAnsi="Arial" w:cs="Arial"/>
                <w:color w:val="000000" w:themeColor="text1"/>
                <w:kern w:val="1"/>
                <w:sz w:val="18"/>
                <w:szCs w:val="18"/>
              </w:rPr>
              <w:t>rakterystycznych</w:t>
            </w:r>
            <w:proofErr w:type="spellEnd"/>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B33970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Odchylenia:       +1 cm; -2 cm</w:t>
            </w:r>
          </w:p>
        </w:tc>
      </w:tr>
      <w:tr w:rsidR="004D7D23" w:rsidRPr="007B192E" w14:paraId="5E56FA64" w14:textId="77777777" w:rsidTr="004D7D23">
        <w:trPr>
          <w:jc w:val="center"/>
        </w:trPr>
        <w:tc>
          <w:tcPr>
            <w:tcW w:w="544" w:type="dxa"/>
            <w:tcBorders>
              <w:left w:val="single" w:sz="4" w:space="0" w:color="000000"/>
            </w:tcBorders>
            <w:tcMar>
              <w:top w:w="0" w:type="dxa"/>
              <w:left w:w="70" w:type="dxa"/>
              <w:bottom w:w="0" w:type="dxa"/>
              <w:right w:w="70" w:type="dxa"/>
            </w:tcMar>
          </w:tcPr>
          <w:p w14:paraId="0C401EC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12E96A4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równość w profilu podłużnym łatą czterometrową)</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1F9EB8D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72555B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Nierówności do 8 mm</w:t>
            </w:r>
          </w:p>
        </w:tc>
      </w:tr>
      <w:tr w:rsidR="004D7D23" w:rsidRPr="007B192E" w14:paraId="3100CF5D" w14:textId="77777777" w:rsidTr="004D7D23">
        <w:trPr>
          <w:jc w:val="center"/>
        </w:trPr>
        <w:tc>
          <w:tcPr>
            <w:tcW w:w="544" w:type="dxa"/>
            <w:tcBorders>
              <w:left w:val="single" w:sz="4" w:space="0" w:color="000000"/>
            </w:tcBorders>
            <w:tcMar>
              <w:top w:w="0" w:type="dxa"/>
              <w:left w:w="70" w:type="dxa"/>
              <w:bottom w:w="0" w:type="dxa"/>
              <w:right w:w="70" w:type="dxa"/>
            </w:tcMar>
          </w:tcPr>
          <w:p w14:paraId="49D0BA2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67822C4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równość w przekroju poprzecznym (sprawdzona łatą profilową z po-</w:t>
            </w:r>
            <w:proofErr w:type="spellStart"/>
            <w:r w:rsidRPr="007B192E">
              <w:rPr>
                <w:rFonts w:ascii="Arial" w:eastAsia="Lucida Sans Unicode" w:hAnsi="Arial" w:cs="Arial"/>
                <w:color w:val="000000" w:themeColor="text1"/>
                <w:kern w:val="1"/>
                <w:sz w:val="18"/>
                <w:szCs w:val="18"/>
              </w:rPr>
              <w:t>ziomnicą</w:t>
            </w:r>
            <w:proofErr w:type="spellEnd"/>
            <w:r w:rsidRPr="007B192E">
              <w:rPr>
                <w:rFonts w:ascii="Arial" w:eastAsia="Lucida Sans Unicode" w:hAnsi="Arial" w:cs="Arial"/>
                <w:color w:val="000000" w:themeColor="text1"/>
                <w:kern w:val="1"/>
                <w:sz w:val="18"/>
                <w:szCs w:val="18"/>
              </w:rPr>
              <w:t xml:space="preserve"> i pomiarze prześwitu </w:t>
            </w:r>
            <w:proofErr w:type="spellStart"/>
            <w:r w:rsidRPr="007B192E">
              <w:rPr>
                <w:rFonts w:ascii="Arial" w:eastAsia="Lucida Sans Unicode" w:hAnsi="Arial" w:cs="Arial"/>
                <w:color w:val="000000" w:themeColor="text1"/>
                <w:kern w:val="1"/>
                <w:sz w:val="18"/>
                <w:szCs w:val="18"/>
              </w:rPr>
              <w:t>kli-nem</w:t>
            </w:r>
            <w:proofErr w:type="spellEnd"/>
            <w:r w:rsidRPr="007B192E">
              <w:rPr>
                <w:rFonts w:ascii="Arial" w:eastAsia="Lucida Sans Unicode" w:hAnsi="Arial" w:cs="Arial"/>
                <w:color w:val="000000" w:themeColor="text1"/>
                <w:kern w:val="1"/>
                <w:sz w:val="18"/>
                <w:szCs w:val="18"/>
              </w:rPr>
              <w:t xml:space="preserve"> cechowanym oraz przymiarem liniowym względnie metodą </w:t>
            </w:r>
            <w:proofErr w:type="spellStart"/>
            <w:r w:rsidRPr="007B192E">
              <w:rPr>
                <w:rFonts w:ascii="Arial" w:eastAsia="Lucida Sans Unicode" w:hAnsi="Arial" w:cs="Arial"/>
                <w:color w:val="000000" w:themeColor="text1"/>
                <w:kern w:val="1"/>
                <w:sz w:val="18"/>
                <w:szCs w:val="18"/>
              </w:rPr>
              <w:t>niwela-cji</w:t>
            </w:r>
            <w:proofErr w:type="spellEnd"/>
            <w:r w:rsidRPr="007B192E">
              <w:rPr>
                <w:rFonts w:ascii="Arial" w:eastAsia="Lucida Sans Unicode" w:hAnsi="Arial" w:cs="Arial"/>
                <w:color w:val="000000" w:themeColor="text1"/>
                <w:kern w:val="1"/>
                <w:sz w:val="18"/>
                <w:szCs w:val="18"/>
              </w:rPr>
              <w:t>)</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07E89B6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19E4D1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Prześwity mię-</w:t>
            </w:r>
            <w:proofErr w:type="spellStart"/>
            <w:r w:rsidRPr="007B192E">
              <w:rPr>
                <w:rFonts w:ascii="Arial" w:eastAsia="Lucida Sans Unicode" w:hAnsi="Arial" w:cs="Arial"/>
                <w:color w:val="000000" w:themeColor="text1"/>
                <w:kern w:val="1"/>
                <w:sz w:val="18"/>
                <w:szCs w:val="18"/>
              </w:rPr>
              <w:t>dzy</w:t>
            </w:r>
            <w:proofErr w:type="spellEnd"/>
            <w:r w:rsidRPr="007B192E">
              <w:rPr>
                <w:rFonts w:ascii="Arial" w:eastAsia="Lucida Sans Unicode" w:hAnsi="Arial" w:cs="Arial"/>
                <w:color w:val="000000" w:themeColor="text1"/>
                <w:kern w:val="1"/>
                <w:sz w:val="18"/>
                <w:szCs w:val="18"/>
              </w:rPr>
              <w:t xml:space="preserve"> łatą a po-     wierzchnią do         8 mm</w:t>
            </w:r>
          </w:p>
        </w:tc>
      </w:tr>
      <w:tr w:rsidR="004D7D23" w:rsidRPr="007B192E" w14:paraId="624632D4" w14:textId="77777777" w:rsidTr="004D7D23">
        <w:trPr>
          <w:jc w:val="center"/>
        </w:trPr>
        <w:tc>
          <w:tcPr>
            <w:tcW w:w="544" w:type="dxa"/>
            <w:tcBorders>
              <w:left w:val="single" w:sz="4" w:space="0" w:color="000000"/>
            </w:tcBorders>
            <w:tcMar>
              <w:top w:w="0" w:type="dxa"/>
              <w:left w:w="70" w:type="dxa"/>
              <w:bottom w:w="0" w:type="dxa"/>
              <w:right w:w="70" w:type="dxa"/>
            </w:tcMar>
          </w:tcPr>
          <w:p w14:paraId="071FF25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6FA1950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spadki poprzeczne (sprawdzone me-</w:t>
            </w:r>
            <w:proofErr w:type="spellStart"/>
            <w:r w:rsidRPr="007B192E">
              <w:rPr>
                <w:rFonts w:ascii="Arial" w:eastAsia="Lucida Sans Unicode" w:hAnsi="Arial" w:cs="Arial"/>
                <w:color w:val="000000" w:themeColor="text1"/>
                <w:kern w:val="1"/>
                <w:sz w:val="18"/>
                <w:szCs w:val="18"/>
              </w:rPr>
              <w:t>todą</w:t>
            </w:r>
            <w:proofErr w:type="spellEnd"/>
            <w:r w:rsidRPr="007B192E">
              <w:rPr>
                <w:rFonts w:ascii="Arial" w:eastAsia="Lucida Sans Unicode" w:hAnsi="Arial" w:cs="Arial"/>
                <w:color w:val="000000" w:themeColor="text1"/>
                <w:kern w:val="1"/>
                <w:sz w:val="18"/>
                <w:szCs w:val="18"/>
              </w:rPr>
              <w:t xml:space="preserve"> niwelacji)</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24DE97A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A6BBD3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Odchyłki od do-</w:t>
            </w:r>
            <w:proofErr w:type="spellStart"/>
            <w:r w:rsidRPr="007B192E">
              <w:rPr>
                <w:rFonts w:ascii="Arial" w:eastAsia="Lucida Sans Unicode" w:hAnsi="Arial" w:cs="Arial"/>
                <w:color w:val="000000" w:themeColor="text1"/>
                <w:kern w:val="1"/>
                <w:sz w:val="18"/>
                <w:szCs w:val="18"/>
              </w:rPr>
              <w:t>kumentacji</w:t>
            </w:r>
            <w:proofErr w:type="spellEnd"/>
            <w:r w:rsidRPr="007B192E">
              <w:rPr>
                <w:rFonts w:ascii="Arial" w:eastAsia="Lucida Sans Unicode" w:hAnsi="Arial" w:cs="Arial"/>
                <w:color w:val="000000" w:themeColor="text1"/>
                <w:kern w:val="1"/>
                <w:sz w:val="18"/>
                <w:szCs w:val="18"/>
              </w:rPr>
              <w:t xml:space="preserve"> pro-</w:t>
            </w:r>
            <w:proofErr w:type="spellStart"/>
            <w:r w:rsidRPr="007B192E">
              <w:rPr>
                <w:rFonts w:ascii="Arial" w:eastAsia="Lucida Sans Unicode" w:hAnsi="Arial" w:cs="Arial"/>
                <w:color w:val="000000" w:themeColor="text1"/>
                <w:kern w:val="1"/>
                <w:sz w:val="18"/>
                <w:szCs w:val="18"/>
              </w:rPr>
              <w:t>jektowej</w:t>
            </w:r>
            <w:proofErr w:type="spellEnd"/>
            <w:r w:rsidRPr="007B192E">
              <w:rPr>
                <w:rFonts w:ascii="Arial" w:eastAsia="Lucida Sans Unicode" w:hAnsi="Arial" w:cs="Arial"/>
                <w:color w:val="000000" w:themeColor="text1"/>
                <w:kern w:val="1"/>
                <w:sz w:val="18"/>
                <w:szCs w:val="18"/>
              </w:rPr>
              <w:t xml:space="preserve"> do 0,3%</w:t>
            </w:r>
          </w:p>
        </w:tc>
      </w:tr>
      <w:tr w:rsidR="004D7D23" w:rsidRPr="007B192E" w14:paraId="42396BB7" w14:textId="77777777" w:rsidTr="004D7D23">
        <w:trPr>
          <w:jc w:val="center"/>
        </w:trPr>
        <w:tc>
          <w:tcPr>
            <w:tcW w:w="544" w:type="dxa"/>
            <w:tcBorders>
              <w:left w:val="single" w:sz="4" w:space="0" w:color="000000"/>
            </w:tcBorders>
            <w:tcMar>
              <w:top w:w="0" w:type="dxa"/>
              <w:left w:w="70" w:type="dxa"/>
              <w:bottom w:w="0" w:type="dxa"/>
              <w:right w:w="70" w:type="dxa"/>
            </w:tcMar>
          </w:tcPr>
          <w:p w14:paraId="3A18DF09"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673124F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szerokość nawierzchni (sprawdzona przymiarem liniowym)</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63635F7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Jw.</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651FBE5"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Odchyłki od </w:t>
            </w:r>
            <w:proofErr w:type="spellStart"/>
            <w:r w:rsidRPr="007B192E">
              <w:rPr>
                <w:rFonts w:ascii="Arial" w:eastAsia="Lucida Sans Unicode" w:hAnsi="Arial" w:cs="Arial"/>
                <w:color w:val="000000" w:themeColor="text1"/>
                <w:kern w:val="1"/>
                <w:sz w:val="18"/>
                <w:szCs w:val="18"/>
              </w:rPr>
              <w:t>sze-rokości</w:t>
            </w:r>
            <w:proofErr w:type="spellEnd"/>
            <w:r w:rsidRPr="007B192E">
              <w:rPr>
                <w:rFonts w:ascii="Arial" w:eastAsia="Lucida Sans Unicode" w:hAnsi="Arial" w:cs="Arial"/>
                <w:color w:val="000000" w:themeColor="text1"/>
                <w:kern w:val="1"/>
                <w:sz w:val="18"/>
                <w:szCs w:val="18"/>
              </w:rPr>
              <w:t xml:space="preserve"> </w:t>
            </w:r>
            <w:proofErr w:type="spellStart"/>
            <w:r w:rsidRPr="007B192E">
              <w:rPr>
                <w:rFonts w:ascii="Arial" w:eastAsia="Lucida Sans Unicode" w:hAnsi="Arial" w:cs="Arial"/>
                <w:color w:val="000000" w:themeColor="text1"/>
                <w:kern w:val="1"/>
                <w:sz w:val="18"/>
                <w:szCs w:val="18"/>
              </w:rPr>
              <w:t>projekto-wanej</w:t>
            </w:r>
            <w:proofErr w:type="spellEnd"/>
            <w:r w:rsidRPr="007B192E">
              <w:rPr>
                <w:rFonts w:ascii="Arial" w:eastAsia="Lucida Sans Unicode" w:hAnsi="Arial" w:cs="Arial"/>
                <w:color w:val="000000" w:themeColor="text1"/>
                <w:kern w:val="1"/>
                <w:sz w:val="18"/>
                <w:szCs w:val="18"/>
              </w:rPr>
              <w:t xml:space="preserve"> do  </w:t>
            </w:r>
            <w:r w:rsidRPr="007B192E">
              <w:rPr>
                <w:rFonts w:ascii="Arial" w:eastAsia="Lucida Sans Unicode" w:hAnsi="Arial" w:cs="Arial"/>
                <w:color w:val="000000" w:themeColor="text1"/>
                <w:kern w:val="1"/>
                <w:sz w:val="18"/>
                <w:szCs w:val="18"/>
              </w:rPr>
              <w:t>5 cm</w:t>
            </w:r>
          </w:p>
        </w:tc>
      </w:tr>
      <w:tr w:rsidR="004D7D23" w:rsidRPr="007B192E" w14:paraId="48E8B3B3" w14:textId="77777777" w:rsidTr="004D7D23">
        <w:trPr>
          <w:jc w:val="center"/>
        </w:trPr>
        <w:tc>
          <w:tcPr>
            <w:tcW w:w="544" w:type="dxa"/>
            <w:tcBorders>
              <w:left w:val="single" w:sz="4" w:space="0" w:color="000000"/>
            </w:tcBorders>
            <w:tcMar>
              <w:top w:w="0" w:type="dxa"/>
              <w:left w:w="70" w:type="dxa"/>
              <w:bottom w:w="0" w:type="dxa"/>
              <w:right w:w="70" w:type="dxa"/>
            </w:tcMar>
          </w:tcPr>
          <w:p w14:paraId="2FE6182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2938A339"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szerokość i głębokość wypełnienia spoin i szczelin (oględziny i pomiar przymiarem liniowym po </w:t>
            </w:r>
            <w:proofErr w:type="spellStart"/>
            <w:r w:rsidRPr="007B192E">
              <w:rPr>
                <w:rFonts w:ascii="Arial" w:eastAsia="Lucida Sans Unicode" w:hAnsi="Arial" w:cs="Arial"/>
                <w:color w:val="000000" w:themeColor="text1"/>
                <w:kern w:val="1"/>
                <w:sz w:val="18"/>
                <w:szCs w:val="18"/>
              </w:rPr>
              <w:t>wykrusze-niu</w:t>
            </w:r>
            <w:proofErr w:type="spellEnd"/>
            <w:r w:rsidRPr="007B192E">
              <w:rPr>
                <w:rFonts w:ascii="Arial" w:eastAsia="Lucida Sans Unicode" w:hAnsi="Arial" w:cs="Arial"/>
                <w:color w:val="000000" w:themeColor="text1"/>
                <w:kern w:val="1"/>
                <w:sz w:val="18"/>
                <w:szCs w:val="18"/>
              </w:rPr>
              <w:t xml:space="preserve"> dług. 10 cm)</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7CDA977F"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 20 punktach charakterystycznych dziennej działki roboczej</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8F2E28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Wg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5.7.5</w:t>
            </w:r>
          </w:p>
        </w:tc>
      </w:tr>
      <w:tr w:rsidR="004D7D23" w:rsidRPr="007B192E" w14:paraId="6A90AA1E" w14:textId="77777777" w:rsidTr="004D7D23">
        <w:trPr>
          <w:jc w:val="center"/>
        </w:trPr>
        <w:tc>
          <w:tcPr>
            <w:tcW w:w="544" w:type="dxa"/>
            <w:tcBorders>
              <w:left w:val="single" w:sz="4" w:space="0" w:color="000000"/>
              <w:bottom w:val="single" w:sz="4" w:space="0" w:color="000000"/>
            </w:tcBorders>
            <w:tcMar>
              <w:top w:w="0" w:type="dxa"/>
              <w:left w:w="70" w:type="dxa"/>
              <w:bottom w:w="0" w:type="dxa"/>
              <w:right w:w="70" w:type="dxa"/>
            </w:tcMar>
          </w:tcPr>
          <w:p w14:paraId="2242BA6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p>
        </w:tc>
        <w:tc>
          <w:tcPr>
            <w:tcW w:w="3358" w:type="dxa"/>
            <w:tcBorders>
              <w:top w:val="single" w:sz="4" w:space="0" w:color="000000"/>
              <w:left w:val="single" w:sz="4" w:space="0" w:color="000000"/>
              <w:bottom w:val="single" w:sz="4" w:space="0" w:color="000000"/>
            </w:tcBorders>
            <w:tcMar>
              <w:top w:w="0" w:type="dxa"/>
              <w:left w:w="70" w:type="dxa"/>
              <w:bottom w:w="0" w:type="dxa"/>
              <w:right w:w="70" w:type="dxa"/>
            </w:tcMar>
          </w:tcPr>
          <w:p w14:paraId="74F5321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sprawdzenie koloru kostek i desenia ich ułożenia</w:t>
            </w:r>
          </w:p>
        </w:tc>
        <w:tc>
          <w:tcPr>
            <w:tcW w:w="3027" w:type="dxa"/>
            <w:tcBorders>
              <w:top w:val="single" w:sz="4" w:space="0" w:color="000000"/>
              <w:left w:val="single" w:sz="4" w:space="0" w:color="000000"/>
              <w:bottom w:val="single" w:sz="4" w:space="0" w:color="000000"/>
            </w:tcBorders>
            <w:tcMar>
              <w:top w:w="0" w:type="dxa"/>
              <w:left w:w="70" w:type="dxa"/>
              <w:bottom w:w="0" w:type="dxa"/>
              <w:right w:w="70" w:type="dxa"/>
            </w:tcMar>
          </w:tcPr>
          <w:p w14:paraId="7D8EA8AA"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Kontrola bieżąca</w:t>
            </w:r>
          </w:p>
        </w:tc>
        <w:tc>
          <w:tcPr>
            <w:tcW w:w="1575"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4E9709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Wg </w:t>
            </w:r>
            <w:proofErr w:type="spellStart"/>
            <w:r w:rsidRPr="007B192E">
              <w:rPr>
                <w:rFonts w:ascii="Arial" w:eastAsia="Lucida Sans Unicode" w:hAnsi="Arial" w:cs="Arial"/>
                <w:color w:val="000000" w:themeColor="text1"/>
                <w:kern w:val="1"/>
                <w:sz w:val="18"/>
                <w:szCs w:val="18"/>
              </w:rPr>
              <w:t>dokumenta-cji</w:t>
            </w:r>
            <w:proofErr w:type="spellEnd"/>
            <w:r w:rsidRPr="007B192E">
              <w:rPr>
                <w:rFonts w:ascii="Arial" w:eastAsia="Lucida Sans Unicode" w:hAnsi="Arial" w:cs="Arial"/>
                <w:color w:val="000000" w:themeColor="text1"/>
                <w:kern w:val="1"/>
                <w:sz w:val="18"/>
                <w:szCs w:val="18"/>
              </w:rPr>
              <w:t xml:space="preserve"> projektowej lub decyzji </w:t>
            </w:r>
            <w:proofErr w:type="spellStart"/>
            <w:r w:rsidRPr="007B192E">
              <w:rPr>
                <w:rFonts w:ascii="Arial" w:eastAsia="Lucida Sans Unicode" w:hAnsi="Arial" w:cs="Arial"/>
                <w:color w:val="000000" w:themeColor="text1"/>
                <w:kern w:val="1"/>
                <w:sz w:val="18"/>
                <w:szCs w:val="18"/>
              </w:rPr>
              <w:t>Inży-niera</w:t>
            </w:r>
            <w:proofErr w:type="spellEnd"/>
          </w:p>
        </w:tc>
      </w:tr>
    </w:tbl>
    <w:p w14:paraId="4ADB1E42"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6.5. Badania wykonanych robót</w:t>
      </w:r>
    </w:p>
    <w:p w14:paraId="5324B04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Zakres badań i pomiarów wykonanej nawierzchni z betonowej kostki brukowej podano w tablicy 3.</w:t>
      </w:r>
    </w:p>
    <w:p w14:paraId="418A8521"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Tablica 3. Badania i pomiary po ukończeniu budowy nawierzchni</w:t>
      </w:r>
    </w:p>
    <w:tbl>
      <w:tblPr>
        <w:tblW w:w="8504" w:type="dxa"/>
        <w:jc w:val="center"/>
        <w:tblLayout w:type="fixed"/>
        <w:tblCellMar>
          <w:left w:w="10" w:type="dxa"/>
          <w:right w:w="10" w:type="dxa"/>
        </w:tblCellMar>
        <w:tblLook w:val="0000" w:firstRow="0" w:lastRow="0" w:firstColumn="0" w:lastColumn="0" w:noHBand="0" w:noVBand="0"/>
      </w:tblPr>
      <w:tblGrid>
        <w:gridCol w:w="560"/>
        <w:gridCol w:w="3963"/>
        <w:gridCol w:w="3981"/>
      </w:tblGrid>
      <w:tr w:rsidR="004D7D23" w:rsidRPr="007B192E" w14:paraId="19F83BB5" w14:textId="77777777" w:rsidTr="004D7D23">
        <w:trPr>
          <w:jc w:val="center"/>
        </w:trPr>
        <w:tc>
          <w:tcPr>
            <w:tcW w:w="560" w:type="dxa"/>
            <w:tcBorders>
              <w:top w:val="single" w:sz="4" w:space="0" w:color="000000"/>
              <w:left w:val="single" w:sz="4" w:space="0" w:color="000000"/>
              <w:bottom w:val="double" w:sz="2" w:space="0" w:color="000000"/>
            </w:tcBorders>
            <w:tcMar>
              <w:top w:w="0" w:type="dxa"/>
              <w:left w:w="70" w:type="dxa"/>
              <w:bottom w:w="0" w:type="dxa"/>
              <w:right w:w="70" w:type="dxa"/>
            </w:tcMar>
          </w:tcPr>
          <w:p w14:paraId="7A2222D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Lp.</w:t>
            </w:r>
          </w:p>
        </w:tc>
        <w:tc>
          <w:tcPr>
            <w:tcW w:w="3963" w:type="dxa"/>
            <w:tcBorders>
              <w:top w:val="single" w:sz="4" w:space="0" w:color="000000"/>
              <w:left w:val="single" w:sz="4" w:space="0" w:color="000000"/>
              <w:bottom w:val="double" w:sz="2" w:space="0" w:color="000000"/>
            </w:tcBorders>
            <w:tcMar>
              <w:top w:w="0" w:type="dxa"/>
              <w:left w:w="70" w:type="dxa"/>
              <w:bottom w:w="0" w:type="dxa"/>
              <w:right w:w="70" w:type="dxa"/>
            </w:tcMar>
          </w:tcPr>
          <w:p w14:paraId="0A9EB858"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Wyszczególnienie badań i pomiarów</w:t>
            </w:r>
          </w:p>
        </w:tc>
        <w:tc>
          <w:tcPr>
            <w:tcW w:w="3981"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0612CABC"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Sposób sprawdzenia</w:t>
            </w:r>
          </w:p>
        </w:tc>
      </w:tr>
      <w:tr w:rsidR="004D7D23" w:rsidRPr="007B192E" w14:paraId="49548675" w14:textId="77777777" w:rsidTr="004D7D23">
        <w:trPr>
          <w:jc w:val="center"/>
        </w:trPr>
        <w:tc>
          <w:tcPr>
            <w:tcW w:w="560" w:type="dxa"/>
            <w:tcBorders>
              <w:left w:val="single" w:sz="4" w:space="0" w:color="000000"/>
              <w:bottom w:val="single" w:sz="4" w:space="0" w:color="000000"/>
            </w:tcBorders>
            <w:tcMar>
              <w:top w:w="0" w:type="dxa"/>
              <w:left w:w="70" w:type="dxa"/>
              <w:bottom w:w="0" w:type="dxa"/>
              <w:right w:w="70" w:type="dxa"/>
            </w:tcMar>
          </w:tcPr>
          <w:p w14:paraId="6317451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1</w:t>
            </w:r>
          </w:p>
        </w:tc>
        <w:tc>
          <w:tcPr>
            <w:tcW w:w="3963" w:type="dxa"/>
            <w:tcBorders>
              <w:left w:val="single" w:sz="4" w:space="0" w:color="000000"/>
              <w:bottom w:val="single" w:sz="4" w:space="0" w:color="000000"/>
            </w:tcBorders>
            <w:tcMar>
              <w:top w:w="0" w:type="dxa"/>
              <w:left w:w="70" w:type="dxa"/>
              <w:bottom w:w="0" w:type="dxa"/>
              <w:right w:w="70" w:type="dxa"/>
            </w:tcMar>
          </w:tcPr>
          <w:p w14:paraId="0EC1DE32"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Sprawdzenie wyglądu zewnętrznego nawierzchni, krawężników, obrzeży, ścieków</w:t>
            </w:r>
          </w:p>
        </w:tc>
        <w:tc>
          <w:tcPr>
            <w:tcW w:w="3981" w:type="dxa"/>
            <w:tcBorders>
              <w:left w:val="single" w:sz="4" w:space="0" w:color="000000"/>
              <w:bottom w:val="single" w:sz="4" w:space="0" w:color="000000"/>
              <w:right w:val="single" w:sz="4" w:space="0" w:color="000000"/>
            </w:tcBorders>
            <w:tcMar>
              <w:top w:w="0" w:type="dxa"/>
              <w:left w:w="70" w:type="dxa"/>
              <w:bottom w:w="0" w:type="dxa"/>
              <w:right w:w="70" w:type="dxa"/>
            </w:tcMar>
          </w:tcPr>
          <w:p w14:paraId="3E75D40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Wizualne sprawdzenie jednorodności wyglądu, prawidłowości desenia, kolorów kostek, spękań, plam, deformacji, wy-kruszeń, spoin i szczelin</w:t>
            </w:r>
          </w:p>
        </w:tc>
      </w:tr>
      <w:tr w:rsidR="004D7D23" w:rsidRPr="007B192E" w14:paraId="5D1C7C66" w14:textId="77777777" w:rsidTr="004D7D23">
        <w:trPr>
          <w:jc w:val="center"/>
        </w:trPr>
        <w:tc>
          <w:tcPr>
            <w:tcW w:w="560" w:type="dxa"/>
            <w:tcBorders>
              <w:top w:val="single" w:sz="4" w:space="0" w:color="000000"/>
              <w:left w:val="single" w:sz="4" w:space="0" w:color="000000"/>
              <w:bottom w:val="single" w:sz="4" w:space="0" w:color="000000"/>
            </w:tcBorders>
            <w:tcMar>
              <w:top w:w="0" w:type="dxa"/>
              <w:left w:w="70" w:type="dxa"/>
              <w:bottom w:w="0" w:type="dxa"/>
              <w:right w:w="70" w:type="dxa"/>
            </w:tcMar>
          </w:tcPr>
          <w:p w14:paraId="4AB715E3"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2</w:t>
            </w:r>
          </w:p>
        </w:tc>
        <w:tc>
          <w:tcPr>
            <w:tcW w:w="3963" w:type="dxa"/>
            <w:tcBorders>
              <w:top w:val="single" w:sz="4" w:space="0" w:color="000000"/>
              <w:left w:val="single" w:sz="4" w:space="0" w:color="000000"/>
              <w:bottom w:val="single" w:sz="4" w:space="0" w:color="000000"/>
            </w:tcBorders>
            <w:tcMar>
              <w:top w:w="0" w:type="dxa"/>
              <w:left w:w="70" w:type="dxa"/>
              <w:bottom w:w="0" w:type="dxa"/>
              <w:right w:w="70" w:type="dxa"/>
            </w:tcMar>
          </w:tcPr>
          <w:p w14:paraId="6CCF8811"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Badanie położenia osi nawierzchni w planie</w:t>
            </w:r>
          </w:p>
        </w:tc>
        <w:tc>
          <w:tcPr>
            <w:tcW w:w="398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0A3F5E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Geodezyjne sprawdzenie położenia osi co 25 m i w punktach charakterystycznych (dopuszczalne przesunięcia wg tab. 2, lp. 5b)</w:t>
            </w:r>
          </w:p>
        </w:tc>
      </w:tr>
      <w:tr w:rsidR="004D7D23" w:rsidRPr="007B192E" w14:paraId="7974D081" w14:textId="77777777" w:rsidTr="004D7D23">
        <w:trPr>
          <w:jc w:val="center"/>
        </w:trPr>
        <w:tc>
          <w:tcPr>
            <w:tcW w:w="560" w:type="dxa"/>
            <w:tcBorders>
              <w:top w:val="single" w:sz="4" w:space="0" w:color="000000"/>
              <w:left w:val="single" w:sz="4" w:space="0" w:color="000000"/>
              <w:bottom w:val="single" w:sz="4" w:space="0" w:color="000000"/>
            </w:tcBorders>
            <w:tcMar>
              <w:top w:w="0" w:type="dxa"/>
              <w:left w:w="70" w:type="dxa"/>
              <w:bottom w:w="0" w:type="dxa"/>
              <w:right w:w="70" w:type="dxa"/>
            </w:tcMar>
          </w:tcPr>
          <w:p w14:paraId="28DD2FCB"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3</w:t>
            </w:r>
          </w:p>
        </w:tc>
        <w:tc>
          <w:tcPr>
            <w:tcW w:w="3963" w:type="dxa"/>
            <w:tcBorders>
              <w:top w:val="single" w:sz="4" w:space="0" w:color="000000"/>
              <w:left w:val="single" w:sz="4" w:space="0" w:color="000000"/>
              <w:bottom w:val="single" w:sz="4" w:space="0" w:color="000000"/>
            </w:tcBorders>
            <w:tcMar>
              <w:top w:w="0" w:type="dxa"/>
              <w:left w:w="70" w:type="dxa"/>
              <w:bottom w:w="0" w:type="dxa"/>
              <w:right w:w="70" w:type="dxa"/>
            </w:tcMar>
          </w:tcPr>
          <w:p w14:paraId="487F5750"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Rzędne wysokościowe, równość podłużna i poprzeczna, spadki poprzeczne i szerokość</w:t>
            </w:r>
          </w:p>
        </w:tc>
        <w:tc>
          <w:tcPr>
            <w:tcW w:w="398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845665D"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Co 25 m i we wszystkich  punktach charakterystycznych (wg metod i do-</w:t>
            </w:r>
            <w:proofErr w:type="spellStart"/>
            <w:r w:rsidRPr="007B192E">
              <w:rPr>
                <w:rFonts w:ascii="Arial" w:eastAsia="Lucida Sans Unicode" w:hAnsi="Arial" w:cs="Arial"/>
                <w:color w:val="000000" w:themeColor="text1"/>
                <w:kern w:val="1"/>
                <w:sz w:val="18"/>
                <w:szCs w:val="18"/>
              </w:rPr>
              <w:t>puszczalnych</w:t>
            </w:r>
            <w:proofErr w:type="spellEnd"/>
            <w:r w:rsidRPr="007B192E">
              <w:rPr>
                <w:rFonts w:ascii="Arial" w:eastAsia="Lucida Sans Unicode" w:hAnsi="Arial" w:cs="Arial"/>
                <w:color w:val="000000" w:themeColor="text1"/>
                <w:kern w:val="1"/>
                <w:sz w:val="18"/>
                <w:szCs w:val="18"/>
              </w:rPr>
              <w:t xml:space="preserve"> wartości podanych w tab. 2, lp. od 5c do 5g)</w:t>
            </w:r>
          </w:p>
        </w:tc>
      </w:tr>
      <w:tr w:rsidR="003C3EE8" w:rsidRPr="007B192E" w14:paraId="0810362A" w14:textId="77777777" w:rsidTr="004D7D23">
        <w:trPr>
          <w:jc w:val="center"/>
        </w:trPr>
        <w:tc>
          <w:tcPr>
            <w:tcW w:w="560" w:type="dxa"/>
            <w:tcBorders>
              <w:top w:val="single" w:sz="4" w:space="0" w:color="000000"/>
              <w:left w:val="single" w:sz="4" w:space="0" w:color="000000"/>
              <w:bottom w:val="single" w:sz="4" w:space="0" w:color="000000"/>
            </w:tcBorders>
            <w:tcMar>
              <w:top w:w="0" w:type="dxa"/>
              <w:left w:w="70" w:type="dxa"/>
              <w:bottom w:w="0" w:type="dxa"/>
              <w:right w:w="70" w:type="dxa"/>
            </w:tcMar>
          </w:tcPr>
          <w:p w14:paraId="116FD316"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4</w:t>
            </w:r>
          </w:p>
        </w:tc>
        <w:tc>
          <w:tcPr>
            <w:tcW w:w="3963" w:type="dxa"/>
            <w:tcBorders>
              <w:top w:val="single" w:sz="4" w:space="0" w:color="000000"/>
              <w:left w:val="single" w:sz="4" w:space="0" w:color="000000"/>
              <w:bottom w:val="single" w:sz="4" w:space="0" w:color="000000"/>
            </w:tcBorders>
            <w:tcMar>
              <w:top w:w="0" w:type="dxa"/>
              <w:left w:w="70" w:type="dxa"/>
              <w:bottom w:w="0" w:type="dxa"/>
              <w:right w:w="70" w:type="dxa"/>
            </w:tcMar>
          </w:tcPr>
          <w:p w14:paraId="0A01ADF7"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Rozmieszczenie i szerokość spoin i szczelin w nawierzchni, pomiędzy krawężnikami, obrzeżami, ściekami oraz wypełnienie spoin i szczelin</w:t>
            </w:r>
          </w:p>
        </w:tc>
        <w:tc>
          <w:tcPr>
            <w:tcW w:w="3981"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D7B8E54" w14:textId="77777777" w:rsidR="003C3EE8" w:rsidRPr="007B192E" w:rsidRDefault="003C3EE8" w:rsidP="004D7D23">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 xml:space="preserve">Wg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5.5 i 5.7.5</w:t>
            </w:r>
          </w:p>
        </w:tc>
      </w:tr>
    </w:tbl>
    <w:p w14:paraId="70FA904B" w14:textId="77777777" w:rsidR="003C3EE8" w:rsidRPr="007B192E" w:rsidRDefault="003C3EE8" w:rsidP="003C3EE8">
      <w:pPr>
        <w:pStyle w:val="Standard"/>
        <w:jc w:val="both"/>
        <w:rPr>
          <w:rFonts w:ascii="Arial" w:hAnsi="Arial" w:cs="Arial"/>
          <w:color w:val="000000" w:themeColor="text1"/>
          <w:sz w:val="20"/>
          <w:szCs w:val="20"/>
        </w:rPr>
      </w:pPr>
    </w:p>
    <w:p w14:paraId="577E7F70" w14:textId="77777777" w:rsidR="003C3EE8" w:rsidRPr="007B192E" w:rsidRDefault="003C3EE8" w:rsidP="003C3EE8">
      <w:pPr>
        <w:pStyle w:val="Nagwek2"/>
        <w:rPr>
          <w:i w:val="0"/>
          <w:color w:val="000000" w:themeColor="text1"/>
        </w:rPr>
      </w:pPr>
      <w:r w:rsidRPr="007B192E">
        <w:rPr>
          <w:i w:val="0"/>
          <w:color w:val="000000" w:themeColor="text1"/>
        </w:rPr>
        <w:t>7. OBMIAR ROBÓT</w:t>
      </w:r>
    </w:p>
    <w:p w14:paraId="2AEBBEA2"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7.1. Ogólne zasady obmiaru robót</w:t>
      </w:r>
    </w:p>
    <w:p w14:paraId="30FD299D" w14:textId="77777777" w:rsidR="003C3EE8" w:rsidRPr="007B192E" w:rsidRDefault="003C3EE8" w:rsidP="003C3EE8">
      <w:pPr>
        <w:pStyle w:val="Standardowytekst"/>
        <w:rPr>
          <w:rFonts w:ascii="Arial" w:hAnsi="Arial" w:cs="Arial"/>
          <w:color w:val="000000" w:themeColor="text1"/>
        </w:rPr>
      </w:pPr>
      <w:r w:rsidRPr="007B192E">
        <w:rPr>
          <w:rFonts w:ascii="Arial" w:hAnsi="Arial" w:cs="Arial"/>
          <w:color w:val="000000" w:themeColor="text1"/>
        </w:rPr>
        <w:tab/>
      </w:r>
      <w:r w:rsidRPr="007B192E">
        <w:rPr>
          <w:rFonts w:ascii="Arial" w:eastAsia="Lucida Sans Unicode" w:hAnsi="Arial" w:cs="Arial"/>
          <w:color w:val="000000" w:themeColor="text1"/>
          <w:kern w:val="1"/>
          <w:sz w:val="18"/>
          <w:szCs w:val="18"/>
        </w:rPr>
        <w:t>Ogólne zasady obmiaru robót podano w ST D-00.00.00 „Wymagania ogólne” [5] pkt 7.</w:t>
      </w:r>
    </w:p>
    <w:p w14:paraId="7B3240ED"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7.2. Jednostka obmiarowa</w:t>
      </w:r>
    </w:p>
    <w:p w14:paraId="51F1BC95"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Jednostką obmiarową jest m2 (metr kwadratowy) wykonanej nawierzchni z betonowej kostki brukowej.</w:t>
      </w:r>
    </w:p>
    <w:p w14:paraId="41DC7CF7"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Jednostki obmiarowe robót towarzyszących budowie nawierzchni z betonowej kostki brukowej (podbudowa, obramowanie itp.) są ustalone w odpowiednich ST wymienionych w </w:t>
      </w:r>
      <w:proofErr w:type="spellStart"/>
      <w:r w:rsidRPr="007B192E">
        <w:rPr>
          <w:rFonts w:ascii="Arial" w:eastAsia="Lucida Sans Unicode" w:hAnsi="Arial" w:cs="Arial"/>
          <w:color w:val="000000" w:themeColor="text1"/>
          <w:kern w:val="1"/>
          <w:sz w:val="18"/>
          <w:szCs w:val="18"/>
        </w:rPr>
        <w:t>pktach</w:t>
      </w:r>
      <w:proofErr w:type="spellEnd"/>
      <w:r w:rsidRPr="007B192E">
        <w:rPr>
          <w:rFonts w:ascii="Arial" w:eastAsia="Lucida Sans Unicode" w:hAnsi="Arial" w:cs="Arial"/>
          <w:color w:val="000000" w:themeColor="text1"/>
          <w:kern w:val="1"/>
          <w:sz w:val="18"/>
          <w:szCs w:val="18"/>
        </w:rPr>
        <w:t xml:space="preserve"> 5.4 i 5.5.</w:t>
      </w:r>
    </w:p>
    <w:p w14:paraId="42B2EB98" w14:textId="77777777" w:rsidR="003C3EE8" w:rsidRPr="007B192E" w:rsidRDefault="003C3EE8" w:rsidP="003C3EE8">
      <w:pPr>
        <w:pStyle w:val="Nagwek2"/>
        <w:rPr>
          <w:i w:val="0"/>
          <w:color w:val="000000" w:themeColor="text1"/>
        </w:rPr>
      </w:pPr>
      <w:r w:rsidRPr="007B192E">
        <w:rPr>
          <w:i w:val="0"/>
          <w:color w:val="000000" w:themeColor="text1"/>
        </w:rPr>
        <w:t>8. ODBIÓR ROBÓT</w:t>
      </w:r>
    </w:p>
    <w:p w14:paraId="6504F438"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8.1. Ogólne zasady odbioru robót</w:t>
      </w:r>
    </w:p>
    <w:p w14:paraId="0A19E58F"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Ogólne zasady odbioru robót podano w ST D-00.00.00 „Wymagania ogólne” [5] pkt 8.</w:t>
      </w:r>
    </w:p>
    <w:p w14:paraId="1E8850EE"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Roboty uznaje się za wykonane zgodnie z dokumentacją projektową, ST i wymaganiami Inżyniera, jeżeli wszystkie pomiary i badania z zachowaniem tolerancji według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6 dały wyniki pozytywne.</w:t>
      </w:r>
    </w:p>
    <w:p w14:paraId="6E9573DA"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8.2. Odbiór robót zanikających i ulegających  zakryciu</w:t>
      </w:r>
    </w:p>
    <w:p w14:paraId="768A77A4"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Odbiorowi robót zanikających i ulegających zakryciu podlegają:</w:t>
      </w:r>
    </w:p>
    <w:p w14:paraId="391CBBC0"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przygotowanie podłoża i wykonanie  koryta,</w:t>
      </w:r>
    </w:p>
    <w:p w14:paraId="1E5B8141"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ewentualnie wykonanie podbudowy,</w:t>
      </w:r>
    </w:p>
    <w:p w14:paraId="377A5F8C"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ewentualnie wykonanie ław (podsypek) pod krawężniki, obrzeża, ścieki,</w:t>
      </w:r>
    </w:p>
    <w:p w14:paraId="6CB05BE4"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wykonanie podsypki pod nawierzchnię,</w:t>
      </w:r>
    </w:p>
    <w:p w14:paraId="44C23875"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ewentualnie wypełnienie dolnej części szczelin dylatacyjnych.</w:t>
      </w:r>
    </w:p>
    <w:p w14:paraId="69FCB971" w14:textId="77777777" w:rsidR="003C3EE8" w:rsidRPr="007B192E" w:rsidRDefault="003C3EE8" w:rsidP="003C3EE8">
      <w:pPr>
        <w:pStyle w:val="Standardowytekst"/>
        <w:rPr>
          <w:rFonts w:ascii="Arial" w:hAnsi="Arial" w:cs="Arial"/>
          <w:color w:val="000000" w:themeColor="text1"/>
        </w:rPr>
      </w:pPr>
      <w:r w:rsidRPr="007B192E">
        <w:rPr>
          <w:rFonts w:ascii="Arial" w:hAnsi="Arial" w:cs="Arial"/>
          <w:color w:val="000000" w:themeColor="text1"/>
        </w:rPr>
        <w:tab/>
      </w:r>
      <w:r w:rsidRPr="007B192E">
        <w:rPr>
          <w:rFonts w:ascii="Arial" w:eastAsia="Lucida Sans Unicode" w:hAnsi="Arial" w:cs="Arial"/>
          <w:color w:val="000000" w:themeColor="text1"/>
          <w:kern w:val="1"/>
          <w:sz w:val="18"/>
          <w:szCs w:val="18"/>
        </w:rPr>
        <w:t xml:space="preserve">Odbiór tych robót powinien  być zgodny z wymaganiami </w:t>
      </w:r>
      <w:proofErr w:type="spellStart"/>
      <w:r w:rsidRPr="007B192E">
        <w:rPr>
          <w:rFonts w:ascii="Arial" w:eastAsia="Lucida Sans Unicode" w:hAnsi="Arial" w:cs="Arial"/>
          <w:color w:val="000000" w:themeColor="text1"/>
          <w:kern w:val="1"/>
          <w:sz w:val="18"/>
          <w:szCs w:val="18"/>
        </w:rPr>
        <w:t>pktu</w:t>
      </w:r>
      <w:proofErr w:type="spellEnd"/>
      <w:r w:rsidRPr="007B192E">
        <w:rPr>
          <w:rFonts w:ascii="Arial" w:eastAsia="Lucida Sans Unicode" w:hAnsi="Arial" w:cs="Arial"/>
          <w:color w:val="000000" w:themeColor="text1"/>
          <w:kern w:val="1"/>
          <w:sz w:val="18"/>
          <w:szCs w:val="18"/>
        </w:rPr>
        <w:t xml:space="preserve"> 8.2 D-M-00.00.00 „Wymagania ogólne” [5] oraz niniejszej ST.</w:t>
      </w:r>
    </w:p>
    <w:p w14:paraId="1F631532" w14:textId="77777777" w:rsidR="003C3EE8" w:rsidRPr="007B192E" w:rsidRDefault="003C3EE8" w:rsidP="003C3EE8">
      <w:pPr>
        <w:pStyle w:val="Nagwek2"/>
        <w:rPr>
          <w:i w:val="0"/>
          <w:color w:val="000000" w:themeColor="text1"/>
        </w:rPr>
      </w:pPr>
      <w:r w:rsidRPr="007B192E">
        <w:rPr>
          <w:i w:val="0"/>
          <w:color w:val="000000" w:themeColor="text1"/>
        </w:rPr>
        <w:t>9. PODSTAWA PŁATNOŚCI</w:t>
      </w:r>
    </w:p>
    <w:p w14:paraId="3730DD48"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9.1. Ogólne ustalenia dotyczące podstawy płatności</w:t>
      </w:r>
    </w:p>
    <w:p w14:paraId="68A5DCE2"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hAnsi="Arial" w:cs="Arial"/>
          <w:color w:val="000000" w:themeColor="text1"/>
        </w:rPr>
        <w:tab/>
      </w:r>
      <w:r w:rsidRPr="007B192E">
        <w:rPr>
          <w:rFonts w:ascii="Arial" w:eastAsia="Lucida Sans Unicode" w:hAnsi="Arial" w:cs="Arial"/>
          <w:color w:val="000000" w:themeColor="text1"/>
          <w:kern w:val="1"/>
          <w:sz w:val="18"/>
          <w:szCs w:val="18"/>
        </w:rPr>
        <w:t>Ogólne ustalenia dotyczące podstawy płatności podano w ST D-00.00.00 „Wymagania ogólne” [5] pkt 9.</w:t>
      </w:r>
    </w:p>
    <w:p w14:paraId="3E17C01D"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20"/>
          <w:szCs w:val="20"/>
        </w:rPr>
      </w:pPr>
      <w:r w:rsidRPr="007B192E">
        <w:rPr>
          <w:color w:val="000000" w:themeColor="text1"/>
          <w:sz w:val="18"/>
          <w:szCs w:val="18"/>
        </w:rPr>
        <w:t>9.2. Cena jednostki obmiarowej</w:t>
      </w:r>
    </w:p>
    <w:p w14:paraId="3031F599"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Cena wykonania 1 m2 nawierzchni z betonowej kostki brukowej obejmuje:</w:t>
      </w:r>
    </w:p>
    <w:p w14:paraId="07A7B8FD"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4870838C"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1F737032"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przygotowanie podłoża i wykonanie koryta,</w:t>
      </w:r>
    </w:p>
    <w:p w14:paraId="2AA3FBF1"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700514DB"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wykonanie podsypki,</w:t>
      </w:r>
    </w:p>
    <w:p w14:paraId="0DFDFA44"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ustalenie kształtu, koloru i desenia kostek,</w:t>
      </w:r>
    </w:p>
    <w:p w14:paraId="6376BAF9"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ułożenie i ubicie kostek,</w:t>
      </w:r>
    </w:p>
    <w:p w14:paraId="5CEFCC1B"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wypełnienie spoin i ew. szczelin dylatacyjnych w nawierzchni,</w:t>
      </w:r>
    </w:p>
    <w:p w14:paraId="767605FE"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pielęgnację nawierzchni,</w:t>
      </w:r>
    </w:p>
    <w:p w14:paraId="28D0C77A"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wymaganych w niniejszej specyfikacji technicznej,</w:t>
      </w:r>
    </w:p>
    <w:p w14:paraId="6C8163DE" w14:textId="77777777" w:rsidR="003C3EE8" w:rsidRPr="007B192E" w:rsidRDefault="003C3EE8"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odwiezienie sprzętu.</w:t>
      </w:r>
    </w:p>
    <w:p w14:paraId="3AE11F9A" w14:textId="77777777" w:rsidR="003C3EE8" w:rsidRPr="007B192E" w:rsidRDefault="003C3EE8" w:rsidP="003C3EE8">
      <w:pPr>
        <w:pStyle w:val="Standardowytekst"/>
        <w:rPr>
          <w:rFonts w:ascii="Arial" w:eastAsia="Lucida Sans Unicode" w:hAnsi="Arial" w:cs="Arial"/>
          <w:color w:val="000000" w:themeColor="text1"/>
          <w:kern w:val="1"/>
          <w:sz w:val="18"/>
          <w:szCs w:val="18"/>
        </w:rPr>
      </w:pPr>
      <w:r w:rsidRPr="007B192E">
        <w:rPr>
          <w:rFonts w:ascii="Arial" w:eastAsia="Lucida Sans Unicode" w:hAnsi="Arial" w:cs="Arial"/>
          <w:color w:val="000000" w:themeColor="text1"/>
          <w:kern w:val="1"/>
          <w:sz w:val="18"/>
          <w:szCs w:val="18"/>
        </w:rPr>
        <w:tab/>
        <w:t xml:space="preserve">Cena wykonania 1 m2 nawierzchni z betonowej kostki brukowej nie obejmuje robót towarzyszących (jak: podbudowa, obramowanie itp.), które powinny być ujęte w innych pozycjach kosztorysowych, a których zakres jest określony przez ST wymienione w </w:t>
      </w:r>
      <w:proofErr w:type="spellStart"/>
      <w:r w:rsidRPr="007B192E">
        <w:rPr>
          <w:rFonts w:ascii="Arial" w:eastAsia="Lucida Sans Unicode" w:hAnsi="Arial" w:cs="Arial"/>
          <w:color w:val="000000" w:themeColor="text1"/>
          <w:kern w:val="1"/>
          <w:sz w:val="18"/>
          <w:szCs w:val="18"/>
        </w:rPr>
        <w:t>pktach</w:t>
      </w:r>
      <w:proofErr w:type="spellEnd"/>
      <w:r w:rsidRPr="007B192E">
        <w:rPr>
          <w:rFonts w:ascii="Arial" w:eastAsia="Lucida Sans Unicode" w:hAnsi="Arial" w:cs="Arial"/>
          <w:color w:val="000000" w:themeColor="text1"/>
          <w:kern w:val="1"/>
          <w:sz w:val="18"/>
          <w:szCs w:val="18"/>
        </w:rPr>
        <w:t xml:space="preserve"> 5.4 i 5.5.</w:t>
      </w:r>
    </w:p>
    <w:p w14:paraId="69863CC5" w14:textId="77777777" w:rsidR="003C3EE8" w:rsidRPr="007B192E" w:rsidRDefault="003C3EE8" w:rsidP="003C3EE8">
      <w:pPr>
        <w:pStyle w:val="Nagwek2"/>
        <w:rPr>
          <w:i w:val="0"/>
          <w:color w:val="000000" w:themeColor="text1"/>
        </w:rPr>
      </w:pPr>
      <w:r w:rsidRPr="007B192E">
        <w:rPr>
          <w:i w:val="0"/>
          <w:color w:val="000000" w:themeColor="text1"/>
        </w:rPr>
        <w:lastRenderedPageBreak/>
        <w:t>10. PRZEPISY ZWIĄZANE</w:t>
      </w:r>
    </w:p>
    <w:p w14:paraId="5DD64BFF" w14:textId="77777777" w:rsidR="003C3EE8" w:rsidRPr="007B192E" w:rsidRDefault="003C3EE8" w:rsidP="003C3EE8">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Normy</w:t>
      </w:r>
    </w:p>
    <w:tbl>
      <w:tblPr>
        <w:tblW w:w="7512" w:type="dxa"/>
        <w:tblLayout w:type="fixed"/>
        <w:tblCellMar>
          <w:left w:w="10" w:type="dxa"/>
          <w:right w:w="10" w:type="dxa"/>
        </w:tblCellMar>
        <w:tblLook w:val="0000" w:firstRow="0" w:lastRow="0" w:firstColumn="0" w:lastColumn="0" w:noHBand="0" w:noVBand="0"/>
      </w:tblPr>
      <w:tblGrid>
        <w:gridCol w:w="496"/>
        <w:gridCol w:w="1984"/>
        <w:gridCol w:w="5032"/>
      </w:tblGrid>
      <w:tr w:rsidR="004D7D23" w:rsidRPr="007B192E" w14:paraId="0BF297BC" w14:textId="77777777" w:rsidTr="004D7D23">
        <w:tc>
          <w:tcPr>
            <w:tcW w:w="496" w:type="dxa"/>
            <w:tcMar>
              <w:top w:w="0" w:type="dxa"/>
              <w:left w:w="70" w:type="dxa"/>
              <w:bottom w:w="0" w:type="dxa"/>
              <w:right w:w="70" w:type="dxa"/>
            </w:tcMar>
          </w:tcPr>
          <w:p w14:paraId="012E6E33" w14:textId="77777777" w:rsidR="003C3EE8" w:rsidRPr="007B192E" w:rsidRDefault="003C3EE8"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984" w:type="dxa"/>
            <w:tcMar>
              <w:top w:w="0" w:type="dxa"/>
              <w:left w:w="70" w:type="dxa"/>
              <w:bottom w:w="0" w:type="dxa"/>
              <w:right w:w="70" w:type="dxa"/>
            </w:tcMar>
          </w:tcPr>
          <w:p w14:paraId="6D4657F7"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PN-EN 197-1:2002</w:t>
            </w:r>
          </w:p>
        </w:tc>
        <w:tc>
          <w:tcPr>
            <w:tcW w:w="5032" w:type="dxa"/>
            <w:tcMar>
              <w:top w:w="0" w:type="dxa"/>
              <w:left w:w="70" w:type="dxa"/>
              <w:bottom w:w="0" w:type="dxa"/>
              <w:right w:w="70" w:type="dxa"/>
            </w:tcMar>
          </w:tcPr>
          <w:p w14:paraId="3EA99CD6"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Cement. Część 1: Skład, wymagania i kryteria zgodności dotyczące cementu powszechnego użytku</w:t>
            </w:r>
          </w:p>
        </w:tc>
      </w:tr>
      <w:tr w:rsidR="004D7D23" w:rsidRPr="007B192E" w14:paraId="3EC390F4" w14:textId="77777777" w:rsidTr="004D7D23">
        <w:tc>
          <w:tcPr>
            <w:tcW w:w="496" w:type="dxa"/>
            <w:tcMar>
              <w:top w:w="0" w:type="dxa"/>
              <w:left w:w="70" w:type="dxa"/>
              <w:bottom w:w="0" w:type="dxa"/>
              <w:right w:w="70" w:type="dxa"/>
            </w:tcMar>
          </w:tcPr>
          <w:p w14:paraId="74B3C08A" w14:textId="77777777" w:rsidR="003C3EE8" w:rsidRPr="007B192E" w:rsidRDefault="003C3EE8"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984" w:type="dxa"/>
            <w:tcMar>
              <w:top w:w="0" w:type="dxa"/>
              <w:left w:w="70" w:type="dxa"/>
              <w:bottom w:w="0" w:type="dxa"/>
              <w:right w:w="70" w:type="dxa"/>
            </w:tcMar>
          </w:tcPr>
          <w:p w14:paraId="2EEE65A5"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PN-EN 1338:2005</w:t>
            </w:r>
          </w:p>
        </w:tc>
        <w:tc>
          <w:tcPr>
            <w:tcW w:w="5032" w:type="dxa"/>
            <w:tcMar>
              <w:top w:w="0" w:type="dxa"/>
              <w:left w:w="70" w:type="dxa"/>
              <w:bottom w:w="0" w:type="dxa"/>
              <w:right w:w="70" w:type="dxa"/>
            </w:tcMar>
          </w:tcPr>
          <w:p w14:paraId="0ABE39FF"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Betonowe kostki brukowe. Wymagania i metody badań</w:t>
            </w:r>
          </w:p>
        </w:tc>
      </w:tr>
      <w:tr w:rsidR="004D7D23" w:rsidRPr="007B192E" w14:paraId="586EDFA2" w14:textId="77777777" w:rsidTr="004D7D23">
        <w:tc>
          <w:tcPr>
            <w:tcW w:w="496" w:type="dxa"/>
            <w:tcMar>
              <w:top w:w="0" w:type="dxa"/>
              <w:left w:w="70" w:type="dxa"/>
              <w:bottom w:w="0" w:type="dxa"/>
              <w:right w:w="70" w:type="dxa"/>
            </w:tcMar>
          </w:tcPr>
          <w:p w14:paraId="6F9CA5A6" w14:textId="77777777" w:rsidR="003C3EE8" w:rsidRPr="007B192E" w:rsidRDefault="003C3EE8"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984" w:type="dxa"/>
            <w:tcMar>
              <w:top w:w="0" w:type="dxa"/>
              <w:left w:w="70" w:type="dxa"/>
              <w:bottom w:w="0" w:type="dxa"/>
              <w:right w:w="70" w:type="dxa"/>
            </w:tcMar>
          </w:tcPr>
          <w:p w14:paraId="678BB64E"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PN-EN 13242:2004</w:t>
            </w:r>
          </w:p>
        </w:tc>
        <w:tc>
          <w:tcPr>
            <w:tcW w:w="5032" w:type="dxa"/>
            <w:tcMar>
              <w:top w:w="0" w:type="dxa"/>
              <w:left w:w="70" w:type="dxa"/>
              <w:bottom w:w="0" w:type="dxa"/>
              <w:right w:w="70" w:type="dxa"/>
            </w:tcMar>
          </w:tcPr>
          <w:p w14:paraId="75DDC8D7"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Kruszywo łamane do nawierzchni drogowych, PN-B-11113:1996 Kruszywa mineralne. Kruszywa naturalne do nawierzchni drogowych. Piasek)</w:t>
            </w:r>
          </w:p>
        </w:tc>
      </w:tr>
      <w:tr w:rsidR="003C3EE8" w:rsidRPr="007B192E" w14:paraId="2F16F6B9" w14:textId="77777777" w:rsidTr="004D7D23">
        <w:tc>
          <w:tcPr>
            <w:tcW w:w="496" w:type="dxa"/>
            <w:tcMar>
              <w:top w:w="0" w:type="dxa"/>
              <w:left w:w="70" w:type="dxa"/>
              <w:bottom w:w="0" w:type="dxa"/>
              <w:right w:w="70" w:type="dxa"/>
            </w:tcMar>
          </w:tcPr>
          <w:p w14:paraId="308629B0" w14:textId="77777777" w:rsidR="003C3EE8" w:rsidRPr="007B192E" w:rsidRDefault="003C3EE8"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984" w:type="dxa"/>
            <w:tcMar>
              <w:top w:w="0" w:type="dxa"/>
              <w:left w:w="70" w:type="dxa"/>
              <w:bottom w:w="0" w:type="dxa"/>
              <w:right w:w="70" w:type="dxa"/>
            </w:tcMar>
          </w:tcPr>
          <w:p w14:paraId="25FA04A1"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PN-EN 1008:2004</w:t>
            </w:r>
          </w:p>
        </w:tc>
        <w:tc>
          <w:tcPr>
            <w:tcW w:w="5032" w:type="dxa"/>
            <w:tcMar>
              <w:top w:w="0" w:type="dxa"/>
              <w:left w:w="70" w:type="dxa"/>
              <w:bottom w:w="0" w:type="dxa"/>
              <w:right w:w="70" w:type="dxa"/>
            </w:tcMar>
          </w:tcPr>
          <w:p w14:paraId="0390571B" w14:textId="77777777" w:rsidR="003C3EE8" w:rsidRPr="007B192E" w:rsidRDefault="003C3EE8" w:rsidP="004D7D23">
            <w:pPr>
              <w:pStyle w:val="Akapitzlist"/>
              <w:jc w:val="both"/>
              <w:rPr>
                <w:rFonts w:ascii="Arial" w:hAnsi="Arial" w:cs="Arial"/>
                <w:color w:val="000000" w:themeColor="text1"/>
                <w:sz w:val="18"/>
                <w:szCs w:val="18"/>
              </w:rPr>
            </w:pPr>
            <w:r w:rsidRPr="007B192E">
              <w:rPr>
                <w:rFonts w:ascii="Arial" w:hAnsi="Arial" w:cs="Arial"/>
                <w:color w:val="000000" w:themeColor="text1"/>
                <w:sz w:val="18"/>
                <w:szCs w:val="18"/>
              </w:rPr>
              <w:t>Woda zarobowa do betonu. Specyfikacja pobierania próbek, badanie i ocena przydatności wody zarobowej do betonu, w tym wody odzyskanej z procesów produkcji betonu</w:t>
            </w:r>
          </w:p>
          <w:p w14:paraId="536A4647" w14:textId="77777777" w:rsidR="003C3EE8" w:rsidRPr="007B192E" w:rsidRDefault="003C3EE8" w:rsidP="004D7D23">
            <w:pPr>
              <w:pStyle w:val="Akapitzlist"/>
              <w:jc w:val="both"/>
              <w:rPr>
                <w:rFonts w:ascii="Arial" w:hAnsi="Arial" w:cs="Arial"/>
                <w:color w:val="000000" w:themeColor="text1"/>
                <w:sz w:val="18"/>
                <w:szCs w:val="18"/>
              </w:rPr>
            </w:pPr>
          </w:p>
        </w:tc>
      </w:tr>
    </w:tbl>
    <w:p w14:paraId="1F03E463" w14:textId="77777777" w:rsidR="003C3EE8" w:rsidRPr="007B192E" w:rsidRDefault="003C3EE8" w:rsidP="003C3EE8">
      <w:pPr>
        <w:pStyle w:val="Tekstpodstawowy"/>
        <w:rPr>
          <w:color w:val="000000" w:themeColor="text1"/>
        </w:rPr>
      </w:pPr>
    </w:p>
    <w:p w14:paraId="735D60E2" w14:textId="77777777" w:rsidR="003C3EE8" w:rsidRPr="007B192E" w:rsidRDefault="003C3EE8" w:rsidP="003C3EE8">
      <w:pPr>
        <w:rPr>
          <w:rFonts w:ascii="Arial" w:hAnsi="Arial" w:cs="Arial"/>
          <w:b/>
          <w:bCs/>
          <w:color w:val="000000" w:themeColor="text1"/>
          <w:sz w:val="28"/>
          <w:szCs w:val="28"/>
        </w:rPr>
      </w:pPr>
    </w:p>
    <w:p w14:paraId="605AC3C6" w14:textId="77777777" w:rsidR="003C3EE8" w:rsidRPr="007B192E" w:rsidRDefault="003C3EE8" w:rsidP="003C3EE8">
      <w:pPr>
        <w:rPr>
          <w:rFonts w:ascii="Arial" w:hAnsi="Arial" w:cs="Arial"/>
          <w:b/>
          <w:bCs/>
          <w:color w:val="000000" w:themeColor="text1"/>
          <w:sz w:val="28"/>
          <w:szCs w:val="28"/>
        </w:rPr>
      </w:pPr>
    </w:p>
    <w:p w14:paraId="15155E92" w14:textId="77777777" w:rsidR="003C3EE8" w:rsidRPr="007B192E" w:rsidRDefault="003C3EE8" w:rsidP="003C3EE8">
      <w:pPr>
        <w:rPr>
          <w:rFonts w:ascii="Arial" w:hAnsi="Arial" w:cs="Arial"/>
          <w:b/>
          <w:bCs/>
          <w:color w:val="000000" w:themeColor="text1"/>
          <w:sz w:val="28"/>
          <w:szCs w:val="28"/>
        </w:rPr>
      </w:pPr>
    </w:p>
    <w:p w14:paraId="6FD9C022" w14:textId="77777777" w:rsidR="003C3EE8" w:rsidRPr="007B192E" w:rsidRDefault="003C3EE8" w:rsidP="003C3EE8">
      <w:pPr>
        <w:rPr>
          <w:rFonts w:ascii="Arial" w:hAnsi="Arial" w:cs="Arial"/>
          <w:b/>
          <w:bCs/>
          <w:color w:val="000000" w:themeColor="text1"/>
          <w:sz w:val="28"/>
          <w:szCs w:val="28"/>
        </w:rPr>
      </w:pPr>
    </w:p>
    <w:p w14:paraId="0FACC1EE" w14:textId="77777777" w:rsidR="003C3EE8" w:rsidRPr="007B192E" w:rsidRDefault="003C3EE8" w:rsidP="003C3EE8">
      <w:pPr>
        <w:rPr>
          <w:rFonts w:ascii="Arial" w:hAnsi="Arial" w:cs="Arial"/>
          <w:b/>
          <w:bCs/>
          <w:color w:val="000000" w:themeColor="text1"/>
          <w:sz w:val="28"/>
          <w:szCs w:val="28"/>
        </w:rPr>
      </w:pPr>
    </w:p>
    <w:p w14:paraId="71987863" w14:textId="77777777" w:rsidR="003C3EE8" w:rsidRPr="007B192E" w:rsidRDefault="003C3EE8" w:rsidP="003C3EE8">
      <w:pPr>
        <w:rPr>
          <w:rFonts w:ascii="Arial" w:hAnsi="Arial" w:cs="Arial"/>
          <w:b/>
          <w:bCs/>
          <w:color w:val="000000" w:themeColor="text1"/>
          <w:sz w:val="28"/>
          <w:szCs w:val="28"/>
        </w:rPr>
      </w:pPr>
    </w:p>
    <w:p w14:paraId="014F5F43" w14:textId="77777777" w:rsidR="003C3EE8" w:rsidRPr="007B192E" w:rsidRDefault="003C3EE8" w:rsidP="003C3EE8">
      <w:pPr>
        <w:rPr>
          <w:rFonts w:ascii="Arial" w:hAnsi="Arial" w:cs="Arial"/>
          <w:b/>
          <w:bCs/>
          <w:color w:val="000000" w:themeColor="text1"/>
          <w:sz w:val="28"/>
          <w:szCs w:val="28"/>
        </w:rPr>
      </w:pPr>
    </w:p>
    <w:p w14:paraId="5D063307" w14:textId="77777777" w:rsidR="003C3EE8" w:rsidRPr="007B192E" w:rsidRDefault="003C3EE8" w:rsidP="003C3EE8">
      <w:pPr>
        <w:rPr>
          <w:rFonts w:ascii="Arial" w:hAnsi="Arial" w:cs="Arial"/>
          <w:b/>
          <w:bCs/>
          <w:color w:val="000000" w:themeColor="text1"/>
          <w:sz w:val="28"/>
          <w:szCs w:val="28"/>
        </w:rPr>
      </w:pPr>
    </w:p>
    <w:p w14:paraId="51E07B65" w14:textId="77777777" w:rsidR="003C3EE8" w:rsidRPr="007B192E" w:rsidRDefault="003C3EE8" w:rsidP="003C3EE8">
      <w:pPr>
        <w:rPr>
          <w:rFonts w:ascii="Arial" w:hAnsi="Arial" w:cs="Arial"/>
          <w:b/>
          <w:bCs/>
          <w:color w:val="000000" w:themeColor="text1"/>
          <w:sz w:val="28"/>
          <w:szCs w:val="28"/>
        </w:rPr>
      </w:pPr>
    </w:p>
    <w:p w14:paraId="2BEAAD8E" w14:textId="77777777" w:rsidR="003C3EE8" w:rsidRPr="007B192E" w:rsidRDefault="003C3EE8" w:rsidP="003C3EE8">
      <w:pPr>
        <w:rPr>
          <w:rFonts w:ascii="Arial" w:hAnsi="Arial" w:cs="Arial"/>
          <w:b/>
          <w:bCs/>
          <w:color w:val="000000" w:themeColor="text1"/>
          <w:sz w:val="28"/>
          <w:szCs w:val="28"/>
        </w:rPr>
      </w:pPr>
    </w:p>
    <w:p w14:paraId="6510EE96" w14:textId="77777777" w:rsidR="003C3EE8" w:rsidRPr="007B192E" w:rsidRDefault="003C3EE8" w:rsidP="003C3EE8">
      <w:pPr>
        <w:rPr>
          <w:rFonts w:ascii="Arial" w:hAnsi="Arial" w:cs="Arial"/>
          <w:b/>
          <w:bCs/>
          <w:color w:val="000000" w:themeColor="text1"/>
          <w:sz w:val="28"/>
          <w:szCs w:val="28"/>
        </w:rPr>
      </w:pPr>
    </w:p>
    <w:p w14:paraId="559DCDB4" w14:textId="77777777" w:rsidR="003C3EE8" w:rsidRPr="007B192E" w:rsidRDefault="003C3EE8" w:rsidP="003C3EE8">
      <w:pPr>
        <w:rPr>
          <w:rFonts w:ascii="Arial" w:hAnsi="Arial" w:cs="Arial"/>
          <w:b/>
          <w:bCs/>
          <w:color w:val="000000" w:themeColor="text1"/>
          <w:sz w:val="28"/>
          <w:szCs w:val="28"/>
        </w:rPr>
      </w:pPr>
    </w:p>
    <w:p w14:paraId="21E94ABC" w14:textId="77777777" w:rsidR="003C3EE8" w:rsidRPr="007B192E" w:rsidRDefault="003C3EE8" w:rsidP="003C3EE8">
      <w:pPr>
        <w:rPr>
          <w:rFonts w:ascii="Arial" w:hAnsi="Arial" w:cs="Arial"/>
          <w:b/>
          <w:bCs/>
          <w:color w:val="000000" w:themeColor="text1"/>
          <w:sz w:val="28"/>
          <w:szCs w:val="28"/>
        </w:rPr>
      </w:pPr>
    </w:p>
    <w:p w14:paraId="0DE4C7B2" w14:textId="77777777" w:rsidR="003C3EE8" w:rsidRPr="004D7D23" w:rsidRDefault="003C3EE8" w:rsidP="003C3EE8">
      <w:pPr>
        <w:rPr>
          <w:rFonts w:ascii="Arial" w:hAnsi="Arial" w:cs="Arial"/>
          <w:b/>
          <w:bCs/>
          <w:color w:val="FF0000"/>
          <w:sz w:val="28"/>
          <w:szCs w:val="28"/>
        </w:rPr>
      </w:pPr>
    </w:p>
    <w:p w14:paraId="1CCDB063" w14:textId="77777777" w:rsidR="003C3EE8" w:rsidRPr="004D7D23" w:rsidRDefault="003C3EE8" w:rsidP="003C3EE8">
      <w:pPr>
        <w:rPr>
          <w:rFonts w:ascii="Arial" w:hAnsi="Arial" w:cs="Arial"/>
          <w:b/>
          <w:bCs/>
          <w:color w:val="FF0000"/>
          <w:sz w:val="28"/>
          <w:szCs w:val="28"/>
        </w:rPr>
      </w:pPr>
    </w:p>
    <w:p w14:paraId="19F48CB3" w14:textId="77777777" w:rsidR="003C3EE8" w:rsidRPr="004D7D23" w:rsidRDefault="003C3EE8" w:rsidP="003C3EE8">
      <w:pPr>
        <w:rPr>
          <w:rFonts w:ascii="Arial" w:hAnsi="Arial" w:cs="Arial"/>
          <w:b/>
          <w:bCs/>
          <w:color w:val="FF0000"/>
          <w:sz w:val="28"/>
          <w:szCs w:val="28"/>
        </w:rPr>
      </w:pPr>
    </w:p>
    <w:p w14:paraId="55C6747C" w14:textId="77777777" w:rsidR="003C3EE8" w:rsidRPr="004D7D23" w:rsidRDefault="003C3EE8" w:rsidP="003C3EE8">
      <w:pPr>
        <w:rPr>
          <w:rFonts w:ascii="Arial" w:hAnsi="Arial" w:cs="Arial"/>
          <w:b/>
          <w:bCs/>
          <w:color w:val="FF0000"/>
          <w:sz w:val="28"/>
          <w:szCs w:val="28"/>
        </w:rPr>
      </w:pPr>
    </w:p>
    <w:p w14:paraId="396FA17F" w14:textId="77777777" w:rsidR="003C3EE8" w:rsidRPr="004D7D23" w:rsidRDefault="003C3EE8" w:rsidP="003C3EE8">
      <w:pPr>
        <w:rPr>
          <w:rFonts w:ascii="Arial" w:hAnsi="Arial" w:cs="Arial"/>
          <w:b/>
          <w:bCs/>
          <w:color w:val="FF0000"/>
          <w:sz w:val="28"/>
          <w:szCs w:val="28"/>
        </w:rPr>
      </w:pPr>
    </w:p>
    <w:p w14:paraId="0A9366EC" w14:textId="77777777" w:rsidR="003C3EE8" w:rsidRPr="004D7D23" w:rsidRDefault="003C3EE8" w:rsidP="003C3EE8">
      <w:pPr>
        <w:rPr>
          <w:rFonts w:ascii="Arial" w:hAnsi="Arial" w:cs="Arial"/>
          <w:b/>
          <w:bCs/>
          <w:color w:val="FF0000"/>
          <w:sz w:val="28"/>
          <w:szCs w:val="28"/>
        </w:rPr>
      </w:pPr>
    </w:p>
    <w:p w14:paraId="53E020C8" w14:textId="77777777" w:rsidR="003C3EE8" w:rsidRPr="004D7D23" w:rsidRDefault="003C3EE8" w:rsidP="003C3EE8">
      <w:pPr>
        <w:rPr>
          <w:rFonts w:ascii="Arial" w:hAnsi="Arial" w:cs="Arial"/>
          <w:b/>
          <w:bCs/>
          <w:color w:val="FF0000"/>
          <w:sz w:val="28"/>
          <w:szCs w:val="28"/>
        </w:rPr>
      </w:pPr>
    </w:p>
    <w:p w14:paraId="58568992" w14:textId="77777777" w:rsidR="003C3EE8" w:rsidRPr="004D7D23" w:rsidRDefault="003C3EE8" w:rsidP="003C3EE8">
      <w:pPr>
        <w:rPr>
          <w:rFonts w:ascii="Arial" w:hAnsi="Arial" w:cs="Arial"/>
          <w:b/>
          <w:bCs/>
          <w:color w:val="FF0000"/>
          <w:sz w:val="28"/>
          <w:szCs w:val="28"/>
        </w:rPr>
      </w:pPr>
    </w:p>
    <w:p w14:paraId="0AE89BFB" w14:textId="77777777" w:rsidR="003C3EE8" w:rsidRPr="004D7D23" w:rsidRDefault="003C3EE8" w:rsidP="003C3EE8">
      <w:pPr>
        <w:rPr>
          <w:rFonts w:ascii="Arial" w:hAnsi="Arial" w:cs="Arial"/>
          <w:b/>
          <w:bCs/>
          <w:color w:val="FF0000"/>
          <w:sz w:val="28"/>
          <w:szCs w:val="28"/>
        </w:rPr>
      </w:pPr>
    </w:p>
    <w:p w14:paraId="18B49BEA" w14:textId="77777777" w:rsidR="003C3EE8" w:rsidRPr="004D7D23" w:rsidRDefault="003C3EE8" w:rsidP="003C3EE8">
      <w:pPr>
        <w:rPr>
          <w:rFonts w:ascii="Arial" w:hAnsi="Arial" w:cs="Arial"/>
          <w:b/>
          <w:bCs/>
          <w:color w:val="FF0000"/>
          <w:sz w:val="28"/>
          <w:szCs w:val="28"/>
        </w:rPr>
      </w:pPr>
    </w:p>
    <w:p w14:paraId="63CE2E88" w14:textId="77777777" w:rsidR="003C3EE8" w:rsidRPr="004D7D23" w:rsidRDefault="003C3EE8" w:rsidP="003C3EE8">
      <w:pPr>
        <w:rPr>
          <w:rFonts w:ascii="Arial" w:hAnsi="Arial" w:cs="Arial"/>
          <w:b/>
          <w:bCs/>
          <w:color w:val="FF0000"/>
          <w:sz w:val="28"/>
          <w:szCs w:val="28"/>
        </w:rPr>
      </w:pPr>
    </w:p>
    <w:p w14:paraId="77DBFF07" w14:textId="77777777" w:rsidR="003C3EE8" w:rsidRPr="004D7D23" w:rsidRDefault="003C3EE8" w:rsidP="003C3EE8">
      <w:pPr>
        <w:rPr>
          <w:rFonts w:ascii="Arial" w:hAnsi="Arial" w:cs="Arial"/>
          <w:b/>
          <w:bCs/>
          <w:color w:val="FF0000"/>
          <w:sz w:val="28"/>
          <w:szCs w:val="28"/>
        </w:rPr>
      </w:pPr>
    </w:p>
    <w:p w14:paraId="4DD3B7C3" w14:textId="77777777" w:rsidR="003C3EE8" w:rsidRPr="004D7D23" w:rsidRDefault="003C3EE8" w:rsidP="003C3EE8">
      <w:pPr>
        <w:rPr>
          <w:rFonts w:ascii="Arial" w:hAnsi="Arial" w:cs="Arial"/>
          <w:b/>
          <w:bCs/>
          <w:color w:val="FF0000"/>
          <w:sz w:val="28"/>
          <w:szCs w:val="28"/>
        </w:rPr>
      </w:pPr>
    </w:p>
    <w:p w14:paraId="4E3D965F" w14:textId="77777777" w:rsidR="003C3EE8" w:rsidRPr="004D7D23" w:rsidRDefault="003C3EE8" w:rsidP="003C3EE8">
      <w:pPr>
        <w:rPr>
          <w:rFonts w:ascii="Arial" w:hAnsi="Arial" w:cs="Arial"/>
          <w:b/>
          <w:bCs/>
          <w:color w:val="FF0000"/>
          <w:sz w:val="28"/>
          <w:szCs w:val="28"/>
        </w:rPr>
      </w:pPr>
    </w:p>
    <w:p w14:paraId="2BBE8EE2" w14:textId="77777777" w:rsidR="003C3EE8" w:rsidRPr="004D7D23" w:rsidRDefault="003C3EE8" w:rsidP="003C3EE8">
      <w:pPr>
        <w:rPr>
          <w:rFonts w:ascii="Arial" w:hAnsi="Arial" w:cs="Arial"/>
          <w:b/>
          <w:bCs/>
          <w:color w:val="FF0000"/>
          <w:sz w:val="28"/>
          <w:szCs w:val="28"/>
        </w:rPr>
      </w:pPr>
    </w:p>
    <w:p w14:paraId="487C3BCF" w14:textId="77777777" w:rsidR="00F45500" w:rsidRPr="007B192E" w:rsidRDefault="00072856" w:rsidP="002562DC">
      <w:pPr>
        <w:pStyle w:val="Nagwek1"/>
        <w:jc w:val="center"/>
        <w:rPr>
          <w:color w:val="000000" w:themeColor="text1"/>
          <w:sz w:val="40"/>
          <w:szCs w:val="28"/>
        </w:rPr>
      </w:pPr>
      <w:bookmarkStart w:id="325" w:name="_Toc163481059"/>
      <w:r w:rsidRPr="007B192E">
        <w:rPr>
          <w:color w:val="000000" w:themeColor="text1"/>
          <w:sz w:val="40"/>
          <w:szCs w:val="28"/>
        </w:rPr>
        <w:lastRenderedPageBreak/>
        <w:t>D-</w:t>
      </w:r>
      <w:r w:rsidR="002562DC" w:rsidRPr="007B192E">
        <w:rPr>
          <w:color w:val="000000" w:themeColor="text1"/>
          <w:sz w:val="40"/>
          <w:szCs w:val="28"/>
        </w:rPr>
        <w:t xml:space="preserve">05.03.27a </w:t>
      </w:r>
      <w:r w:rsidR="00F45500" w:rsidRPr="007B192E">
        <w:rPr>
          <w:color w:val="000000" w:themeColor="text1"/>
          <w:sz w:val="40"/>
        </w:rPr>
        <w:t>ZABEZPIECZENIE NAWIERZCHNI BITUMICZNEJ PRZED SPĘKANIAMI SIATKĄ ZBROJENIOWĄ Z WŁÓKIEN SZKLANYCH I WĘGLOWYCH</w:t>
      </w:r>
      <w:bookmarkEnd w:id="324"/>
      <w:bookmarkEnd w:id="325"/>
    </w:p>
    <w:p w14:paraId="610F4785" w14:textId="77777777" w:rsidR="00F45500" w:rsidRPr="007B192E" w:rsidRDefault="00F45500" w:rsidP="00B9283B">
      <w:pPr>
        <w:pStyle w:val="Nagwek2"/>
        <w:rPr>
          <w:i w:val="0"/>
          <w:color w:val="000000" w:themeColor="text1"/>
        </w:rPr>
      </w:pPr>
      <w:bookmarkStart w:id="326" w:name="_Toc37343272"/>
      <w:r w:rsidRPr="007B192E">
        <w:rPr>
          <w:i w:val="0"/>
          <w:color w:val="000000" w:themeColor="text1"/>
        </w:rPr>
        <w:t xml:space="preserve">1. </w:t>
      </w:r>
      <w:r w:rsidR="002562DC" w:rsidRPr="007B192E">
        <w:rPr>
          <w:i w:val="0"/>
          <w:color w:val="000000" w:themeColor="text1"/>
        </w:rPr>
        <w:t>WSTĘP</w:t>
      </w:r>
      <w:bookmarkEnd w:id="326"/>
    </w:p>
    <w:p w14:paraId="2237928F" w14:textId="77777777" w:rsidR="00F45500" w:rsidRPr="007B192E" w:rsidRDefault="00F45500" w:rsidP="002562DC">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1.1. Przedmiot ST</w:t>
      </w:r>
    </w:p>
    <w:p w14:paraId="48FE383D" w14:textId="77777777" w:rsidR="00F45500" w:rsidRPr="007B192E" w:rsidRDefault="00F45500" w:rsidP="002562DC">
      <w:pPr>
        <w:tabs>
          <w:tab w:val="left" w:pos="0"/>
        </w:tabs>
        <w:jc w:val="both"/>
        <w:rPr>
          <w:rFonts w:ascii="Arial" w:hAnsi="Arial" w:cs="Arial"/>
          <w:color w:val="000000" w:themeColor="text1"/>
          <w:sz w:val="18"/>
          <w:szCs w:val="18"/>
        </w:rPr>
      </w:pPr>
      <w:r w:rsidRPr="007B192E">
        <w:rPr>
          <w:rFonts w:ascii="Arial" w:hAnsi="Arial" w:cs="Arial"/>
          <w:color w:val="000000" w:themeColor="text1"/>
          <w:sz w:val="18"/>
          <w:szCs w:val="18"/>
        </w:rPr>
        <w:t>Przedmiotem niniejszej specyfikacji technicznej (ST) są wymagania dotyczące wykonania i odbioru robót związanych z wykonaniem:</w:t>
      </w:r>
    </w:p>
    <w:p w14:paraId="5BC05027" w14:textId="77777777" w:rsidR="00F45500" w:rsidRPr="007B192E" w:rsidRDefault="00F45500" w:rsidP="00BA5651">
      <w:pPr>
        <w:widowControl/>
        <w:numPr>
          <w:ilvl w:val="0"/>
          <w:numId w:val="248"/>
        </w:numPr>
        <w:tabs>
          <w:tab w:val="left" w:pos="0"/>
        </w:tabs>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zabezpieczenia przed wystąpieniem spękań </w:t>
      </w:r>
    </w:p>
    <w:p w14:paraId="7BCFD9C2" w14:textId="77777777" w:rsidR="00F45500" w:rsidRPr="007B192E" w:rsidRDefault="00F45500" w:rsidP="00BA5651">
      <w:pPr>
        <w:widowControl/>
        <w:numPr>
          <w:ilvl w:val="0"/>
          <w:numId w:val="248"/>
        </w:numPr>
        <w:tabs>
          <w:tab w:val="left" w:pos="0"/>
        </w:tabs>
        <w:suppressAutoHyphens w:val="0"/>
        <w:overflowPunct/>
        <w:autoSpaceDE/>
        <w:jc w:val="both"/>
        <w:textAlignment w:val="auto"/>
        <w:rPr>
          <w:rFonts w:ascii="Arial" w:hAnsi="Arial" w:cs="Arial"/>
          <w:i/>
          <w:color w:val="000000" w:themeColor="text1"/>
          <w:sz w:val="18"/>
          <w:szCs w:val="18"/>
        </w:rPr>
      </w:pPr>
      <w:r w:rsidRPr="007B192E">
        <w:rPr>
          <w:rFonts w:ascii="Arial" w:hAnsi="Arial" w:cs="Arial"/>
          <w:color w:val="000000" w:themeColor="text1"/>
          <w:sz w:val="18"/>
          <w:szCs w:val="18"/>
        </w:rPr>
        <w:t>podniesieniem nośności (redukcja ugięć)</w:t>
      </w:r>
    </w:p>
    <w:p w14:paraId="6FE1CF66" w14:textId="77777777" w:rsidR="00F45500" w:rsidRPr="007B192E" w:rsidRDefault="00F45500" w:rsidP="00BA5651">
      <w:pPr>
        <w:widowControl/>
        <w:numPr>
          <w:ilvl w:val="0"/>
          <w:numId w:val="248"/>
        </w:numPr>
        <w:tabs>
          <w:tab w:val="left" w:pos="0"/>
        </w:tabs>
        <w:suppressAutoHyphens w:val="0"/>
        <w:overflowPunct/>
        <w:autoSpaceDE/>
        <w:jc w:val="both"/>
        <w:textAlignment w:val="auto"/>
        <w:rPr>
          <w:rFonts w:ascii="Arial" w:hAnsi="Arial" w:cs="Arial"/>
          <w:i/>
          <w:color w:val="000000" w:themeColor="text1"/>
          <w:sz w:val="18"/>
          <w:szCs w:val="18"/>
        </w:rPr>
      </w:pPr>
      <w:r w:rsidRPr="007B192E">
        <w:rPr>
          <w:rFonts w:ascii="Arial" w:hAnsi="Arial" w:cs="Arial"/>
          <w:color w:val="000000" w:themeColor="text1"/>
          <w:sz w:val="18"/>
          <w:szCs w:val="18"/>
        </w:rPr>
        <w:t>ograniczeniem deformacji plastycznych</w:t>
      </w:r>
    </w:p>
    <w:p w14:paraId="44DE79DC" w14:textId="77777777" w:rsidR="00F45500" w:rsidRPr="007B192E" w:rsidRDefault="00F45500" w:rsidP="00F45500">
      <w:pPr>
        <w:tabs>
          <w:tab w:val="left" w:pos="0"/>
        </w:tabs>
        <w:jc w:val="both"/>
        <w:rPr>
          <w:rFonts w:ascii="Arial" w:hAnsi="Arial" w:cs="Arial"/>
          <w:i/>
          <w:color w:val="000000" w:themeColor="text1"/>
          <w:sz w:val="18"/>
          <w:szCs w:val="18"/>
        </w:rPr>
      </w:pPr>
      <w:r w:rsidRPr="007B192E">
        <w:rPr>
          <w:rFonts w:ascii="Arial" w:hAnsi="Arial" w:cs="Arial"/>
          <w:color w:val="000000" w:themeColor="text1"/>
          <w:sz w:val="18"/>
          <w:szCs w:val="18"/>
        </w:rPr>
        <w:t>nawierzchni bitumicznej siatką zbrojeniową wykonaną z kombinacji włókien szklanych i węglowych, przesączaną asfaltem.</w:t>
      </w:r>
    </w:p>
    <w:p w14:paraId="25F5C5D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1.2. Zakres stosowania ST</w:t>
      </w:r>
    </w:p>
    <w:p w14:paraId="60B47A10" w14:textId="77777777" w:rsidR="00F45500" w:rsidRPr="007B192E" w:rsidRDefault="00F45500" w:rsidP="00F45500">
      <w:pPr>
        <w:tabs>
          <w:tab w:val="left" w:pos="0"/>
        </w:tabs>
        <w:jc w:val="both"/>
        <w:rPr>
          <w:rFonts w:ascii="Arial" w:hAnsi="Arial" w:cs="Arial"/>
          <w:color w:val="000000" w:themeColor="text1"/>
          <w:sz w:val="18"/>
          <w:szCs w:val="18"/>
        </w:rPr>
      </w:pPr>
      <w:r w:rsidRPr="007B192E">
        <w:rPr>
          <w:rFonts w:ascii="Arial" w:hAnsi="Arial" w:cs="Arial"/>
          <w:color w:val="000000" w:themeColor="text1"/>
          <w:sz w:val="18"/>
          <w:szCs w:val="18"/>
        </w:rPr>
        <w:t>Specyfikacja techniczna (ST) jest stosowana jako dokument przetargowy i kontraktowy przy zlecaniu</w:t>
      </w:r>
      <w:r w:rsidRPr="007B192E">
        <w:rPr>
          <w:rFonts w:ascii="Arial" w:hAnsi="Arial" w:cs="Arial"/>
          <w:color w:val="000000" w:themeColor="text1"/>
          <w:sz w:val="18"/>
          <w:szCs w:val="18"/>
        </w:rPr>
        <w:br/>
        <w:t>i realizacji robót jak w pkt. 1.1.</w:t>
      </w:r>
    </w:p>
    <w:p w14:paraId="06BB9C4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6667B2F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Ustalenia zawarte w niniejszej specyfikacji dotyczą ogólnych zasad prowadzenia robót związanych</w:t>
      </w:r>
      <w:r w:rsidRPr="007B192E">
        <w:rPr>
          <w:rFonts w:ascii="Arial" w:hAnsi="Arial" w:cs="Arial"/>
          <w:color w:val="000000" w:themeColor="text1"/>
          <w:sz w:val="18"/>
          <w:szCs w:val="18"/>
        </w:rPr>
        <w:br/>
        <w:t xml:space="preserve">z wbudowaniem siatki zbrojeniowej z włókien szklanych i węglowych przesączanej asfaltem. </w:t>
      </w:r>
    </w:p>
    <w:p w14:paraId="3349F07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369B08A8" w14:textId="77777777" w:rsidR="00F45500" w:rsidRPr="007B192E" w:rsidRDefault="00F45500" w:rsidP="00F45500">
      <w:pPr>
        <w:pStyle w:val="tekstost"/>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Siatka zbrojeniowa z włókien szklanych i węglowych przesączana asfaltem – płaski wyrób syntetyczny zbudowany z wiązek włókien szklanych (w kierunku wzdłużnym) i włókien węglowych (w kierunku poprzecznym), ułożonych wzdłużnie i poprzecznie  tworzących oczka siatki. Siatka w węzłach nie jest usztywniana przez co możliwe jest przesuwanie się poszczególnych wiązek zbrojeniowych (w ograniczonym zakresie). Wiązki włókien tworzących siatkę w procesie produkcyjnym przesączane są asfaltem w całej swej objętości. Siatka posiada na górnej powierzchni posypkę</w:t>
      </w:r>
      <w:r w:rsidRPr="007B192E">
        <w:rPr>
          <w:rFonts w:ascii="Arial" w:hAnsi="Arial" w:cs="Arial"/>
          <w:color w:val="000000" w:themeColor="text1"/>
          <w:sz w:val="18"/>
          <w:szCs w:val="18"/>
        </w:rPr>
        <w:br/>
        <w:t xml:space="preserve">z piasku a dolna powierzchnia pokryta jest cienką folią zabezpieczającą. </w:t>
      </w:r>
    </w:p>
    <w:p w14:paraId="74A7DF6F" w14:textId="77777777" w:rsidR="00F45500" w:rsidRPr="007B192E" w:rsidRDefault="00F45500" w:rsidP="00F45500">
      <w:pPr>
        <w:pStyle w:val="tekstost"/>
        <w:rPr>
          <w:rFonts w:ascii="Arial" w:hAnsi="Arial" w:cs="Arial"/>
          <w:b/>
          <w:color w:val="000000" w:themeColor="text1"/>
          <w:sz w:val="18"/>
          <w:szCs w:val="18"/>
        </w:rPr>
      </w:pPr>
    </w:p>
    <w:p w14:paraId="67338D53" w14:textId="77777777" w:rsidR="00F45500" w:rsidRPr="007B192E" w:rsidRDefault="00F45500" w:rsidP="00F45500">
      <w:pPr>
        <w:pStyle w:val="tekstost"/>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 xml:space="preserve">Pozostałe określenia podstawowe są zgodne z obowiązującymi, odpowiednimi polskimi normami i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3FC1877D" w14:textId="77777777" w:rsidR="00F45500" w:rsidRPr="007B192E" w:rsidRDefault="00F45500" w:rsidP="00F45500">
      <w:pPr>
        <w:pStyle w:val="tekstost"/>
        <w:rPr>
          <w:rFonts w:ascii="Arial" w:hAnsi="Arial" w:cs="Arial"/>
          <w:color w:val="000000" w:themeColor="text1"/>
          <w:sz w:val="18"/>
          <w:szCs w:val="18"/>
        </w:rPr>
      </w:pPr>
      <w:r w:rsidRPr="007B192E">
        <w:rPr>
          <w:rFonts w:ascii="Arial" w:hAnsi="Arial" w:cs="Arial"/>
          <w:color w:val="000000" w:themeColor="text1"/>
          <w:sz w:val="18"/>
          <w:szCs w:val="18"/>
        </w:rPr>
        <w:t>.</w:t>
      </w:r>
    </w:p>
    <w:p w14:paraId="7E77942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4C7CBDBE" w14:textId="77777777" w:rsidR="00F45500" w:rsidRPr="007B192E" w:rsidRDefault="00F45500" w:rsidP="00F45500">
      <w:pPr>
        <w:pStyle w:val="tekstost"/>
        <w:rPr>
          <w:rFonts w:ascii="Arial" w:hAnsi="Arial" w:cs="Arial"/>
          <w:color w:val="000000" w:themeColor="text1"/>
          <w:sz w:val="18"/>
          <w:szCs w:val="18"/>
        </w:rPr>
      </w:pPr>
      <w:r w:rsidRPr="007B192E">
        <w:rPr>
          <w:rFonts w:ascii="Arial" w:hAnsi="Arial" w:cs="Arial"/>
          <w:color w:val="000000" w:themeColor="text1"/>
          <w:sz w:val="18"/>
          <w:szCs w:val="18"/>
        </w:rPr>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688806CD" w14:textId="77777777" w:rsidR="00F45500" w:rsidRPr="007B192E" w:rsidRDefault="00F45500" w:rsidP="00F45500">
      <w:pPr>
        <w:jc w:val="both"/>
        <w:rPr>
          <w:rFonts w:ascii="Arial" w:hAnsi="Arial" w:cs="Arial"/>
          <w:color w:val="000000" w:themeColor="text1"/>
          <w:sz w:val="18"/>
          <w:szCs w:val="18"/>
        </w:rPr>
      </w:pPr>
    </w:p>
    <w:p w14:paraId="4579CC13" w14:textId="77777777" w:rsidR="00F45500" w:rsidRPr="007B192E" w:rsidRDefault="00F45500" w:rsidP="00F45500">
      <w:pPr>
        <w:pStyle w:val="tekstost"/>
        <w:rPr>
          <w:rFonts w:ascii="Arial" w:hAnsi="Arial" w:cs="Arial"/>
          <w:color w:val="000000" w:themeColor="text1"/>
          <w:sz w:val="18"/>
          <w:szCs w:val="18"/>
        </w:rPr>
      </w:pPr>
      <w:r w:rsidRPr="007B192E">
        <w:rPr>
          <w:rFonts w:ascii="Arial" w:hAnsi="Arial" w:cs="Arial"/>
          <w:color w:val="000000" w:themeColor="text1"/>
          <w:sz w:val="18"/>
          <w:szCs w:val="18"/>
        </w:rPr>
        <w:t>Wszelkie prace należy prowadzić w okresie bezdeszczowym (podczas układania siatki), przy suchym podłożu i temperaturze powietrza co najmniej +5°C.</w:t>
      </w:r>
    </w:p>
    <w:p w14:paraId="6C96DA6E" w14:textId="77777777" w:rsidR="00F45500" w:rsidRPr="007B192E" w:rsidRDefault="002562DC" w:rsidP="00B9283B">
      <w:pPr>
        <w:pStyle w:val="Nagwek2"/>
        <w:rPr>
          <w:i w:val="0"/>
          <w:color w:val="000000" w:themeColor="text1"/>
        </w:rPr>
      </w:pPr>
      <w:bookmarkStart w:id="327" w:name="_Toc37343273"/>
      <w:r w:rsidRPr="007B192E">
        <w:rPr>
          <w:i w:val="0"/>
          <w:color w:val="000000" w:themeColor="text1"/>
        </w:rPr>
        <w:t>2. MATERIAŁY</w:t>
      </w:r>
      <w:bookmarkEnd w:id="327"/>
    </w:p>
    <w:p w14:paraId="72468C85" w14:textId="77777777" w:rsidR="00F45500" w:rsidRPr="007B192E" w:rsidRDefault="00F45500" w:rsidP="00F45500">
      <w:p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Do wykonania powyższych robót należy stosować następujące materiały:</w:t>
      </w:r>
    </w:p>
    <w:p w14:paraId="1789AD26" w14:textId="77777777" w:rsidR="00F45500" w:rsidRPr="007B192E"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kationowe emulsje modyfikowane </w:t>
      </w:r>
      <w:proofErr w:type="spellStart"/>
      <w:r w:rsidRPr="007B192E">
        <w:rPr>
          <w:rFonts w:ascii="Arial" w:hAnsi="Arial" w:cs="Arial"/>
          <w:color w:val="000000" w:themeColor="text1"/>
          <w:sz w:val="18"/>
          <w:szCs w:val="18"/>
        </w:rPr>
        <w:t>polimeroasfaltami</w:t>
      </w:r>
      <w:proofErr w:type="spellEnd"/>
      <w:r w:rsidRPr="007B192E">
        <w:rPr>
          <w:rFonts w:ascii="Arial" w:hAnsi="Arial" w:cs="Arial"/>
          <w:color w:val="000000" w:themeColor="text1"/>
          <w:sz w:val="18"/>
          <w:szCs w:val="18"/>
        </w:rPr>
        <w:t xml:space="preserve"> C60 BP3 ZM lub C60 BP4 ZM</w:t>
      </w:r>
    </w:p>
    <w:p w14:paraId="17C454C3" w14:textId="77777777" w:rsidR="00F45500" w:rsidRPr="007B192E"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siatkę z włókien szklanych i węglowych wstępnie przesączaną asfaltem. W celu zapewnienia właściwej współpracy wszystkich włókien tworzących wiązkę siatki (możliwość przenoszenia sił) wymagane jest przesączenie asfaltem wiązek w całej ich objętości </w:t>
      </w:r>
    </w:p>
    <w:p w14:paraId="61F47B0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alternatywnie</w:t>
      </w:r>
    </w:p>
    <w:p w14:paraId="7B20B29A" w14:textId="77777777" w:rsidR="00F45500" w:rsidRPr="007B192E"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kationowe emulsje asfaltowe C60 B3 ZM lub C60 B4 ZM</w:t>
      </w:r>
    </w:p>
    <w:p w14:paraId="3070AFD6" w14:textId="77777777" w:rsidR="00F45500" w:rsidRPr="007B192E" w:rsidRDefault="00F45500" w:rsidP="00BA5651">
      <w:pPr>
        <w:widowControl/>
        <w:numPr>
          <w:ilvl w:val="0"/>
          <w:numId w:val="250"/>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siatkę z włókien szklanych i węglowych wstępnie przesączaną asfaltem. W celu zapewnienia właściwej współpracy wszystkich włókien tworzących wiązkę siatki (możliwość przenoszenia sił) wymagane jest przesączenie asfaltem wiązek w całej ich objętości  </w:t>
      </w:r>
    </w:p>
    <w:p w14:paraId="6E16822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Emulsja asfaltowa</w:t>
      </w:r>
    </w:p>
    <w:p w14:paraId="708CE59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wykonania warstwy </w:t>
      </w:r>
      <w:proofErr w:type="spellStart"/>
      <w:r w:rsidRPr="007B192E">
        <w:rPr>
          <w:rFonts w:ascii="Arial" w:hAnsi="Arial" w:cs="Arial"/>
          <w:color w:val="000000" w:themeColor="text1"/>
          <w:sz w:val="18"/>
          <w:szCs w:val="18"/>
        </w:rPr>
        <w:t>sczepnej</w:t>
      </w:r>
      <w:proofErr w:type="spellEnd"/>
      <w:r w:rsidRPr="007B192E">
        <w:rPr>
          <w:rFonts w:ascii="Arial" w:hAnsi="Arial" w:cs="Arial"/>
          <w:color w:val="000000" w:themeColor="text1"/>
          <w:sz w:val="18"/>
          <w:szCs w:val="18"/>
        </w:rPr>
        <w:t xml:space="preserve"> na powierzchni, na której ma być ułożona siatka należy stosować emulsję asfaltową modyfikowane </w:t>
      </w:r>
      <w:proofErr w:type="spellStart"/>
      <w:r w:rsidRPr="007B192E">
        <w:rPr>
          <w:rFonts w:ascii="Arial" w:hAnsi="Arial" w:cs="Arial"/>
          <w:color w:val="000000" w:themeColor="text1"/>
          <w:sz w:val="18"/>
          <w:szCs w:val="18"/>
        </w:rPr>
        <w:t>polimeroasfaltami</w:t>
      </w:r>
      <w:proofErr w:type="spellEnd"/>
      <w:r w:rsidRPr="007B192E">
        <w:rPr>
          <w:rFonts w:ascii="Arial" w:hAnsi="Arial" w:cs="Arial"/>
          <w:color w:val="000000" w:themeColor="text1"/>
          <w:sz w:val="18"/>
          <w:szCs w:val="18"/>
        </w:rPr>
        <w:t xml:space="preserve"> o zawartości asfaltu 60% (C60 BP3 ZM lub C60 BP4 ZM) - zgodnych zaleceniami zawartymi w Wymaganiach Technicznych WT-3 Emulsje asfaltowe 2009. </w:t>
      </w:r>
    </w:p>
    <w:p w14:paraId="6850CBC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Siatka zbrojeniowa</w:t>
      </w:r>
    </w:p>
    <w:p w14:paraId="7EA5E60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wykonania robót należy zastosować wyrób złożony z siatki zbrojeniowej wykonanej z kombinacji włókien szklanych i węglowych, przesączanej asfaltem. W celu osiągnięcia właściwego połączenia między warstwami MMA ważne jest aby asfalt przesączający wiązki siatki nie tworzył dodatkowej warstwy poślizgowej. </w:t>
      </w:r>
    </w:p>
    <w:p w14:paraId="3D77AEB5"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Szczegółowe wymagania dotyczące siatki podano w tablicy 1.</w:t>
      </w:r>
    </w:p>
    <w:p w14:paraId="337626E7" w14:textId="77777777" w:rsidR="00F45500" w:rsidRPr="007B192E" w:rsidRDefault="00F45500" w:rsidP="00F45500">
      <w:pPr>
        <w:numPr>
          <w:ilvl w:val="12"/>
          <w:numId w:val="0"/>
        </w:numPr>
        <w:ind w:firstLine="709"/>
        <w:jc w:val="both"/>
        <w:rPr>
          <w:rFonts w:ascii="Arial" w:hAnsi="Arial" w:cs="Arial"/>
          <w:b/>
          <w:color w:val="000000" w:themeColor="text1"/>
          <w:sz w:val="18"/>
          <w:szCs w:val="18"/>
        </w:rPr>
      </w:pPr>
      <w:r w:rsidRPr="007B192E">
        <w:rPr>
          <w:rFonts w:ascii="Arial" w:hAnsi="Arial" w:cs="Arial"/>
          <w:color w:val="000000" w:themeColor="text1"/>
          <w:sz w:val="18"/>
          <w:szCs w:val="18"/>
        </w:rPr>
        <w:t xml:space="preserve"> </w:t>
      </w:r>
    </w:p>
    <w:p w14:paraId="56BF3AE4" w14:textId="77777777" w:rsidR="00F45500" w:rsidRPr="007B192E" w:rsidRDefault="00F45500" w:rsidP="00F45500">
      <w:pPr>
        <w:numPr>
          <w:ilvl w:val="12"/>
          <w:numId w:val="0"/>
        </w:num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Tablica 1  Wymagania dla siatki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51"/>
        <w:gridCol w:w="2070"/>
      </w:tblGrid>
      <w:tr w:rsidR="004D7D23" w:rsidRPr="007B192E" w14:paraId="2F15BAFE" w14:textId="77777777" w:rsidTr="008F7A94">
        <w:trPr>
          <w:jc w:val="center"/>
        </w:trPr>
        <w:tc>
          <w:tcPr>
            <w:tcW w:w="3951" w:type="dxa"/>
          </w:tcPr>
          <w:p w14:paraId="014327E8"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Parametr</w:t>
            </w:r>
          </w:p>
        </w:tc>
        <w:tc>
          <w:tcPr>
            <w:tcW w:w="2070" w:type="dxa"/>
          </w:tcPr>
          <w:p w14:paraId="085E920D"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Wartość</w:t>
            </w:r>
          </w:p>
        </w:tc>
      </w:tr>
      <w:tr w:rsidR="004D7D23" w:rsidRPr="007B192E" w14:paraId="3C4B1E48" w14:textId="77777777" w:rsidTr="008F7A94">
        <w:trPr>
          <w:cantSplit/>
          <w:jc w:val="center"/>
        </w:trPr>
        <w:tc>
          <w:tcPr>
            <w:tcW w:w="3951" w:type="dxa"/>
          </w:tcPr>
          <w:p w14:paraId="6FB35F13"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Materiał</w:t>
            </w:r>
          </w:p>
          <w:p w14:paraId="4F535852"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wszerz</w:t>
            </w:r>
          </w:p>
          <w:p w14:paraId="4B702020"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wzdłuż</w:t>
            </w:r>
          </w:p>
        </w:tc>
        <w:tc>
          <w:tcPr>
            <w:tcW w:w="2070" w:type="dxa"/>
          </w:tcPr>
          <w:p w14:paraId="278D3967" w14:textId="77777777" w:rsidR="00F45500" w:rsidRPr="007B192E" w:rsidRDefault="00F45500" w:rsidP="008F7A94">
            <w:pPr>
              <w:numPr>
                <w:ilvl w:val="12"/>
                <w:numId w:val="0"/>
              </w:numPr>
              <w:jc w:val="both"/>
              <w:rPr>
                <w:rFonts w:ascii="Arial" w:hAnsi="Arial" w:cs="Arial"/>
                <w:color w:val="000000" w:themeColor="text1"/>
                <w:sz w:val="18"/>
                <w:szCs w:val="18"/>
              </w:rPr>
            </w:pPr>
          </w:p>
          <w:p w14:paraId="6FDFECB9"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włókno węglowe</w:t>
            </w:r>
          </w:p>
          <w:p w14:paraId="7C8959E8"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włókno szklane</w:t>
            </w:r>
          </w:p>
        </w:tc>
      </w:tr>
      <w:tr w:rsidR="004D7D23" w:rsidRPr="007B192E" w14:paraId="51F683CF" w14:textId="77777777" w:rsidTr="008F7A94">
        <w:trPr>
          <w:cantSplit/>
          <w:jc w:val="center"/>
        </w:trPr>
        <w:tc>
          <w:tcPr>
            <w:tcW w:w="3951" w:type="dxa"/>
          </w:tcPr>
          <w:p w14:paraId="28D57385"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Wydłużenie graniczne  [%]</w:t>
            </w:r>
          </w:p>
          <w:p w14:paraId="1FBD741C"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wszerz</w:t>
            </w:r>
          </w:p>
          <w:p w14:paraId="421C11E4"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wzdłuż</w:t>
            </w:r>
          </w:p>
        </w:tc>
        <w:tc>
          <w:tcPr>
            <w:tcW w:w="2070" w:type="dxa"/>
          </w:tcPr>
          <w:p w14:paraId="49E728C0" w14:textId="77777777" w:rsidR="00F45500" w:rsidRPr="007B192E" w:rsidRDefault="00F45500" w:rsidP="008F7A94">
            <w:pPr>
              <w:numPr>
                <w:ilvl w:val="12"/>
                <w:numId w:val="0"/>
              </w:numPr>
              <w:jc w:val="both"/>
              <w:rPr>
                <w:rFonts w:ascii="Arial" w:hAnsi="Arial" w:cs="Arial"/>
                <w:color w:val="000000" w:themeColor="text1"/>
                <w:sz w:val="18"/>
                <w:szCs w:val="18"/>
              </w:rPr>
            </w:pPr>
          </w:p>
          <w:p w14:paraId="44132E2F"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max. 1,7</w:t>
            </w:r>
          </w:p>
          <w:p w14:paraId="2EDF9226"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max. 3,0</w:t>
            </w:r>
          </w:p>
        </w:tc>
      </w:tr>
      <w:tr w:rsidR="004D7D23" w:rsidRPr="007B192E" w14:paraId="28E6729D" w14:textId="77777777" w:rsidTr="008F7A94">
        <w:trPr>
          <w:cantSplit/>
          <w:jc w:val="center"/>
        </w:trPr>
        <w:tc>
          <w:tcPr>
            <w:tcW w:w="3951" w:type="dxa"/>
          </w:tcPr>
          <w:p w14:paraId="792B8B64"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Ilość wiązek włókna na 1 </w:t>
            </w:r>
            <w:proofErr w:type="spellStart"/>
            <w:r w:rsidRPr="007B192E">
              <w:rPr>
                <w:rFonts w:ascii="Arial" w:hAnsi="Arial" w:cs="Arial"/>
                <w:color w:val="000000" w:themeColor="text1"/>
                <w:sz w:val="18"/>
                <w:szCs w:val="18"/>
              </w:rPr>
              <w:t>mb</w:t>
            </w:r>
            <w:proofErr w:type="spellEnd"/>
            <w:r w:rsidRPr="007B192E">
              <w:rPr>
                <w:rFonts w:ascii="Arial" w:hAnsi="Arial" w:cs="Arial"/>
                <w:color w:val="000000" w:themeColor="text1"/>
                <w:sz w:val="18"/>
                <w:szCs w:val="18"/>
              </w:rPr>
              <w:t>:</w:t>
            </w:r>
          </w:p>
          <w:p w14:paraId="168F6A73"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wszerz</w:t>
            </w:r>
          </w:p>
          <w:p w14:paraId="16F37FA4"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wzdłuż</w:t>
            </w:r>
          </w:p>
        </w:tc>
        <w:tc>
          <w:tcPr>
            <w:tcW w:w="2070" w:type="dxa"/>
          </w:tcPr>
          <w:p w14:paraId="16748375" w14:textId="77777777" w:rsidR="00F45500" w:rsidRPr="007B192E" w:rsidRDefault="00F45500" w:rsidP="008F7A94">
            <w:pPr>
              <w:numPr>
                <w:ilvl w:val="12"/>
                <w:numId w:val="0"/>
              </w:numPr>
              <w:jc w:val="both"/>
              <w:rPr>
                <w:rFonts w:ascii="Arial" w:hAnsi="Arial" w:cs="Arial"/>
                <w:color w:val="000000" w:themeColor="text1"/>
                <w:sz w:val="18"/>
                <w:szCs w:val="18"/>
              </w:rPr>
            </w:pPr>
          </w:p>
          <w:p w14:paraId="0EE3E0EB"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52 +/- 2</w:t>
            </w:r>
          </w:p>
          <w:p w14:paraId="573860CD"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52 +/- 2</w:t>
            </w:r>
          </w:p>
        </w:tc>
      </w:tr>
      <w:tr w:rsidR="004D7D23" w:rsidRPr="007B192E" w14:paraId="765CF1A8" w14:textId="77777777" w:rsidTr="008F7A94">
        <w:trPr>
          <w:cantSplit/>
          <w:jc w:val="center"/>
        </w:trPr>
        <w:tc>
          <w:tcPr>
            <w:tcW w:w="3951" w:type="dxa"/>
          </w:tcPr>
          <w:p w14:paraId="2BC7B838"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Wytrzymałość na rozciąganie [</w:t>
            </w:r>
            <w:proofErr w:type="spellStart"/>
            <w:r w:rsidRPr="007B192E">
              <w:rPr>
                <w:rFonts w:ascii="Arial" w:hAnsi="Arial" w:cs="Arial"/>
                <w:color w:val="000000" w:themeColor="text1"/>
                <w:sz w:val="18"/>
                <w:szCs w:val="18"/>
              </w:rPr>
              <w:t>kN</w:t>
            </w:r>
            <w:proofErr w:type="spellEnd"/>
            <w:r w:rsidRPr="007B192E">
              <w:rPr>
                <w:rFonts w:ascii="Arial" w:hAnsi="Arial" w:cs="Arial"/>
                <w:color w:val="000000" w:themeColor="text1"/>
                <w:sz w:val="18"/>
                <w:szCs w:val="18"/>
              </w:rPr>
              <w:t>/m]</w:t>
            </w:r>
          </w:p>
          <w:p w14:paraId="27F30540"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wszerz</w:t>
            </w:r>
          </w:p>
          <w:p w14:paraId="311D37FA" w14:textId="77777777" w:rsidR="00F45500" w:rsidRPr="007B192E" w:rsidRDefault="00F45500" w:rsidP="00BA5651">
            <w:pPr>
              <w:widowControl/>
              <w:numPr>
                <w:ilvl w:val="0"/>
                <w:numId w:val="248"/>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wzdłuż</w:t>
            </w:r>
          </w:p>
        </w:tc>
        <w:tc>
          <w:tcPr>
            <w:tcW w:w="2070" w:type="dxa"/>
          </w:tcPr>
          <w:p w14:paraId="48F92F7C" w14:textId="77777777" w:rsidR="00F45500" w:rsidRPr="007B192E" w:rsidRDefault="00F45500" w:rsidP="008F7A94">
            <w:pPr>
              <w:numPr>
                <w:ilvl w:val="12"/>
                <w:numId w:val="0"/>
              </w:numPr>
              <w:jc w:val="both"/>
              <w:rPr>
                <w:rFonts w:ascii="Arial" w:hAnsi="Arial" w:cs="Arial"/>
                <w:color w:val="000000" w:themeColor="text1"/>
                <w:sz w:val="18"/>
                <w:szCs w:val="18"/>
              </w:rPr>
            </w:pPr>
          </w:p>
          <w:p w14:paraId="1A9F94B2"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min. 200</w:t>
            </w:r>
          </w:p>
          <w:p w14:paraId="771832AC"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min. 100</w:t>
            </w:r>
          </w:p>
        </w:tc>
      </w:tr>
      <w:tr w:rsidR="004D7D23" w:rsidRPr="007B192E" w14:paraId="7F62D7B6" w14:textId="77777777" w:rsidTr="008F7A94">
        <w:trPr>
          <w:cantSplit/>
          <w:jc w:val="center"/>
        </w:trPr>
        <w:tc>
          <w:tcPr>
            <w:tcW w:w="6021" w:type="dxa"/>
            <w:gridSpan w:val="2"/>
          </w:tcPr>
          <w:p w14:paraId="66AFBFED"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Wiązki włókien przesączone asfaltem w całej objętości</w:t>
            </w:r>
          </w:p>
        </w:tc>
      </w:tr>
      <w:tr w:rsidR="004D7D23" w:rsidRPr="007B192E" w14:paraId="597CF839" w14:textId="77777777" w:rsidTr="008F7A94">
        <w:trPr>
          <w:cantSplit/>
          <w:jc w:val="center"/>
        </w:trPr>
        <w:tc>
          <w:tcPr>
            <w:tcW w:w="6021" w:type="dxa"/>
            <w:gridSpan w:val="2"/>
          </w:tcPr>
          <w:p w14:paraId="0DFA618C"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Wymagania dla asfaltu przesączającego siatkę</w:t>
            </w:r>
          </w:p>
        </w:tc>
      </w:tr>
      <w:tr w:rsidR="004D7D23" w:rsidRPr="007B192E" w14:paraId="64A0E727" w14:textId="77777777" w:rsidTr="008F7A94">
        <w:trPr>
          <w:cantSplit/>
          <w:jc w:val="center"/>
        </w:trPr>
        <w:tc>
          <w:tcPr>
            <w:tcW w:w="3951" w:type="dxa"/>
          </w:tcPr>
          <w:p w14:paraId="2A4B7DAC"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Penetracja w 25</w:t>
            </w:r>
            <w:r w:rsidRPr="007B192E">
              <w:rPr>
                <w:rFonts w:ascii="Arial" w:hAnsi="Arial" w:cs="Arial"/>
                <w:color w:val="000000" w:themeColor="text1"/>
                <w:sz w:val="18"/>
                <w:szCs w:val="18"/>
                <w:vertAlign w:val="superscript"/>
              </w:rPr>
              <w:t>0</w:t>
            </w:r>
            <w:r w:rsidRPr="007B192E">
              <w:rPr>
                <w:rFonts w:ascii="Arial" w:hAnsi="Arial" w:cs="Arial"/>
                <w:color w:val="000000" w:themeColor="text1"/>
                <w:sz w:val="18"/>
                <w:szCs w:val="18"/>
              </w:rPr>
              <w:t xml:space="preserve">C [0,1 mm] </w:t>
            </w:r>
          </w:p>
        </w:tc>
        <w:tc>
          <w:tcPr>
            <w:tcW w:w="2070" w:type="dxa"/>
          </w:tcPr>
          <w:p w14:paraId="2D20F698"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max. 50</w:t>
            </w:r>
          </w:p>
        </w:tc>
      </w:tr>
      <w:tr w:rsidR="004D7D23" w:rsidRPr="007B192E" w14:paraId="65DAFE35" w14:textId="77777777" w:rsidTr="008F7A94">
        <w:trPr>
          <w:cantSplit/>
          <w:jc w:val="center"/>
        </w:trPr>
        <w:tc>
          <w:tcPr>
            <w:tcW w:w="3951" w:type="dxa"/>
          </w:tcPr>
          <w:p w14:paraId="0BD0BD61"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Temperatura mięknienia [</w:t>
            </w:r>
            <w:r w:rsidRPr="007B192E">
              <w:rPr>
                <w:rFonts w:ascii="Arial" w:hAnsi="Arial" w:cs="Arial"/>
                <w:color w:val="000000" w:themeColor="text1"/>
                <w:sz w:val="18"/>
                <w:szCs w:val="18"/>
                <w:vertAlign w:val="superscript"/>
              </w:rPr>
              <w:t>0</w:t>
            </w:r>
            <w:r w:rsidRPr="007B192E">
              <w:rPr>
                <w:rFonts w:ascii="Arial" w:hAnsi="Arial" w:cs="Arial"/>
                <w:color w:val="000000" w:themeColor="text1"/>
                <w:sz w:val="18"/>
                <w:szCs w:val="18"/>
              </w:rPr>
              <w:t>C]</w:t>
            </w:r>
          </w:p>
        </w:tc>
        <w:tc>
          <w:tcPr>
            <w:tcW w:w="2070" w:type="dxa"/>
          </w:tcPr>
          <w:p w14:paraId="61FDEF87"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min. 90</w:t>
            </w:r>
          </w:p>
        </w:tc>
      </w:tr>
      <w:tr w:rsidR="00F45500" w:rsidRPr="007B192E" w14:paraId="66B7AF70" w14:textId="77777777" w:rsidTr="008F7A94">
        <w:trPr>
          <w:cantSplit/>
          <w:jc w:val="center"/>
        </w:trPr>
        <w:tc>
          <w:tcPr>
            <w:tcW w:w="3951" w:type="dxa"/>
          </w:tcPr>
          <w:p w14:paraId="1D57343D"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Temperatura łamliwości [</w:t>
            </w:r>
            <w:r w:rsidRPr="007B192E">
              <w:rPr>
                <w:rFonts w:ascii="Arial" w:hAnsi="Arial" w:cs="Arial"/>
                <w:color w:val="000000" w:themeColor="text1"/>
                <w:sz w:val="18"/>
                <w:szCs w:val="18"/>
                <w:vertAlign w:val="superscript"/>
              </w:rPr>
              <w:t>0</w:t>
            </w:r>
            <w:r w:rsidRPr="007B192E">
              <w:rPr>
                <w:rFonts w:ascii="Arial" w:hAnsi="Arial" w:cs="Arial"/>
                <w:color w:val="000000" w:themeColor="text1"/>
                <w:sz w:val="18"/>
                <w:szCs w:val="18"/>
              </w:rPr>
              <w:t>C]</w:t>
            </w:r>
          </w:p>
        </w:tc>
        <w:tc>
          <w:tcPr>
            <w:tcW w:w="2070" w:type="dxa"/>
          </w:tcPr>
          <w:p w14:paraId="357BBABD"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max.-20</w:t>
            </w:r>
          </w:p>
        </w:tc>
      </w:tr>
    </w:tbl>
    <w:p w14:paraId="2FD2402B" w14:textId="77777777" w:rsidR="00F45500" w:rsidRPr="007B192E" w:rsidRDefault="00F45500" w:rsidP="00F45500">
      <w:pPr>
        <w:numPr>
          <w:ilvl w:val="12"/>
          <w:numId w:val="0"/>
        </w:numPr>
        <w:ind w:left="283" w:hanging="283"/>
        <w:jc w:val="both"/>
        <w:rPr>
          <w:rFonts w:ascii="Arial" w:hAnsi="Arial" w:cs="Arial"/>
          <w:b/>
          <w:color w:val="000000" w:themeColor="text1"/>
          <w:sz w:val="18"/>
          <w:szCs w:val="18"/>
        </w:rPr>
      </w:pPr>
    </w:p>
    <w:p w14:paraId="2FF47B5A" w14:textId="77777777" w:rsidR="00F45500" w:rsidRPr="007B192E" w:rsidRDefault="00F45500" w:rsidP="00F45500">
      <w:pPr>
        <w:numPr>
          <w:ilvl w:val="12"/>
          <w:numId w:val="0"/>
        </w:numPr>
        <w:ind w:left="283" w:hanging="283"/>
        <w:jc w:val="both"/>
        <w:rPr>
          <w:rFonts w:ascii="Arial" w:hAnsi="Arial" w:cs="Arial"/>
          <w:color w:val="000000" w:themeColor="text1"/>
          <w:sz w:val="18"/>
          <w:szCs w:val="18"/>
        </w:rPr>
      </w:pPr>
      <w:r w:rsidRPr="007B192E">
        <w:rPr>
          <w:rFonts w:ascii="Arial" w:hAnsi="Arial" w:cs="Arial"/>
          <w:color w:val="000000" w:themeColor="text1"/>
          <w:sz w:val="18"/>
          <w:szCs w:val="18"/>
        </w:rPr>
        <w:t>Siatka powinna być produkowana zgodnie z wymaganiami Normy PN-EN 15381.</w:t>
      </w:r>
      <w:r w:rsidRPr="007B192E">
        <w:rPr>
          <w:rFonts w:ascii="Arial" w:hAnsi="Arial" w:cs="Arial"/>
          <w:color w:val="000000" w:themeColor="text1"/>
          <w:sz w:val="18"/>
          <w:szCs w:val="18"/>
        </w:rPr>
        <w:tab/>
        <w:t xml:space="preserve">   </w:t>
      </w:r>
    </w:p>
    <w:p w14:paraId="512CFB58" w14:textId="77777777" w:rsidR="00F45500" w:rsidRPr="007B192E" w:rsidRDefault="00F45500" w:rsidP="00F45500">
      <w:pPr>
        <w:numPr>
          <w:ilvl w:val="12"/>
          <w:numId w:val="0"/>
        </w:numPr>
        <w:jc w:val="both"/>
        <w:rPr>
          <w:rFonts w:ascii="Arial" w:hAnsi="Arial" w:cs="Arial"/>
          <w:color w:val="000000" w:themeColor="text1"/>
          <w:sz w:val="18"/>
          <w:szCs w:val="18"/>
        </w:rPr>
      </w:pPr>
    </w:p>
    <w:p w14:paraId="45B33C08"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Przed układaniem siatki, Wykonawca robót, winien przedstawić do akceptacji Inspektorowi Nadzoru rodzaj układanej siatki oraz deklarację właściwości użytkowych tego wyrobu.  </w:t>
      </w:r>
    </w:p>
    <w:p w14:paraId="0812C950" w14:textId="77777777" w:rsidR="00F45500" w:rsidRPr="007B192E" w:rsidRDefault="002562DC" w:rsidP="00B9283B">
      <w:pPr>
        <w:pStyle w:val="Nagwek2"/>
        <w:rPr>
          <w:i w:val="0"/>
          <w:color w:val="000000" w:themeColor="text1"/>
        </w:rPr>
      </w:pPr>
      <w:bookmarkStart w:id="328" w:name="_Toc37343274"/>
      <w:r w:rsidRPr="007B192E">
        <w:rPr>
          <w:i w:val="0"/>
          <w:color w:val="000000" w:themeColor="text1"/>
        </w:rPr>
        <w:t>3.  SPRZĘT</w:t>
      </w:r>
      <w:bookmarkEnd w:id="328"/>
    </w:p>
    <w:p w14:paraId="53C1C3B3" w14:textId="77777777" w:rsidR="00F45500" w:rsidRPr="007B192E" w:rsidRDefault="00F45500" w:rsidP="00F45500">
      <w:pPr>
        <w:pStyle w:val="tablica"/>
        <w:numPr>
          <w:ilvl w:val="12"/>
          <w:numId w:val="0"/>
        </w:numPr>
        <w:spacing w:after="20"/>
        <w:rPr>
          <w:rFonts w:ascii="Arial" w:hAnsi="Arial" w:cs="Arial"/>
          <w:b w:val="0"/>
          <w:snapToGrid w:val="0"/>
          <w:color w:val="000000" w:themeColor="text1"/>
          <w:sz w:val="18"/>
          <w:szCs w:val="18"/>
          <w:lang w:val="pl-PL"/>
        </w:rPr>
      </w:pPr>
      <w:r w:rsidRPr="007B192E">
        <w:rPr>
          <w:rFonts w:ascii="Arial" w:hAnsi="Arial" w:cs="Arial"/>
          <w:b w:val="0"/>
          <w:snapToGrid w:val="0"/>
          <w:color w:val="000000" w:themeColor="text1"/>
          <w:sz w:val="18"/>
          <w:szCs w:val="18"/>
          <w:lang w:val="pl-PL"/>
        </w:rPr>
        <w:t>Ogólne wymagania dotyczące sprzętu podano w ST D-M.00.00.00. "Wymagania Ogólne" pkt. 3.</w:t>
      </w:r>
    </w:p>
    <w:p w14:paraId="4B7D885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wykonania robót powinien być stosowany sprzęt zaakceptowany przez Kierownika Projektu. Należy stosować: </w:t>
      </w:r>
    </w:p>
    <w:p w14:paraId="29E52590"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skrapiarkę do wykonania skropienia emulsją asfaltową, </w:t>
      </w:r>
    </w:p>
    <w:p w14:paraId="56DECD9E"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urządzenie do maszynowego rozkładania siatki (w przypadku znacznej powierzchni robót) wraz z maszyną transportową (sztaplarka, ładowarka z osprzętem itp.),</w:t>
      </w:r>
    </w:p>
    <w:p w14:paraId="3C830B1A"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narzędzia tnące (noże, nożyce itp.), </w:t>
      </w:r>
    </w:p>
    <w:p w14:paraId="0A4DC315"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ręczne palniki gazowe. </w:t>
      </w:r>
    </w:p>
    <w:p w14:paraId="6441BFEA" w14:textId="77777777" w:rsidR="00F45500" w:rsidRPr="007B192E" w:rsidRDefault="002562DC" w:rsidP="00B9283B">
      <w:pPr>
        <w:pStyle w:val="Nagwek2"/>
        <w:rPr>
          <w:i w:val="0"/>
          <w:color w:val="000000" w:themeColor="text1"/>
        </w:rPr>
      </w:pPr>
      <w:bookmarkStart w:id="329" w:name="_Toc37343275"/>
      <w:r w:rsidRPr="007B192E">
        <w:rPr>
          <w:i w:val="0"/>
          <w:color w:val="000000" w:themeColor="text1"/>
        </w:rPr>
        <w:t>4.  TRANSPORT</w:t>
      </w:r>
      <w:bookmarkEnd w:id="329"/>
      <w:r w:rsidRPr="007B192E">
        <w:rPr>
          <w:i w:val="0"/>
          <w:color w:val="000000" w:themeColor="text1"/>
        </w:rPr>
        <w:t xml:space="preserve"> I MAGAZYNOWANIE</w:t>
      </w:r>
    </w:p>
    <w:p w14:paraId="496C5231" w14:textId="77777777" w:rsidR="00F45500" w:rsidRPr="007B192E" w:rsidRDefault="00F45500" w:rsidP="00F45500">
      <w:pPr>
        <w:numPr>
          <w:ilvl w:val="12"/>
          <w:numId w:val="0"/>
        </w:num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Ogólne warunki dotyczące transportu podano w ST D-M.00.00.00. "Wymagania Ogólne" punkt 4.</w:t>
      </w:r>
    </w:p>
    <w:p w14:paraId="5B9A0800"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Siatkę należy transportować i magazynować w rolkach opakowanych fabrycznie, ułożonych poziomo na równym podłożu i w sposób zabezpieczający przed opadami atmosferycznymi i mechanicznymi uszkodzeniami. </w:t>
      </w:r>
    </w:p>
    <w:p w14:paraId="3F31DEE9" w14:textId="77777777" w:rsidR="00F45500" w:rsidRPr="007B192E" w:rsidRDefault="002562DC" w:rsidP="00B9283B">
      <w:pPr>
        <w:pStyle w:val="Nagwek2"/>
        <w:rPr>
          <w:i w:val="0"/>
          <w:color w:val="000000" w:themeColor="text1"/>
        </w:rPr>
      </w:pPr>
      <w:bookmarkStart w:id="330" w:name="_Toc37343276"/>
      <w:r w:rsidRPr="007B192E">
        <w:rPr>
          <w:i w:val="0"/>
          <w:color w:val="000000" w:themeColor="text1"/>
        </w:rPr>
        <w:t>5.  WYKONANIE ROBÓT</w:t>
      </w:r>
      <w:bookmarkEnd w:id="330"/>
    </w:p>
    <w:p w14:paraId="77417499" w14:textId="77777777" w:rsidR="00F45500" w:rsidRPr="007B192E" w:rsidRDefault="00F45500" w:rsidP="00F45500">
      <w:pPr>
        <w:numPr>
          <w:ilvl w:val="12"/>
          <w:numId w:val="0"/>
        </w:num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Ogólne zasady wykonania robót podano w ST D-M.00.00.00. "Wymagania Ogólne" pkt. 5.</w:t>
      </w:r>
    </w:p>
    <w:p w14:paraId="2522F74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Wbudowanie siatki</w:t>
      </w:r>
    </w:p>
    <w:p w14:paraId="49748B8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Dla zapewnienia właściwego zespolenia z warstwami asfaltowymi siatki wstępnie przesączanej asfaltem, siatkę należy rozkładać „na gorąco” ze wstępnym sklejeniem siatki z podłożem.</w:t>
      </w:r>
    </w:p>
    <w:p w14:paraId="171A5B45" w14:textId="77777777" w:rsidR="00F45500" w:rsidRPr="007B192E" w:rsidRDefault="00F45500" w:rsidP="00F45500">
      <w:pPr>
        <w:jc w:val="both"/>
        <w:rPr>
          <w:rFonts w:ascii="Arial" w:hAnsi="Arial" w:cs="Arial"/>
          <w:color w:val="000000" w:themeColor="text1"/>
          <w:sz w:val="18"/>
          <w:szCs w:val="18"/>
        </w:rPr>
      </w:pPr>
    </w:p>
    <w:p w14:paraId="692C1EA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Podłoże:</w:t>
      </w:r>
    </w:p>
    <w:p w14:paraId="5CA0325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Stabilne (nośne) nawierzchnie bitumiczne zarówno nowo wykonane jak i stare. Powierzchnię podłoża należy oczyścić i usunąć wszelkie luźne części. Lokalne ubytki lub szczeliny w podłożu o rozwartości powyżej 4 mm muszą być wypełnione lub naprawione odpowiednimi masami naprawczymi. Tak przygotowane podłoże należy skropić emulsją asfaltową modyfikowaną </w:t>
      </w:r>
      <w:proofErr w:type="spellStart"/>
      <w:r w:rsidRPr="007B192E">
        <w:rPr>
          <w:rFonts w:ascii="Arial" w:hAnsi="Arial" w:cs="Arial"/>
          <w:color w:val="000000" w:themeColor="text1"/>
          <w:sz w:val="18"/>
          <w:szCs w:val="18"/>
        </w:rPr>
        <w:t>polimeroasfaltami</w:t>
      </w:r>
      <w:proofErr w:type="spellEnd"/>
      <w:r w:rsidRPr="007B192E">
        <w:rPr>
          <w:rFonts w:ascii="Arial" w:hAnsi="Arial" w:cs="Arial"/>
          <w:color w:val="000000" w:themeColor="text1"/>
          <w:sz w:val="18"/>
          <w:szCs w:val="18"/>
        </w:rPr>
        <w:t>  (C60BP3 ZM lub C60 BP4 ZM) w ilości od około 0,25-0,30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Przy skropieniu lepiszczem asfaltowym na gorąco – ilość 0,15 - 0,2 kg/m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 przypadku podłoży frezowanych skropienie powinno być intensywniejsze o ok. 50%. W szczególnych przypadkach dopuszcza się skropienie  kationową emulsją asfaltową C60 B3 ZM lub C60 B4 ZM w ilości jak dla emulsji modyfikowanej </w:t>
      </w:r>
      <w:proofErr w:type="spellStart"/>
      <w:r w:rsidRPr="007B192E">
        <w:rPr>
          <w:rFonts w:ascii="Arial" w:hAnsi="Arial" w:cs="Arial"/>
          <w:color w:val="000000" w:themeColor="text1"/>
          <w:sz w:val="18"/>
          <w:szCs w:val="18"/>
        </w:rPr>
        <w:t>polimeroasfaltem</w:t>
      </w:r>
      <w:proofErr w:type="spellEnd"/>
      <w:r w:rsidRPr="007B192E">
        <w:rPr>
          <w:rFonts w:ascii="Arial" w:hAnsi="Arial" w:cs="Arial"/>
          <w:color w:val="000000" w:themeColor="text1"/>
          <w:sz w:val="18"/>
          <w:szCs w:val="18"/>
        </w:rPr>
        <w:t xml:space="preserve">. Należy przestrzegać ogólnych zasad wykonania skropienia, obowiązujących przy wykonywaniu połączenia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t xml:space="preserve"> podanych w Wymaganiach Technicznych WT-2 Nawierzchnie asfaltowe 2014. zwracając szczególną uwagę na równomierność pokrycia powierzchni.</w:t>
      </w:r>
    </w:p>
    <w:p w14:paraId="08B95A94" w14:textId="77777777" w:rsidR="00F45500" w:rsidRPr="007B192E" w:rsidRDefault="00F45500" w:rsidP="00F45500">
      <w:pPr>
        <w:numPr>
          <w:ilvl w:val="12"/>
          <w:numId w:val="0"/>
        </w:numPr>
        <w:jc w:val="both"/>
        <w:rPr>
          <w:rFonts w:ascii="Arial" w:hAnsi="Arial" w:cs="Arial"/>
          <w:color w:val="000000" w:themeColor="text1"/>
          <w:sz w:val="18"/>
          <w:szCs w:val="18"/>
        </w:rPr>
      </w:pPr>
    </w:p>
    <w:p w14:paraId="49D4A11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Ułożenie siatki:</w:t>
      </w:r>
    </w:p>
    <w:p w14:paraId="7D354B44" w14:textId="77777777" w:rsidR="00F45500" w:rsidRPr="007B192E" w:rsidRDefault="00F45500" w:rsidP="00F45500">
      <w:pPr>
        <w:spacing w:line="260"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Siatkę można rozkładać zarówno ręcznie jak i maszynowo, w technologii ułożenia na gorąco ze wstępnym przyklejeniem do podłoża. Warstwę siatki należy rozkładać na całej powierzchni wzmacnianego odcinka lub pasami o szerokości nie mniejszej niż 1,95 m. </w:t>
      </w:r>
    </w:p>
    <w:p w14:paraId="00957455" w14:textId="77777777" w:rsidR="00F45500" w:rsidRPr="007B192E" w:rsidRDefault="00F45500" w:rsidP="00F45500">
      <w:pPr>
        <w:spacing w:line="260"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Rozłożenie siatki może nastąpić dopiero po przeschnięciu warstwy skropienia, do takiego stopnia, aby była lekko klejąca się, ale nie przywierała. </w:t>
      </w:r>
    </w:p>
    <w:p w14:paraId="009C817A" w14:textId="77777777" w:rsidR="00F45500" w:rsidRPr="007B192E" w:rsidRDefault="00F45500" w:rsidP="00F45500">
      <w:pPr>
        <w:spacing w:line="260"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Siatkę układa się na podłożu z jednoczesnym podgrzewaniem. Podczas procesu rozkładania, </w:t>
      </w:r>
      <w:proofErr w:type="spellStart"/>
      <w:r w:rsidRPr="007B192E">
        <w:rPr>
          <w:rFonts w:ascii="Arial" w:hAnsi="Arial" w:cs="Arial"/>
          <w:color w:val="000000" w:themeColor="text1"/>
          <w:sz w:val="18"/>
          <w:szCs w:val="18"/>
        </w:rPr>
        <w:t>mikrofolia</w:t>
      </w:r>
      <w:proofErr w:type="spellEnd"/>
      <w:r w:rsidRPr="007B192E">
        <w:rPr>
          <w:rFonts w:ascii="Arial" w:hAnsi="Arial" w:cs="Arial"/>
          <w:color w:val="000000" w:themeColor="text1"/>
          <w:sz w:val="18"/>
          <w:szCs w:val="18"/>
        </w:rPr>
        <w:t xml:space="preserve"> od spodu siatki ma być całkowicie stopiona, a powłoka bitumiczna siatki winna być nagrzana. W przypadku aplikacji ręcznej warstwę folii należy stopić gazowym palnikiem ręcznym; </w:t>
      </w:r>
      <w:r w:rsidRPr="007B192E">
        <w:rPr>
          <w:rFonts w:ascii="Arial" w:hAnsi="Arial" w:cs="Arial"/>
          <w:color w:val="000000" w:themeColor="text1"/>
          <w:sz w:val="18"/>
          <w:szCs w:val="18"/>
        </w:rPr>
        <w:br/>
        <w:t xml:space="preserve">w przypadku rozkładania maszynowego warstwa ta jest topiona przez palniki zabudowane </w:t>
      </w:r>
      <w:r w:rsidRPr="007B192E">
        <w:rPr>
          <w:rFonts w:ascii="Arial" w:hAnsi="Arial" w:cs="Arial"/>
          <w:color w:val="000000" w:themeColor="text1"/>
          <w:sz w:val="18"/>
          <w:szCs w:val="18"/>
        </w:rPr>
        <w:br/>
      </w:r>
      <w:r w:rsidRPr="007B192E">
        <w:rPr>
          <w:rFonts w:ascii="Arial" w:hAnsi="Arial" w:cs="Arial"/>
          <w:color w:val="000000" w:themeColor="text1"/>
          <w:sz w:val="18"/>
          <w:szCs w:val="18"/>
        </w:rPr>
        <w:lastRenderedPageBreak/>
        <w:t xml:space="preserve">w urządzeniu rozkładającym. Palniki i prędkość przejazdu maszyny należy tak regulować aby nie dopuścić do przegrzewania siatki (przypalania powłoki z wydzielaniem dymu ). W przypadku rozkładania ręcznego należy docisnąć warstwę siatki poprzez przejazd lekkiego walca. W przypadku rozkładania maszynowego nie jest to wymagane a w przypadku podłoży frezowanych nie zalecane. Nie jest wymagane dodatkowe </w:t>
      </w:r>
      <w:proofErr w:type="spellStart"/>
      <w:r w:rsidRPr="007B192E">
        <w:rPr>
          <w:rFonts w:ascii="Arial" w:hAnsi="Arial" w:cs="Arial"/>
          <w:color w:val="000000" w:themeColor="text1"/>
          <w:sz w:val="18"/>
          <w:szCs w:val="18"/>
        </w:rPr>
        <w:t>kotwienie</w:t>
      </w:r>
      <w:proofErr w:type="spellEnd"/>
      <w:r w:rsidRPr="007B192E">
        <w:rPr>
          <w:rFonts w:ascii="Arial" w:hAnsi="Arial" w:cs="Arial"/>
          <w:color w:val="000000" w:themeColor="text1"/>
          <w:sz w:val="18"/>
          <w:szCs w:val="18"/>
        </w:rPr>
        <w:t xml:space="preserve"> siatki zbrojeniowej do podłoża.</w:t>
      </w:r>
    </w:p>
    <w:p w14:paraId="0F1FD953" w14:textId="77777777" w:rsidR="00F45500" w:rsidRPr="007B192E" w:rsidRDefault="00F45500" w:rsidP="00F45500">
      <w:pPr>
        <w:spacing w:line="260"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Siatkę należy układać „na zakład” o szerokości min. 10 cm. Dotyczy to zarówno połączeń podłużnych jak i poprzecznych.  Docinanie siatki na żądany wymiar zarówno w kierunku podłużnym jak </w:t>
      </w:r>
      <w:r w:rsidRPr="007B192E">
        <w:rPr>
          <w:rFonts w:ascii="Arial" w:hAnsi="Arial" w:cs="Arial"/>
          <w:color w:val="000000" w:themeColor="text1"/>
          <w:sz w:val="18"/>
          <w:szCs w:val="18"/>
        </w:rPr>
        <w:br/>
        <w:t xml:space="preserve">i poprzecznym może się odbywać przy wykorzystaniu zarówno przyrządów ręcznych jak i z wykorzystaniem mechanicznych urządzeń tnących (szlifierki kątowe itp.). </w:t>
      </w:r>
    </w:p>
    <w:p w14:paraId="53E1066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Po rozłożonej warstwie siatki przygotowanej do przykrycia warstwą bitumiczną nawierzchni może odbywać się ruch pojazdów używanych do układania tej warstwy. W szczególnych przypadkach dopuszcza się także ogólny ruch kołowy w ograniczonym zakresie, zarówno co prędkości jak i tonażu pojazdów.</w:t>
      </w:r>
    </w:p>
    <w:p w14:paraId="7ABE6B6C" w14:textId="77777777" w:rsidR="00F45500" w:rsidRPr="007B192E" w:rsidRDefault="00F45500" w:rsidP="00F45500">
      <w:pPr>
        <w:jc w:val="both"/>
        <w:rPr>
          <w:rFonts w:ascii="Arial" w:hAnsi="Arial" w:cs="Arial"/>
          <w:color w:val="000000" w:themeColor="text1"/>
          <w:sz w:val="18"/>
          <w:szCs w:val="18"/>
        </w:rPr>
      </w:pPr>
    </w:p>
    <w:p w14:paraId="762C0EF5"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Mieszanki </w:t>
      </w:r>
      <w:proofErr w:type="spellStart"/>
      <w:r w:rsidRPr="007B192E">
        <w:rPr>
          <w:rFonts w:ascii="Arial" w:hAnsi="Arial" w:cs="Arial"/>
          <w:color w:val="000000" w:themeColor="text1"/>
          <w:sz w:val="18"/>
          <w:szCs w:val="18"/>
        </w:rPr>
        <w:t>mineralno</w:t>
      </w:r>
      <w:proofErr w:type="spellEnd"/>
      <w:r w:rsidRPr="007B192E">
        <w:rPr>
          <w:rFonts w:ascii="Arial" w:hAnsi="Arial" w:cs="Arial"/>
          <w:color w:val="000000" w:themeColor="text1"/>
          <w:sz w:val="18"/>
          <w:szCs w:val="18"/>
        </w:rPr>
        <w:t xml:space="preserve"> – asfaltowe przykrywające siatkę powinny być układane mechanicznie z zachowaniem  minimalnej grubości 20 mm po zagęszczeniu.</w:t>
      </w:r>
    </w:p>
    <w:p w14:paraId="1346CF9B"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Siatka może być wbudowana bezpośrednio pod warstwę ścieralną (na warstwie wiążącej), wówczas zalecane jest zwiększenie minimalnej grubości przykrycia do 25 mm po zagęszczeniu.</w:t>
      </w:r>
    </w:p>
    <w:p w14:paraId="1E9737DD" w14:textId="77777777" w:rsidR="00F45500" w:rsidRPr="007B192E" w:rsidRDefault="00F45500" w:rsidP="00F45500">
      <w:pPr>
        <w:numPr>
          <w:ilvl w:val="12"/>
          <w:numId w:val="0"/>
        </w:numPr>
        <w:jc w:val="both"/>
        <w:rPr>
          <w:rFonts w:ascii="Arial" w:hAnsi="Arial" w:cs="Arial"/>
          <w:color w:val="000000" w:themeColor="text1"/>
          <w:sz w:val="18"/>
          <w:szCs w:val="18"/>
        </w:rPr>
      </w:pPr>
    </w:p>
    <w:p w14:paraId="2A46E8DC"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Po ułożeniu na siatce nowej warstwy mieszanki mineralno-asfaltowej, w celu zapewnienia zakładanej trwałości zmęczeniowej nawierzchni, zaleca się wykonanie pomiaru połączenie </w:t>
      </w:r>
      <w:proofErr w:type="spellStart"/>
      <w:r w:rsidRPr="007B192E">
        <w:rPr>
          <w:rFonts w:ascii="Arial" w:hAnsi="Arial" w:cs="Arial"/>
          <w:color w:val="000000" w:themeColor="text1"/>
          <w:sz w:val="18"/>
          <w:szCs w:val="18"/>
        </w:rPr>
        <w:t>międzywarstwowego</w:t>
      </w:r>
      <w:proofErr w:type="spellEnd"/>
      <w:r w:rsidRPr="007B192E">
        <w:rPr>
          <w:rFonts w:ascii="Arial" w:hAnsi="Arial" w:cs="Arial"/>
          <w:color w:val="000000" w:themeColor="text1"/>
          <w:sz w:val="18"/>
          <w:szCs w:val="18"/>
        </w:rPr>
        <w:br/>
        <w:t xml:space="preserve">np. metodą </w:t>
      </w:r>
      <w:proofErr w:type="spellStart"/>
      <w:r w:rsidRPr="007B192E">
        <w:rPr>
          <w:rFonts w:ascii="Arial" w:hAnsi="Arial" w:cs="Arial"/>
          <w:color w:val="000000" w:themeColor="text1"/>
          <w:sz w:val="18"/>
          <w:szCs w:val="18"/>
        </w:rPr>
        <w:t>Leutnera</w:t>
      </w:r>
      <w:proofErr w:type="spellEnd"/>
      <w:r w:rsidRPr="007B192E">
        <w:rPr>
          <w:rFonts w:ascii="Arial" w:hAnsi="Arial" w:cs="Arial"/>
          <w:color w:val="000000" w:themeColor="text1"/>
          <w:sz w:val="18"/>
          <w:szCs w:val="18"/>
        </w:rPr>
        <w:t xml:space="preserve">. Minimalna wartość </w:t>
      </w:r>
      <w:proofErr w:type="spellStart"/>
      <w:r w:rsidRPr="007B192E">
        <w:rPr>
          <w:rFonts w:ascii="Arial" w:hAnsi="Arial" w:cs="Arial"/>
          <w:color w:val="000000" w:themeColor="text1"/>
          <w:sz w:val="18"/>
          <w:szCs w:val="18"/>
        </w:rPr>
        <w:t>naprężeń</w:t>
      </w:r>
      <w:proofErr w:type="spellEnd"/>
      <w:r w:rsidRPr="007B192E">
        <w:rPr>
          <w:rFonts w:ascii="Arial" w:hAnsi="Arial" w:cs="Arial"/>
          <w:color w:val="000000" w:themeColor="text1"/>
          <w:sz w:val="18"/>
          <w:szCs w:val="18"/>
        </w:rPr>
        <w:t xml:space="preserve"> ścinających na połączeniu warstw nie może być mniejsza niż 1,0 </w:t>
      </w:r>
      <w:proofErr w:type="spellStart"/>
      <w:r w:rsidRPr="007B192E">
        <w:rPr>
          <w:rFonts w:ascii="Arial" w:hAnsi="Arial" w:cs="Arial"/>
          <w:color w:val="000000" w:themeColor="text1"/>
          <w:sz w:val="18"/>
          <w:szCs w:val="18"/>
        </w:rPr>
        <w:t>MPa</w:t>
      </w:r>
      <w:proofErr w:type="spellEnd"/>
      <w:r w:rsidRPr="007B192E">
        <w:rPr>
          <w:rFonts w:ascii="Arial" w:hAnsi="Arial" w:cs="Arial"/>
          <w:color w:val="000000" w:themeColor="text1"/>
          <w:sz w:val="18"/>
          <w:szCs w:val="18"/>
        </w:rPr>
        <w:t xml:space="preserve">; zalecana wartość minimalna 1,3 </w:t>
      </w:r>
      <w:proofErr w:type="spellStart"/>
      <w:r w:rsidRPr="007B192E">
        <w:rPr>
          <w:rFonts w:ascii="Arial" w:hAnsi="Arial" w:cs="Arial"/>
          <w:color w:val="000000" w:themeColor="text1"/>
          <w:sz w:val="18"/>
          <w:szCs w:val="18"/>
        </w:rPr>
        <w:t>MPa</w:t>
      </w:r>
      <w:proofErr w:type="spellEnd"/>
      <w:r w:rsidRPr="007B192E">
        <w:rPr>
          <w:rFonts w:ascii="Arial" w:hAnsi="Arial" w:cs="Arial"/>
          <w:color w:val="000000" w:themeColor="text1"/>
          <w:sz w:val="18"/>
          <w:szCs w:val="18"/>
        </w:rPr>
        <w:t xml:space="preserve"> – „Informacje, Instrukcje - Zeszyt Nr-66” (</w:t>
      </w:r>
      <w:proofErr w:type="spellStart"/>
      <w:r w:rsidRPr="007B192E">
        <w:rPr>
          <w:rFonts w:ascii="Arial" w:hAnsi="Arial" w:cs="Arial"/>
          <w:color w:val="000000" w:themeColor="text1"/>
          <w:sz w:val="18"/>
          <w:szCs w:val="18"/>
        </w:rPr>
        <w:t>IBDiM</w:t>
      </w:r>
      <w:proofErr w:type="spellEnd"/>
      <w:r w:rsidRPr="007B192E">
        <w:rPr>
          <w:rFonts w:ascii="Arial" w:hAnsi="Arial" w:cs="Arial"/>
          <w:color w:val="000000" w:themeColor="text1"/>
          <w:sz w:val="18"/>
          <w:szCs w:val="18"/>
        </w:rPr>
        <w:t xml:space="preserve">); „Instrukcja Laboratoryjnego Badania </w:t>
      </w:r>
      <w:proofErr w:type="spellStart"/>
      <w:r w:rsidRPr="007B192E">
        <w:rPr>
          <w:rFonts w:ascii="Arial" w:hAnsi="Arial" w:cs="Arial"/>
          <w:color w:val="000000" w:themeColor="text1"/>
          <w:sz w:val="18"/>
          <w:szCs w:val="18"/>
        </w:rPr>
        <w:t>Sczepności</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Międzywarstwowej</w:t>
      </w:r>
      <w:proofErr w:type="spellEnd"/>
      <w:r w:rsidRPr="007B192E">
        <w:rPr>
          <w:rFonts w:ascii="Arial" w:hAnsi="Arial" w:cs="Arial"/>
          <w:color w:val="000000" w:themeColor="text1"/>
          <w:sz w:val="18"/>
          <w:szCs w:val="18"/>
        </w:rPr>
        <w:t xml:space="preserve"> Warstw Asfaltowych wg Metody </w:t>
      </w:r>
      <w:proofErr w:type="spellStart"/>
      <w:r w:rsidRPr="007B192E">
        <w:rPr>
          <w:rFonts w:ascii="Arial" w:hAnsi="Arial" w:cs="Arial"/>
          <w:color w:val="000000" w:themeColor="text1"/>
          <w:sz w:val="18"/>
          <w:szCs w:val="18"/>
        </w:rPr>
        <w:t>Leutnera</w:t>
      </w:r>
      <w:proofErr w:type="spellEnd"/>
      <w:r w:rsidRPr="007B192E">
        <w:rPr>
          <w:rFonts w:ascii="Arial" w:hAnsi="Arial" w:cs="Arial"/>
          <w:color w:val="000000" w:themeColor="text1"/>
          <w:sz w:val="18"/>
          <w:szCs w:val="18"/>
        </w:rPr>
        <w:t xml:space="preserve"> i Wymagania Techniczne </w:t>
      </w:r>
      <w:proofErr w:type="spellStart"/>
      <w:r w:rsidRPr="007B192E">
        <w:rPr>
          <w:rFonts w:ascii="Arial" w:hAnsi="Arial" w:cs="Arial"/>
          <w:color w:val="000000" w:themeColor="text1"/>
          <w:sz w:val="18"/>
          <w:szCs w:val="18"/>
        </w:rPr>
        <w:t>Sczepności</w:t>
      </w:r>
      <w:proofErr w:type="spellEnd"/>
      <w:r w:rsidRPr="007B192E">
        <w:rPr>
          <w:rFonts w:ascii="Arial" w:hAnsi="Arial" w:cs="Arial"/>
          <w:color w:val="000000" w:themeColor="text1"/>
          <w:sz w:val="18"/>
          <w:szCs w:val="18"/>
        </w:rPr>
        <w:t>” (GDDKiA – 2014); „Katalog Typowych Konstrukcji Nawierzchni Podatnych i Półsztywnych” (2014)</w:t>
      </w:r>
    </w:p>
    <w:p w14:paraId="7D601603" w14:textId="77777777" w:rsidR="00F45500" w:rsidRPr="007B192E" w:rsidRDefault="002562DC" w:rsidP="00B9283B">
      <w:pPr>
        <w:pStyle w:val="Nagwek2"/>
        <w:rPr>
          <w:i w:val="0"/>
          <w:color w:val="000000" w:themeColor="text1"/>
        </w:rPr>
      </w:pPr>
      <w:bookmarkStart w:id="331" w:name="_Toc37343277"/>
      <w:r w:rsidRPr="007B192E">
        <w:rPr>
          <w:i w:val="0"/>
          <w:color w:val="000000" w:themeColor="text1"/>
        </w:rPr>
        <w:t>6.  KONTROLA JAKOŚCI ROBÓT</w:t>
      </w:r>
      <w:bookmarkEnd w:id="331"/>
    </w:p>
    <w:p w14:paraId="6A3965F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bookmarkStart w:id="332" w:name="_Toc37343278"/>
      <w:r w:rsidRPr="007B192E">
        <w:rPr>
          <w:color w:val="000000" w:themeColor="text1"/>
          <w:sz w:val="18"/>
          <w:szCs w:val="18"/>
        </w:rPr>
        <w:t>6.1  Kontrola jakości siatki</w:t>
      </w:r>
    </w:p>
    <w:p w14:paraId="370A0F72" w14:textId="77777777" w:rsidR="00F45500" w:rsidRPr="007B192E"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 Częstotliwość badań, skład i liczebność partii</w:t>
      </w:r>
    </w:p>
    <w:p w14:paraId="17FF6A46" w14:textId="77777777" w:rsidR="00F45500" w:rsidRPr="007B192E" w:rsidRDefault="00F45500" w:rsidP="00F45500">
      <w:pPr>
        <w:pStyle w:val="Tekstpodstawowy"/>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Badania należy wykonywać przy odbiorze każdej partii </w:t>
      </w:r>
      <w:proofErr w:type="spellStart"/>
      <w:r w:rsidRPr="007B192E">
        <w:rPr>
          <w:rFonts w:ascii="Arial" w:hAnsi="Arial" w:cs="Arial"/>
          <w:color w:val="000000" w:themeColor="text1"/>
          <w:sz w:val="18"/>
          <w:szCs w:val="18"/>
        </w:rPr>
        <w:t>geosiatki</w:t>
      </w:r>
      <w:proofErr w:type="spellEnd"/>
      <w:r w:rsidRPr="007B192E">
        <w:rPr>
          <w:rFonts w:ascii="Arial" w:hAnsi="Arial" w:cs="Arial"/>
          <w:color w:val="000000" w:themeColor="text1"/>
          <w:sz w:val="18"/>
          <w:szCs w:val="18"/>
        </w:rPr>
        <w:t xml:space="preserve">. W skład partii wchodzą rolki </w:t>
      </w:r>
      <w:proofErr w:type="spellStart"/>
      <w:r w:rsidRPr="007B192E">
        <w:rPr>
          <w:rFonts w:ascii="Arial" w:hAnsi="Arial" w:cs="Arial"/>
          <w:color w:val="000000" w:themeColor="text1"/>
          <w:sz w:val="18"/>
          <w:szCs w:val="18"/>
        </w:rPr>
        <w:t>geosiatki</w:t>
      </w:r>
      <w:proofErr w:type="spellEnd"/>
      <w:r w:rsidRPr="007B192E">
        <w:rPr>
          <w:rFonts w:ascii="Arial" w:hAnsi="Arial" w:cs="Arial"/>
          <w:color w:val="000000" w:themeColor="text1"/>
          <w:sz w:val="18"/>
          <w:szCs w:val="18"/>
        </w:rPr>
        <w:t xml:space="preserve"> o jednakowych wymiarach. Liczebność partii do badań nie powinna być większa niż 100 rolek.</w:t>
      </w:r>
    </w:p>
    <w:p w14:paraId="3C9CBB73" w14:textId="77777777" w:rsidR="00F45500" w:rsidRPr="007B192E"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   Pobieranie próbek i kontrola jakości</w:t>
      </w:r>
    </w:p>
    <w:p w14:paraId="63CFF135" w14:textId="77777777" w:rsidR="00F45500" w:rsidRPr="007B192E" w:rsidRDefault="00F45500" w:rsidP="00F45500">
      <w:pPr>
        <w:pStyle w:val="Tekstpodstawowy"/>
        <w:jc w:val="both"/>
        <w:rPr>
          <w:rFonts w:ascii="Arial" w:hAnsi="Arial" w:cs="Arial"/>
          <w:color w:val="000000" w:themeColor="text1"/>
          <w:sz w:val="18"/>
          <w:szCs w:val="18"/>
        </w:rPr>
      </w:pPr>
      <w:r w:rsidRPr="007B192E">
        <w:rPr>
          <w:rFonts w:ascii="Arial" w:hAnsi="Arial" w:cs="Arial"/>
          <w:color w:val="000000" w:themeColor="text1"/>
          <w:sz w:val="18"/>
          <w:szCs w:val="18"/>
        </w:rPr>
        <w:t>Próbki z każdej partii należy pobierać losowo wg PN-N-03010;1983. Pobieranie próbek laboratoryjnych z rolki i przygotowanie próbek do badań należy wykonać wg PN-ISO 9862;2007</w:t>
      </w:r>
    </w:p>
    <w:p w14:paraId="3B657491" w14:textId="77777777" w:rsidR="00F45500" w:rsidRPr="007B192E"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Sprawdzenie wyglądu zewnętrznego i szerokości pasma</w:t>
      </w:r>
    </w:p>
    <w:p w14:paraId="3E35B13F" w14:textId="77777777" w:rsidR="00F45500" w:rsidRPr="007B192E" w:rsidRDefault="00F45500" w:rsidP="00F45500">
      <w:pPr>
        <w:pStyle w:val="Tekstpodstawowy"/>
        <w:jc w:val="both"/>
        <w:rPr>
          <w:rFonts w:ascii="Arial" w:hAnsi="Arial" w:cs="Arial"/>
          <w:color w:val="000000" w:themeColor="text1"/>
          <w:sz w:val="18"/>
          <w:szCs w:val="18"/>
        </w:rPr>
      </w:pPr>
      <w:r w:rsidRPr="007B192E">
        <w:rPr>
          <w:rFonts w:ascii="Arial" w:hAnsi="Arial" w:cs="Arial"/>
          <w:color w:val="000000" w:themeColor="text1"/>
          <w:sz w:val="18"/>
          <w:szCs w:val="18"/>
        </w:rPr>
        <w:t xml:space="preserve">Sprawdzenie wyglądu zewnętrznego polega na wizualnej ocenie równomierności rozłożenia oczek siatki oraz występowania uszkodzeń (przerwania ciągłości wiązek włókien) jak również jednorodności nasycenia siatki asfaltem. Szerokość pasma należy określić przez pomiar bezpośredni z dokładnością do 1 cm wykonany, co 10 </w:t>
      </w:r>
      <w:proofErr w:type="spellStart"/>
      <w:r w:rsidRPr="007B192E">
        <w:rPr>
          <w:rFonts w:ascii="Arial" w:hAnsi="Arial" w:cs="Arial"/>
          <w:color w:val="000000" w:themeColor="text1"/>
          <w:sz w:val="18"/>
          <w:szCs w:val="18"/>
        </w:rPr>
        <w:t>mb</w:t>
      </w:r>
      <w:proofErr w:type="spellEnd"/>
      <w:r w:rsidRPr="007B192E">
        <w:rPr>
          <w:rFonts w:ascii="Arial" w:hAnsi="Arial" w:cs="Arial"/>
          <w:color w:val="000000" w:themeColor="text1"/>
          <w:sz w:val="18"/>
          <w:szCs w:val="18"/>
        </w:rPr>
        <w:t xml:space="preserve"> rozwiniętej rolki. Odchyłka szerokości pasma nie powinna przekraczać +/- 2% wymiaru nominalnego.</w:t>
      </w:r>
    </w:p>
    <w:p w14:paraId="2CDD9E2C" w14:textId="77777777" w:rsidR="00F45500" w:rsidRPr="007B192E" w:rsidRDefault="00F45500" w:rsidP="00BA5651">
      <w:pPr>
        <w:pStyle w:val="Tekstpodstawowy"/>
        <w:widowControl/>
        <w:numPr>
          <w:ilvl w:val="2"/>
          <w:numId w:val="252"/>
        </w:numPr>
        <w:suppressAutoHyphens w:val="0"/>
        <w:overflowPunct/>
        <w:autoSpaceDE/>
        <w:spacing w:before="12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Sprawdzenie cech wytrzymałościowych</w:t>
      </w:r>
    </w:p>
    <w:p w14:paraId="4D09C11F" w14:textId="77777777" w:rsidR="00F45500" w:rsidRPr="007B192E" w:rsidRDefault="00F45500" w:rsidP="00F45500">
      <w:pPr>
        <w:pStyle w:val="Tekstpodstawowy"/>
        <w:numPr>
          <w:ilvl w:val="12"/>
          <w:numId w:val="0"/>
        </w:numPr>
        <w:jc w:val="both"/>
        <w:rPr>
          <w:rFonts w:ascii="Arial" w:hAnsi="Arial" w:cs="Arial"/>
          <w:b/>
          <w:bCs/>
          <w:color w:val="000000" w:themeColor="text1"/>
          <w:sz w:val="18"/>
          <w:szCs w:val="18"/>
        </w:rPr>
      </w:pPr>
      <w:r w:rsidRPr="007B192E">
        <w:rPr>
          <w:rFonts w:ascii="Arial" w:hAnsi="Arial" w:cs="Arial"/>
          <w:color w:val="000000" w:themeColor="text1"/>
          <w:sz w:val="18"/>
          <w:szCs w:val="18"/>
        </w:rPr>
        <w:t>Wytrzymałość na rozciąganie wiązek włókien siatki zarówno w układzie poprzecznym jak i podłużnym nie powinna być mniejsza niż podana w punkcie 2.2 przy wydłużeniu jak w pkt. 2.2. Wytrzymałość siatki obliczana jest na podstawie ciężaru powierzchniowego i parametrów mechanicznych włókna użytego do produkcji nici siatki. Pole powierzchni poszczególnych oczek siatki nie może być mniejsze niż 2,4 cm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t>
      </w:r>
    </w:p>
    <w:p w14:paraId="0A42928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6.2  Kontrola jakości przeprowadzonych Robót</w:t>
      </w:r>
    </w:p>
    <w:p w14:paraId="36FB73AC" w14:textId="77777777" w:rsidR="00F45500" w:rsidRPr="007B192E" w:rsidRDefault="00F45500" w:rsidP="00F45500">
      <w:pPr>
        <w:pStyle w:val="Tekstpodstawowy"/>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Kontrola jakości Robót polega na: </w:t>
      </w:r>
    </w:p>
    <w:p w14:paraId="67915D48"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sprawdzeniu zużycia emulsji asfaltowej i jednorodności skropienia,</w:t>
      </w:r>
    </w:p>
    <w:p w14:paraId="4EB47E27"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sprawdzeniu prawidłowości usunięcia folii ochronnej na całej powierzchni,</w:t>
      </w:r>
    </w:p>
    <w:p w14:paraId="7D5886B1" w14:textId="77777777" w:rsidR="00F45500" w:rsidRPr="007B192E" w:rsidRDefault="00F45500" w:rsidP="00BA5651">
      <w:pPr>
        <w:widowControl/>
        <w:numPr>
          <w:ilvl w:val="0"/>
          <w:numId w:val="249"/>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wizualnej ocenie przylegania siatki do podłoża przed ułożeniem na niej warstwy bitumicznej.</w:t>
      </w:r>
    </w:p>
    <w:p w14:paraId="48341D0D" w14:textId="77777777" w:rsidR="00F45500" w:rsidRPr="007B192E" w:rsidRDefault="00F45500" w:rsidP="00F45500">
      <w:pPr>
        <w:jc w:val="both"/>
        <w:rPr>
          <w:rFonts w:ascii="Arial" w:hAnsi="Arial" w:cs="Arial"/>
          <w:color w:val="000000" w:themeColor="text1"/>
          <w:sz w:val="18"/>
          <w:szCs w:val="18"/>
        </w:rPr>
      </w:pPr>
    </w:p>
    <w:p w14:paraId="124B532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Wykonawca dostarczy Inspektorowi Nadzoru, przed wbudowaniem, próbkę wbudowywanej siatki w ilości nie mniejszej niż 0,5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w:t>
      </w:r>
    </w:p>
    <w:p w14:paraId="6EC24B1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Zamawiający zastrzega sobie prawo do:</w:t>
      </w:r>
    </w:p>
    <w:p w14:paraId="2EC8CE70" w14:textId="77777777" w:rsidR="00F45500" w:rsidRPr="007B192E" w:rsidRDefault="00F45500" w:rsidP="00BA5651">
      <w:pPr>
        <w:widowControl/>
        <w:numPr>
          <w:ilvl w:val="0"/>
          <w:numId w:val="251"/>
        </w:numPr>
        <w:suppressAutoHyphens w:val="0"/>
        <w:overflowPunct/>
        <w:autoSpaceDE/>
        <w:ind w:left="357" w:hanging="357"/>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sprawdzenia rodzaju wbudowanej siatki zarówno na etapie wbudowania, badań kontrolnych przed   </w:t>
      </w:r>
    </w:p>
    <w:p w14:paraId="68A460FF" w14:textId="77777777" w:rsidR="00F45500" w:rsidRPr="007B192E" w:rsidRDefault="00F45500" w:rsidP="00BA5651">
      <w:pPr>
        <w:widowControl/>
        <w:numPr>
          <w:ilvl w:val="0"/>
          <w:numId w:val="251"/>
        </w:numPr>
        <w:suppressAutoHyphens w:val="0"/>
        <w:overflowPunct/>
        <w:autoSpaceDE/>
        <w:ind w:left="357" w:hanging="357"/>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ostatecznym odbiorem robót, jak również w okresie gwarancyjnym,</w:t>
      </w:r>
    </w:p>
    <w:p w14:paraId="052A0D54" w14:textId="77777777" w:rsidR="00F45500" w:rsidRPr="007B192E" w:rsidRDefault="00F45500" w:rsidP="00BA5651">
      <w:pPr>
        <w:widowControl/>
        <w:numPr>
          <w:ilvl w:val="0"/>
          <w:numId w:val="251"/>
        </w:numPr>
        <w:suppressAutoHyphens w:val="0"/>
        <w:overflowPunct/>
        <w:autoSpaceDE/>
        <w:ind w:left="357" w:hanging="357"/>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przedstawienia przez Wykonawcę kopii faktury potwierdzającej zakup odpowiedniego rodzaju siatki od producenta/dostawcy  /zgodnie z przedstawioną deklaracją właściwości użytkowych/</w:t>
      </w:r>
    </w:p>
    <w:p w14:paraId="394DF834" w14:textId="77777777" w:rsidR="00F45500" w:rsidRPr="007B192E" w:rsidRDefault="002562DC" w:rsidP="00B9283B">
      <w:pPr>
        <w:pStyle w:val="Nagwek2"/>
        <w:rPr>
          <w:i w:val="0"/>
          <w:color w:val="000000" w:themeColor="text1"/>
        </w:rPr>
      </w:pPr>
      <w:r w:rsidRPr="007B192E">
        <w:rPr>
          <w:i w:val="0"/>
          <w:color w:val="000000" w:themeColor="text1"/>
        </w:rPr>
        <w:t>7.  OBMIAR ROBÓT</w:t>
      </w:r>
      <w:bookmarkEnd w:id="332"/>
    </w:p>
    <w:p w14:paraId="7F37AE91" w14:textId="77777777" w:rsidR="00F45500" w:rsidRPr="007B192E" w:rsidRDefault="00F45500" w:rsidP="00F45500">
      <w:pPr>
        <w:numPr>
          <w:ilvl w:val="12"/>
          <w:numId w:val="0"/>
        </w:num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Ogólne zasady Obmiaru Robót podano w ST D-M.00.00.00. "Wymagania Ogólne" pkt. 7.</w:t>
      </w:r>
    </w:p>
    <w:p w14:paraId="1630DC0D" w14:textId="77777777" w:rsidR="00F45500" w:rsidRPr="007B192E" w:rsidRDefault="00F45500" w:rsidP="00F45500">
      <w:pPr>
        <w:numPr>
          <w:ilvl w:val="12"/>
          <w:numId w:val="0"/>
        </w:num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Jednostką obmiarową jest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ułożonej siatki. </w:t>
      </w:r>
    </w:p>
    <w:p w14:paraId="6B769D6F" w14:textId="77777777" w:rsidR="00F45500" w:rsidRPr="007B192E" w:rsidRDefault="002562DC" w:rsidP="00B9283B">
      <w:pPr>
        <w:pStyle w:val="Nagwek2"/>
        <w:rPr>
          <w:i w:val="0"/>
          <w:color w:val="000000" w:themeColor="text1"/>
        </w:rPr>
      </w:pPr>
      <w:bookmarkStart w:id="333" w:name="_Toc37343279"/>
      <w:r w:rsidRPr="007B192E">
        <w:rPr>
          <w:i w:val="0"/>
          <w:color w:val="000000" w:themeColor="text1"/>
        </w:rPr>
        <w:lastRenderedPageBreak/>
        <w:t>8. ODBIÓR ROBÓT</w:t>
      </w:r>
      <w:bookmarkEnd w:id="333"/>
      <w:r w:rsidRPr="007B192E">
        <w:rPr>
          <w:i w:val="0"/>
          <w:color w:val="000000" w:themeColor="text1"/>
        </w:rPr>
        <w:tab/>
      </w:r>
    </w:p>
    <w:p w14:paraId="4082ACCD" w14:textId="77777777" w:rsidR="00F45500" w:rsidRPr="007B192E" w:rsidRDefault="00F45500" w:rsidP="00F45500">
      <w:pPr>
        <w:numPr>
          <w:ilvl w:val="12"/>
          <w:numId w:val="0"/>
        </w:numPr>
        <w:ind w:left="709" w:hanging="709"/>
        <w:jc w:val="both"/>
        <w:rPr>
          <w:rFonts w:ascii="Arial" w:hAnsi="Arial" w:cs="Arial"/>
          <w:color w:val="000000" w:themeColor="text1"/>
          <w:sz w:val="18"/>
          <w:szCs w:val="18"/>
        </w:rPr>
      </w:pPr>
      <w:r w:rsidRPr="007B192E">
        <w:rPr>
          <w:rFonts w:ascii="Arial" w:hAnsi="Arial" w:cs="Arial"/>
          <w:color w:val="000000" w:themeColor="text1"/>
          <w:sz w:val="18"/>
          <w:szCs w:val="18"/>
        </w:rPr>
        <w:t>Ogólne zasady Odbioru Robót podano w ST D-M.00.00.00. "Wymagania Ogólne" pkt. 8.</w:t>
      </w:r>
    </w:p>
    <w:p w14:paraId="702C0983" w14:textId="77777777" w:rsidR="00F45500" w:rsidRPr="007B192E" w:rsidRDefault="002562DC" w:rsidP="00B9283B">
      <w:pPr>
        <w:pStyle w:val="Nagwek2"/>
        <w:rPr>
          <w:i w:val="0"/>
          <w:color w:val="000000" w:themeColor="text1"/>
        </w:rPr>
      </w:pPr>
      <w:bookmarkStart w:id="334" w:name="_Toc37343280"/>
      <w:r w:rsidRPr="007B192E">
        <w:rPr>
          <w:i w:val="0"/>
          <w:color w:val="000000" w:themeColor="text1"/>
        </w:rPr>
        <w:t>9.  PODSTAWA PŁATNOŚCI</w:t>
      </w:r>
      <w:bookmarkEnd w:id="334"/>
      <w:r w:rsidRPr="007B192E">
        <w:rPr>
          <w:i w:val="0"/>
          <w:color w:val="000000" w:themeColor="text1"/>
        </w:rPr>
        <w:t xml:space="preserve"> </w:t>
      </w:r>
    </w:p>
    <w:p w14:paraId="6475ED0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Ogólne ustalenia dotyczące podstawy płatności podano w ST D-M.00.00.00. "Wymagania Ogólne" pkt. 9.</w:t>
      </w:r>
    </w:p>
    <w:p w14:paraId="1B1260D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Cena jednostkowa wykonania wzmocnienia nawierzchni obejmuje: </w:t>
      </w:r>
    </w:p>
    <w:p w14:paraId="2B19B5EE" w14:textId="77777777" w:rsidR="00F45500" w:rsidRPr="007B192E" w:rsidRDefault="00F45500" w:rsidP="00BA5651">
      <w:pPr>
        <w:widowControl/>
        <w:numPr>
          <w:ilvl w:val="0"/>
          <w:numId w:val="247"/>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koszt materiałów wraz z transportem,</w:t>
      </w:r>
    </w:p>
    <w:p w14:paraId="14652A2E" w14:textId="77777777" w:rsidR="00F45500" w:rsidRPr="007B192E" w:rsidRDefault="00F45500" w:rsidP="00BA5651">
      <w:pPr>
        <w:widowControl/>
        <w:numPr>
          <w:ilvl w:val="0"/>
          <w:numId w:val="247"/>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wykonanie skropienia emulsją asfaltową,</w:t>
      </w:r>
    </w:p>
    <w:p w14:paraId="080FDB77" w14:textId="77777777" w:rsidR="00F45500" w:rsidRPr="007B192E" w:rsidRDefault="00F45500" w:rsidP="00BA5651">
      <w:pPr>
        <w:widowControl/>
        <w:numPr>
          <w:ilvl w:val="0"/>
          <w:numId w:val="247"/>
        </w:numPr>
        <w:suppressAutoHyphens w:val="0"/>
        <w:overflowPunct/>
        <w:autoSpaceDE/>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rozłożenie siatki.</w:t>
      </w:r>
    </w:p>
    <w:p w14:paraId="636312E9" w14:textId="77777777" w:rsidR="00F45500" w:rsidRPr="007B192E" w:rsidRDefault="002562DC" w:rsidP="00B9283B">
      <w:pPr>
        <w:pStyle w:val="Nagwek2"/>
        <w:rPr>
          <w:i w:val="0"/>
          <w:color w:val="000000" w:themeColor="text1"/>
        </w:rPr>
      </w:pPr>
      <w:bookmarkStart w:id="335" w:name="_Toc37343281"/>
      <w:r w:rsidRPr="007B192E">
        <w:rPr>
          <w:i w:val="0"/>
          <w:color w:val="000000" w:themeColor="text1"/>
        </w:rPr>
        <w:t>10.  PRZEPISY ZWIĄZANE</w:t>
      </w:r>
      <w:bookmarkEnd w:id="335"/>
      <w:r w:rsidRPr="007B192E">
        <w:rPr>
          <w:i w:val="0"/>
          <w:color w:val="000000" w:themeColor="text1"/>
        </w:rPr>
        <w:t xml:space="preserve"> </w:t>
      </w:r>
    </w:p>
    <w:p w14:paraId="6AD954B3" w14:textId="77777777" w:rsidR="00F45500" w:rsidRPr="007B192E" w:rsidRDefault="00F45500" w:rsidP="00F45500">
      <w:pPr>
        <w:ind w:left="851" w:hanging="851"/>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Zalecenia producenta siatki dotyczące technologii wbudowania </w:t>
      </w:r>
    </w:p>
    <w:p w14:paraId="2E9351FC" w14:textId="77777777" w:rsidR="00F45500" w:rsidRPr="007B192E" w:rsidRDefault="00F45500"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Karta informacji technicznych siatki</w:t>
      </w:r>
    </w:p>
    <w:p w14:paraId="64BD0D3B" w14:textId="77777777" w:rsidR="00F45500" w:rsidRPr="007B192E" w:rsidRDefault="00F45500"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„Informacje, Instrukcje - Zeszyt Nr-66” (</w:t>
      </w:r>
      <w:proofErr w:type="spellStart"/>
      <w:r w:rsidRPr="007B192E">
        <w:rPr>
          <w:rFonts w:ascii="Arial" w:hAnsi="Arial" w:cs="Arial"/>
          <w:color w:val="000000" w:themeColor="text1"/>
          <w:sz w:val="18"/>
          <w:szCs w:val="18"/>
        </w:rPr>
        <w:t>IBDiM</w:t>
      </w:r>
      <w:proofErr w:type="spellEnd"/>
      <w:r w:rsidRPr="007B192E">
        <w:rPr>
          <w:rFonts w:ascii="Arial" w:hAnsi="Arial" w:cs="Arial"/>
          <w:color w:val="000000" w:themeColor="text1"/>
          <w:sz w:val="18"/>
          <w:szCs w:val="18"/>
        </w:rPr>
        <w:t>)</w:t>
      </w:r>
    </w:p>
    <w:p w14:paraId="43B184B9" w14:textId="77777777" w:rsidR="00F45500" w:rsidRPr="007B192E" w:rsidRDefault="00F45500"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Wymagania Techniczne: WT-2 Nawierzchnie asfaltowe na drogach publicznych 2014</w:t>
      </w:r>
    </w:p>
    <w:p w14:paraId="0C3D8374" w14:textId="77777777" w:rsidR="00F45500" w:rsidRPr="007B192E" w:rsidRDefault="002C5E8B"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Wymagania Techniczne: </w:t>
      </w:r>
      <w:r w:rsidR="00F45500" w:rsidRPr="007B192E">
        <w:rPr>
          <w:rFonts w:ascii="Arial" w:hAnsi="Arial" w:cs="Arial"/>
          <w:color w:val="000000" w:themeColor="text1"/>
          <w:sz w:val="18"/>
          <w:szCs w:val="18"/>
        </w:rPr>
        <w:t>WT-3 Kationowe emulsje asfaltowe na drogach publicznych 2009</w:t>
      </w:r>
    </w:p>
    <w:p w14:paraId="2EE8AF3D" w14:textId="77777777" w:rsidR="00F45500" w:rsidRPr="007B192E" w:rsidRDefault="00F45500"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Normy: PN-EN 13108 Mieszanki mineralno-asfaltowe</w:t>
      </w:r>
    </w:p>
    <w:p w14:paraId="2F97968C" w14:textId="77777777" w:rsidR="00F45500" w:rsidRPr="007B192E" w:rsidRDefault="00F45500" w:rsidP="00BA5651">
      <w:pPr>
        <w:pStyle w:val="Akapitzlist"/>
        <w:numPr>
          <w:ilvl w:val="0"/>
          <w:numId w:val="277"/>
        </w:num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PN-EN 15381 </w:t>
      </w:r>
      <w:proofErr w:type="spellStart"/>
      <w:r w:rsidRPr="007B192E">
        <w:rPr>
          <w:rFonts w:ascii="Arial" w:hAnsi="Arial" w:cs="Arial"/>
          <w:color w:val="000000" w:themeColor="text1"/>
          <w:sz w:val="18"/>
          <w:szCs w:val="18"/>
        </w:rPr>
        <w:t>Geotekstylia</w:t>
      </w:r>
      <w:proofErr w:type="spellEnd"/>
      <w:r w:rsidRPr="007B192E">
        <w:rPr>
          <w:rFonts w:ascii="Arial" w:hAnsi="Arial" w:cs="Arial"/>
          <w:color w:val="000000" w:themeColor="text1"/>
          <w:sz w:val="18"/>
          <w:szCs w:val="18"/>
        </w:rPr>
        <w:t xml:space="preserve"> i wyroby pokrewne - Wymagan</w:t>
      </w:r>
      <w:r w:rsidR="002C5E8B" w:rsidRPr="007B192E">
        <w:rPr>
          <w:rFonts w:ascii="Arial" w:hAnsi="Arial" w:cs="Arial"/>
          <w:color w:val="000000" w:themeColor="text1"/>
          <w:sz w:val="18"/>
          <w:szCs w:val="18"/>
        </w:rPr>
        <w:t xml:space="preserve">ia w odniesieniu do wyrobów </w:t>
      </w:r>
      <w:r w:rsidRPr="007B192E">
        <w:rPr>
          <w:rFonts w:ascii="Arial" w:hAnsi="Arial" w:cs="Arial"/>
          <w:color w:val="000000" w:themeColor="text1"/>
          <w:sz w:val="18"/>
          <w:szCs w:val="18"/>
        </w:rPr>
        <w:t>stosowanych w nawierzchniach i pokryciach asfaltowych</w:t>
      </w:r>
    </w:p>
    <w:p w14:paraId="6577351A" w14:textId="77777777" w:rsidR="00F45500" w:rsidRPr="007B192E" w:rsidRDefault="00F45500" w:rsidP="00F45500">
      <w:pPr>
        <w:rPr>
          <w:rFonts w:ascii="Arial" w:hAnsi="Arial" w:cs="Arial"/>
          <w:b/>
          <w:bCs/>
          <w:color w:val="000000" w:themeColor="text1"/>
          <w:sz w:val="18"/>
          <w:szCs w:val="18"/>
        </w:rPr>
      </w:pPr>
      <w:r w:rsidRPr="007B192E">
        <w:rPr>
          <w:rFonts w:ascii="Arial" w:hAnsi="Arial" w:cs="Arial"/>
          <w:b/>
          <w:bCs/>
          <w:color w:val="000000" w:themeColor="text1"/>
          <w:sz w:val="18"/>
          <w:szCs w:val="18"/>
        </w:rPr>
        <w:br w:type="page"/>
      </w:r>
    </w:p>
    <w:p w14:paraId="293D01C9" w14:textId="77777777" w:rsidR="00F45500" w:rsidRPr="007B192E" w:rsidRDefault="00F45500" w:rsidP="00800DBE">
      <w:pPr>
        <w:pStyle w:val="Nagwek1"/>
        <w:jc w:val="center"/>
        <w:rPr>
          <w:color w:val="000000" w:themeColor="text1"/>
          <w:sz w:val="40"/>
          <w:szCs w:val="40"/>
        </w:rPr>
      </w:pPr>
      <w:bookmarkStart w:id="336" w:name="_Toc138757110"/>
      <w:bookmarkStart w:id="337" w:name="_Toc163481060"/>
      <w:r w:rsidRPr="007B192E">
        <w:rPr>
          <w:color w:val="000000" w:themeColor="text1"/>
          <w:sz w:val="40"/>
          <w:szCs w:val="40"/>
        </w:rPr>
        <w:lastRenderedPageBreak/>
        <w:t>D-07.00.00</w:t>
      </w:r>
      <w:r w:rsidR="00800DBE" w:rsidRPr="007B192E">
        <w:rPr>
          <w:color w:val="000000" w:themeColor="text1"/>
          <w:sz w:val="40"/>
          <w:szCs w:val="40"/>
        </w:rPr>
        <w:t xml:space="preserve"> URZĄDZENIA BEZPIECZEŃSTWA RUCHU</w:t>
      </w:r>
      <w:bookmarkEnd w:id="336"/>
      <w:bookmarkEnd w:id="337"/>
    </w:p>
    <w:p w14:paraId="247A3F9B" w14:textId="77777777" w:rsidR="00F45500" w:rsidRPr="007B192E" w:rsidRDefault="00800DBE" w:rsidP="00800DBE">
      <w:pPr>
        <w:pStyle w:val="Nagwek1"/>
        <w:jc w:val="center"/>
        <w:rPr>
          <w:color w:val="000000" w:themeColor="text1"/>
          <w:sz w:val="40"/>
          <w:szCs w:val="40"/>
        </w:rPr>
      </w:pPr>
      <w:bookmarkStart w:id="338" w:name="_Toc138757111"/>
      <w:bookmarkStart w:id="339" w:name="_Toc163481061"/>
      <w:r w:rsidRPr="007B192E">
        <w:rPr>
          <w:color w:val="000000" w:themeColor="text1"/>
          <w:sz w:val="40"/>
          <w:szCs w:val="40"/>
        </w:rPr>
        <w:t xml:space="preserve">D-07.01.01 </w:t>
      </w:r>
      <w:r w:rsidR="00F45500" w:rsidRPr="007B192E">
        <w:rPr>
          <w:color w:val="000000" w:themeColor="text1"/>
          <w:sz w:val="40"/>
          <w:szCs w:val="40"/>
        </w:rPr>
        <w:t>OZNAKOWANIE  POZIOME</w:t>
      </w:r>
      <w:bookmarkEnd w:id="338"/>
      <w:bookmarkEnd w:id="339"/>
    </w:p>
    <w:p w14:paraId="00E6F102" w14:textId="77777777" w:rsidR="00F45500" w:rsidRPr="007B192E" w:rsidRDefault="00F45500" w:rsidP="00B9283B">
      <w:pPr>
        <w:pStyle w:val="Nagwek2"/>
        <w:rPr>
          <w:i w:val="0"/>
          <w:color w:val="000000" w:themeColor="text1"/>
        </w:rPr>
      </w:pPr>
      <w:r w:rsidRPr="007B192E">
        <w:rPr>
          <w:i w:val="0"/>
          <w:color w:val="000000" w:themeColor="text1"/>
        </w:rPr>
        <w:t>1. WSTĘP</w:t>
      </w:r>
    </w:p>
    <w:p w14:paraId="36B88915" w14:textId="77777777" w:rsidR="00F45500" w:rsidRPr="007B192E" w:rsidRDefault="00F45500" w:rsidP="00F45500">
      <w:pPr>
        <w:keepNext/>
        <w:spacing w:before="120" w:after="120" w:line="216" w:lineRule="auto"/>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1.1. Przedmiot ST</w:t>
      </w:r>
    </w:p>
    <w:p w14:paraId="606FBCAD" w14:textId="77777777" w:rsidR="00F45500" w:rsidRPr="007B192E" w:rsidRDefault="00F45500" w:rsidP="00F45500">
      <w:pPr>
        <w:widowControl/>
        <w:jc w:val="both"/>
        <w:rPr>
          <w:rFonts w:ascii="Arial" w:eastAsia="Arial" w:hAnsi="Arial" w:cs="Arial"/>
          <w:color w:val="000000" w:themeColor="text1"/>
          <w:sz w:val="18"/>
          <w:szCs w:val="18"/>
        </w:rPr>
      </w:pPr>
      <w:r w:rsidRPr="007B192E">
        <w:rPr>
          <w:rFonts w:ascii="Arial" w:eastAsia="Arial" w:hAnsi="Arial" w:cs="Arial"/>
          <w:color w:val="000000" w:themeColor="text1"/>
          <w:sz w:val="18"/>
          <w:szCs w:val="18"/>
        </w:rPr>
        <w:tab/>
        <w:t>Przedmiotem niniejszej specyfikacji technicznej (ST) są wymagania dotyczące wykonania i odbioru oznakowania poziomego dróg.</w:t>
      </w:r>
    </w:p>
    <w:p w14:paraId="39A61A2E" w14:textId="77777777" w:rsidR="00F45500" w:rsidRPr="007B192E" w:rsidRDefault="00F45500" w:rsidP="00F45500">
      <w:pPr>
        <w:keepNext/>
        <w:spacing w:before="120" w:after="120" w:line="216" w:lineRule="auto"/>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1.2. Zakres stosowania ST</w:t>
      </w:r>
    </w:p>
    <w:p w14:paraId="34472EAE" w14:textId="77777777" w:rsidR="00F45500" w:rsidRPr="007B192E" w:rsidRDefault="00F45500" w:rsidP="00F45500">
      <w:pPr>
        <w:widowControl/>
        <w:jc w:val="both"/>
        <w:rPr>
          <w:rFonts w:ascii="Arial" w:eastAsia="Arial" w:hAnsi="Arial" w:cs="Arial"/>
          <w:color w:val="000000" w:themeColor="text1"/>
          <w:sz w:val="18"/>
          <w:szCs w:val="18"/>
        </w:rPr>
      </w:pPr>
      <w:r w:rsidRPr="007B192E">
        <w:rPr>
          <w:rFonts w:ascii="Arial" w:eastAsia="Arial" w:hAnsi="Arial" w:cs="Arial"/>
          <w:color w:val="000000" w:themeColor="text1"/>
          <w:sz w:val="18"/>
          <w:szCs w:val="18"/>
        </w:rPr>
        <w:tab/>
        <w:t>Specyfikacja techniczna stanowi dokument przetargowy i kontraktowy stosowany przy zlecaniu i realizacji robót budowlanych wymienionych w punkcie 1.1.</w:t>
      </w:r>
    </w:p>
    <w:p w14:paraId="29D68621"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1.3. Zakres robót objętych ST</w:t>
      </w:r>
    </w:p>
    <w:p w14:paraId="25E46D5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Ustalenia zawarte w niniejszej specyfikacji dotyczą zasad prowadzenia robót związanych z wykonywaniem i odbiorem oznakowania poziomego stosowanego na drogach o nawierzchni twardej.</w:t>
      </w:r>
    </w:p>
    <w:p w14:paraId="47428149"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1.4. Określenia podstawowe</w:t>
      </w:r>
    </w:p>
    <w:p w14:paraId="5D66A49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45C4EAE1"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Znaki podłużne - linie równoległe do osi jezdni lub odchylone od niej pod niewielkim kątem, występujące jako linie: – pojedyncze: przerywane lub ciągłe, segregacyjne lub krawędziowe, – podwójne: ciągłe z przerywanymi, ciągłe lub przerywane.</w:t>
      </w:r>
    </w:p>
    <w:p w14:paraId="2E739228"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1.4.3. </w:t>
      </w:r>
      <w:r w:rsidRPr="007B192E">
        <w:rPr>
          <w:rFonts w:ascii="Arial" w:hAnsi="Arial" w:cs="Arial"/>
          <w:color w:val="000000" w:themeColor="text1"/>
          <w:sz w:val="18"/>
          <w:szCs w:val="18"/>
        </w:rPr>
        <w:t>Strzałki - znaki poziome na nawierzchni, występujące jako strzałki kierunkowe służące do wskazania dozwolonego kierunku zjazdu z pasa oraz strzałki naprowadzające, które uprzedzają o konieczności opuszczenia pasa, na którym się znajdują.</w:t>
      </w:r>
    </w:p>
    <w:p w14:paraId="22BAC8E6"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1.4.4. </w:t>
      </w:r>
      <w:r w:rsidRPr="007B192E">
        <w:rPr>
          <w:rFonts w:ascii="Arial" w:hAnsi="Arial" w:cs="Arial"/>
          <w:color w:val="000000" w:themeColor="text1"/>
          <w:sz w:val="18"/>
          <w:szCs w:val="18"/>
        </w:rPr>
        <w:t>Znaki poprzeczne - znaki służące do oznaczenia miejsc przeznaczonych do ruchu pieszych i rowerzystów w poprzek drogi, miejsc wymagających zatrzymania pojazdów oraz miejsc lokalizacji progów zwalniających.</w:t>
      </w:r>
    </w:p>
    <w:p w14:paraId="72B9D42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1.4.5. </w:t>
      </w:r>
      <w:r w:rsidRPr="007B192E">
        <w:rPr>
          <w:rFonts w:ascii="Arial" w:hAnsi="Arial" w:cs="Arial"/>
          <w:color w:val="000000" w:themeColor="text1"/>
          <w:sz w:val="18"/>
          <w:szCs w:val="18"/>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5E0CC9A3"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1.4.6. </w:t>
      </w:r>
      <w:r w:rsidRPr="007B192E">
        <w:rPr>
          <w:rFonts w:ascii="Arial" w:hAnsi="Arial" w:cs="Arial"/>
          <w:color w:val="000000" w:themeColor="text1"/>
          <w:sz w:val="18"/>
          <w:szCs w:val="18"/>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2BA05A9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1.4.7. </w:t>
      </w:r>
      <w:r w:rsidRPr="007B192E">
        <w:rPr>
          <w:rFonts w:ascii="Arial" w:hAnsi="Arial" w:cs="Arial"/>
          <w:color w:val="000000" w:themeColor="text1"/>
          <w:sz w:val="18"/>
          <w:szCs w:val="18"/>
        </w:rPr>
        <w:t>Materiały do znakowania cienkowarstwowego - farby rozpuszczalnikowe, wodorozcieńczalne i chemoutwardzalne nakładane warstwą grubości od 0,4 mm do 0,8 mm, mierzoną na mokro.</w:t>
      </w:r>
    </w:p>
    <w:p w14:paraId="41C02DAB"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1.4.8. </w:t>
      </w:r>
      <w:r w:rsidRPr="007B192E">
        <w:rPr>
          <w:rFonts w:ascii="Arial" w:hAnsi="Arial" w:cs="Arial"/>
          <w:color w:val="000000" w:themeColor="text1"/>
          <w:sz w:val="18"/>
          <w:szCs w:val="18"/>
        </w:rPr>
        <w:t>Materiały do znakowania grubowarstwowego - materiały nakładane warstwą grubości od 0,9 mm do 3,5 mm. Należą do nich masy termoplastyczne. Dla linii strukturalnych i profilowanych grubość linii może wynosić 5 mm.</w:t>
      </w:r>
    </w:p>
    <w:p w14:paraId="04A4D8A9"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1.4.9. </w:t>
      </w:r>
      <w:r w:rsidRPr="007B192E">
        <w:rPr>
          <w:rFonts w:ascii="Arial" w:hAnsi="Arial" w:cs="Arial"/>
          <w:color w:val="000000" w:themeColor="text1"/>
          <w:sz w:val="18"/>
          <w:szCs w:val="18"/>
        </w:rPr>
        <w:t xml:space="preserve">Materiały prefabrykowane - materiały, które łączy się z powierzchnią drogi przez klejenie, wtapianie, wbudowanie lub w inny sposób. Zalicza się do nich masy termoplastyczne w arkuszach do wtapiania oraz taśmy do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tymczasowych (żółte) i trwałych (białe).</w:t>
      </w:r>
    </w:p>
    <w:p w14:paraId="43186F36"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1.4.10. </w:t>
      </w:r>
      <w:r w:rsidRPr="007B192E">
        <w:rPr>
          <w:rFonts w:ascii="Arial" w:hAnsi="Arial" w:cs="Arial"/>
          <w:color w:val="000000" w:themeColor="text1"/>
          <w:sz w:val="18"/>
          <w:szCs w:val="18"/>
        </w:rPr>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1B6F3DB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1.4.11. </w:t>
      </w:r>
      <w:r w:rsidRPr="007B192E">
        <w:rPr>
          <w:rFonts w:ascii="Arial" w:hAnsi="Arial" w:cs="Arial"/>
          <w:color w:val="000000" w:themeColor="text1"/>
          <w:sz w:val="18"/>
          <w:szCs w:val="18"/>
        </w:rPr>
        <w:t>Kulki szklane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159F59D1"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1.4.12. </w:t>
      </w:r>
      <w:r w:rsidRPr="007B192E">
        <w:rPr>
          <w:rFonts w:ascii="Arial" w:hAnsi="Arial" w:cs="Arial"/>
          <w:color w:val="000000" w:themeColor="text1"/>
          <w:sz w:val="18"/>
          <w:szCs w:val="18"/>
        </w:rPr>
        <w:t xml:space="preserve">Kruszywo przeciwpoślizgowe – twarde ziarna pochodzenia naturalnego lub sztucznego stosowane do zapewnienia własności przeciwpoślizgowych poziomym </w:t>
      </w:r>
      <w:proofErr w:type="spellStart"/>
      <w:r w:rsidRPr="007B192E">
        <w:rPr>
          <w:rFonts w:ascii="Arial" w:hAnsi="Arial" w:cs="Arial"/>
          <w:color w:val="000000" w:themeColor="text1"/>
          <w:sz w:val="18"/>
          <w:szCs w:val="18"/>
        </w:rPr>
        <w:t>oznakowaniom</w:t>
      </w:r>
      <w:proofErr w:type="spellEnd"/>
      <w:r w:rsidRPr="007B192E">
        <w:rPr>
          <w:rFonts w:ascii="Arial" w:hAnsi="Arial" w:cs="Arial"/>
          <w:color w:val="000000" w:themeColor="text1"/>
          <w:sz w:val="18"/>
          <w:szCs w:val="18"/>
        </w:rPr>
        <w:t xml:space="preserve"> dróg, stosowane samo lub w mieszaninie z kulkami szklanymi.</w:t>
      </w:r>
    </w:p>
    <w:p w14:paraId="1D457394"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lastRenderedPageBreak/>
        <w:t xml:space="preserve">1.4.13. </w:t>
      </w:r>
      <w:r w:rsidRPr="007B192E">
        <w:rPr>
          <w:rFonts w:ascii="Arial" w:hAnsi="Arial" w:cs="Arial"/>
          <w:color w:val="000000" w:themeColor="text1"/>
          <w:sz w:val="18"/>
          <w:szCs w:val="18"/>
        </w:rPr>
        <w:t>Oznakowanie nowe – oznakowanie, w którym zakończył się czas schnięcia i nie upłynęło 30 dni od wykonania oznakowania. Pomiary właściwości oznakowania należy wykonywać od 14 do 30 dnia po wykonaniu oznakowania.</w:t>
      </w:r>
    </w:p>
    <w:p w14:paraId="0C6FC7A4"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1.4.14. </w:t>
      </w:r>
      <w:r w:rsidRPr="007B192E">
        <w:rPr>
          <w:rFonts w:ascii="Arial" w:hAnsi="Arial" w:cs="Arial"/>
          <w:color w:val="000000" w:themeColor="text1"/>
          <w:sz w:val="18"/>
          <w:szCs w:val="18"/>
        </w:rPr>
        <w:t>Tymczasowe oznakowanie drogowe - oznakowanie z materiału o barwie żółtej, którego czas użytkowania wynosi do 3 miesięcy lub do czasu zakończenia robót.</w:t>
      </w:r>
    </w:p>
    <w:p w14:paraId="374A8E0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1.4.15. </w:t>
      </w:r>
      <w:r w:rsidRPr="007B192E">
        <w:rPr>
          <w:rFonts w:ascii="Arial" w:hAnsi="Arial" w:cs="Arial"/>
          <w:color w:val="000000" w:themeColor="text1"/>
          <w:sz w:val="18"/>
          <w:szCs w:val="18"/>
        </w:rPr>
        <w:t xml:space="preserve">Powyższe i pozostałe określenia są zgodne z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4236BBBE"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1.5. Ogólne wymagania dotyczące robót</w:t>
      </w:r>
    </w:p>
    <w:p w14:paraId="48CD39C5"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042E1AEE" w14:textId="77777777" w:rsidR="00F45500" w:rsidRPr="007B192E" w:rsidRDefault="00D52DA7" w:rsidP="00F55C6E">
      <w:pPr>
        <w:pStyle w:val="Nagwek2"/>
        <w:rPr>
          <w:i w:val="0"/>
          <w:color w:val="000000" w:themeColor="text1"/>
        </w:rPr>
      </w:pPr>
      <w:r w:rsidRPr="007B192E">
        <w:rPr>
          <w:i w:val="0"/>
          <w:color w:val="000000" w:themeColor="text1"/>
        </w:rPr>
        <w:t>2. MATERIAŁY</w:t>
      </w:r>
    </w:p>
    <w:p w14:paraId="77CBC033"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2.1. Ogólne wymagania dotyczące materiałów</w:t>
      </w:r>
    </w:p>
    <w:p w14:paraId="5E995704"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2.</w:t>
      </w:r>
    </w:p>
    <w:p w14:paraId="3BAC2346"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2.2. Dokument dopuszczający do stosowania materiałów</w:t>
      </w:r>
    </w:p>
    <w:p w14:paraId="55D200B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stosowane przez Wykonawcę do poziomego oznakowania dróg powinny spełniać warunki postawione w rozporządzeniu Ministra Infrastruktury [7].</w:t>
      </w:r>
    </w:p>
    <w:p w14:paraId="7471F625"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Producenci powinni oznakować wyroby znakiem budowlanym B, zgodnie z rozporządzeniem Ministra Infrastruktury [8], co oznacza wystawienie deklaracji zgodności z aprobatą techniczną (np. dla farb oraz mas termoplastycznych) lub  znakiem CE, zgodnie z rozporządzeniem Ministra Infrastruktury [12], co oznacza wystawienie deklaracji zgodności z normą zharmonizowaną (np. dla kulek szklanych [3, 3a] i punktowych elementów odblaskowych [5, 5a].</w:t>
      </w:r>
    </w:p>
    <w:p w14:paraId="52FCD3D7"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4857B63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Powyższe zasady należy stosować także do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tymczasowych wykonywanych materiałami o barwie żółtej.</w:t>
      </w:r>
    </w:p>
    <w:p w14:paraId="67F7723D"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2.3. Badanie materiałów, których jakość budzi wątpliwość</w:t>
      </w:r>
    </w:p>
    <w:p w14:paraId="1AE688D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Wykonawca powinien przeprowadzić dodatkowe badania tych materiałów, które budzą wątpliwości jego lub Inżyniera, co do jakości, w celu stwierdzenia czy odpowiadają one wymaganiom określonym w aprobacie technicznej. Badania te Wykonawca zleci </w:t>
      </w:r>
      <w:proofErr w:type="spellStart"/>
      <w:r w:rsidRPr="007B192E">
        <w:rPr>
          <w:rFonts w:ascii="Arial" w:hAnsi="Arial" w:cs="Arial"/>
          <w:color w:val="000000" w:themeColor="text1"/>
          <w:sz w:val="18"/>
          <w:szCs w:val="18"/>
        </w:rPr>
        <w:t>IBDiM</w:t>
      </w:r>
      <w:proofErr w:type="spellEnd"/>
      <w:r w:rsidRPr="007B192E">
        <w:rPr>
          <w:rFonts w:ascii="Arial" w:hAnsi="Arial" w:cs="Arial"/>
          <w:color w:val="000000" w:themeColor="text1"/>
          <w:sz w:val="18"/>
          <w:szCs w:val="18"/>
        </w:rPr>
        <w:t xml:space="preserve"> lub akredytowanemu laboratorium drogowemu. Badania powinny być wykonane zgodnie z PN-EN 1871:2003 [6] lub Warunkami Technicznymi POD-97 [9] lub POD-2006 po ich wydaniu [10].</w:t>
      </w:r>
    </w:p>
    <w:p w14:paraId="191BA108"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2.4. Oznakowanie opakowań</w:t>
      </w:r>
    </w:p>
    <w:p w14:paraId="53FD60F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powinien żądać od producenta, aby oznakowanie opakowań materiałów do poziomego znakowania dróg było wykonane zgodnie z PN-O-79252 [2], a ponadto aby na każdym opakowaniu był umieszczony trwały napis zawierający:</w:t>
      </w:r>
    </w:p>
    <w:p w14:paraId="3A7E7C6A"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nazwę i adres producenta,</w:t>
      </w:r>
    </w:p>
    <w:p w14:paraId="2177B252"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datę produkcji i termin przydatności do użycia,</w:t>
      </w:r>
    </w:p>
    <w:p w14:paraId="0800B608"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masę netto,</w:t>
      </w:r>
    </w:p>
    <w:p w14:paraId="1E53F3E6"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numer partii i datę produkcji,</w:t>
      </w:r>
    </w:p>
    <w:p w14:paraId="15C091BA"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informację, że wyrób posiada aprobatę techniczną </w:t>
      </w:r>
      <w:proofErr w:type="spellStart"/>
      <w:r w:rsidRPr="007B192E">
        <w:rPr>
          <w:rFonts w:ascii="Arial" w:hAnsi="Arial" w:cs="Arial"/>
          <w:color w:val="000000" w:themeColor="text1"/>
          <w:sz w:val="18"/>
          <w:szCs w:val="18"/>
        </w:rPr>
        <w:t>IBDiM</w:t>
      </w:r>
      <w:proofErr w:type="spellEnd"/>
      <w:r w:rsidRPr="007B192E">
        <w:rPr>
          <w:rFonts w:ascii="Arial" w:hAnsi="Arial" w:cs="Arial"/>
          <w:color w:val="000000" w:themeColor="text1"/>
          <w:sz w:val="18"/>
          <w:szCs w:val="18"/>
        </w:rPr>
        <w:t xml:space="preserve"> i jej numer,</w:t>
      </w:r>
    </w:p>
    <w:p w14:paraId="17A357E0"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nazwę jednostki certyfikującej i numer certyfikatu, jeśli dotyczy [8],</w:t>
      </w:r>
    </w:p>
    <w:p w14:paraId="706EF4E7"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znak budowlany „B” wg rozporządzenia Ministra Infrastruktury [8] i/lub znak „CE” wg rozporządzenia Ministra Infrastruktury [12],</w:t>
      </w:r>
    </w:p>
    <w:p w14:paraId="6BB63B86"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informację o szkodliwości i klasie zagrożenia pożarowego,</w:t>
      </w:r>
    </w:p>
    <w:p w14:paraId="49167C64"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ewentualne wskazówki dla użytkowników.</w:t>
      </w:r>
    </w:p>
    <w:p w14:paraId="7EAED3C7"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2.5. Przepisy określające wymagania dla materiałów</w:t>
      </w:r>
    </w:p>
    <w:p w14:paraId="13FF762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Podstawowe wymagania dotyczące materiałów podano w punkcie 2.6, a szczegółowe wymagania określone są w Warunkach technicznych POD-97 [9] lub POD-2006 po ich wydaniu [10].</w:t>
      </w:r>
    </w:p>
    <w:p w14:paraId="4A6374C7"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2.6. Wymagania wobec materiałów do poziomego oznakowania dróg</w:t>
      </w:r>
    </w:p>
    <w:p w14:paraId="6483D740"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2.6.2. </w:t>
      </w:r>
      <w:r w:rsidRPr="007B192E">
        <w:rPr>
          <w:rFonts w:ascii="Arial" w:hAnsi="Arial" w:cs="Arial"/>
          <w:color w:val="000000" w:themeColor="text1"/>
          <w:sz w:val="18"/>
          <w:szCs w:val="18"/>
        </w:rPr>
        <w:t xml:space="preserve">Materiały do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grubowarstwowych</w:t>
      </w:r>
    </w:p>
    <w:p w14:paraId="30E58DB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Materiałami do wykonywania oznakowania grubowarstwowego powinny być materiały umożliwiające nakładanie ich warstwą grubości od 0,9 mm do 5 mm takie, jak masy termoplastyczne.</w:t>
      </w:r>
    </w:p>
    <w:p w14:paraId="717B5D2E"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14:paraId="24B29F87" w14:textId="77777777" w:rsidR="00F45500" w:rsidRPr="007B192E" w:rsidRDefault="00F45500" w:rsidP="00F45500">
      <w:pPr>
        <w:pStyle w:val="Standard"/>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Właściwości fizyczne materiałów do oznakowania grubowarstwowego i wykonanych z nich elementów prefabrykowanych określają aprobaty techniczne.</w:t>
      </w:r>
    </w:p>
    <w:p w14:paraId="739ED495"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2.6.4. </w:t>
      </w:r>
      <w:r w:rsidRPr="007B192E">
        <w:rPr>
          <w:rFonts w:ascii="Arial" w:hAnsi="Arial" w:cs="Arial"/>
          <w:color w:val="000000" w:themeColor="text1"/>
          <w:sz w:val="18"/>
          <w:szCs w:val="18"/>
        </w:rPr>
        <w:t>Kulki szklane</w:t>
      </w:r>
    </w:p>
    <w:p w14:paraId="2F4E5077"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6A71B44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Kulki szklane powinny charakteryzować się współczynnikiem załamania powyżej 1,50, wykazywać odporność na wodę, kwas solny, chlorek wapniowy i siarczek sodowy oraz zawierać nie więcej niż 20% kulek z defektami w przypadku kulek o maksymalnej średnicy poniżej 1 mm oraz 30 % w przypadku kulek o maksymalnej średnicy równej i większej niż 1 mm. Krzywa uziarnienia powinna mieścić się w krzywych granicznych podanych w wymaganiach aprobaty technicznej wyrobu lub w certyfikacie CE.</w:t>
      </w:r>
    </w:p>
    <w:p w14:paraId="271DF9D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Kulki szklane </w:t>
      </w:r>
      <w:proofErr w:type="spellStart"/>
      <w:r w:rsidRPr="007B192E">
        <w:rPr>
          <w:rFonts w:ascii="Arial" w:hAnsi="Arial" w:cs="Arial"/>
          <w:color w:val="000000" w:themeColor="text1"/>
          <w:sz w:val="18"/>
          <w:szCs w:val="18"/>
        </w:rPr>
        <w:t>hydrofobizowane</w:t>
      </w:r>
      <w:proofErr w:type="spellEnd"/>
      <w:r w:rsidRPr="007B192E">
        <w:rPr>
          <w:rFonts w:ascii="Arial" w:hAnsi="Arial" w:cs="Arial"/>
          <w:color w:val="000000" w:themeColor="text1"/>
          <w:sz w:val="18"/>
          <w:szCs w:val="18"/>
        </w:rPr>
        <w:t xml:space="preserve"> powinny ponadto wykazywać stopień </w:t>
      </w:r>
      <w:proofErr w:type="spellStart"/>
      <w:r w:rsidRPr="007B192E">
        <w:rPr>
          <w:rFonts w:ascii="Arial" w:hAnsi="Arial" w:cs="Arial"/>
          <w:color w:val="000000" w:themeColor="text1"/>
          <w:sz w:val="18"/>
          <w:szCs w:val="18"/>
        </w:rPr>
        <w:t>hydrofobizacji</w:t>
      </w:r>
      <w:proofErr w:type="spellEnd"/>
      <w:r w:rsidRPr="007B192E">
        <w:rPr>
          <w:rFonts w:ascii="Arial" w:hAnsi="Arial" w:cs="Arial"/>
          <w:color w:val="000000" w:themeColor="text1"/>
          <w:sz w:val="18"/>
          <w:szCs w:val="18"/>
        </w:rPr>
        <w:t xml:space="preserve"> co najmniej 80%.</w:t>
      </w:r>
    </w:p>
    <w:p w14:paraId="44064BC0"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Wymagania i metody badań kulek szklanych podano w PN-EN 1423:2000[3, 3a].</w:t>
      </w:r>
    </w:p>
    <w:p w14:paraId="4094E9C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Właściwości kulek szklanych określają odpowiednie aprobaty techniczne, lub certyfikaty „CE”.</w:t>
      </w:r>
    </w:p>
    <w:p w14:paraId="2BD86542" w14:textId="77777777" w:rsidR="00F45500" w:rsidRPr="007B192E" w:rsidRDefault="00F45500" w:rsidP="00F45500">
      <w:pPr>
        <w:pStyle w:val="Standard"/>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2.6.5. </w:t>
      </w:r>
      <w:r w:rsidRPr="007B192E">
        <w:rPr>
          <w:rFonts w:ascii="Arial" w:hAnsi="Arial" w:cs="Arial"/>
          <w:color w:val="000000" w:themeColor="text1"/>
          <w:sz w:val="18"/>
          <w:szCs w:val="18"/>
        </w:rPr>
        <w:t xml:space="preserve">Materiał </w:t>
      </w:r>
      <w:proofErr w:type="spellStart"/>
      <w:r w:rsidRPr="007B192E">
        <w:rPr>
          <w:rFonts w:ascii="Arial" w:hAnsi="Arial" w:cs="Arial"/>
          <w:color w:val="000000" w:themeColor="text1"/>
          <w:sz w:val="18"/>
          <w:szCs w:val="18"/>
        </w:rPr>
        <w:t>uszorstniający</w:t>
      </w:r>
      <w:proofErr w:type="spellEnd"/>
      <w:r w:rsidRPr="007B192E">
        <w:rPr>
          <w:rFonts w:ascii="Arial" w:hAnsi="Arial" w:cs="Arial"/>
          <w:color w:val="000000" w:themeColor="text1"/>
          <w:sz w:val="18"/>
          <w:szCs w:val="18"/>
        </w:rPr>
        <w:t xml:space="preserve"> oznakowanie</w:t>
      </w:r>
    </w:p>
    <w:p w14:paraId="27B16E25"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Materiał </w:t>
      </w:r>
      <w:proofErr w:type="spellStart"/>
      <w:r w:rsidRPr="007B192E">
        <w:rPr>
          <w:rFonts w:ascii="Arial" w:hAnsi="Arial" w:cs="Arial"/>
          <w:color w:val="000000" w:themeColor="text1"/>
          <w:sz w:val="18"/>
          <w:szCs w:val="18"/>
        </w:rPr>
        <w:t>uszorstniający</w:t>
      </w:r>
      <w:proofErr w:type="spellEnd"/>
      <w:r w:rsidRPr="007B192E">
        <w:rPr>
          <w:rFonts w:ascii="Arial" w:hAnsi="Arial" w:cs="Arial"/>
          <w:color w:val="000000" w:themeColor="text1"/>
          <w:sz w:val="18"/>
          <w:szCs w:val="18"/>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7B192E">
        <w:rPr>
          <w:rFonts w:ascii="Arial" w:hAnsi="Arial" w:cs="Arial"/>
          <w:color w:val="000000" w:themeColor="text1"/>
          <w:sz w:val="18"/>
          <w:szCs w:val="18"/>
        </w:rPr>
        <w:t>uszorstniający</w:t>
      </w:r>
      <w:proofErr w:type="spellEnd"/>
      <w:r w:rsidRPr="007B192E">
        <w:rPr>
          <w:rFonts w:ascii="Arial" w:hAnsi="Arial" w:cs="Arial"/>
          <w:color w:val="000000" w:themeColor="text1"/>
          <w:sz w:val="18"/>
          <w:szCs w:val="18"/>
        </w:rPr>
        <w:t xml:space="preserve"> nie może zawierać więcej niż 1% cząstek mniejszych niż 90 </w:t>
      </w:r>
      <w:r w:rsidRPr="007B192E">
        <w:rPr>
          <w:rFonts w:ascii="Arial" w:hAnsi="Arial" w:cs="Arial"/>
          <w:color w:val="000000" w:themeColor="text1"/>
          <w:sz w:val="18"/>
          <w:szCs w:val="18"/>
        </w:rPr>
        <w:t xml:space="preserve">m. Potrzeba stosowania materiału </w:t>
      </w:r>
      <w:proofErr w:type="spellStart"/>
      <w:r w:rsidRPr="007B192E">
        <w:rPr>
          <w:rFonts w:ascii="Arial" w:hAnsi="Arial" w:cs="Arial"/>
          <w:color w:val="000000" w:themeColor="text1"/>
          <w:sz w:val="18"/>
          <w:szCs w:val="18"/>
        </w:rPr>
        <w:t>uszorstniającego</w:t>
      </w:r>
      <w:proofErr w:type="spellEnd"/>
      <w:r w:rsidRPr="007B192E">
        <w:rPr>
          <w:rFonts w:ascii="Arial" w:hAnsi="Arial" w:cs="Arial"/>
          <w:color w:val="000000" w:themeColor="text1"/>
          <w:sz w:val="18"/>
          <w:szCs w:val="18"/>
        </w:rPr>
        <w:t xml:space="preserve"> powinna być określona w SST. Konieczność jego użycia zachodzi w przypadku potrzeby uzyskania wskaźnika szorstkości oznakowania  SRT </w:t>
      </w:r>
      <w:r w:rsidRPr="007B192E">
        <w:rPr>
          <w:rFonts w:ascii="Arial" w:hAnsi="Arial" w:cs="Arial"/>
          <w:color w:val="000000" w:themeColor="text1"/>
          <w:sz w:val="18"/>
          <w:szCs w:val="18"/>
        </w:rPr>
        <w:t> 50.</w:t>
      </w:r>
    </w:p>
    <w:p w14:paraId="5CDB3AC3"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Materiał </w:t>
      </w:r>
      <w:proofErr w:type="spellStart"/>
      <w:r w:rsidRPr="007B192E">
        <w:rPr>
          <w:rFonts w:ascii="Arial" w:hAnsi="Arial" w:cs="Arial"/>
          <w:color w:val="000000" w:themeColor="text1"/>
          <w:sz w:val="18"/>
          <w:szCs w:val="18"/>
        </w:rPr>
        <w:t>uszorstniający</w:t>
      </w:r>
      <w:proofErr w:type="spellEnd"/>
      <w:r w:rsidRPr="007B192E">
        <w:rPr>
          <w:rFonts w:ascii="Arial" w:hAnsi="Arial" w:cs="Arial"/>
          <w:color w:val="000000" w:themeColor="text1"/>
          <w:sz w:val="18"/>
          <w:szCs w:val="18"/>
        </w:rPr>
        <w:t xml:space="preserve"> (kruszywo przeciwpoślizgowe) oraz mieszanina kulek szklanych z materiałem </w:t>
      </w:r>
      <w:proofErr w:type="spellStart"/>
      <w:r w:rsidRPr="007B192E">
        <w:rPr>
          <w:rFonts w:ascii="Arial" w:hAnsi="Arial" w:cs="Arial"/>
          <w:color w:val="000000" w:themeColor="text1"/>
          <w:sz w:val="18"/>
          <w:szCs w:val="18"/>
        </w:rPr>
        <w:t>uszorstniającym</w:t>
      </w:r>
      <w:proofErr w:type="spellEnd"/>
      <w:r w:rsidRPr="007B192E">
        <w:rPr>
          <w:rFonts w:ascii="Arial" w:hAnsi="Arial" w:cs="Arial"/>
          <w:color w:val="000000" w:themeColor="text1"/>
          <w:sz w:val="18"/>
          <w:szCs w:val="18"/>
        </w:rPr>
        <w:t xml:space="preserve"> powinny odpowiadać wymaganiom określonym w aprobacie technicznej.</w:t>
      </w:r>
    </w:p>
    <w:p w14:paraId="616A22F4"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2.6.7. </w:t>
      </w:r>
      <w:r w:rsidRPr="007B192E">
        <w:rPr>
          <w:rFonts w:ascii="Arial" w:hAnsi="Arial" w:cs="Arial"/>
          <w:color w:val="000000" w:themeColor="text1"/>
          <w:sz w:val="18"/>
          <w:szCs w:val="18"/>
        </w:rPr>
        <w:t>Wymagania wobec materiałów ze względu na ochronę warunków pracy i środowiska</w:t>
      </w:r>
    </w:p>
    <w:p w14:paraId="3FCBDBDC"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Materiały stosowane do znakowania nawierzchni nie powinny zawierać substancji zagrażających zdrowiu ludzi i powodujących skażenie środowiska.</w:t>
      </w:r>
    </w:p>
    <w:p w14:paraId="0ABE4C02"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2.7. Przechowywanie i składowanie materiałów</w:t>
      </w:r>
    </w:p>
    <w:p w14:paraId="4176AE5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oznakowania nawierzchni powinny zachować stałość swoich właściwości chemicznych i fizykochemicznych przez okres co najmniej 6 miesięcy składowania w warunkach określonych przez producenta.</w:t>
      </w:r>
    </w:p>
    <w:p w14:paraId="010AE94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poziomego oznakowania dróg należy przechowywać w magazynach odpowiadających zaleceniom producenta, zwłaszcza zabezpieczających je od napromieniowania słonecznego, opadów i w temperaturze, dla:</w:t>
      </w:r>
    </w:p>
    <w:p w14:paraId="1AA3AF3F" w14:textId="77777777" w:rsidR="00F45500" w:rsidRPr="007B192E" w:rsidRDefault="00F45500" w:rsidP="00F45500">
      <w:pPr>
        <w:numPr>
          <w:ilvl w:val="0"/>
          <w:numId w:val="102"/>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farb wodorozcieńczalnych od 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do 40</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w:t>
      </w:r>
    </w:p>
    <w:p w14:paraId="1486B9B0" w14:textId="77777777" w:rsidR="00F45500" w:rsidRPr="007B192E" w:rsidRDefault="00F45500" w:rsidP="00F45500">
      <w:pPr>
        <w:numPr>
          <w:ilvl w:val="0"/>
          <w:numId w:val="102"/>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farb rozpuszczalnikowych od -5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do 25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w:t>
      </w:r>
    </w:p>
    <w:p w14:paraId="0F8E63F4" w14:textId="77777777" w:rsidR="00F45500" w:rsidRPr="007B192E" w:rsidRDefault="00F45500" w:rsidP="00F45500">
      <w:pPr>
        <w:numPr>
          <w:ilvl w:val="0"/>
          <w:numId w:val="102"/>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pozostałych materiałów - poniżej 40</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w:t>
      </w:r>
    </w:p>
    <w:p w14:paraId="649D3CA7" w14:textId="77777777" w:rsidR="00F45500" w:rsidRPr="007B192E" w:rsidRDefault="00D52DA7" w:rsidP="00F55C6E">
      <w:pPr>
        <w:pStyle w:val="Nagwek2"/>
        <w:rPr>
          <w:i w:val="0"/>
          <w:color w:val="000000" w:themeColor="text1"/>
        </w:rPr>
      </w:pPr>
      <w:r w:rsidRPr="007B192E">
        <w:rPr>
          <w:i w:val="0"/>
          <w:color w:val="000000" w:themeColor="text1"/>
        </w:rPr>
        <w:t>3. SPRZĘT</w:t>
      </w:r>
    </w:p>
    <w:p w14:paraId="7F2CACEA"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3.1. Ogólne wymagania dotyczące sprzętu</w:t>
      </w:r>
    </w:p>
    <w:p w14:paraId="6FF2983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48C6AF6E"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3.2. Sprzęt do wykonania oznakowania poziomego</w:t>
      </w:r>
    </w:p>
    <w:p w14:paraId="0944D80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Wykonawca przystępujący do wykonania oznakowania poziomego, w zależności od zakresu robót, powinien wykazać się możliwością korzystania z następującego sprzętu, zaakceptowanego przez Inżyniera:</w:t>
      </w:r>
    </w:p>
    <w:p w14:paraId="311FEF1D"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szczotek mechanicznych (zaleca się stosowanie szczotek wyposażonych w urządzenia odpylające) oraz szczotek ręcznych,</w:t>
      </w:r>
    </w:p>
    <w:p w14:paraId="31250753"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frezarek,</w:t>
      </w:r>
    </w:p>
    <w:p w14:paraId="7496C22E"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sprężarek,</w:t>
      </w:r>
    </w:p>
    <w:p w14:paraId="56A46668"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malowarek</w:t>
      </w:r>
      <w:proofErr w:type="spellEnd"/>
      <w:r w:rsidRPr="007B192E">
        <w:rPr>
          <w:rFonts w:ascii="Arial" w:hAnsi="Arial" w:cs="Arial"/>
          <w:color w:val="000000" w:themeColor="text1"/>
          <w:sz w:val="18"/>
          <w:szCs w:val="18"/>
        </w:rPr>
        <w:t>,</w:t>
      </w:r>
    </w:p>
    <w:p w14:paraId="7BF97BD2"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układarek mas termoplastycznych,</w:t>
      </w:r>
    </w:p>
    <w:p w14:paraId="2D10118A"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wyklejarek</w:t>
      </w:r>
      <w:proofErr w:type="spellEnd"/>
      <w:r w:rsidRPr="007B192E">
        <w:rPr>
          <w:rFonts w:ascii="Arial" w:hAnsi="Arial" w:cs="Arial"/>
          <w:color w:val="000000" w:themeColor="text1"/>
          <w:sz w:val="18"/>
          <w:szCs w:val="18"/>
        </w:rPr>
        <w:t xml:space="preserve"> do taśm,</w:t>
      </w:r>
    </w:p>
    <w:p w14:paraId="5C7DA47C" w14:textId="77777777" w:rsidR="00F45500" w:rsidRPr="007B192E" w:rsidRDefault="00F45500" w:rsidP="00F45500">
      <w:pPr>
        <w:numPr>
          <w:ilvl w:val="0"/>
          <w:numId w:val="101"/>
        </w:numPr>
        <w:overflowPunct/>
        <w:autoSpaceDE/>
        <w:autoSpaceDN w:val="0"/>
        <w:spacing w:after="12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sprzętu do badań, określonego w SST.</w:t>
      </w:r>
    </w:p>
    <w:p w14:paraId="5B1C2294" w14:textId="77777777" w:rsidR="00F45500" w:rsidRPr="007B192E" w:rsidRDefault="00F45500" w:rsidP="00F45500">
      <w:pPr>
        <w:spacing w:after="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 xml:space="preserve">Wykonawca powinien zapewnić odpowiednią jakość, ilość i wydajność </w:t>
      </w:r>
      <w:proofErr w:type="spellStart"/>
      <w:r w:rsidRPr="007B192E">
        <w:rPr>
          <w:rFonts w:ascii="Arial" w:hAnsi="Arial" w:cs="Arial"/>
          <w:color w:val="000000" w:themeColor="text1"/>
          <w:sz w:val="18"/>
          <w:szCs w:val="18"/>
        </w:rPr>
        <w:t>malowarek</w:t>
      </w:r>
      <w:proofErr w:type="spellEnd"/>
      <w:r w:rsidRPr="007B192E">
        <w:rPr>
          <w:rFonts w:ascii="Arial" w:hAnsi="Arial" w:cs="Arial"/>
          <w:color w:val="000000" w:themeColor="text1"/>
          <w:sz w:val="18"/>
          <w:szCs w:val="18"/>
        </w:rPr>
        <w:t xml:space="preserve"> lub układarek proporcjonalną do wielkości i czasu wykonania całego zakresu robót.</w:t>
      </w:r>
    </w:p>
    <w:p w14:paraId="6167796E" w14:textId="77777777" w:rsidR="00F45500" w:rsidRPr="007B192E" w:rsidRDefault="00F55C6E" w:rsidP="00F55C6E">
      <w:pPr>
        <w:pStyle w:val="Nagwek2"/>
        <w:rPr>
          <w:i w:val="0"/>
          <w:color w:val="000000" w:themeColor="text1"/>
        </w:rPr>
      </w:pPr>
      <w:r w:rsidRPr="007B192E">
        <w:rPr>
          <w:i w:val="0"/>
          <w:color w:val="000000" w:themeColor="text1"/>
        </w:rPr>
        <w:t>4. TRANSPORT</w:t>
      </w:r>
    </w:p>
    <w:p w14:paraId="59AA5FDB"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4.1. Ogólne wymagania dotyczące transportu</w:t>
      </w:r>
    </w:p>
    <w:p w14:paraId="782C27C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50FFDC1B"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4.2. Przewóz materiałów do poziomego znakowania dróg</w:t>
      </w:r>
    </w:p>
    <w:p w14:paraId="02ABE2B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1726017E" w14:textId="77777777" w:rsidR="00F45500" w:rsidRPr="007B192E" w:rsidRDefault="00F45500" w:rsidP="00F45500">
      <w:pPr>
        <w:spacing w:after="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Pozostałe materiały do znakowania poziomego należy przewozić krytymi środkami transportowymi, chroniąc opakowania przed uszkodzeniem mechanicznym, zgodnie z PN-C-81400 [1] oraz zgodnie z prawem przewozowym.</w:t>
      </w:r>
    </w:p>
    <w:p w14:paraId="28140549" w14:textId="77777777" w:rsidR="00F45500" w:rsidRPr="007B192E" w:rsidRDefault="00F55C6E" w:rsidP="00F55C6E">
      <w:pPr>
        <w:pStyle w:val="Nagwek2"/>
        <w:rPr>
          <w:i w:val="0"/>
          <w:color w:val="000000" w:themeColor="text1"/>
        </w:rPr>
      </w:pPr>
      <w:r w:rsidRPr="007B192E">
        <w:rPr>
          <w:i w:val="0"/>
          <w:color w:val="000000" w:themeColor="text1"/>
        </w:rPr>
        <w:lastRenderedPageBreak/>
        <w:t>5. WYKONANIE ROBÓT</w:t>
      </w:r>
    </w:p>
    <w:p w14:paraId="231B8914"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5.1. Ogólne zasady wykonania robót</w:t>
      </w:r>
    </w:p>
    <w:p w14:paraId="726689A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 Nowe i odnowione nawierzchnie dróg przed otwarciem do ruchu muszą być oznakowane zgodnie z dokumentacją projektową.</w:t>
      </w:r>
    </w:p>
    <w:p w14:paraId="62BB86C9"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5.2. Warunki atmosferyczne</w:t>
      </w:r>
    </w:p>
    <w:p w14:paraId="4F2EB2F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czasie wykonywania oznakowania temperatura nawierzchni i powietrza powinna wynosić co najmniej 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a wilgotność względna powietrza powinna być zgodna z zaleceniami producenta lub wynosić co najwyżej 85%.</w:t>
      </w:r>
    </w:p>
    <w:p w14:paraId="4D95C2A4"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5.3. Jednorodność nawierzchni znakowanej</w:t>
      </w:r>
    </w:p>
    <w:p w14:paraId="0558FDE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14:paraId="42111EBF"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5.4. Przygotowanie podłoża do wykonania znakowania</w:t>
      </w:r>
    </w:p>
    <w:p w14:paraId="25D5561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Przed wykonaniem znakowania poziomego należy oczyścić powierzchnię nawierzchni malowanej z pyłu, kurzu, piasku, smarów, olejów i innych zanieczyszczeń, przy użyciu sprzętu wymienionego w SST i zaakceptowanego przez Inżyniera.</w:t>
      </w:r>
    </w:p>
    <w:p w14:paraId="0454558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Powierzchnia nawierzchni przygotowana do wykonania oznakowania poziomego musi być czysta i sucha.</w:t>
      </w:r>
    </w:p>
    <w:p w14:paraId="3261ACC1"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 xml:space="preserve">5.5. </w:t>
      </w:r>
      <w:proofErr w:type="spellStart"/>
      <w:r w:rsidRPr="007B192E">
        <w:rPr>
          <w:rFonts w:ascii="Arial" w:hAnsi="Arial" w:cs="Arial"/>
          <w:b/>
          <w:color w:val="000000" w:themeColor="text1"/>
          <w:sz w:val="18"/>
          <w:szCs w:val="18"/>
        </w:rPr>
        <w:t>Przedznakowanie</w:t>
      </w:r>
      <w:proofErr w:type="spellEnd"/>
    </w:p>
    <w:p w14:paraId="682D2EF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 celu dokładnego wykonania poziomego oznakowania drogi, można wykonać </w:t>
      </w:r>
      <w:proofErr w:type="spellStart"/>
      <w:r w:rsidRPr="007B192E">
        <w:rPr>
          <w:rFonts w:ascii="Arial" w:hAnsi="Arial" w:cs="Arial"/>
          <w:color w:val="000000" w:themeColor="text1"/>
          <w:sz w:val="18"/>
          <w:szCs w:val="18"/>
        </w:rPr>
        <w:t>przedznakowanie</w:t>
      </w:r>
      <w:proofErr w:type="spellEnd"/>
      <w:r w:rsidRPr="007B192E">
        <w:rPr>
          <w:rFonts w:ascii="Arial" w:hAnsi="Arial" w:cs="Arial"/>
          <w:color w:val="000000" w:themeColor="text1"/>
          <w:sz w:val="18"/>
          <w:szCs w:val="18"/>
        </w:rPr>
        <w:t xml:space="preserve">, stosując się do ustaleń zawartych w dokumentacji projektowej, w </w:t>
      </w:r>
      <w:r w:rsidRPr="007B192E">
        <w:rPr>
          <w:rFonts w:ascii="Arial" w:hAnsi="Arial" w:cs="Arial"/>
          <w:color w:val="000000" w:themeColor="text1"/>
          <w:sz w:val="18"/>
          <w:szCs w:val="18"/>
          <w:shd w:val="clear" w:color="auto" w:fill="FFFFFF"/>
        </w:rPr>
        <w:t>załączniku nr 2 do rozporządzenia Ministra Infrastruktury [7], SST i wskazaniach Inżyniera.</w:t>
      </w:r>
    </w:p>
    <w:p w14:paraId="2870C009"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wykonania </w:t>
      </w:r>
      <w:proofErr w:type="spellStart"/>
      <w:r w:rsidRPr="007B192E">
        <w:rPr>
          <w:rFonts w:ascii="Arial" w:hAnsi="Arial" w:cs="Arial"/>
          <w:color w:val="000000" w:themeColor="text1"/>
          <w:sz w:val="18"/>
          <w:szCs w:val="18"/>
        </w:rPr>
        <w:t>przedznakowania</w:t>
      </w:r>
      <w:proofErr w:type="spellEnd"/>
      <w:r w:rsidRPr="007B192E">
        <w:rPr>
          <w:rFonts w:ascii="Arial" w:hAnsi="Arial" w:cs="Arial"/>
          <w:color w:val="000000" w:themeColor="text1"/>
          <w:sz w:val="18"/>
          <w:szCs w:val="18"/>
        </w:rPr>
        <w:t xml:space="preserve"> można stosować nietrwałą farbę, np. farbę silnie rozcieńczoną rozpuszczalnikiem. Zaleca się wykonywanie </w:t>
      </w:r>
      <w:proofErr w:type="spellStart"/>
      <w:r w:rsidRPr="007B192E">
        <w:rPr>
          <w:rFonts w:ascii="Arial" w:hAnsi="Arial" w:cs="Arial"/>
          <w:color w:val="000000" w:themeColor="text1"/>
          <w:sz w:val="18"/>
          <w:szCs w:val="18"/>
        </w:rPr>
        <w:t>przedznakowania</w:t>
      </w:r>
      <w:proofErr w:type="spellEnd"/>
      <w:r w:rsidRPr="007B192E">
        <w:rPr>
          <w:rFonts w:ascii="Arial" w:hAnsi="Arial" w:cs="Arial"/>
          <w:color w:val="000000" w:themeColor="text1"/>
          <w:sz w:val="18"/>
          <w:szCs w:val="18"/>
        </w:rPr>
        <w:t xml:space="preserve"> w postaci cienkich linii lub kropek. Początek i koniec znakowania należy zaznaczyć małą kreską poprzeczną.</w:t>
      </w:r>
    </w:p>
    <w:p w14:paraId="0883D31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 przypadku odnawiania oznakowania drogi, gdy stare oznakowanie jest wystarczająco czytelne i zgodne z dokumentacją projektową, można </w:t>
      </w:r>
      <w:proofErr w:type="spellStart"/>
      <w:r w:rsidRPr="007B192E">
        <w:rPr>
          <w:rFonts w:ascii="Arial" w:hAnsi="Arial" w:cs="Arial"/>
          <w:color w:val="000000" w:themeColor="text1"/>
          <w:sz w:val="18"/>
          <w:szCs w:val="18"/>
        </w:rPr>
        <w:t>przedznakowania</w:t>
      </w:r>
      <w:proofErr w:type="spellEnd"/>
      <w:r w:rsidRPr="007B192E">
        <w:rPr>
          <w:rFonts w:ascii="Arial" w:hAnsi="Arial" w:cs="Arial"/>
          <w:color w:val="000000" w:themeColor="text1"/>
          <w:sz w:val="18"/>
          <w:szCs w:val="18"/>
        </w:rPr>
        <w:t xml:space="preserve"> nie wykonywać.</w:t>
      </w:r>
    </w:p>
    <w:p w14:paraId="4446E211"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5.6. Wykonanie oznakowania drogi</w:t>
      </w:r>
    </w:p>
    <w:p w14:paraId="6E5B7A8B" w14:textId="77777777" w:rsidR="00F45500" w:rsidRPr="007B192E" w:rsidRDefault="00F45500" w:rsidP="00F45500">
      <w:pPr>
        <w:keepNext/>
        <w:spacing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5.6.1.</w:t>
      </w:r>
      <w:r w:rsidRPr="007B192E">
        <w:rPr>
          <w:rFonts w:ascii="Arial" w:hAnsi="Arial" w:cs="Arial"/>
          <w:color w:val="000000" w:themeColor="text1"/>
          <w:sz w:val="18"/>
          <w:szCs w:val="18"/>
        </w:rPr>
        <w:t xml:space="preserve"> </w:t>
      </w: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Dostarczenie materiałów i spełnienie zaleceń producenta materiałów</w:t>
      </w:r>
    </w:p>
    <w:p w14:paraId="4679149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znakowania drogi, spełniające wymagania podane w punkcie 2, powinny być dostarczone w oryginalnych opakowaniach handlowych i stosowane zgodnie z zaleceniami SST, producenta oraz wymaganiami znajdującymi się w aprobacie technicznej.</w:t>
      </w:r>
    </w:p>
    <w:p w14:paraId="2E16D213"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5.6.3. </w:t>
      </w:r>
      <w:r w:rsidRPr="007B192E">
        <w:rPr>
          <w:rFonts w:ascii="Arial" w:hAnsi="Arial" w:cs="Arial"/>
          <w:color w:val="000000" w:themeColor="text1"/>
          <w:sz w:val="18"/>
          <w:szCs w:val="18"/>
        </w:rPr>
        <w:t>Wykonanie oznakowania drogi materiałami grubowarstwowymi</w:t>
      </w:r>
    </w:p>
    <w:p w14:paraId="3C85DCBF" w14:textId="77777777" w:rsidR="00F45500" w:rsidRPr="007B192E" w:rsidRDefault="00F45500" w:rsidP="00F45500">
      <w:pPr>
        <w:pStyle w:val="Standard"/>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Wykonanie oznakowania powinno być zgodne z zaleceniami producenta materiałów, a w przypadku ich braku lub niepełnych danych - zgodne z poniższymi wskazaniami.</w:t>
      </w:r>
    </w:p>
    <w:p w14:paraId="76726DE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w:t>
      </w:r>
      <w:proofErr w:type="spellStart"/>
      <w:r w:rsidRPr="007B192E">
        <w:rPr>
          <w:rFonts w:ascii="Arial" w:hAnsi="Arial" w:cs="Arial"/>
          <w:color w:val="000000" w:themeColor="text1"/>
          <w:sz w:val="18"/>
          <w:szCs w:val="18"/>
        </w:rPr>
        <w:t>malowarki</w:t>
      </w:r>
      <w:proofErr w:type="spellEnd"/>
      <w:r w:rsidRPr="007B192E">
        <w:rPr>
          <w:rFonts w:ascii="Arial" w:hAnsi="Arial" w:cs="Arial"/>
          <w:color w:val="000000" w:themeColor="text1"/>
          <w:sz w:val="18"/>
          <w:szCs w:val="18"/>
        </w:rPr>
        <w:t>. Ilość materiału zużyta w czasie prac, określona przez średnie zużycie na metr kwadratowy, nie może się różnić od ilości ustalonej, więcej niż o 20%.</w:t>
      </w:r>
    </w:p>
    <w:p w14:paraId="1EEFA4B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 przypadku mas termoplastycznych wszystkie większe prace (linie krawędziowe, segregacyjne na długich odcinkach dróg) powinny być wykonywane przy użyciu urządzeń samojezdnych z automatycznym podziałem linii i posypywaniem kulkami szklanymi z ew. materiałem </w:t>
      </w:r>
      <w:proofErr w:type="spellStart"/>
      <w:r w:rsidRPr="007B192E">
        <w:rPr>
          <w:rFonts w:ascii="Arial" w:hAnsi="Arial" w:cs="Arial"/>
          <w:color w:val="000000" w:themeColor="text1"/>
          <w:sz w:val="18"/>
          <w:szCs w:val="18"/>
        </w:rPr>
        <w:t>uszorstniającym</w:t>
      </w:r>
      <w:proofErr w:type="spellEnd"/>
      <w:r w:rsidRPr="007B192E">
        <w:rPr>
          <w:rFonts w:ascii="Arial" w:hAnsi="Arial" w:cs="Arial"/>
          <w:color w:val="000000" w:themeColor="text1"/>
          <w:sz w:val="18"/>
          <w:szCs w:val="18"/>
        </w:rPr>
        <w:t xml:space="preserve">.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t>
      </w:r>
      <w:proofErr w:type="spellStart"/>
      <w:r w:rsidRPr="007B192E">
        <w:rPr>
          <w:rFonts w:ascii="Arial" w:hAnsi="Arial" w:cs="Arial"/>
          <w:color w:val="000000" w:themeColor="text1"/>
          <w:sz w:val="18"/>
          <w:szCs w:val="18"/>
        </w:rPr>
        <w:t>waterblasting</w:t>
      </w:r>
      <w:proofErr w:type="spellEnd"/>
      <w:r w:rsidRPr="007B192E">
        <w:rPr>
          <w:rFonts w:ascii="Arial" w:hAnsi="Arial" w:cs="Arial"/>
          <w:color w:val="000000" w:themeColor="text1"/>
          <w:sz w:val="18"/>
          <w:szCs w:val="18"/>
        </w:rPr>
        <w:t xml:space="preserve">, aby zlikwidować pozostałości mleczka cementowego i </w:t>
      </w:r>
      <w:proofErr w:type="spellStart"/>
      <w:r w:rsidRPr="007B192E">
        <w:rPr>
          <w:rFonts w:ascii="Arial" w:hAnsi="Arial" w:cs="Arial"/>
          <w:color w:val="000000" w:themeColor="text1"/>
          <w:sz w:val="18"/>
          <w:szCs w:val="18"/>
        </w:rPr>
        <w:t>uszorstnić</w:t>
      </w:r>
      <w:proofErr w:type="spellEnd"/>
      <w:r w:rsidRPr="007B192E">
        <w:rPr>
          <w:rFonts w:ascii="Arial" w:hAnsi="Arial" w:cs="Arial"/>
          <w:color w:val="000000" w:themeColor="text1"/>
          <w:sz w:val="18"/>
          <w:szCs w:val="18"/>
        </w:rPr>
        <w:t xml:space="preserve"> powierzchnię. Po usunięciu warstwy powierzchniowej betonu, należy powierzchnię znakowaną umyć wodą pod ciśnieniem oraz zagruntować środkiem wskazanym przez producenta masy (podkład, grunt, </w:t>
      </w:r>
      <w:proofErr w:type="spellStart"/>
      <w:r w:rsidRPr="007B192E">
        <w:rPr>
          <w:rFonts w:ascii="Arial" w:hAnsi="Arial" w:cs="Arial"/>
          <w:color w:val="000000" w:themeColor="text1"/>
          <w:sz w:val="18"/>
          <w:szCs w:val="18"/>
        </w:rPr>
        <w:t>primer</w:t>
      </w:r>
      <w:proofErr w:type="spellEnd"/>
      <w:r w:rsidRPr="007B192E">
        <w:rPr>
          <w:rFonts w:ascii="Arial" w:hAnsi="Arial" w:cs="Arial"/>
          <w:color w:val="000000" w:themeColor="text1"/>
          <w:sz w:val="18"/>
          <w:szCs w:val="18"/>
        </w:rPr>
        <w:t>) w ilości przez niego podanej.</w:t>
      </w:r>
    </w:p>
    <w:p w14:paraId="6A8FD4E1" w14:textId="77777777" w:rsidR="00F45500" w:rsidRPr="007B192E" w:rsidRDefault="00F45500" w:rsidP="00F45500">
      <w:pPr>
        <w:keepNext/>
        <w:spacing w:before="240" w:after="60"/>
        <w:jc w:val="both"/>
        <w:outlineLvl w:val="1"/>
        <w:rPr>
          <w:rFonts w:ascii="Arial" w:hAnsi="Arial" w:cs="Arial"/>
          <w:b/>
          <w:bCs/>
          <w:iCs/>
          <w:color w:val="000000" w:themeColor="text1"/>
          <w:sz w:val="18"/>
          <w:szCs w:val="18"/>
          <w:lang w:eastAsia="pl-PL"/>
        </w:rPr>
      </w:pPr>
      <w:r w:rsidRPr="007B192E">
        <w:rPr>
          <w:rFonts w:ascii="Arial" w:hAnsi="Arial" w:cs="Arial"/>
          <w:b/>
          <w:bCs/>
          <w:iCs/>
          <w:color w:val="000000" w:themeColor="text1"/>
          <w:sz w:val="18"/>
          <w:szCs w:val="18"/>
          <w:lang w:eastAsia="pl-PL"/>
        </w:rPr>
        <w:t>5.7. Usuwanie oznakowania poziomego</w:t>
      </w:r>
    </w:p>
    <w:p w14:paraId="2AE69CFF" w14:textId="77777777" w:rsidR="00F45500" w:rsidRPr="007B192E" w:rsidRDefault="00F45500" w:rsidP="00F45500">
      <w:pPr>
        <w:numPr>
          <w:ilvl w:val="12"/>
          <w:numId w:val="0"/>
        </w:numP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W przypadku konieczności usunięcia istniejącego oznakowania poziomego, czynność tę należy wykonać jak najmniej uszkadzając nawierzchnię.</w:t>
      </w:r>
    </w:p>
    <w:p w14:paraId="6C21B3A2" w14:textId="77777777" w:rsidR="00F45500" w:rsidRPr="007B192E" w:rsidRDefault="00F45500" w:rsidP="00F45500">
      <w:pPr>
        <w:numPr>
          <w:ilvl w:val="12"/>
          <w:numId w:val="0"/>
        </w:numP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Zaleca się wykonywać usuwanie oznakowania:</w:t>
      </w:r>
    </w:p>
    <w:p w14:paraId="63F5354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cienkowarstwowego, metodą: frezowania mechanicznego lub wodą pod wysokim ciśnieniem (</w:t>
      </w:r>
      <w:proofErr w:type="spellStart"/>
      <w:r w:rsidRPr="007B192E">
        <w:rPr>
          <w:rFonts w:ascii="Arial" w:hAnsi="Arial" w:cs="Arial"/>
          <w:color w:val="000000" w:themeColor="text1"/>
          <w:sz w:val="18"/>
          <w:szCs w:val="18"/>
          <w:lang w:eastAsia="pl-PL"/>
        </w:rPr>
        <w:t>waterblasting</w:t>
      </w:r>
      <w:proofErr w:type="spellEnd"/>
      <w:r w:rsidRPr="007B192E">
        <w:rPr>
          <w:rFonts w:ascii="Arial" w:hAnsi="Arial" w:cs="Arial"/>
          <w:color w:val="000000" w:themeColor="text1"/>
          <w:sz w:val="18"/>
          <w:szCs w:val="18"/>
          <w:lang w:eastAsia="pl-PL"/>
        </w:rPr>
        <w:t>), piaskowania, śrutowania, trawienia, wypalania, nie dopuszcza się zamalowania,</w:t>
      </w:r>
    </w:p>
    <w:p w14:paraId="5108CB90"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grubowarstwowego, metodą piaskowania, kulkowania, frezowania,</w:t>
      </w:r>
    </w:p>
    <w:p w14:paraId="5976420E" w14:textId="77777777" w:rsidR="00F45500" w:rsidRPr="007B192E" w:rsidRDefault="00F45500" w:rsidP="00F45500">
      <w:pPr>
        <w:widowControl/>
        <w:numPr>
          <w:ilvl w:val="0"/>
          <w:numId w:val="19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punktowego, prostymi narzędziami mechanicznymi.</w:t>
      </w:r>
    </w:p>
    <w:p w14:paraId="28D0FEC2" w14:textId="77777777" w:rsidR="00F45500" w:rsidRPr="007B192E" w:rsidRDefault="00F45500" w:rsidP="00F45500">
      <w:pPr>
        <w:numPr>
          <w:ilvl w:val="12"/>
          <w:numId w:val="0"/>
        </w:numP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Środki zastosowane do usunięcia oznakowania nie mogą wpływać ujemnie na przyczepność nowego oznakowania do podłoża, na jego szorstkość, trwałość oraz na właściwości podłoża.</w:t>
      </w:r>
    </w:p>
    <w:p w14:paraId="74CA32FD" w14:textId="77777777" w:rsidR="00F45500" w:rsidRPr="007B192E" w:rsidRDefault="00F45500" w:rsidP="00F45500">
      <w:pPr>
        <w:numPr>
          <w:ilvl w:val="12"/>
          <w:numId w:val="0"/>
        </w:numP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Usuwanie oznakowania na czas robót drogowych może być wykonane przez zamalowanie nietrwałą farbą barwy </w:t>
      </w:r>
      <w:r w:rsidRPr="007B192E">
        <w:rPr>
          <w:rFonts w:ascii="Arial" w:hAnsi="Arial" w:cs="Arial"/>
          <w:color w:val="000000" w:themeColor="text1"/>
          <w:sz w:val="18"/>
          <w:szCs w:val="18"/>
          <w:lang w:eastAsia="pl-PL"/>
        </w:rPr>
        <w:lastRenderedPageBreak/>
        <w:t>czarnej.</w:t>
      </w:r>
    </w:p>
    <w:p w14:paraId="0C12FDF0" w14:textId="77777777" w:rsidR="00F45500" w:rsidRPr="007B192E" w:rsidRDefault="00F45500" w:rsidP="00F45500">
      <w:pPr>
        <w:numPr>
          <w:ilvl w:val="12"/>
          <w:numId w:val="0"/>
        </w:numP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Materiały pozostałe po usunięciu oznakowania należy usunąć z drogi tak, aby nie zanieczyszczały środowiska, w miejsce zaakceptowane przez Inżyniera.</w:t>
      </w:r>
    </w:p>
    <w:p w14:paraId="4FA49490" w14:textId="77777777" w:rsidR="00F45500" w:rsidRPr="007B192E" w:rsidRDefault="00F45500" w:rsidP="00F45500">
      <w:pPr>
        <w:pStyle w:val="Nagwek2"/>
        <w:numPr>
          <w:ilvl w:val="1"/>
          <w:numId w:val="30"/>
        </w:numPr>
        <w:overflowPunct/>
        <w:autoSpaceDE/>
        <w:spacing w:before="60"/>
        <w:jc w:val="both"/>
        <w:textAlignment w:val="auto"/>
        <w:rPr>
          <w:i w:val="0"/>
          <w:color w:val="000000" w:themeColor="text1"/>
          <w:sz w:val="18"/>
          <w:szCs w:val="18"/>
        </w:rPr>
      </w:pPr>
      <w:r w:rsidRPr="007B192E">
        <w:rPr>
          <w:color w:val="000000" w:themeColor="text1"/>
          <w:sz w:val="18"/>
          <w:szCs w:val="18"/>
        </w:rPr>
        <w:t>5.8. Odnowa oznakowania poziomego</w:t>
      </w:r>
    </w:p>
    <w:p w14:paraId="77E430E0" w14:textId="77777777" w:rsidR="00F45500" w:rsidRPr="007B192E" w:rsidRDefault="00F45500" w:rsidP="00F45500">
      <w:pPr>
        <w:numPr>
          <w:ilvl w:val="12"/>
          <w:numId w:val="0"/>
        </w:num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Odnawianie oznakowania poziomego, wykonywanego w przypadku utraty wymagań jednej z właściwości, należy wykonać materiałem o sprawdzonej dobrej przyczepności do starej warstwy.</w:t>
      </w:r>
    </w:p>
    <w:p w14:paraId="0833F60B"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w:t>
      </w:r>
      <w:proofErr w:type="spellStart"/>
      <w:r w:rsidRPr="007B192E">
        <w:rPr>
          <w:rFonts w:ascii="Arial" w:hAnsi="Arial" w:cs="Arial"/>
          <w:color w:val="000000" w:themeColor="text1"/>
          <w:sz w:val="18"/>
          <w:szCs w:val="18"/>
        </w:rPr>
        <w:t>sprayplast</w:t>
      </w:r>
      <w:proofErr w:type="spellEnd"/>
      <w:r w:rsidRPr="007B192E">
        <w:rPr>
          <w:rFonts w:ascii="Arial" w:hAnsi="Arial" w:cs="Arial"/>
          <w:color w:val="000000" w:themeColor="text1"/>
          <w:sz w:val="18"/>
          <w:szCs w:val="18"/>
        </w:rPr>
        <w:t>) lub odpowiednimi akrylowymi farbami rozpuszczalnikowymi.</w:t>
      </w:r>
    </w:p>
    <w:p w14:paraId="4C72B06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Ilość stosowanego do odnowienia materiału, należy dobrać w zależności od rodzaju i stanu oznakowania odnawianego, kierując się wskazówkami producenta materiału i zaleceniami Inżyniera.</w:t>
      </w:r>
    </w:p>
    <w:p w14:paraId="66E73AC9" w14:textId="77777777" w:rsidR="00F45500" w:rsidRPr="007B192E" w:rsidRDefault="007A36FB" w:rsidP="00F55C6E">
      <w:pPr>
        <w:pStyle w:val="Nagwek2"/>
        <w:rPr>
          <w:i w:val="0"/>
          <w:color w:val="000000" w:themeColor="text1"/>
        </w:rPr>
      </w:pPr>
      <w:r w:rsidRPr="007B192E">
        <w:rPr>
          <w:i w:val="0"/>
          <w:color w:val="000000" w:themeColor="text1"/>
        </w:rPr>
        <w:t>6. KONTROLA JAKOŚCI ROBÓT</w:t>
      </w:r>
    </w:p>
    <w:p w14:paraId="4FC70E28"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6.1. Ogólne zasady kontroli jakości robót</w:t>
      </w:r>
    </w:p>
    <w:p w14:paraId="2276E5E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465EB2CC"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 xml:space="preserve">6.2. Badanie przygotowania podłoża i </w:t>
      </w:r>
      <w:proofErr w:type="spellStart"/>
      <w:r w:rsidRPr="007B192E">
        <w:rPr>
          <w:rFonts w:ascii="Arial" w:hAnsi="Arial" w:cs="Arial"/>
          <w:b/>
          <w:color w:val="000000" w:themeColor="text1"/>
          <w:sz w:val="18"/>
          <w:szCs w:val="18"/>
        </w:rPr>
        <w:t>przedznakowania</w:t>
      </w:r>
      <w:proofErr w:type="spellEnd"/>
    </w:p>
    <w:p w14:paraId="39FE1AD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Powierzchnia jezdni przed wykonaniem znakowania poziomego musi być całkowicie czysta i sucha.</w:t>
      </w:r>
    </w:p>
    <w:p w14:paraId="6457B48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r>
      <w:proofErr w:type="spellStart"/>
      <w:r w:rsidRPr="007B192E">
        <w:rPr>
          <w:rFonts w:ascii="Arial" w:hAnsi="Arial" w:cs="Arial"/>
          <w:color w:val="000000" w:themeColor="text1"/>
          <w:sz w:val="18"/>
          <w:szCs w:val="18"/>
        </w:rPr>
        <w:t>Przedznakowanie</w:t>
      </w:r>
      <w:proofErr w:type="spellEnd"/>
      <w:r w:rsidRPr="007B192E">
        <w:rPr>
          <w:rFonts w:ascii="Arial" w:hAnsi="Arial" w:cs="Arial"/>
          <w:color w:val="000000" w:themeColor="text1"/>
          <w:sz w:val="18"/>
          <w:szCs w:val="18"/>
        </w:rPr>
        <w:t xml:space="preserve"> powinno być wykonane zgodnie z wymaganiami punktu 5.5.</w:t>
      </w:r>
    </w:p>
    <w:p w14:paraId="13B61290"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6.3. Badania wykonania oznakowania poziomego</w:t>
      </w:r>
    </w:p>
    <w:p w14:paraId="4AF2DE87" w14:textId="77777777" w:rsidR="00F45500" w:rsidRPr="007B192E" w:rsidRDefault="00F45500" w:rsidP="00F45500">
      <w:pPr>
        <w:keepNext/>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6.3.1. </w:t>
      </w:r>
      <w:r w:rsidRPr="007B192E">
        <w:rPr>
          <w:rFonts w:ascii="Arial" w:hAnsi="Arial" w:cs="Arial"/>
          <w:color w:val="000000" w:themeColor="text1"/>
          <w:sz w:val="18"/>
          <w:szCs w:val="18"/>
        </w:rPr>
        <w:t>Wymagania wobec oznakowania poziomego</w:t>
      </w:r>
    </w:p>
    <w:p w14:paraId="624FAE11" w14:textId="77777777" w:rsidR="00F45500" w:rsidRPr="007B192E" w:rsidRDefault="00F45500" w:rsidP="00F45500">
      <w:pPr>
        <w:suppressLineNumbers/>
        <w:spacing w:before="60" w:after="60"/>
        <w:jc w:val="both"/>
        <w:rPr>
          <w:rFonts w:ascii="Arial" w:hAnsi="Arial" w:cs="Arial"/>
          <w:color w:val="000000" w:themeColor="text1"/>
          <w:sz w:val="18"/>
          <w:szCs w:val="18"/>
        </w:rPr>
      </w:pPr>
      <w:r w:rsidRPr="007B192E">
        <w:rPr>
          <w:rFonts w:ascii="Arial" w:hAnsi="Arial" w:cs="Arial"/>
          <w:color w:val="000000" w:themeColor="text1"/>
          <w:sz w:val="18"/>
          <w:szCs w:val="18"/>
        </w:rPr>
        <w:t>6.3.1.1. Zasady</w:t>
      </w:r>
    </w:p>
    <w:p w14:paraId="25D5B7E4" w14:textId="77777777" w:rsidR="00F45500" w:rsidRPr="007B192E" w:rsidRDefault="00F45500" w:rsidP="00F45500">
      <w:pPr>
        <w:ind w:firstLine="709"/>
        <w:jc w:val="both"/>
        <w:rPr>
          <w:rFonts w:ascii="Arial" w:hAnsi="Arial" w:cs="Arial"/>
          <w:color w:val="000000" w:themeColor="text1"/>
          <w:spacing w:val="-3"/>
          <w:sz w:val="18"/>
          <w:szCs w:val="18"/>
        </w:rPr>
      </w:pPr>
      <w:r w:rsidRPr="007B192E">
        <w:rPr>
          <w:rFonts w:ascii="Arial" w:hAnsi="Arial" w:cs="Arial"/>
          <w:color w:val="000000" w:themeColor="text1"/>
          <w:spacing w:val="-3"/>
          <w:sz w:val="18"/>
          <w:szCs w:val="18"/>
        </w:rPr>
        <w:t>Wymagania sprecyzowano przede wszystkim w celu określenia właściwości oznakowania dróg w czasie ich użytkowania. Wymagania określa się kilkoma parametrami reprezentującymi różne aspekty właściwości oznakowania dróg według PN-EN 1436:2000 [4] i PN-EN 1436:2000/A1:2005 [4a].</w:t>
      </w:r>
    </w:p>
    <w:p w14:paraId="12FC6705" w14:textId="77777777" w:rsidR="00F45500" w:rsidRPr="007B192E" w:rsidRDefault="00F45500" w:rsidP="00F45500">
      <w:pPr>
        <w:ind w:firstLine="709"/>
        <w:jc w:val="both"/>
        <w:rPr>
          <w:rFonts w:ascii="Arial" w:hAnsi="Arial" w:cs="Arial"/>
          <w:color w:val="000000" w:themeColor="text1"/>
          <w:spacing w:val="-3"/>
          <w:sz w:val="18"/>
          <w:szCs w:val="18"/>
        </w:rPr>
      </w:pPr>
      <w:r w:rsidRPr="007B192E">
        <w:rPr>
          <w:rFonts w:ascii="Arial" w:hAnsi="Arial" w:cs="Arial"/>
          <w:color w:val="000000" w:themeColor="text1"/>
          <w:spacing w:val="-3"/>
          <w:sz w:val="18"/>
          <w:szCs w:val="18"/>
        </w:rPr>
        <w:t>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w:t>
      </w:r>
    </w:p>
    <w:p w14:paraId="7808DF57" w14:textId="77777777" w:rsidR="00F45500" w:rsidRPr="007B192E" w:rsidRDefault="00F45500" w:rsidP="00F45500">
      <w:pPr>
        <w:ind w:firstLine="709"/>
        <w:jc w:val="both"/>
        <w:rPr>
          <w:rFonts w:ascii="Arial" w:hAnsi="Arial" w:cs="Arial"/>
          <w:color w:val="000000" w:themeColor="text1"/>
          <w:spacing w:val="-3"/>
          <w:sz w:val="18"/>
          <w:szCs w:val="18"/>
        </w:rPr>
      </w:pPr>
      <w:r w:rsidRPr="007B192E">
        <w:rPr>
          <w:rFonts w:ascii="Arial" w:hAnsi="Arial" w:cs="Arial"/>
          <w:color w:val="000000" w:themeColor="text1"/>
          <w:spacing w:val="-3"/>
          <w:sz w:val="18"/>
          <w:szCs w:val="18"/>
        </w:rPr>
        <w:t xml:space="preserve">Barwa żółta dotyczy tylko </w:t>
      </w:r>
      <w:proofErr w:type="spellStart"/>
      <w:r w:rsidRPr="007B192E">
        <w:rPr>
          <w:rFonts w:ascii="Arial" w:hAnsi="Arial" w:cs="Arial"/>
          <w:color w:val="000000" w:themeColor="text1"/>
          <w:spacing w:val="-3"/>
          <w:sz w:val="18"/>
          <w:szCs w:val="18"/>
        </w:rPr>
        <w:t>oznakowań</w:t>
      </w:r>
      <w:proofErr w:type="spellEnd"/>
      <w:r w:rsidRPr="007B192E">
        <w:rPr>
          <w:rFonts w:ascii="Arial" w:hAnsi="Arial" w:cs="Arial"/>
          <w:color w:val="000000" w:themeColor="text1"/>
          <w:spacing w:val="-3"/>
          <w:sz w:val="18"/>
          <w:szCs w:val="18"/>
        </w:rPr>
        <w:t xml:space="preserve"> tymczasowych, które także powinny być kontrolowane. Inne barwy </w:t>
      </w:r>
      <w:proofErr w:type="spellStart"/>
      <w:r w:rsidRPr="007B192E">
        <w:rPr>
          <w:rFonts w:ascii="Arial" w:hAnsi="Arial" w:cs="Arial"/>
          <w:color w:val="000000" w:themeColor="text1"/>
          <w:spacing w:val="-3"/>
          <w:sz w:val="18"/>
          <w:szCs w:val="18"/>
        </w:rPr>
        <w:t>oznakowań</w:t>
      </w:r>
      <w:proofErr w:type="spellEnd"/>
      <w:r w:rsidRPr="007B192E">
        <w:rPr>
          <w:rFonts w:ascii="Arial" w:hAnsi="Arial" w:cs="Arial"/>
          <w:color w:val="000000" w:themeColor="text1"/>
          <w:spacing w:val="-3"/>
          <w:sz w:val="18"/>
          <w:szCs w:val="18"/>
        </w:rPr>
        <w:t xml:space="preserve"> niż biała i żółta należy stosować zgodnie z zaleceniami zawartymi w załączniku nr 2 do rozporządzenia [7].</w:t>
      </w:r>
    </w:p>
    <w:p w14:paraId="076CF31C"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6.3.1.2. Widzialność w dzień</w:t>
      </w:r>
    </w:p>
    <w:p w14:paraId="79B73F3A"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Widzialność oznakowania w dzień jest określona współczynnikiem luminancji </w:t>
      </w:r>
      <w:r w:rsidRPr="007B192E">
        <w:rPr>
          <w:rFonts w:ascii="Arial" w:hAnsi="Arial" w:cs="Arial"/>
          <w:color w:val="000000" w:themeColor="text1"/>
          <w:sz w:val="18"/>
          <w:szCs w:val="18"/>
        </w:rPr>
        <w:t> i barwą oznakowania wyrażoną współrzędnymi chromatyczności.</w:t>
      </w:r>
    </w:p>
    <w:p w14:paraId="06018DE8" w14:textId="77777777" w:rsidR="00F45500" w:rsidRPr="007B192E" w:rsidRDefault="00F45500" w:rsidP="00F45500">
      <w:pPr>
        <w:ind w:firstLine="709"/>
        <w:rPr>
          <w:rFonts w:ascii="Arial" w:hAnsi="Arial" w:cs="Arial"/>
          <w:color w:val="000000" w:themeColor="text1"/>
          <w:sz w:val="18"/>
          <w:szCs w:val="18"/>
        </w:rPr>
      </w:pPr>
      <w:r w:rsidRPr="007B192E">
        <w:rPr>
          <w:rFonts w:ascii="Arial" w:hAnsi="Arial" w:cs="Arial"/>
          <w:color w:val="000000" w:themeColor="text1"/>
          <w:sz w:val="18"/>
          <w:szCs w:val="18"/>
        </w:rPr>
        <w:t xml:space="preserve">Wartość współczynnika </w:t>
      </w:r>
      <w:r w:rsidRPr="007B192E">
        <w:rPr>
          <w:rFonts w:ascii="Arial" w:hAnsi="Arial" w:cs="Arial"/>
          <w:color w:val="000000" w:themeColor="text1"/>
          <w:sz w:val="18"/>
          <w:szCs w:val="18"/>
        </w:rPr>
        <w:t xml:space="preserve"> powinna wynosić dla oznakowania nowego </w:t>
      </w:r>
      <w:r w:rsidRPr="007B192E">
        <w:rPr>
          <w:rFonts w:ascii="Arial" w:hAnsi="Arial" w:cs="Arial"/>
          <w:color w:val="000000" w:themeColor="text1"/>
          <w:spacing w:val="-3"/>
          <w:sz w:val="18"/>
          <w:szCs w:val="18"/>
        </w:rPr>
        <w:t>w terminie od 14 do 30 dnia po wykonaniu</w:t>
      </w:r>
      <w:r w:rsidRPr="007B192E">
        <w:rPr>
          <w:rFonts w:ascii="Arial" w:hAnsi="Arial" w:cs="Arial"/>
          <w:color w:val="000000" w:themeColor="text1"/>
          <w:sz w:val="18"/>
          <w:szCs w:val="18"/>
        </w:rPr>
        <w:t>, barwy:</w:t>
      </w:r>
    </w:p>
    <w:p w14:paraId="04ADBE3F"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na nawierzchni asfaltowej , co najmniej 0,40, klasa B3,</w:t>
      </w:r>
    </w:p>
    <w:p w14:paraId="18683CDF"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na nawierzchni betonowej, co najmniej 0,50, klasa B4,</w:t>
      </w:r>
    </w:p>
    <w:p w14:paraId="71F40383"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ab/>
        <w:t xml:space="preserve">Wartość współczynnika </w:t>
      </w:r>
      <w:r w:rsidRPr="007B192E">
        <w:rPr>
          <w:rFonts w:ascii="Arial" w:hAnsi="Arial" w:cs="Arial"/>
          <w:color w:val="000000" w:themeColor="text1"/>
          <w:sz w:val="18"/>
          <w:szCs w:val="18"/>
        </w:rPr>
        <w:t> powinna wynosić po 30 dniu od wykonania dla całego okresu użytkowania oznakowania, barwy:</w:t>
      </w:r>
    </w:p>
    <w:p w14:paraId="3937A3E3"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na nawierzchni asfaltowej , co najmniej 0,30, klasa B2,</w:t>
      </w:r>
    </w:p>
    <w:p w14:paraId="26971980"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na nawierzchni betonowej, co najmniej 0,40, klasa B3,</w:t>
      </w:r>
    </w:p>
    <w:p w14:paraId="0DBA1BC5" w14:textId="77777777" w:rsidR="00F45500" w:rsidRPr="007B192E" w:rsidRDefault="00F45500" w:rsidP="00F45500">
      <w:pPr>
        <w:jc w:val="both"/>
        <w:rPr>
          <w:rFonts w:ascii="Arial" w:hAnsi="Arial" w:cs="Arial"/>
          <w:color w:val="000000" w:themeColor="text1"/>
          <w:sz w:val="18"/>
          <w:szCs w:val="18"/>
        </w:rPr>
      </w:pPr>
    </w:p>
    <w:p w14:paraId="37C806F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Barwa oznakowania powinna być określona wg PN-EN 1436:2000 [4] przez współrzędne chromatyczności x i y, które dla suchego oznakowania powinny leżeć w obszarze zdefiniowanym przez cztery punkty narożne podane w tablicy 1 i na wykresach (rys. 1, 2 i 3).</w:t>
      </w:r>
    </w:p>
    <w:p w14:paraId="0FC1217B"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Tablica 1. Punkty narożne obszarów chromatyczności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dróg</w:t>
      </w:r>
    </w:p>
    <w:tbl>
      <w:tblPr>
        <w:tblW w:w="74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01"/>
        <w:gridCol w:w="425"/>
        <w:gridCol w:w="1110"/>
        <w:gridCol w:w="1111"/>
        <w:gridCol w:w="1110"/>
        <w:gridCol w:w="1126"/>
      </w:tblGrid>
      <w:tr w:rsidR="004D7D23" w:rsidRPr="007B192E" w14:paraId="5C1166CA" w14:textId="77777777" w:rsidTr="008F7A94">
        <w:trPr>
          <w:trHeight w:val="398"/>
          <w:jc w:val="center"/>
        </w:trPr>
        <w:tc>
          <w:tcPr>
            <w:tcW w:w="3026" w:type="dxa"/>
            <w:gridSpan w:val="2"/>
            <w:tcMar>
              <w:top w:w="0" w:type="dxa"/>
              <w:left w:w="157" w:type="dxa"/>
              <w:bottom w:w="0" w:type="dxa"/>
              <w:right w:w="157" w:type="dxa"/>
            </w:tcMar>
          </w:tcPr>
          <w:p w14:paraId="7F2E320A" w14:textId="77777777" w:rsidR="00F45500" w:rsidRPr="007B192E" w:rsidRDefault="00F45500" w:rsidP="008F7A94">
            <w:pPr>
              <w:tabs>
                <w:tab w:val="left" w:pos="-720"/>
              </w:tabs>
              <w:spacing w:before="120" w:after="120"/>
              <w:jc w:val="center"/>
              <w:rPr>
                <w:rFonts w:ascii="Arial" w:hAnsi="Arial" w:cs="Arial"/>
                <w:bCs/>
                <w:color w:val="000000" w:themeColor="text1"/>
                <w:spacing w:val="-3"/>
                <w:sz w:val="18"/>
                <w:szCs w:val="18"/>
              </w:rPr>
            </w:pPr>
            <w:r w:rsidRPr="007B192E">
              <w:rPr>
                <w:rFonts w:ascii="Arial" w:hAnsi="Arial" w:cs="Arial"/>
                <w:bCs/>
                <w:color w:val="000000" w:themeColor="text1"/>
                <w:spacing w:val="-3"/>
                <w:sz w:val="18"/>
                <w:szCs w:val="18"/>
              </w:rPr>
              <w:t>Punkt narożny nr</w:t>
            </w:r>
          </w:p>
        </w:tc>
        <w:tc>
          <w:tcPr>
            <w:tcW w:w="1110" w:type="dxa"/>
            <w:tcMar>
              <w:top w:w="0" w:type="dxa"/>
              <w:left w:w="157" w:type="dxa"/>
              <w:bottom w:w="0" w:type="dxa"/>
              <w:right w:w="157" w:type="dxa"/>
            </w:tcMar>
          </w:tcPr>
          <w:p w14:paraId="2A4298FA" w14:textId="77777777" w:rsidR="00F45500" w:rsidRPr="007B192E" w:rsidRDefault="00F45500" w:rsidP="008F7A94">
            <w:pPr>
              <w:tabs>
                <w:tab w:val="left" w:pos="-720"/>
              </w:tabs>
              <w:spacing w:before="120" w:after="120"/>
              <w:jc w:val="center"/>
              <w:rPr>
                <w:rFonts w:ascii="Arial" w:hAnsi="Arial" w:cs="Arial"/>
                <w:bCs/>
                <w:color w:val="000000" w:themeColor="text1"/>
                <w:spacing w:val="-3"/>
                <w:sz w:val="18"/>
                <w:szCs w:val="18"/>
              </w:rPr>
            </w:pPr>
            <w:r w:rsidRPr="007B192E">
              <w:rPr>
                <w:rFonts w:ascii="Arial" w:hAnsi="Arial" w:cs="Arial"/>
                <w:bCs/>
                <w:color w:val="000000" w:themeColor="text1"/>
                <w:spacing w:val="-3"/>
                <w:sz w:val="18"/>
                <w:szCs w:val="18"/>
              </w:rPr>
              <w:t>1</w:t>
            </w:r>
          </w:p>
        </w:tc>
        <w:tc>
          <w:tcPr>
            <w:tcW w:w="1111" w:type="dxa"/>
            <w:tcMar>
              <w:top w:w="0" w:type="dxa"/>
              <w:left w:w="157" w:type="dxa"/>
              <w:bottom w:w="0" w:type="dxa"/>
              <w:right w:w="157" w:type="dxa"/>
            </w:tcMar>
          </w:tcPr>
          <w:p w14:paraId="57F385A9" w14:textId="77777777" w:rsidR="00F45500" w:rsidRPr="007B192E" w:rsidRDefault="00F45500" w:rsidP="008F7A94">
            <w:pPr>
              <w:tabs>
                <w:tab w:val="left" w:pos="-720"/>
              </w:tabs>
              <w:spacing w:before="120" w:after="120"/>
              <w:jc w:val="center"/>
              <w:rPr>
                <w:rFonts w:ascii="Arial" w:hAnsi="Arial" w:cs="Arial"/>
                <w:bCs/>
                <w:color w:val="000000" w:themeColor="text1"/>
                <w:spacing w:val="-3"/>
                <w:sz w:val="18"/>
                <w:szCs w:val="18"/>
              </w:rPr>
            </w:pPr>
            <w:r w:rsidRPr="007B192E">
              <w:rPr>
                <w:rFonts w:ascii="Arial" w:hAnsi="Arial" w:cs="Arial"/>
                <w:bCs/>
                <w:color w:val="000000" w:themeColor="text1"/>
                <w:spacing w:val="-3"/>
                <w:sz w:val="18"/>
                <w:szCs w:val="18"/>
              </w:rPr>
              <w:t>2</w:t>
            </w:r>
          </w:p>
        </w:tc>
        <w:tc>
          <w:tcPr>
            <w:tcW w:w="1110" w:type="dxa"/>
            <w:tcMar>
              <w:top w:w="0" w:type="dxa"/>
              <w:left w:w="157" w:type="dxa"/>
              <w:bottom w:w="0" w:type="dxa"/>
              <w:right w:w="157" w:type="dxa"/>
            </w:tcMar>
          </w:tcPr>
          <w:p w14:paraId="345B923E" w14:textId="77777777" w:rsidR="00F45500" w:rsidRPr="007B192E" w:rsidRDefault="00F45500" w:rsidP="008F7A94">
            <w:pPr>
              <w:tabs>
                <w:tab w:val="left" w:pos="-720"/>
              </w:tabs>
              <w:spacing w:before="120" w:after="120"/>
              <w:jc w:val="center"/>
              <w:rPr>
                <w:rFonts w:ascii="Arial" w:hAnsi="Arial" w:cs="Arial"/>
                <w:bCs/>
                <w:color w:val="000000" w:themeColor="text1"/>
                <w:spacing w:val="-3"/>
                <w:sz w:val="18"/>
                <w:szCs w:val="18"/>
              </w:rPr>
            </w:pPr>
            <w:r w:rsidRPr="007B192E">
              <w:rPr>
                <w:rFonts w:ascii="Arial" w:hAnsi="Arial" w:cs="Arial"/>
                <w:bCs/>
                <w:color w:val="000000" w:themeColor="text1"/>
                <w:spacing w:val="-3"/>
                <w:sz w:val="18"/>
                <w:szCs w:val="18"/>
              </w:rPr>
              <w:t>3</w:t>
            </w:r>
          </w:p>
        </w:tc>
        <w:tc>
          <w:tcPr>
            <w:tcW w:w="1126" w:type="dxa"/>
            <w:tcMar>
              <w:top w:w="0" w:type="dxa"/>
              <w:left w:w="157" w:type="dxa"/>
              <w:bottom w:w="0" w:type="dxa"/>
              <w:right w:w="157" w:type="dxa"/>
            </w:tcMar>
          </w:tcPr>
          <w:p w14:paraId="380612F1" w14:textId="77777777" w:rsidR="00F45500" w:rsidRPr="007B192E" w:rsidRDefault="00F45500" w:rsidP="008F7A94">
            <w:pPr>
              <w:tabs>
                <w:tab w:val="left" w:pos="-720"/>
              </w:tabs>
              <w:spacing w:before="120" w:after="120"/>
              <w:jc w:val="center"/>
              <w:rPr>
                <w:rFonts w:ascii="Arial" w:hAnsi="Arial" w:cs="Arial"/>
                <w:bCs/>
                <w:color w:val="000000" w:themeColor="text1"/>
                <w:spacing w:val="-3"/>
                <w:sz w:val="18"/>
                <w:szCs w:val="18"/>
              </w:rPr>
            </w:pPr>
            <w:r w:rsidRPr="007B192E">
              <w:rPr>
                <w:rFonts w:ascii="Arial" w:hAnsi="Arial" w:cs="Arial"/>
                <w:bCs/>
                <w:color w:val="000000" w:themeColor="text1"/>
                <w:spacing w:val="-3"/>
                <w:sz w:val="18"/>
                <w:szCs w:val="18"/>
              </w:rPr>
              <w:t>4</w:t>
            </w:r>
          </w:p>
        </w:tc>
      </w:tr>
      <w:tr w:rsidR="004D7D23" w:rsidRPr="007B192E" w14:paraId="6D90DAE8" w14:textId="77777777" w:rsidTr="008F7A94">
        <w:trPr>
          <w:jc w:val="center"/>
        </w:trPr>
        <w:tc>
          <w:tcPr>
            <w:tcW w:w="2601" w:type="dxa"/>
            <w:tcMar>
              <w:top w:w="0" w:type="dxa"/>
              <w:left w:w="157" w:type="dxa"/>
              <w:bottom w:w="0" w:type="dxa"/>
              <w:right w:w="157" w:type="dxa"/>
            </w:tcMar>
          </w:tcPr>
          <w:p w14:paraId="22A138EA" w14:textId="77777777" w:rsidR="00F45500" w:rsidRPr="007B192E" w:rsidRDefault="00F45500" w:rsidP="008F7A94">
            <w:pPr>
              <w:suppressLineNumbers/>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Oznakowanie białe</w:t>
            </w:r>
          </w:p>
        </w:tc>
        <w:tc>
          <w:tcPr>
            <w:tcW w:w="425" w:type="dxa"/>
            <w:tcMar>
              <w:top w:w="0" w:type="dxa"/>
              <w:left w:w="157" w:type="dxa"/>
              <w:bottom w:w="0" w:type="dxa"/>
              <w:right w:w="157" w:type="dxa"/>
            </w:tcMar>
          </w:tcPr>
          <w:p w14:paraId="1E112135"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x</w:t>
            </w:r>
          </w:p>
        </w:tc>
        <w:tc>
          <w:tcPr>
            <w:tcW w:w="1110" w:type="dxa"/>
            <w:tcMar>
              <w:top w:w="0" w:type="dxa"/>
              <w:left w:w="157" w:type="dxa"/>
              <w:bottom w:w="0" w:type="dxa"/>
              <w:right w:w="157" w:type="dxa"/>
            </w:tcMar>
          </w:tcPr>
          <w:p w14:paraId="1233AA93"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0,355</w:t>
            </w:r>
          </w:p>
        </w:tc>
        <w:tc>
          <w:tcPr>
            <w:tcW w:w="1111" w:type="dxa"/>
            <w:tcMar>
              <w:top w:w="0" w:type="dxa"/>
              <w:left w:w="157" w:type="dxa"/>
              <w:bottom w:w="0" w:type="dxa"/>
              <w:right w:w="157" w:type="dxa"/>
            </w:tcMar>
          </w:tcPr>
          <w:p w14:paraId="63238558"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0,305</w:t>
            </w:r>
          </w:p>
        </w:tc>
        <w:tc>
          <w:tcPr>
            <w:tcW w:w="1110" w:type="dxa"/>
            <w:tcMar>
              <w:top w:w="0" w:type="dxa"/>
              <w:left w:w="157" w:type="dxa"/>
              <w:bottom w:w="0" w:type="dxa"/>
              <w:right w:w="157" w:type="dxa"/>
            </w:tcMar>
          </w:tcPr>
          <w:p w14:paraId="64BF66CB"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0,285</w:t>
            </w:r>
          </w:p>
        </w:tc>
        <w:tc>
          <w:tcPr>
            <w:tcW w:w="1126" w:type="dxa"/>
            <w:tcMar>
              <w:top w:w="0" w:type="dxa"/>
              <w:left w:w="157" w:type="dxa"/>
              <w:bottom w:w="0" w:type="dxa"/>
              <w:right w:w="157" w:type="dxa"/>
            </w:tcMar>
          </w:tcPr>
          <w:p w14:paraId="1DD7742E"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0,335</w:t>
            </w:r>
          </w:p>
        </w:tc>
      </w:tr>
      <w:tr w:rsidR="00F45500" w:rsidRPr="007B192E" w14:paraId="7FFD5FD0" w14:textId="77777777" w:rsidTr="008F7A94">
        <w:trPr>
          <w:jc w:val="center"/>
        </w:trPr>
        <w:tc>
          <w:tcPr>
            <w:tcW w:w="2601" w:type="dxa"/>
            <w:tcMar>
              <w:top w:w="0" w:type="dxa"/>
              <w:left w:w="157" w:type="dxa"/>
              <w:bottom w:w="0" w:type="dxa"/>
              <w:right w:w="157" w:type="dxa"/>
            </w:tcMar>
          </w:tcPr>
          <w:p w14:paraId="692ADA15" w14:textId="77777777" w:rsidR="00F45500" w:rsidRPr="007B192E" w:rsidRDefault="00F45500" w:rsidP="008F7A94">
            <w:pPr>
              <w:tabs>
                <w:tab w:val="left" w:pos="-720"/>
              </w:tabs>
              <w:snapToGrid w:val="0"/>
              <w:spacing w:before="20" w:after="20"/>
              <w:jc w:val="center"/>
              <w:rPr>
                <w:rFonts w:ascii="Arial" w:hAnsi="Arial" w:cs="Arial"/>
                <w:color w:val="000000" w:themeColor="text1"/>
                <w:spacing w:val="-3"/>
                <w:sz w:val="18"/>
                <w:szCs w:val="18"/>
              </w:rPr>
            </w:pPr>
          </w:p>
        </w:tc>
        <w:tc>
          <w:tcPr>
            <w:tcW w:w="425" w:type="dxa"/>
            <w:tcMar>
              <w:top w:w="0" w:type="dxa"/>
              <w:left w:w="157" w:type="dxa"/>
              <w:bottom w:w="0" w:type="dxa"/>
              <w:right w:w="157" w:type="dxa"/>
            </w:tcMar>
          </w:tcPr>
          <w:p w14:paraId="2BFD55BC"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y</w:t>
            </w:r>
          </w:p>
        </w:tc>
        <w:tc>
          <w:tcPr>
            <w:tcW w:w="1110" w:type="dxa"/>
            <w:tcMar>
              <w:top w:w="0" w:type="dxa"/>
              <w:left w:w="157" w:type="dxa"/>
              <w:bottom w:w="0" w:type="dxa"/>
              <w:right w:w="157" w:type="dxa"/>
            </w:tcMar>
          </w:tcPr>
          <w:p w14:paraId="30CEDBAC"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0,355</w:t>
            </w:r>
          </w:p>
        </w:tc>
        <w:tc>
          <w:tcPr>
            <w:tcW w:w="1111" w:type="dxa"/>
            <w:tcMar>
              <w:top w:w="0" w:type="dxa"/>
              <w:left w:w="157" w:type="dxa"/>
              <w:bottom w:w="0" w:type="dxa"/>
              <w:right w:w="157" w:type="dxa"/>
            </w:tcMar>
          </w:tcPr>
          <w:p w14:paraId="0ACE2F2D"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0,305</w:t>
            </w:r>
          </w:p>
        </w:tc>
        <w:tc>
          <w:tcPr>
            <w:tcW w:w="1110" w:type="dxa"/>
            <w:tcMar>
              <w:top w:w="0" w:type="dxa"/>
              <w:left w:w="157" w:type="dxa"/>
              <w:bottom w:w="0" w:type="dxa"/>
              <w:right w:w="157" w:type="dxa"/>
            </w:tcMar>
          </w:tcPr>
          <w:p w14:paraId="22F49516"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0,325</w:t>
            </w:r>
          </w:p>
        </w:tc>
        <w:tc>
          <w:tcPr>
            <w:tcW w:w="1126" w:type="dxa"/>
            <w:tcMar>
              <w:top w:w="0" w:type="dxa"/>
              <w:left w:w="157" w:type="dxa"/>
              <w:bottom w:w="0" w:type="dxa"/>
              <w:right w:w="157" w:type="dxa"/>
            </w:tcMar>
          </w:tcPr>
          <w:p w14:paraId="1C082843" w14:textId="77777777" w:rsidR="00F45500" w:rsidRPr="007B192E" w:rsidRDefault="00F45500" w:rsidP="008F7A94">
            <w:pPr>
              <w:tabs>
                <w:tab w:val="left" w:pos="-720"/>
              </w:tabs>
              <w:spacing w:before="20" w:after="20"/>
              <w:jc w:val="center"/>
              <w:rPr>
                <w:rFonts w:ascii="Arial" w:hAnsi="Arial" w:cs="Arial"/>
                <w:color w:val="000000" w:themeColor="text1"/>
                <w:spacing w:val="-3"/>
                <w:sz w:val="18"/>
                <w:szCs w:val="18"/>
              </w:rPr>
            </w:pPr>
            <w:r w:rsidRPr="007B192E">
              <w:rPr>
                <w:rFonts w:ascii="Arial" w:hAnsi="Arial" w:cs="Arial"/>
                <w:color w:val="000000" w:themeColor="text1"/>
                <w:spacing w:val="-3"/>
                <w:sz w:val="18"/>
                <w:szCs w:val="18"/>
              </w:rPr>
              <w:t>0,375</w:t>
            </w:r>
          </w:p>
        </w:tc>
      </w:tr>
    </w:tbl>
    <w:p w14:paraId="3651A7B9" w14:textId="77777777" w:rsidR="00F45500" w:rsidRPr="007B192E" w:rsidRDefault="00F45500" w:rsidP="00F45500">
      <w:pPr>
        <w:suppressLineNumbers/>
        <w:spacing w:before="120"/>
        <w:jc w:val="both"/>
        <w:rPr>
          <w:rFonts w:ascii="Arial" w:hAnsi="Arial" w:cs="Arial"/>
          <w:color w:val="000000" w:themeColor="text1"/>
          <w:sz w:val="18"/>
          <w:szCs w:val="18"/>
        </w:rPr>
      </w:pPr>
    </w:p>
    <w:p w14:paraId="759C331B" w14:textId="77777777" w:rsidR="00F45500" w:rsidRPr="007B192E" w:rsidRDefault="00F45500" w:rsidP="00F45500">
      <w:pPr>
        <w:suppressLineNumbers/>
        <w:spacing w:before="120"/>
        <w:jc w:val="both"/>
        <w:rPr>
          <w:rFonts w:ascii="Arial" w:hAnsi="Arial" w:cs="Arial"/>
          <w:color w:val="000000" w:themeColor="text1"/>
          <w:sz w:val="18"/>
          <w:szCs w:val="18"/>
        </w:rPr>
      </w:pPr>
    </w:p>
    <w:p w14:paraId="046176EB" w14:textId="77777777" w:rsidR="00F45500" w:rsidRPr="007B192E" w:rsidRDefault="00F45500" w:rsidP="00F45500">
      <w:pPr>
        <w:suppressLineNumbers/>
        <w:spacing w:before="120"/>
        <w:jc w:val="center"/>
        <w:rPr>
          <w:rFonts w:ascii="Arial" w:hAnsi="Arial" w:cs="Arial"/>
          <w:color w:val="000000" w:themeColor="text1"/>
          <w:sz w:val="18"/>
          <w:szCs w:val="18"/>
        </w:rPr>
      </w:pPr>
      <w:r w:rsidRPr="007B192E">
        <w:rPr>
          <w:rFonts w:ascii="Arial" w:hAnsi="Arial" w:cs="Arial"/>
          <w:noProof/>
          <w:color w:val="000000" w:themeColor="text1"/>
          <w:sz w:val="18"/>
          <w:szCs w:val="18"/>
          <w:lang w:eastAsia="pl-PL"/>
        </w:rPr>
        <w:lastRenderedPageBreak/>
        <w:drawing>
          <wp:inline distT="0" distB="0" distL="0" distR="0" wp14:anchorId="14805E86" wp14:editId="1BB70589">
            <wp:extent cx="3192120" cy="2667600"/>
            <wp:effectExtent l="0" t="0" r="8280" b="0"/>
            <wp:docPr id="22" name="grafika1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lum/>
                      <a:alphaModFix/>
                    </a:blip>
                    <a:srcRect/>
                    <a:stretch>
                      <a:fillRect/>
                    </a:stretch>
                  </pic:blipFill>
                  <pic:spPr>
                    <a:xfrm>
                      <a:off x="0" y="0"/>
                      <a:ext cx="3192120" cy="2667600"/>
                    </a:xfrm>
                    <a:prstGeom prst="rect">
                      <a:avLst/>
                    </a:prstGeom>
                    <a:ln>
                      <a:noFill/>
                      <a:prstDash/>
                    </a:ln>
                  </pic:spPr>
                </pic:pic>
              </a:graphicData>
            </a:graphic>
          </wp:inline>
        </w:drawing>
      </w:r>
    </w:p>
    <w:p w14:paraId="2A1BBC43" w14:textId="77777777" w:rsidR="00F45500" w:rsidRPr="007B192E" w:rsidRDefault="00F45500" w:rsidP="00F45500">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Rys. 1. Współrzędne chromatyczności </w:t>
      </w:r>
      <w:proofErr w:type="spellStart"/>
      <w:r w:rsidRPr="007B192E">
        <w:rPr>
          <w:rFonts w:ascii="Arial" w:hAnsi="Arial" w:cs="Arial"/>
          <w:color w:val="000000" w:themeColor="text1"/>
          <w:sz w:val="18"/>
          <w:szCs w:val="18"/>
        </w:rPr>
        <w:t>x,y</w:t>
      </w:r>
      <w:proofErr w:type="spellEnd"/>
      <w:r w:rsidRPr="007B192E">
        <w:rPr>
          <w:rFonts w:ascii="Arial" w:hAnsi="Arial" w:cs="Arial"/>
          <w:color w:val="000000" w:themeColor="text1"/>
          <w:sz w:val="18"/>
          <w:szCs w:val="18"/>
        </w:rPr>
        <w:t xml:space="preserve"> dla barwy białej oznakowania</w:t>
      </w:r>
    </w:p>
    <w:p w14:paraId="0512143C"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Pomiar współczynnika luminancji </w:t>
      </w:r>
      <w:r w:rsidRPr="007B192E">
        <w:rPr>
          <w:rFonts w:ascii="Arial" w:hAnsi="Arial" w:cs="Arial"/>
          <w:color w:val="000000" w:themeColor="text1"/>
          <w:sz w:val="18"/>
          <w:szCs w:val="18"/>
        </w:rPr>
        <w:t xml:space="preserve"> może być zastąpiony pomiarem współczynnika luminancji w świetle rozproszonym </w:t>
      </w:r>
      <w:proofErr w:type="spellStart"/>
      <w:r w:rsidRPr="007B192E">
        <w:rPr>
          <w:rFonts w:ascii="Arial" w:hAnsi="Arial" w:cs="Arial"/>
          <w:color w:val="000000" w:themeColor="text1"/>
          <w:sz w:val="18"/>
          <w:szCs w:val="18"/>
        </w:rPr>
        <w:t>Qd</w:t>
      </w:r>
      <w:proofErr w:type="spellEnd"/>
      <w:r w:rsidRPr="007B192E">
        <w:rPr>
          <w:rFonts w:ascii="Arial" w:hAnsi="Arial" w:cs="Arial"/>
          <w:color w:val="000000" w:themeColor="text1"/>
          <w:sz w:val="18"/>
          <w:szCs w:val="18"/>
        </w:rPr>
        <w:t>, wg PN-EN 1436:2000 [4] lub wg POD-97 [9] i POD-2006 (po wydaniu) [10].</w:t>
      </w:r>
    </w:p>
    <w:p w14:paraId="219EF6A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określenia odbicia światła dziennego lub odbicia oświetlenia drogi od oznakowania stosuje się współczynnik luminancji w świetle rozproszonym </w:t>
      </w:r>
      <w:proofErr w:type="spellStart"/>
      <w:r w:rsidRPr="007B192E">
        <w:rPr>
          <w:rFonts w:ascii="Arial" w:hAnsi="Arial" w:cs="Arial"/>
          <w:color w:val="000000" w:themeColor="text1"/>
          <w:sz w:val="18"/>
          <w:szCs w:val="18"/>
        </w:rPr>
        <w:t>Qd</w:t>
      </w:r>
      <w:proofErr w:type="spellEnd"/>
      <w:r w:rsidRPr="007B192E">
        <w:rPr>
          <w:rFonts w:ascii="Arial" w:hAnsi="Arial" w:cs="Arial"/>
          <w:color w:val="000000" w:themeColor="text1"/>
          <w:sz w:val="18"/>
          <w:szCs w:val="18"/>
        </w:rPr>
        <w:t>.</w:t>
      </w:r>
    </w:p>
    <w:p w14:paraId="6A680DC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Wartość współczynnika </w:t>
      </w:r>
      <w:proofErr w:type="spellStart"/>
      <w:r w:rsidRPr="007B192E">
        <w:rPr>
          <w:rFonts w:ascii="Arial" w:hAnsi="Arial" w:cs="Arial"/>
          <w:color w:val="000000" w:themeColor="text1"/>
          <w:sz w:val="18"/>
          <w:szCs w:val="18"/>
        </w:rPr>
        <w:t>Qd</w:t>
      </w:r>
      <w:proofErr w:type="spellEnd"/>
      <w:r w:rsidRPr="007B192E">
        <w:rPr>
          <w:rFonts w:ascii="Arial" w:hAnsi="Arial" w:cs="Arial"/>
          <w:color w:val="000000" w:themeColor="text1"/>
          <w:sz w:val="18"/>
          <w:szCs w:val="18"/>
        </w:rPr>
        <w:t xml:space="preserve"> dla oznakowania nowego w ciągu 14 - 30 dni po wykonaniu powinna wynosić dla oznakowania świeżego, barwy:</w:t>
      </w:r>
    </w:p>
    <w:p w14:paraId="34E540DE"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co najmniej 130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xml:space="preserve"> (nawierzchnie asfaltowe), klasa Q3,</w:t>
      </w:r>
    </w:p>
    <w:p w14:paraId="59F6599E"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co najmniej 160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xml:space="preserve"> (nawierzchnie betonowe), klasa Q4,</w:t>
      </w:r>
    </w:p>
    <w:p w14:paraId="5AD8DB7D"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ab/>
        <w:t xml:space="preserve">Wartość współczynnika </w:t>
      </w:r>
      <w:proofErr w:type="spellStart"/>
      <w:r w:rsidRPr="007B192E">
        <w:rPr>
          <w:rFonts w:ascii="Arial" w:hAnsi="Arial" w:cs="Arial"/>
          <w:color w:val="000000" w:themeColor="text1"/>
          <w:sz w:val="18"/>
          <w:szCs w:val="18"/>
        </w:rPr>
        <w:t>Qd</w:t>
      </w:r>
      <w:proofErr w:type="spellEnd"/>
      <w:r w:rsidRPr="007B192E">
        <w:rPr>
          <w:rFonts w:ascii="Arial" w:hAnsi="Arial" w:cs="Arial"/>
          <w:color w:val="000000" w:themeColor="text1"/>
          <w:sz w:val="18"/>
          <w:szCs w:val="18"/>
        </w:rPr>
        <w:t xml:space="preserve"> powinna wynosić dla oznakowania eksploatowanego po 30 dniu od wykonania, w ciągu całego okresu użytkowania,  barwy:</w:t>
      </w:r>
    </w:p>
    <w:p w14:paraId="4C692320"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co najmniej 100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(nawierzchnie asfaltowe), klasa Q2,</w:t>
      </w:r>
    </w:p>
    <w:p w14:paraId="78755EDC" w14:textId="77777777" w:rsidR="00F45500" w:rsidRPr="007B192E" w:rsidRDefault="00F45500" w:rsidP="00F45500">
      <w:pPr>
        <w:numPr>
          <w:ilvl w:val="0"/>
          <w:numId w:val="103"/>
        </w:numPr>
        <w:overflowPunct/>
        <w:autoSpaceDE/>
        <w:autoSpaceDN w:val="0"/>
        <w:rPr>
          <w:rFonts w:ascii="Arial" w:hAnsi="Arial" w:cs="Arial"/>
          <w:color w:val="000000" w:themeColor="text1"/>
          <w:sz w:val="18"/>
          <w:szCs w:val="18"/>
        </w:rPr>
      </w:pPr>
      <w:r w:rsidRPr="007B192E">
        <w:rPr>
          <w:rFonts w:ascii="Arial" w:hAnsi="Arial" w:cs="Arial"/>
          <w:color w:val="000000" w:themeColor="text1"/>
          <w:sz w:val="18"/>
          <w:szCs w:val="18"/>
        </w:rPr>
        <w:t>białej, co najmniej 130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(nawierzchnie betonowe), klasa Q3,</w:t>
      </w:r>
    </w:p>
    <w:p w14:paraId="49C50EC3" w14:textId="77777777" w:rsidR="00F45500" w:rsidRPr="007B192E" w:rsidRDefault="00F45500" w:rsidP="00F45500">
      <w:pPr>
        <w:keepNext/>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 6.3.1.3. Widzialność w nocy</w:t>
      </w:r>
    </w:p>
    <w:p w14:paraId="27D43DF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 miarę widzialności w nocy przyjęto powierzchniowy współczynnik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określany według PN-EN 1436:2000 [4] z uwzględnieniem podziału na klasy PN-EN 1436:2000/A1:2005 [4a].</w:t>
      </w:r>
    </w:p>
    <w:p w14:paraId="1459C82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Wartość współczynnika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powinna wynosić dla oznakowania nowego (w stanie suchym) w ciągu 14 - 30 dni po wykonaniu, barwy białej co najmniej 200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klasa R4,</w:t>
      </w:r>
    </w:p>
    <w:p w14:paraId="53606C7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Wartość współczynnika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powinna wynosić dla oznakowania eksploatowanego w ciągu od 2 do 6 miesięcy po wykonaniu,  barwy białej co najmniej 150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klasa R3</w:t>
      </w:r>
    </w:p>
    <w:p w14:paraId="352CF09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Wartość współczynnika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powinna wynosić dla oznakowania eksploatowanego od 7 miesiąca po wykonaniu,  barwy białej co najmniej 100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xml:space="preserve"> , klasa R2.</w:t>
      </w:r>
    </w:p>
    <w:p w14:paraId="1816738D"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Na nawierzchniach o grubej makroteksturze, takich jak: powierzchniowe utrwalanie oraz na nawierzchniach niejednorodnych można wyjątkowo, tylko na drogach określonych w tablicy 5, dopuścić wartość współczynnika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 70 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r w:rsidRPr="007B192E">
        <w:rPr>
          <w:rFonts w:ascii="Arial" w:hAnsi="Arial" w:cs="Arial"/>
          <w:color w:val="000000" w:themeColor="text1"/>
          <w:sz w:val="18"/>
          <w:szCs w:val="18"/>
        </w:rPr>
        <w:t>, klasa R1 dla oznakowania cienkowarstwowego eksploatowanego od 6 miesiąca po wykonaniu.</w:t>
      </w:r>
    </w:p>
    <w:p w14:paraId="305B9F85" w14:textId="77777777" w:rsidR="00F45500" w:rsidRPr="007B192E" w:rsidRDefault="00F45500" w:rsidP="00F45500">
      <w:pPr>
        <w:suppressLineNumbers/>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6.3.1.4. Szorstkość oznakowania</w:t>
      </w:r>
    </w:p>
    <w:p w14:paraId="46038D1B"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Miarą szorstkości oznakowania jest wartość wskaźnika szorstkości SRT (</w:t>
      </w:r>
      <w:proofErr w:type="spellStart"/>
      <w:r w:rsidRPr="007B192E">
        <w:rPr>
          <w:rFonts w:ascii="Arial" w:hAnsi="Arial" w:cs="Arial"/>
          <w:color w:val="000000" w:themeColor="text1"/>
          <w:sz w:val="18"/>
          <w:szCs w:val="18"/>
        </w:rPr>
        <w:t>Skid</w:t>
      </w:r>
      <w:proofErr w:type="spellEnd"/>
      <w:r w:rsidRPr="007B192E">
        <w:rPr>
          <w:rFonts w:ascii="Arial" w:hAnsi="Arial" w:cs="Arial"/>
          <w:color w:val="000000" w:themeColor="text1"/>
          <w:sz w:val="18"/>
          <w:szCs w:val="18"/>
        </w:rPr>
        <w:t xml:space="preserve"> </w:t>
      </w:r>
      <w:proofErr w:type="spellStart"/>
      <w:r w:rsidRPr="007B192E">
        <w:rPr>
          <w:rFonts w:ascii="Arial" w:hAnsi="Arial" w:cs="Arial"/>
          <w:color w:val="000000" w:themeColor="text1"/>
          <w:sz w:val="18"/>
          <w:szCs w:val="18"/>
        </w:rPr>
        <w:t>Resistance</w:t>
      </w:r>
      <w:proofErr w:type="spellEnd"/>
      <w:r w:rsidRPr="007B192E">
        <w:rPr>
          <w:rFonts w:ascii="Arial" w:hAnsi="Arial" w:cs="Arial"/>
          <w:color w:val="000000" w:themeColor="text1"/>
          <w:sz w:val="18"/>
          <w:szCs w:val="18"/>
        </w:rPr>
        <w:t xml:space="preserve"> Tester) mierzona wahadłem angielskim, wg PN-EN 1436:2000 [4] lub POD-97 [9] i POD-2006 (po wydaniu) [10]. Wartość SRT symuluje warunki, w których pojazd wyposażony w typowe opony hamuje z blokadą kół przy prędkości 50 km/h na mokrej nawierzchni.</w:t>
      </w:r>
    </w:p>
    <w:p w14:paraId="11490BD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Wymaga się, aby wartość wskaźnika szorstkości SRT wynosiła na oznakowaniu:</w:t>
      </w:r>
    </w:p>
    <w:p w14:paraId="3A581870"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w ciągu całego okresu użytkowania, co najmniej 45 jednostek SRT (klasa S1).</w:t>
      </w:r>
    </w:p>
    <w:p w14:paraId="60AE58A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14:paraId="1B8BE1F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Szorstkość oznakowania, na którym nie zastosowano kruszywa przeciwpoślizgowego, zazwyczaj wzrasta w okresie eksploatacji oznakowania, dlatego nie należy wymagać wyższej jego wartości na starcie, a niższej w okresie gwarancji.</w:t>
      </w:r>
    </w:p>
    <w:p w14:paraId="6067F49A" w14:textId="77777777" w:rsidR="00F45500" w:rsidRPr="007B192E" w:rsidRDefault="00F45500" w:rsidP="00F45500">
      <w:pPr>
        <w:spacing w:before="120"/>
        <w:jc w:val="both"/>
        <w:rPr>
          <w:rFonts w:ascii="Arial" w:hAnsi="Arial" w:cs="Arial"/>
          <w:i/>
          <w:color w:val="000000" w:themeColor="text1"/>
          <w:sz w:val="18"/>
          <w:szCs w:val="18"/>
        </w:rPr>
      </w:pPr>
      <w:r w:rsidRPr="007B192E">
        <w:rPr>
          <w:rFonts w:ascii="Arial" w:hAnsi="Arial" w:cs="Arial"/>
          <w:i/>
          <w:color w:val="000000" w:themeColor="text1"/>
          <w:sz w:val="18"/>
          <w:szCs w:val="18"/>
        </w:rPr>
        <w:t>UWAGA: Wskaźnik szorstkości SRT w normach powierzchniowych został nazwany PTV (</w:t>
      </w:r>
      <w:proofErr w:type="spellStart"/>
      <w:r w:rsidRPr="007B192E">
        <w:rPr>
          <w:rFonts w:ascii="Arial" w:hAnsi="Arial" w:cs="Arial"/>
          <w:i/>
          <w:color w:val="000000" w:themeColor="text1"/>
          <w:sz w:val="18"/>
          <w:szCs w:val="18"/>
        </w:rPr>
        <w:t>Polishing</w:t>
      </w:r>
      <w:proofErr w:type="spellEnd"/>
      <w:r w:rsidRPr="007B192E">
        <w:rPr>
          <w:rFonts w:ascii="Arial" w:hAnsi="Arial" w:cs="Arial"/>
          <w:i/>
          <w:color w:val="000000" w:themeColor="text1"/>
          <w:sz w:val="18"/>
          <w:szCs w:val="18"/>
        </w:rPr>
        <w:t xml:space="preserve"> Test Value) za PN-EN 13 036-4:2004(U)[6a]. Metoda pomiaru i sprzęt do jego wykonania są identyczne z przyjętymi w PN-EN 1436:2000[4] dla </w:t>
      </w:r>
      <w:proofErr w:type="spellStart"/>
      <w:r w:rsidRPr="007B192E">
        <w:rPr>
          <w:rFonts w:ascii="Arial" w:hAnsi="Arial" w:cs="Arial"/>
          <w:i/>
          <w:color w:val="000000" w:themeColor="text1"/>
          <w:sz w:val="18"/>
          <w:szCs w:val="18"/>
        </w:rPr>
        <w:t>oznakowań</w:t>
      </w:r>
      <w:proofErr w:type="spellEnd"/>
      <w:r w:rsidRPr="007B192E">
        <w:rPr>
          <w:rFonts w:ascii="Arial" w:hAnsi="Arial" w:cs="Arial"/>
          <w:i/>
          <w:color w:val="000000" w:themeColor="text1"/>
          <w:sz w:val="18"/>
          <w:szCs w:val="18"/>
        </w:rPr>
        <w:t xml:space="preserve"> poziomych.</w:t>
      </w:r>
    </w:p>
    <w:p w14:paraId="0F1FA32C"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6.3.1.5. Trwałość oznakowania</w:t>
      </w:r>
    </w:p>
    <w:p w14:paraId="4BC37FB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Trwałość oznakowania cienkowarstwowego oceniana jako stopień zużycia w 10-stopniowej skali LCPC określonej </w:t>
      </w:r>
      <w:r w:rsidRPr="007B192E">
        <w:rPr>
          <w:rFonts w:ascii="Arial" w:hAnsi="Arial" w:cs="Arial"/>
          <w:color w:val="000000" w:themeColor="text1"/>
          <w:sz w:val="18"/>
          <w:szCs w:val="18"/>
        </w:rPr>
        <w:lastRenderedPageBreak/>
        <w:t>w POD-97 [9] lub POD-2006 (po wydaniu) [10] powinna wynosić po 12-miesięcznym okresie eksploatacji oznakowania: co najmniej 6.</w:t>
      </w:r>
    </w:p>
    <w:p w14:paraId="26065F53" w14:textId="77777777" w:rsidR="00F45500" w:rsidRPr="007B192E" w:rsidRDefault="00F45500" w:rsidP="00F45500">
      <w:pPr>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Taka metoda oceny znajduje szczególnie zastosowanie do oceny przydatności materiałów do poziomego oznakowania dróg.</w:t>
      </w:r>
    </w:p>
    <w:p w14:paraId="5D83CB9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24256068"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celach kontrolnych trwałość jest oceniana pośrednio przez sprawdzenie spełniania wymagań widoczności w dzień, w nocy i szorstkości.</w:t>
      </w:r>
    </w:p>
    <w:p w14:paraId="48F02A61" w14:textId="77777777" w:rsidR="00F45500" w:rsidRPr="007B192E" w:rsidRDefault="00F45500" w:rsidP="00F45500">
      <w:pPr>
        <w:keepNext/>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6.3.1.6. Czas schnięcia oznakowania (względnie czas do przejezdności oznakowania)</w:t>
      </w:r>
    </w:p>
    <w:p w14:paraId="4096B8B5"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Za czas schnięcia oznakowania przyjmuje się czas upływający między wykonaniem oznakowania a jego oddaniem do ruchu.</w:t>
      </w:r>
    </w:p>
    <w:p w14:paraId="7138E00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Czas schnięcia oznakowania nie powinien przekraczać czasu gwarantowanego przez producenta, z tym że nie może przekraczać 2 godzin w przypadku </w:t>
      </w:r>
      <w:proofErr w:type="spellStart"/>
      <w:r w:rsidRPr="007B192E">
        <w:rPr>
          <w:rFonts w:ascii="Arial" w:hAnsi="Arial" w:cs="Arial"/>
          <w:color w:val="000000" w:themeColor="text1"/>
          <w:sz w:val="18"/>
          <w:szCs w:val="18"/>
        </w:rPr>
        <w:t>wymalowań</w:t>
      </w:r>
      <w:proofErr w:type="spellEnd"/>
      <w:r w:rsidRPr="007B192E">
        <w:rPr>
          <w:rFonts w:ascii="Arial" w:hAnsi="Arial" w:cs="Arial"/>
          <w:color w:val="000000" w:themeColor="text1"/>
          <w:sz w:val="18"/>
          <w:szCs w:val="18"/>
        </w:rPr>
        <w:t xml:space="preserve"> nocnych i 1 godziny w przypadku </w:t>
      </w:r>
      <w:proofErr w:type="spellStart"/>
      <w:r w:rsidRPr="007B192E">
        <w:rPr>
          <w:rFonts w:ascii="Arial" w:hAnsi="Arial" w:cs="Arial"/>
          <w:color w:val="000000" w:themeColor="text1"/>
          <w:sz w:val="18"/>
          <w:szCs w:val="18"/>
        </w:rPr>
        <w:t>wymalowań</w:t>
      </w:r>
      <w:proofErr w:type="spellEnd"/>
      <w:r w:rsidRPr="007B192E">
        <w:rPr>
          <w:rFonts w:ascii="Arial" w:hAnsi="Arial" w:cs="Arial"/>
          <w:color w:val="000000" w:themeColor="text1"/>
          <w:sz w:val="18"/>
          <w:szCs w:val="18"/>
        </w:rPr>
        <w:t xml:space="preserve"> dziennych. Metoda oznaczenia czasu schnięcia znajduje się w POD-97 [9] lub POD-2006 (po wydaniu) [10].</w:t>
      </w:r>
    </w:p>
    <w:p w14:paraId="2DF84CEF"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6.3.1.7. Grubość oznakowania</w:t>
      </w:r>
    </w:p>
    <w:p w14:paraId="29AC2A31"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Grubość oznakowania, tj. podwyższenie ponad górną powierzchnię nawierzchni, powinna wynosić dla oznakowania cienkowarstwowego (grubość na mokro bez kulek szklanych), co najwyżej 0,89 mm. Wymagania te nie obowiązują, jeśli nawierzchnia pod znakowaniem jest wyfrezowana. Kontrola grubości oznakowania jest istotna w przypadku, gdy Wykonawca nie udziela gwarancji lub gdy nie są wykonywane pomiary kontrolne za pomocą aparatury lub poprzez ocenę wizualną.</w:t>
      </w:r>
    </w:p>
    <w:p w14:paraId="4CDB6A93" w14:textId="77777777" w:rsidR="00F45500" w:rsidRPr="007B192E" w:rsidRDefault="00F45500" w:rsidP="00F45500">
      <w:pPr>
        <w:tabs>
          <w:tab w:val="left" w:pos="1134"/>
        </w:tabs>
        <w:spacing w:before="120"/>
        <w:ind w:left="567" w:hanging="567"/>
        <w:jc w:val="both"/>
        <w:rPr>
          <w:rFonts w:ascii="Arial" w:hAnsi="Arial" w:cs="Arial"/>
          <w:color w:val="000000" w:themeColor="text1"/>
          <w:sz w:val="18"/>
          <w:szCs w:val="18"/>
        </w:rPr>
      </w:pPr>
      <w:r w:rsidRPr="007B192E">
        <w:rPr>
          <w:rFonts w:ascii="Arial" w:hAnsi="Arial" w:cs="Arial"/>
          <w:b/>
          <w:color w:val="000000" w:themeColor="text1"/>
          <w:sz w:val="18"/>
          <w:szCs w:val="18"/>
        </w:rPr>
        <w:t>6.3.2.</w:t>
      </w: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Badania wykonania znakowania poziomego </w:t>
      </w:r>
    </w:p>
    <w:p w14:paraId="18945BE7"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Wykonawca wykonując znakowanie poziome z materiału cienkowarstwowego przeprowadza przed rozpoczęciem każdej pracy oraz w czasie jej wykonywania, co najmniej raz dziennie, lub zgodnie z ustaleniem SST, następujące badania:</w:t>
      </w:r>
    </w:p>
    <w:p w14:paraId="0E965FD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 przed rozpoczęciem pracy:</w:t>
      </w:r>
    </w:p>
    <w:p w14:paraId="39E8B545"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sprawdzenie oznakowania opakowań,</w:t>
      </w:r>
    </w:p>
    <w:p w14:paraId="2F7EE7F1"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wizualną ocenę stanu  materiału, w zakresie jego jednorodności i widocznych wad,</w:t>
      </w:r>
    </w:p>
    <w:p w14:paraId="3294D428"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pomiar wilgotności względnej powietrza,</w:t>
      </w:r>
    </w:p>
    <w:p w14:paraId="129BC093"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pomiar temperatury powietrza i nawierzchni,</w:t>
      </w:r>
    </w:p>
    <w:p w14:paraId="7C378A29"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badanie lepkości farby, wg POD-97 [9] lub POD-2006 (po wydaniu) [10],</w:t>
      </w:r>
    </w:p>
    <w:p w14:paraId="79BC410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b) w czasie wykonywania pracy:</w:t>
      </w:r>
    </w:p>
    <w:p w14:paraId="46178661"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pomiar grubości warstwy oznakowania,</w:t>
      </w:r>
    </w:p>
    <w:p w14:paraId="0F8B132E"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pomiar czasu schnięcia, wg POD-97 [9] lub POD-2006 (po wydaniu) [10],</w:t>
      </w:r>
    </w:p>
    <w:p w14:paraId="656B7A50"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wizualną ocenę równomierności rozłożenia kulek szklanych podczas objazdu w nocy,</w:t>
      </w:r>
    </w:p>
    <w:p w14:paraId="67404E83"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pomiar poziomych wymiarów oznakowania, na zgodność z dokumentacją projektową i załącznikiem nr 2 do rozporządzenia Ministra Infrastruktury [7],</w:t>
      </w:r>
    </w:p>
    <w:p w14:paraId="2910F6AC"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wizualną ocenę równomierności skropienia (rozłożenia materiału) na całej szerokości linii,</w:t>
      </w:r>
    </w:p>
    <w:p w14:paraId="0AD3DA5D"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oznaczenia czasu przejezdności, wg POD-97 [9] lub POD-2006 (po wydaniu) [10].</w:t>
      </w:r>
    </w:p>
    <w:p w14:paraId="7C6CC5E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Protokół z przeprowadzonych badań wraz z jedną próbką, jednoznacznie oznakowaną, na blasze (300 x 250 x 1,5 mm) Wykonawca powinien przechować do czasu upływu okresu gwarancji.</w:t>
      </w:r>
    </w:p>
    <w:p w14:paraId="73F0F78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Do odbioru i w przypadku wątpliwości dotyczących wykonania oznakowania poziomego, Inżynier może zlecić wykonanie badań:</w:t>
      </w:r>
    </w:p>
    <w:p w14:paraId="7E54A9F7"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widzialności w nocy,</w:t>
      </w:r>
    </w:p>
    <w:p w14:paraId="1109644A"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widzialności w dzień,</w:t>
      </w:r>
    </w:p>
    <w:p w14:paraId="30593297"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szorstkości,</w:t>
      </w:r>
    </w:p>
    <w:p w14:paraId="68F69E2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581EFD9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 przypadku konieczności wykonywania pomiarów na otwartych do ruchu odcinkach dróg o dopuszczalnej prędkości </w:t>
      </w:r>
      <w:r w:rsidRPr="007B192E">
        <w:rPr>
          <w:rFonts w:ascii="Arial" w:hAnsi="Arial" w:cs="Arial"/>
          <w:color w:val="000000" w:themeColor="text1"/>
          <w:sz w:val="18"/>
          <w:szCs w:val="18"/>
        </w:rPr>
        <w:t> 100 km/h należy ograniczyć je do linii krawędziowych zewnętrznych w przypadku wykonywania pomiarów aparatami ręcznymi, ze względu na bezpieczeństwo wykonujących pomiary.</w:t>
      </w:r>
    </w:p>
    <w:p w14:paraId="37F34A25"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Pomiary współczynnika odblasku na liniach segregacyjnych i krawędziowych wewnętrznych, na otwartych do ruchu odcinkach dróg o dopuszczalnej prędkości </w:t>
      </w:r>
      <w:r w:rsidRPr="007B192E">
        <w:rPr>
          <w:rFonts w:ascii="Arial" w:hAnsi="Arial" w:cs="Arial"/>
          <w:color w:val="000000" w:themeColor="text1"/>
          <w:sz w:val="18"/>
          <w:szCs w:val="18"/>
        </w:rPr>
        <w:t xml:space="preserve"> 100 km/h , a także na liniach podłużnych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z </w:t>
      </w:r>
      <w:proofErr w:type="spellStart"/>
      <w:r w:rsidRPr="007B192E">
        <w:rPr>
          <w:rFonts w:ascii="Arial" w:hAnsi="Arial" w:cs="Arial"/>
          <w:color w:val="000000" w:themeColor="text1"/>
          <w:sz w:val="18"/>
          <w:szCs w:val="18"/>
        </w:rPr>
        <w:t>wygarbieniami</w:t>
      </w:r>
      <w:proofErr w:type="spellEnd"/>
      <w:r w:rsidRPr="007B192E">
        <w:rPr>
          <w:rFonts w:ascii="Arial" w:hAnsi="Arial" w:cs="Arial"/>
          <w:color w:val="000000" w:themeColor="text1"/>
          <w:sz w:val="18"/>
          <w:szCs w:val="18"/>
        </w:rPr>
        <w:t>, należy wykonywać przy użyciu mobilnego reflektometru zainstalowanego na samochodzie i wykonującego pomiary w ruchu.</w:t>
      </w:r>
    </w:p>
    <w:p w14:paraId="0B704171"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1 m.</w:t>
      </w:r>
    </w:p>
    <w:p w14:paraId="6C8B30EA" w14:textId="77777777" w:rsidR="00F45500" w:rsidRPr="007B192E" w:rsidRDefault="00F45500" w:rsidP="00F45500">
      <w:pPr>
        <w:spacing w:before="120" w:after="120"/>
        <w:ind w:left="851" w:hanging="851"/>
        <w:jc w:val="both"/>
        <w:rPr>
          <w:rFonts w:ascii="Arial" w:hAnsi="Arial" w:cs="Arial"/>
          <w:bCs/>
          <w:color w:val="000000" w:themeColor="text1"/>
          <w:sz w:val="18"/>
          <w:szCs w:val="18"/>
        </w:rPr>
      </w:pPr>
      <w:r w:rsidRPr="007B192E">
        <w:rPr>
          <w:rFonts w:ascii="Arial" w:hAnsi="Arial" w:cs="Arial"/>
          <w:bCs/>
          <w:color w:val="000000" w:themeColor="text1"/>
          <w:sz w:val="18"/>
          <w:szCs w:val="18"/>
        </w:rPr>
        <w:t>Tablica 2. Częstotliwość pomiarów współczynników odblaskowości i luminancji aparatami ręcznymi</w:t>
      </w:r>
    </w:p>
    <w:tbl>
      <w:tblPr>
        <w:tblW w:w="6259" w:type="dxa"/>
        <w:jc w:val="center"/>
        <w:tblLayout w:type="fixed"/>
        <w:tblCellMar>
          <w:left w:w="10" w:type="dxa"/>
          <w:right w:w="10" w:type="dxa"/>
        </w:tblCellMar>
        <w:tblLook w:val="0000" w:firstRow="0" w:lastRow="0" w:firstColumn="0" w:lastColumn="0" w:noHBand="0" w:noVBand="0"/>
      </w:tblPr>
      <w:tblGrid>
        <w:gridCol w:w="567"/>
        <w:gridCol w:w="1995"/>
        <w:gridCol w:w="2127"/>
        <w:gridCol w:w="1570"/>
      </w:tblGrid>
      <w:tr w:rsidR="004D7D23" w:rsidRPr="007B192E" w14:paraId="6F164281" w14:textId="77777777" w:rsidTr="008F7A94">
        <w:trPr>
          <w:jc w:val="center"/>
        </w:trPr>
        <w:tc>
          <w:tcPr>
            <w:tcW w:w="567"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14:paraId="32E068EF" w14:textId="77777777" w:rsidR="00F45500" w:rsidRPr="007B192E" w:rsidRDefault="00F45500" w:rsidP="008F7A94">
            <w:pPr>
              <w:spacing w:before="20" w:after="20"/>
              <w:jc w:val="center"/>
              <w:rPr>
                <w:rFonts w:ascii="Arial" w:hAnsi="Arial" w:cs="Arial"/>
                <w:bCs/>
                <w:color w:val="000000" w:themeColor="text1"/>
                <w:sz w:val="18"/>
                <w:szCs w:val="18"/>
              </w:rPr>
            </w:pPr>
            <w:r w:rsidRPr="007B192E">
              <w:rPr>
                <w:rFonts w:ascii="Arial" w:hAnsi="Arial" w:cs="Arial"/>
                <w:bCs/>
                <w:color w:val="000000" w:themeColor="text1"/>
                <w:sz w:val="18"/>
                <w:szCs w:val="18"/>
              </w:rPr>
              <w:t>Lp.</w:t>
            </w:r>
          </w:p>
        </w:tc>
        <w:tc>
          <w:tcPr>
            <w:tcW w:w="1995"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14:paraId="66267043" w14:textId="77777777" w:rsidR="00F45500" w:rsidRPr="007B192E" w:rsidRDefault="00F45500" w:rsidP="008F7A94">
            <w:pPr>
              <w:spacing w:before="20" w:after="20"/>
              <w:jc w:val="center"/>
              <w:rPr>
                <w:rFonts w:ascii="Arial" w:hAnsi="Arial" w:cs="Arial"/>
                <w:bCs/>
                <w:color w:val="000000" w:themeColor="text1"/>
                <w:sz w:val="18"/>
                <w:szCs w:val="18"/>
              </w:rPr>
            </w:pPr>
            <w:r w:rsidRPr="007B192E">
              <w:rPr>
                <w:rFonts w:ascii="Arial" w:hAnsi="Arial" w:cs="Arial"/>
                <w:bCs/>
                <w:color w:val="000000" w:themeColor="text1"/>
                <w:sz w:val="18"/>
                <w:szCs w:val="18"/>
              </w:rPr>
              <w:t>Długość odcinka, km</w:t>
            </w:r>
          </w:p>
        </w:tc>
        <w:tc>
          <w:tcPr>
            <w:tcW w:w="2127" w:type="dxa"/>
            <w:tcBorders>
              <w:top w:val="single" w:sz="4" w:space="0" w:color="000000"/>
              <w:left w:val="single" w:sz="4" w:space="0" w:color="000000"/>
              <w:bottom w:val="double" w:sz="2" w:space="0" w:color="000000"/>
            </w:tcBorders>
            <w:tcMar>
              <w:top w:w="0" w:type="dxa"/>
              <w:left w:w="70" w:type="dxa"/>
              <w:bottom w:w="0" w:type="dxa"/>
              <w:right w:w="70" w:type="dxa"/>
            </w:tcMar>
            <w:vAlign w:val="center"/>
          </w:tcPr>
          <w:p w14:paraId="6BADB991" w14:textId="77777777" w:rsidR="00F45500" w:rsidRPr="007B192E" w:rsidRDefault="00F45500" w:rsidP="008F7A94">
            <w:pPr>
              <w:spacing w:before="20" w:after="20"/>
              <w:jc w:val="center"/>
              <w:rPr>
                <w:rFonts w:ascii="Arial" w:hAnsi="Arial" w:cs="Arial"/>
                <w:bCs/>
                <w:color w:val="000000" w:themeColor="text1"/>
                <w:sz w:val="18"/>
                <w:szCs w:val="18"/>
              </w:rPr>
            </w:pPr>
            <w:r w:rsidRPr="007B192E">
              <w:rPr>
                <w:rFonts w:ascii="Arial" w:hAnsi="Arial" w:cs="Arial"/>
                <w:bCs/>
                <w:color w:val="000000" w:themeColor="text1"/>
                <w:sz w:val="18"/>
                <w:szCs w:val="18"/>
              </w:rPr>
              <w:t>Częstotliwość pomiarów, co najmniej</w:t>
            </w:r>
          </w:p>
        </w:tc>
        <w:tc>
          <w:tcPr>
            <w:tcW w:w="1570"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vAlign w:val="center"/>
          </w:tcPr>
          <w:p w14:paraId="02B4D9DA" w14:textId="77777777" w:rsidR="00F45500" w:rsidRPr="007B192E" w:rsidRDefault="00F45500" w:rsidP="008F7A94">
            <w:pPr>
              <w:spacing w:before="20" w:after="20"/>
              <w:jc w:val="center"/>
              <w:rPr>
                <w:rFonts w:ascii="Arial" w:hAnsi="Arial" w:cs="Arial"/>
                <w:bCs/>
                <w:color w:val="000000" w:themeColor="text1"/>
                <w:sz w:val="18"/>
                <w:szCs w:val="18"/>
              </w:rPr>
            </w:pPr>
            <w:r w:rsidRPr="007B192E">
              <w:rPr>
                <w:rFonts w:ascii="Arial" w:hAnsi="Arial" w:cs="Arial"/>
                <w:bCs/>
                <w:color w:val="000000" w:themeColor="text1"/>
                <w:sz w:val="18"/>
                <w:szCs w:val="18"/>
              </w:rPr>
              <w:t>Minimalna ilość pomiarów</w:t>
            </w:r>
          </w:p>
        </w:tc>
      </w:tr>
      <w:tr w:rsidR="004D7D23" w:rsidRPr="007B192E" w14:paraId="44AC592B" w14:textId="77777777" w:rsidTr="008F7A94">
        <w:trPr>
          <w:jc w:val="center"/>
        </w:trPr>
        <w:tc>
          <w:tcPr>
            <w:tcW w:w="567" w:type="dxa"/>
            <w:tcBorders>
              <w:top w:val="double" w:sz="2" w:space="0" w:color="000000"/>
              <w:left w:val="single" w:sz="4" w:space="0" w:color="000000"/>
              <w:bottom w:val="single" w:sz="4" w:space="0" w:color="000000"/>
            </w:tcBorders>
            <w:tcMar>
              <w:top w:w="0" w:type="dxa"/>
              <w:left w:w="70" w:type="dxa"/>
              <w:bottom w:w="0" w:type="dxa"/>
              <w:right w:w="70" w:type="dxa"/>
            </w:tcMar>
          </w:tcPr>
          <w:p w14:paraId="4402458D" w14:textId="77777777" w:rsidR="00F45500" w:rsidRPr="007B192E" w:rsidRDefault="00F45500" w:rsidP="008F7A94">
            <w:pPr>
              <w:spacing w:before="20" w:after="20"/>
              <w:ind w:left="57"/>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995" w:type="dxa"/>
            <w:tcBorders>
              <w:top w:val="double" w:sz="2" w:space="0" w:color="000000"/>
              <w:left w:val="single" w:sz="4" w:space="0" w:color="000000"/>
              <w:bottom w:val="single" w:sz="4" w:space="0" w:color="000000"/>
            </w:tcBorders>
            <w:tcMar>
              <w:top w:w="0" w:type="dxa"/>
              <w:left w:w="70" w:type="dxa"/>
              <w:bottom w:w="0" w:type="dxa"/>
              <w:right w:w="70" w:type="dxa"/>
            </w:tcMar>
          </w:tcPr>
          <w:p w14:paraId="2633185A"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od 0 do 3</w:t>
            </w:r>
          </w:p>
        </w:tc>
        <w:tc>
          <w:tcPr>
            <w:tcW w:w="2127" w:type="dxa"/>
            <w:tcBorders>
              <w:top w:val="double" w:sz="2" w:space="0" w:color="000000"/>
              <w:left w:val="single" w:sz="4" w:space="0" w:color="000000"/>
              <w:bottom w:val="single" w:sz="4" w:space="0" w:color="000000"/>
            </w:tcBorders>
            <w:tcMar>
              <w:top w:w="0" w:type="dxa"/>
              <w:left w:w="70" w:type="dxa"/>
              <w:bottom w:w="0" w:type="dxa"/>
              <w:right w:w="70" w:type="dxa"/>
            </w:tcMar>
          </w:tcPr>
          <w:p w14:paraId="1139FE47"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od 0,1 do 0,5 km</w:t>
            </w:r>
          </w:p>
        </w:tc>
        <w:tc>
          <w:tcPr>
            <w:tcW w:w="1570"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14:paraId="78DCAB80"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3-6</w:t>
            </w:r>
          </w:p>
        </w:tc>
      </w:tr>
      <w:tr w:rsidR="004D7D23" w:rsidRPr="007B192E" w14:paraId="43661155"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22E59047" w14:textId="77777777" w:rsidR="00F45500" w:rsidRPr="007B192E" w:rsidRDefault="00F45500" w:rsidP="008F7A94">
            <w:pPr>
              <w:spacing w:before="20" w:after="20"/>
              <w:ind w:left="57"/>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2</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5BDCBC79"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od 3 do 10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3E374F24"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co 1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AE3E21B"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11</w:t>
            </w:r>
          </w:p>
        </w:tc>
      </w:tr>
      <w:tr w:rsidR="004D7D23" w:rsidRPr="007B192E" w14:paraId="58420EF9"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3DB3B688" w14:textId="77777777" w:rsidR="00F45500" w:rsidRPr="007B192E" w:rsidRDefault="00F45500" w:rsidP="008F7A94">
            <w:pPr>
              <w:spacing w:before="20" w:after="20"/>
              <w:ind w:left="57"/>
              <w:jc w:val="center"/>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326E5247"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od 10 do 20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4D574396"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co 2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7C8AA82"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11</w:t>
            </w:r>
          </w:p>
        </w:tc>
      </w:tr>
      <w:tr w:rsidR="004D7D23" w:rsidRPr="007B192E" w14:paraId="7D2EDB9B"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794546D0" w14:textId="77777777" w:rsidR="00F45500" w:rsidRPr="007B192E" w:rsidRDefault="00F45500" w:rsidP="008F7A94">
            <w:pPr>
              <w:spacing w:before="20" w:after="20"/>
              <w:ind w:left="57"/>
              <w:jc w:val="center"/>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71BA8A07"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od 20 do 30    </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1C4E211C"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co 3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C58FEAB"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11</w:t>
            </w:r>
          </w:p>
        </w:tc>
      </w:tr>
      <w:tr w:rsidR="004D7D23" w:rsidRPr="007B192E" w14:paraId="6483146D" w14:textId="77777777" w:rsidTr="008F7A94">
        <w:trPr>
          <w:jc w:val="center"/>
        </w:trPr>
        <w:tc>
          <w:tcPr>
            <w:tcW w:w="567" w:type="dxa"/>
            <w:tcBorders>
              <w:top w:val="single" w:sz="4" w:space="0" w:color="000000"/>
              <w:left w:val="single" w:sz="4" w:space="0" w:color="000000"/>
              <w:bottom w:val="single" w:sz="4" w:space="0" w:color="000000"/>
            </w:tcBorders>
            <w:tcMar>
              <w:top w:w="0" w:type="dxa"/>
              <w:left w:w="70" w:type="dxa"/>
              <w:bottom w:w="0" w:type="dxa"/>
              <w:right w:w="70" w:type="dxa"/>
            </w:tcMar>
          </w:tcPr>
          <w:p w14:paraId="09ABC252" w14:textId="77777777" w:rsidR="00F45500" w:rsidRPr="007B192E" w:rsidRDefault="00F45500" w:rsidP="008F7A94">
            <w:pPr>
              <w:spacing w:before="20" w:after="20"/>
              <w:ind w:left="57"/>
              <w:jc w:val="center"/>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995" w:type="dxa"/>
            <w:tcBorders>
              <w:top w:val="single" w:sz="4" w:space="0" w:color="000000"/>
              <w:left w:val="single" w:sz="4" w:space="0" w:color="000000"/>
              <w:bottom w:val="single" w:sz="4" w:space="0" w:color="000000"/>
            </w:tcBorders>
            <w:tcMar>
              <w:top w:w="0" w:type="dxa"/>
              <w:left w:w="70" w:type="dxa"/>
              <w:bottom w:w="0" w:type="dxa"/>
              <w:right w:w="70" w:type="dxa"/>
            </w:tcMar>
          </w:tcPr>
          <w:p w14:paraId="1D4A84C1"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powyżej 30</w:t>
            </w:r>
          </w:p>
        </w:tc>
        <w:tc>
          <w:tcPr>
            <w:tcW w:w="2127" w:type="dxa"/>
            <w:tcBorders>
              <w:top w:val="single" w:sz="4" w:space="0" w:color="000000"/>
              <w:left w:val="single" w:sz="4" w:space="0" w:color="000000"/>
              <w:bottom w:val="single" w:sz="4" w:space="0" w:color="000000"/>
            </w:tcBorders>
            <w:tcMar>
              <w:top w:w="0" w:type="dxa"/>
              <w:left w:w="70" w:type="dxa"/>
              <w:bottom w:w="0" w:type="dxa"/>
              <w:right w:w="70" w:type="dxa"/>
            </w:tcMar>
          </w:tcPr>
          <w:p w14:paraId="4ED3A619"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co 4 km</w:t>
            </w:r>
          </w:p>
        </w:tc>
        <w:tc>
          <w:tcPr>
            <w:tcW w:w="1570"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897D996" w14:textId="77777777" w:rsidR="00F45500" w:rsidRPr="007B192E" w:rsidRDefault="00F45500" w:rsidP="008F7A94">
            <w:pPr>
              <w:spacing w:before="20" w:after="20"/>
              <w:jc w:val="center"/>
              <w:rPr>
                <w:rFonts w:ascii="Arial" w:hAnsi="Arial" w:cs="Arial"/>
                <w:color w:val="000000" w:themeColor="text1"/>
                <w:sz w:val="18"/>
                <w:szCs w:val="18"/>
              </w:rPr>
            </w:pPr>
            <w:r w:rsidRPr="007B192E">
              <w:rPr>
                <w:rFonts w:ascii="Arial" w:hAnsi="Arial" w:cs="Arial"/>
                <w:color w:val="000000" w:themeColor="text1"/>
                <w:sz w:val="18"/>
                <w:szCs w:val="18"/>
              </w:rPr>
              <w:t>&gt; 11</w:t>
            </w:r>
          </w:p>
        </w:tc>
      </w:tr>
    </w:tbl>
    <w:p w14:paraId="13B377A3" w14:textId="77777777" w:rsidR="00F45500" w:rsidRPr="007B192E" w:rsidRDefault="00F45500" w:rsidP="00F45500">
      <w:pPr>
        <w:spacing w:before="120"/>
        <w:ind w:firstLine="709"/>
        <w:jc w:val="both"/>
        <w:rPr>
          <w:rFonts w:ascii="Arial" w:hAnsi="Arial" w:cs="Arial"/>
          <w:color w:val="000000" w:themeColor="text1"/>
          <w:sz w:val="18"/>
          <w:szCs w:val="18"/>
        </w:rPr>
      </w:pPr>
      <w:r w:rsidRPr="007B192E">
        <w:rPr>
          <w:rFonts w:ascii="Arial" w:hAnsi="Arial" w:cs="Arial"/>
          <w:color w:val="000000" w:themeColor="text1"/>
          <w:sz w:val="18"/>
          <w:szCs w:val="18"/>
        </w:rPr>
        <w:t>Wartość wskaźnika szorstkości zaleca się oznaczyć w 2 – 4 punktach oznakowania odcinka.</w:t>
      </w:r>
    </w:p>
    <w:p w14:paraId="67015A1D"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6.3.4. </w:t>
      </w:r>
      <w:r w:rsidRPr="007B192E">
        <w:rPr>
          <w:rFonts w:ascii="Arial" w:hAnsi="Arial" w:cs="Arial"/>
          <w:color w:val="000000" w:themeColor="text1"/>
          <w:sz w:val="18"/>
          <w:szCs w:val="18"/>
        </w:rPr>
        <w:t xml:space="preserve">Zbiorcze zestawienie wymagań dla materiałów i </w:t>
      </w:r>
      <w:proofErr w:type="spellStart"/>
      <w:r w:rsidRPr="007B192E">
        <w:rPr>
          <w:rFonts w:ascii="Arial" w:hAnsi="Arial" w:cs="Arial"/>
          <w:color w:val="000000" w:themeColor="text1"/>
          <w:sz w:val="18"/>
          <w:szCs w:val="18"/>
        </w:rPr>
        <w:t>oznakowań</w:t>
      </w:r>
      <w:proofErr w:type="spellEnd"/>
    </w:p>
    <w:p w14:paraId="39EB09B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 tablicy 3 podano zbiorcze zestawienie dla materiałów. W tablicy 4 podano zbiorcze zestawienie dla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na autostradach, drogach ekspresowych oraz na drogach o prędkości </w:t>
      </w:r>
      <w:r w:rsidRPr="007B192E">
        <w:rPr>
          <w:rFonts w:ascii="Arial" w:hAnsi="Arial" w:cs="Arial"/>
          <w:color w:val="000000" w:themeColor="text1"/>
          <w:sz w:val="18"/>
          <w:szCs w:val="18"/>
        </w:rPr>
        <w:t xml:space="preserve"> 100 km/h lub o natężeniu ruchu &gt; 2 500 pojazdów rzeczywistych na dobę na pas. W tablicy 5 podano zbiorcze zestawienie dla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na pozostałych drogach.</w:t>
      </w:r>
    </w:p>
    <w:p w14:paraId="08DF8825" w14:textId="77777777" w:rsidR="00F45500" w:rsidRPr="007B192E" w:rsidRDefault="00F45500" w:rsidP="00F45500">
      <w:pPr>
        <w:tabs>
          <w:tab w:val="left" w:pos="1702"/>
        </w:tabs>
        <w:spacing w:before="120" w:after="120"/>
        <w:ind w:left="851" w:hanging="851"/>
        <w:jc w:val="both"/>
        <w:rPr>
          <w:rFonts w:ascii="Arial" w:hAnsi="Arial" w:cs="Arial"/>
          <w:color w:val="000000" w:themeColor="text1"/>
          <w:sz w:val="18"/>
          <w:szCs w:val="18"/>
        </w:rPr>
      </w:pPr>
      <w:r w:rsidRPr="007B192E">
        <w:rPr>
          <w:rFonts w:ascii="Arial" w:hAnsi="Arial" w:cs="Arial"/>
          <w:color w:val="000000" w:themeColor="text1"/>
          <w:sz w:val="18"/>
          <w:szCs w:val="18"/>
        </w:rPr>
        <w:t>Tablica 3.   Zbiorcze zestawienie wymagań dla materiałów</w:t>
      </w:r>
    </w:p>
    <w:tbl>
      <w:tblPr>
        <w:tblW w:w="7523" w:type="dxa"/>
        <w:jc w:val="center"/>
        <w:tblLayout w:type="fixed"/>
        <w:tblCellMar>
          <w:left w:w="10" w:type="dxa"/>
          <w:right w:w="10" w:type="dxa"/>
        </w:tblCellMar>
        <w:tblLook w:val="0000" w:firstRow="0" w:lastRow="0" w:firstColumn="0" w:lastColumn="0" w:noHBand="0" w:noVBand="0"/>
      </w:tblPr>
      <w:tblGrid>
        <w:gridCol w:w="496"/>
        <w:gridCol w:w="3686"/>
        <w:gridCol w:w="1134"/>
        <w:gridCol w:w="2207"/>
      </w:tblGrid>
      <w:tr w:rsidR="004D7D23" w:rsidRPr="007B192E" w14:paraId="45019AD6" w14:textId="77777777" w:rsidTr="008F7A94">
        <w:trPr>
          <w:tblHeader/>
          <w:jc w:val="center"/>
        </w:trPr>
        <w:tc>
          <w:tcPr>
            <w:tcW w:w="496" w:type="dxa"/>
            <w:tcBorders>
              <w:top w:val="single" w:sz="4" w:space="0" w:color="000000"/>
              <w:left w:val="single" w:sz="4" w:space="0" w:color="000000"/>
              <w:bottom w:val="double" w:sz="2" w:space="0" w:color="000000"/>
            </w:tcBorders>
            <w:tcMar>
              <w:top w:w="0" w:type="dxa"/>
              <w:left w:w="70" w:type="dxa"/>
              <w:bottom w:w="0" w:type="dxa"/>
              <w:right w:w="70" w:type="dxa"/>
            </w:tcMar>
          </w:tcPr>
          <w:p w14:paraId="0276B9CE" w14:textId="77777777" w:rsidR="00F45500" w:rsidRPr="007B192E" w:rsidRDefault="00F45500" w:rsidP="008F7A94">
            <w:pPr>
              <w:spacing w:before="120"/>
              <w:jc w:val="center"/>
              <w:rPr>
                <w:rFonts w:ascii="Arial" w:hAnsi="Arial" w:cs="Arial"/>
                <w:bCs/>
                <w:color w:val="000000" w:themeColor="text1"/>
                <w:sz w:val="18"/>
                <w:szCs w:val="18"/>
              </w:rPr>
            </w:pPr>
            <w:r w:rsidRPr="007B192E">
              <w:rPr>
                <w:rFonts w:ascii="Arial" w:hAnsi="Arial" w:cs="Arial"/>
                <w:bCs/>
                <w:color w:val="000000" w:themeColor="text1"/>
                <w:sz w:val="18"/>
                <w:szCs w:val="18"/>
              </w:rPr>
              <w:t>Lp.</w:t>
            </w:r>
          </w:p>
        </w:tc>
        <w:tc>
          <w:tcPr>
            <w:tcW w:w="3686" w:type="dxa"/>
            <w:tcBorders>
              <w:top w:val="single" w:sz="4" w:space="0" w:color="000000"/>
              <w:left w:val="single" w:sz="4" w:space="0" w:color="000000"/>
              <w:bottom w:val="double" w:sz="2" w:space="0" w:color="000000"/>
            </w:tcBorders>
            <w:tcMar>
              <w:top w:w="0" w:type="dxa"/>
              <w:left w:w="70" w:type="dxa"/>
              <w:bottom w:w="0" w:type="dxa"/>
              <w:right w:w="70" w:type="dxa"/>
            </w:tcMar>
          </w:tcPr>
          <w:p w14:paraId="1FC2B675" w14:textId="77777777" w:rsidR="00F45500" w:rsidRPr="007B192E" w:rsidRDefault="00F45500" w:rsidP="008F7A94">
            <w:pPr>
              <w:spacing w:before="120"/>
              <w:jc w:val="center"/>
              <w:rPr>
                <w:rFonts w:ascii="Arial" w:hAnsi="Arial" w:cs="Arial"/>
                <w:bCs/>
                <w:color w:val="000000" w:themeColor="text1"/>
                <w:sz w:val="18"/>
                <w:szCs w:val="18"/>
              </w:rPr>
            </w:pPr>
            <w:r w:rsidRPr="007B192E">
              <w:rPr>
                <w:rFonts w:ascii="Arial" w:hAnsi="Arial" w:cs="Arial"/>
                <w:bCs/>
                <w:color w:val="000000" w:themeColor="text1"/>
                <w:sz w:val="18"/>
                <w:szCs w:val="18"/>
              </w:rPr>
              <w:t>Właściwość</w:t>
            </w:r>
          </w:p>
        </w:tc>
        <w:tc>
          <w:tcPr>
            <w:tcW w:w="1134" w:type="dxa"/>
            <w:tcBorders>
              <w:top w:val="single" w:sz="4" w:space="0" w:color="000000"/>
              <w:left w:val="single" w:sz="4" w:space="0" w:color="000000"/>
              <w:bottom w:val="double" w:sz="2" w:space="0" w:color="000000"/>
            </w:tcBorders>
            <w:tcMar>
              <w:top w:w="0" w:type="dxa"/>
              <w:left w:w="70" w:type="dxa"/>
              <w:bottom w:w="0" w:type="dxa"/>
              <w:right w:w="70" w:type="dxa"/>
            </w:tcMar>
          </w:tcPr>
          <w:p w14:paraId="0BDE56D7" w14:textId="77777777" w:rsidR="00F45500" w:rsidRPr="007B192E" w:rsidRDefault="00F45500" w:rsidP="008F7A94">
            <w:pPr>
              <w:spacing w:before="120" w:after="120"/>
              <w:jc w:val="center"/>
              <w:rPr>
                <w:rFonts w:ascii="Arial" w:hAnsi="Arial" w:cs="Arial"/>
                <w:bCs/>
                <w:color w:val="000000" w:themeColor="text1"/>
                <w:sz w:val="18"/>
                <w:szCs w:val="18"/>
              </w:rPr>
            </w:pPr>
            <w:r w:rsidRPr="007B192E">
              <w:rPr>
                <w:rFonts w:ascii="Arial" w:hAnsi="Arial" w:cs="Arial"/>
                <w:bCs/>
                <w:color w:val="000000" w:themeColor="text1"/>
                <w:sz w:val="18"/>
                <w:szCs w:val="18"/>
              </w:rPr>
              <w:t>Jednostka</w:t>
            </w:r>
          </w:p>
        </w:tc>
        <w:tc>
          <w:tcPr>
            <w:tcW w:w="2207"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6BB6204A" w14:textId="77777777" w:rsidR="00F45500" w:rsidRPr="007B192E" w:rsidRDefault="00F45500" w:rsidP="008F7A94">
            <w:pPr>
              <w:spacing w:before="120" w:after="120"/>
              <w:jc w:val="center"/>
              <w:rPr>
                <w:rFonts w:ascii="Arial" w:hAnsi="Arial" w:cs="Arial"/>
                <w:bCs/>
                <w:color w:val="000000" w:themeColor="text1"/>
                <w:sz w:val="18"/>
                <w:szCs w:val="18"/>
              </w:rPr>
            </w:pPr>
            <w:r w:rsidRPr="007B192E">
              <w:rPr>
                <w:rFonts w:ascii="Arial" w:hAnsi="Arial" w:cs="Arial"/>
                <w:bCs/>
                <w:color w:val="000000" w:themeColor="text1"/>
                <w:sz w:val="18"/>
                <w:szCs w:val="18"/>
              </w:rPr>
              <w:t>Wymagania</w:t>
            </w:r>
          </w:p>
        </w:tc>
      </w:tr>
      <w:tr w:rsidR="004D7D23" w:rsidRPr="007B192E" w14:paraId="45BC8AC7" w14:textId="77777777" w:rsidTr="008F7A94">
        <w:trPr>
          <w:jc w:val="center"/>
        </w:trPr>
        <w:tc>
          <w:tcPr>
            <w:tcW w:w="496" w:type="dxa"/>
            <w:tcBorders>
              <w:top w:val="double" w:sz="2" w:space="0" w:color="000000"/>
              <w:left w:val="single" w:sz="4" w:space="0" w:color="000000"/>
              <w:bottom w:val="single" w:sz="4" w:space="0" w:color="000000"/>
            </w:tcBorders>
            <w:tcMar>
              <w:top w:w="0" w:type="dxa"/>
              <w:left w:w="70" w:type="dxa"/>
              <w:bottom w:w="0" w:type="dxa"/>
              <w:right w:w="70" w:type="dxa"/>
            </w:tcMar>
          </w:tcPr>
          <w:p w14:paraId="699DE991" w14:textId="77777777" w:rsidR="00F45500" w:rsidRPr="007B192E" w:rsidRDefault="00F45500" w:rsidP="00F45500">
            <w:pPr>
              <w:numPr>
                <w:ilvl w:val="0"/>
                <w:numId w:val="187"/>
              </w:numPr>
              <w:tabs>
                <w:tab w:val="left" w:pos="474"/>
              </w:tabs>
              <w:overflowPunct/>
              <w:autoSpaceDE/>
              <w:autoSpaceDN w:val="0"/>
              <w:snapToGrid w:val="0"/>
              <w:jc w:val="center"/>
              <w:rPr>
                <w:rFonts w:ascii="Arial" w:hAnsi="Arial" w:cs="Arial"/>
                <w:bCs/>
                <w:color w:val="000000" w:themeColor="text1"/>
                <w:sz w:val="18"/>
                <w:szCs w:val="18"/>
              </w:rPr>
            </w:pPr>
          </w:p>
        </w:tc>
        <w:tc>
          <w:tcPr>
            <w:tcW w:w="3686" w:type="dxa"/>
            <w:tcBorders>
              <w:top w:val="double" w:sz="2" w:space="0" w:color="000000"/>
              <w:left w:val="single" w:sz="4" w:space="0" w:color="000000"/>
              <w:bottom w:val="single" w:sz="4" w:space="0" w:color="000000"/>
            </w:tcBorders>
            <w:tcMar>
              <w:top w:w="0" w:type="dxa"/>
              <w:left w:w="70" w:type="dxa"/>
              <w:bottom w:w="0" w:type="dxa"/>
              <w:right w:w="70" w:type="dxa"/>
            </w:tcMar>
          </w:tcPr>
          <w:p w14:paraId="6A165A1B"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Zawartość składników lotnych w materiałach do znakowania</w:t>
            </w:r>
          </w:p>
          <w:p w14:paraId="768BB65D" w14:textId="77777777" w:rsidR="00F45500" w:rsidRPr="007B192E" w:rsidRDefault="00F45500" w:rsidP="00F45500">
            <w:pPr>
              <w:numPr>
                <w:ilvl w:val="0"/>
                <w:numId w:val="185"/>
              </w:numPr>
              <w:overflowPunct/>
              <w:autoSpaceDE/>
              <w:autoSpaceDN w:val="0"/>
              <w:jc w:val="center"/>
              <w:rPr>
                <w:rFonts w:ascii="Arial" w:hAnsi="Arial" w:cs="Arial"/>
                <w:color w:val="000000" w:themeColor="text1"/>
                <w:sz w:val="18"/>
                <w:szCs w:val="18"/>
              </w:rPr>
            </w:pPr>
            <w:r w:rsidRPr="007B192E">
              <w:rPr>
                <w:rFonts w:ascii="Arial" w:hAnsi="Arial" w:cs="Arial"/>
                <w:color w:val="000000" w:themeColor="text1"/>
                <w:sz w:val="18"/>
                <w:szCs w:val="18"/>
              </w:rPr>
              <w:t>rozpuszczalników organicznych</w:t>
            </w:r>
          </w:p>
          <w:p w14:paraId="68E017F3" w14:textId="77777777" w:rsidR="00F45500" w:rsidRPr="007B192E" w:rsidRDefault="00F45500" w:rsidP="00F45500">
            <w:pPr>
              <w:numPr>
                <w:ilvl w:val="0"/>
                <w:numId w:val="66"/>
              </w:numPr>
              <w:overflowPunct/>
              <w:autoSpaceDE/>
              <w:autoSpaceDN w:val="0"/>
              <w:jc w:val="center"/>
              <w:rPr>
                <w:rFonts w:ascii="Arial" w:hAnsi="Arial" w:cs="Arial"/>
                <w:color w:val="000000" w:themeColor="text1"/>
                <w:sz w:val="18"/>
                <w:szCs w:val="18"/>
              </w:rPr>
            </w:pPr>
            <w:r w:rsidRPr="007B192E">
              <w:rPr>
                <w:rFonts w:ascii="Arial" w:hAnsi="Arial" w:cs="Arial"/>
                <w:color w:val="000000" w:themeColor="text1"/>
                <w:sz w:val="18"/>
                <w:szCs w:val="18"/>
              </w:rPr>
              <w:t>rozpuszczalników aromatycznych</w:t>
            </w:r>
          </w:p>
          <w:p w14:paraId="7803C361" w14:textId="77777777" w:rsidR="00F45500" w:rsidRPr="007B192E" w:rsidRDefault="00F45500" w:rsidP="00F45500">
            <w:pPr>
              <w:numPr>
                <w:ilvl w:val="0"/>
                <w:numId w:val="66"/>
              </w:numPr>
              <w:overflowPunct/>
              <w:autoSpaceDE/>
              <w:autoSpaceDN w:val="0"/>
              <w:jc w:val="center"/>
              <w:rPr>
                <w:rFonts w:ascii="Arial" w:hAnsi="Arial" w:cs="Arial"/>
                <w:color w:val="000000" w:themeColor="text1"/>
                <w:sz w:val="18"/>
                <w:szCs w:val="18"/>
              </w:rPr>
            </w:pPr>
            <w:r w:rsidRPr="007B192E">
              <w:rPr>
                <w:rFonts w:ascii="Arial" w:hAnsi="Arial" w:cs="Arial"/>
                <w:color w:val="000000" w:themeColor="text1"/>
                <w:sz w:val="18"/>
                <w:szCs w:val="18"/>
              </w:rPr>
              <w:t>benzenu i rozpuszczalników chlorowanych</w:t>
            </w:r>
          </w:p>
        </w:tc>
        <w:tc>
          <w:tcPr>
            <w:tcW w:w="1134" w:type="dxa"/>
            <w:tcBorders>
              <w:top w:val="double" w:sz="2" w:space="0" w:color="000000"/>
              <w:left w:val="single" w:sz="4" w:space="0" w:color="000000"/>
              <w:bottom w:val="single" w:sz="4" w:space="0" w:color="000000"/>
            </w:tcBorders>
            <w:tcMar>
              <w:top w:w="0" w:type="dxa"/>
              <w:left w:w="70" w:type="dxa"/>
              <w:bottom w:w="0" w:type="dxa"/>
              <w:right w:w="70" w:type="dxa"/>
            </w:tcMar>
          </w:tcPr>
          <w:p w14:paraId="436B54FA" w14:textId="77777777" w:rsidR="00F45500" w:rsidRPr="007B192E" w:rsidRDefault="00F45500" w:rsidP="008F7A94">
            <w:pPr>
              <w:snapToGrid w:val="0"/>
              <w:jc w:val="center"/>
              <w:rPr>
                <w:rFonts w:ascii="Arial" w:hAnsi="Arial" w:cs="Arial"/>
                <w:color w:val="000000" w:themeColor="text1"/>
                <w:sz w:val="18"/>
                <w:szCs w:val="18"/>
              </w:rPr>
            </w:pPr>
          </w:p>
          <w:p w14:paraId="07A7D4AA" w14:textId="77777777" w:rsidR="00F45500" w:rsidRPr="007B192E" w:rsidRDefault="00F45500" w:rsidP="008F7A94">
            <w:pPr>
              <w:jc w:val="center"/>
              <w:rPr>
                <w:rFonts w:ascii="Arial" w:hAnsi="Arial" w:cs="Arial"/>
                <w:color w:val="000000" w:themeColor="text1"/>
                <w:sz w:val="18"/>
                <w:szCs w:val="18"/>
              </w:rPr>
            </w:pPr>
          </w:p>
          <w:p w14:paraId="4C96291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(m/m)</w:t>
            </w:r>
          </w:p>
          <w:p w14:paraId="37B24A9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(m/m)</w:t>
            </w:r>
          </w:p>
          <w:p w14:paraId="4DE36AE7" w14:textId="77777777" w:rsidR="00F45500" w:rsidRPr="007B192E" w:rsidRDefault="00F45500" w:rsidP="008F7A94">
            <w:pPr>
              <w:jc w:val="center"/>
              <w:rPr>
                <w:rFonts w:ascii="Arial" w:hAnsi="Arial" w:cs="Arial"/>
                <w:color w:val="000000" w:themeColor="text1"/>
                <w:sz w:val="18"/>
                <w:szCs w:val="18"/>
              </w:rPr>
            </w:pPr>
          </w:p>
          <w:p w14:paraId="2888EBAC"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(m/m)</w:t>
            </w:r>
          </w:p>
        </w:tc>
        <w:tc>
          <w:tcPr>
            <w:tcW w:w="2207"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14:paraId="27C5F177" w14:textId="77777777" w:rsidR="00F45500" w:rsidRPr="007B192E" w:rsidRDefault="00F45500" w:rsidP="008F7A94">
            <w:pPr>
              <w:snapToGrid w:val="0"/>
              <w:jc w:val="center"/>
              <w:rPr>
                <w:rFonts w:ascii="Arial" w:hAnsi="Arial" w:cs="Arial"/>
                <w:color w:val="000000" w:themeColor="text1"/>
                <w:sz w:val="18"/>
                <w:szCs w:val="18"/>
              </w:rPr>
            </w:pPr>
          </w:p>
          <w:p w14:paraId="6FCD1CBF" w14:textId="77777777" w:rsidR="00F45500" w:rsidRPr="007B192E" w:rsidRDefault="00F45500" w:rsidP="008F7A94">
            <w:pPr>
              <w:jc w:val="center"/>
              <w:rPr>
                <w:rFonts w:ascii="Arial" w:hAnsi="Arial" w:cs="Arial"/>
                <w:color w:val="000000" w:themeColor="text1"/>
                <w:sz w:val="18"/>
                <w:szCs w:val="18"/>
              </w:rPr>
            </w:pPr>
          </w:p>
          <w:p w14:paraId="2AD4C645"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25</w:t>
            </w:r>
          </w:p>
          <w:p w14:paraId="3FC71AB6"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8</w:t>
            </w:r>
          </w:p>
          <w:p w14:paraId="54588332" w14:textId="77777777" w:rsidR="00F45500" w:rsidRPr="007B192E" w:rsidRDefault="00F45500" w:rsidP="008F7A94">
            <w:pPr>
              <w:jc w:val="center"/>
              <w:rPr>
                <w:rFonts w:ascii="Arial" w:hAnsi="Arial" w:cs="Arial"/>
                <w:color w:val="000000" w:themeColor="text1"/>
                <w:sz w:val="18"/>
                <w:szCs w:val="18"/>
              </w:rPr>
            </w:pPr>
          </w:p>
          <w:p w14:paraId="62ADEF2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0</w:t>
            </w:r>
          </w:p>
        </w:tc>
      </w:tr>
      <w:tr w:rsidR="004D7D23" w:rsidRPr="007B192E" w14:paraId="300B93AB" w14:textId="77777777" w:rsidTr="008F7A94">
        <w:trPr>
          <w:jc w:val="center"/>
        </w:trPr>
        <w:tc>
          <w:tcPr>
            <w:tcW w:w="496" w:type="dxa"/>
            <w:tcBorders>
              <w:top w:val="single" w:sz="4" w:space="0" w:color="000000"/>
              <w:left w:val="single" w:sz="4" w:space="0" w:color="000000"/>
              <w:bottom w:val="single" w:sz="4" w:space="0" w:color="000000"/>
            </w:tcBorders>
            <w:tcMar>
              <w:top w:w="0" w:type="dxa"/>
              <w:left w:w="70" w:type="dxa"/>
              <w:bottom w:w="0" w:type="dxa"/>
              <w:right w:w="70" w:type="dxa"/>
            </w:tcMar>
          </w:tcPr>
          <w:p w14:paraId="6D24C570" w14:textId="77777777" w:rsidR="00F45500" w:rsidRPr="007B192E" w:rsidRDefault="00F45500" w:rsidP="00F45500">
            <w:pPr>
              <w:numPr>
                <w:ilvl w:val="0"/>
                <w:numId w:val="187"/>
              </w:numPr>
              <w:overflowPunct/>
              <w:autoSpaceDE/>
              <w:autoSpaceDN w:val="0"/>
              <w:snapToGrid w:val="0"/>
              <w:spacing w:after="120"/>
              <w:jc w:val="center"/>
              <w:rPr>
                <w:rFonts w:ascii="Arial" w:hAnsi="Arial" w:cs="Arial"/>
                <w:color w:val="000000" w:themeColor="text1"/>
                <w:sz w:val="18"/>
                <w:szCs w:val="18"/>
              </w:rPr>
            </w:pPr>
          </w:p>
        </w:tc>
        <w:tc>
          <w:tcPr>
            <w:tcW w:w="3686" w:type="dxa"/>
            <w:tcBorders>
              <w:top w:val="single" w:sz="4" w:space="0" w:color="000000"/>
              <w:left w:val="single" w:sz="4" w:space="0" w:color="000000"/>
              <w:bottom w:val="single" w:sz="4" w:space="0" w:color="000000"/>
            </w:tcBorders>
            <w:tcMar>
              <w:top w:w="0" w:type="dxa"/>
              <w:left w:w="70" w:type="dxa"/>
              <w:bottom w:w="0" w:type="dxa"/>
              <w:right w:w="70" w:type="dxa"/>
            </w:tcMar>
          </w:tcPr>
          <w:p w14:paraId="36B74F07"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Właściwości kulek szklanych</w:t>
            </w:r>
          </w:p>
          <w:p w14:paraId="315F8467" w14:textId="77777777" w:rsidR="00F45500" w:rsidRPr="007B192E" w:rsidRDefault="00F45500" w:rsidP="00F45500">
            <w:pPr>
              <w:numPr>
                <w:ilvl w:val="0"/>
                <w:numId w:val="186"/>
              </w:numPr>
              <w:overflowPunct/>
              <w:autoSpaceDE/>
              <w:autoSpaceDN w:val="0"/>
              <w:jc w:val="center"/>
              <w:rPr>
                <w:rFonts w:ascii="Arial" w:hAnsi="Arial" w:cs="Arial"/>
                <w:color w:val="000000" w:themeColor="text1"/>
                <w:sz w:val="18"/>
                <w:szCs w:val="18"/>
              </w:rPr>
            </w:pPr>
            <w:r w:rsidRPr="007B192E">
              <w:rPr>
                <w:rFonts w:ascii="Arial" w:hAnsi="Arial" w:cs="Arial"/>
                <w:color w:val="000000" w:themeColor="text1"/>
                <w:sz w:val="18"/>
                <w:szCs w:val="18"/>
              </w:rPr>
              <w:t>współczynnik załamania światła</w:t>
            </w:r>
          </w:p>
          <w:p w14:paraId="38673A7C" w14:textId="77777777" w:rsidR="00F45500" w:rsidRPr="007B192E" w:rsidRDefault="00F45500" w:rsidP="00F45500">
            <w:pPr>
              <w:numPr>
                <w:ilvl w:val="0"/>
                <w:numId w:val="67"/>
              </w:numPr>
              <w:overflowPunct/>
              <w:autoSpaceDE/>
              <w:autoSpaceDN w:val="0"/>
              <w:jc w:val="center"/>
              <w:rPr>
                <w:rFonts w:ascii="Arial" w:hAnsi="Arial" w:cs="Arial"/>
                <w:color w:val="000000" w:themeColor="text1"/>
                <w:sz w:val="18"/>
                <w:szCs w:val="18"/>
              </w:rPr>
            </w:pPr>
            <w:r w:rsidRPr="007B192E">
              <w:rPr>
                <w:rFonts w:ascii="Arial" w:hAnsi="Arial" w:cs="Arial"/>
                <w:color w:val="000000" w:themeColor="text1"/>
                <w:sz w:val="18"/>
                <w:szCs w:val="18"/>
              </w:rPr>
              <w:t>zawartość kulek z defektami</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B3B836E" w14:textId="77777777" w:rsidR="00F45500" w:rsidRPr="007B192E" w:rsidRDefault="00F45500" w:rsidP="008F7A94">
            <w:pPr>
              <w:snapToGrid w:val="0"/>
              <w:jc w:val="center"/>
              <w:rPr>
                <w:rFonts w:ascii="Arial" w:hAnsi="Arial" w:cs="Arial"/>
                <w:color w:val="000000" w:themeColor="text1"/>
                <w:sz w:val="18"/>
                <w:szCs w:val="18"/>
              </w:rPr>
            </w:pPr>
          </w:p>
          <w:p w14:paraId="652E11BD"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p w14:paraId="336B6663"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w:t>
            </w:r>
          </w:p>
        </w:tc>
        <w:tc>
          <w:tcPr>
            <w:tcW w:w="220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3A43BEEE" w14:textId="77777777" w:rsidR="00F45500" w:rsidRPr="007B192E" w:rsidRDefault="00F45500" w:rsidP="008F7A94">
            <w:pPr>
              <w:snapToGrid w:val="0"/>
              <w:jc w:val="center"/>
              <w:rPr>
                <w:rFonts w:ascii="Arial" w:hAnsi="Arial" w:cs="Arial"/>
                <w:color w:val="000000" w:themeColor="text1"/>
                <w:sz w:val="18"/>
                <w:szCs w:val="18"/>
              </w:rPr>
            </w:pPr>
          </w:p>
          <w:p w14:paraId="5400779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 1,5</w:t>
            </w:r>
          </w:p>
          <w:p w14:paraId="30F7DDFA"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r>
      <w:tr w:rsidR="00F45500" w:rsidRPr="007B192E" w14:paraId="16DA69F3" w14:textId="77777777" w:rsidTr="008F7A94">
        <w:trPr>
          <w:jc w:val="center"/>
        </w:trPr>
        <w:tc>
          <w:tcPr>
            <w:tcW w:w="496" w:type="dxa"/>
            <w:tcBorders>
              <w:top w:val="single" w:sz="4" w:space="0" w:color="000000"/>
              <w:left w:val="single" w:sz="4" w:space="0" w:color="000000"/>
              <w:bottom w:val="single" w:sz="4" w:space="0" w:color="000000"/>
            </w:tcBorders>
            <w:tcMar>
              <w:top w:w="0" w:type="dxa"/>
              <w:left w:w="70" w:type="dxa"/>
              <w:bottom w:w="0" w:type="dxa"/>
              <w:right w:w="70" w:type="dxa"/>
            </w:tcMar>
          </w:tcPr>
          <w:p w14:paraId="472CC46A" w14:textId="77777777" w:rsidR="00F45500" w:rsidRPr="007B192E" w:rsidRDefault="00F45500" w:rsidP="00F45500">
            <w:pPr>
              <w:numPr>
                <w:ilvl w:val="0"/>
                <w:numId w:val="187"/>
              </w:numPr>
              <w:suppressLineNumbers/>
              <w:overflowPunct/>
              <w:autoSpaceDE/>
              <w:autoSpaceDN w:val="0"/>
              <w:snapToGrid w:val="0"/>
              <w:spacing w:after="120"/>
              <w:jc w:val="center"/>
              <w:rPr>
                <w:rFonts w:ascii="Arial" w:hAnsi="Arial" w:cs="Arial"/>
                <w:color w:val="000000" w:themeColor="text1"/>
                <w:sz w:val="18"/>
                <w:szCs w:val="18"/>
              </w:rPr>
            </w:pPr>
          </w:p>
        </w:tc>
        <w:tc>
          <w:tcPr>
            <w:tcW w:w="3686" w:type="dxa"/>
            <w:tcBorders>
              <w:top w:val="single" w:sz="4" w:space="0" w:color="000000"/>
              <w:left w:val="single" w:sz="4" w:space="0" w:color="000000"/>
              <w:bottom w:val="single" w:sz="4" w:space="0" w:color="000000"/>
            </w:tcBorders>
            <w:tcMar>
              <w:top w:w="0" w:type="dxa"/>
              <w:left w:w="70" w:type="dxa"/>
              <w:bottom w:w="0" w:type="dxa"/>
              <w:right w:w="70" w:type="dxa"/>
            </w:tcMar>
          </w:tcPr>
          <w:p w14:paraId="1B77E051" w14:textId="77777777" w:rsidR="00F45500" w:rsidRPr="007B192E" w:rsidRDefault="00F45500" w:rsidP="008F7A94">
            <w:pPr>
              <w:jc w:val="center"/>
              <w:rPr>
                <w:rFonts w:ascii="Arial" w:hAnsi="Arial" w:cs="Arial"/>
                <w:color w:val="000000" w:themeColor="text1"/>
                <w:sz w:val="18"/>
                <w:szCs w:val="18"/>
              </w:rPr>
            </w:pPr>
            <w:r w:rsidRPr="007B192E">
              <w:rPr>
                <w:rFonts w:ascii="Arial" w:hAnsi="Arial" w:cs="Arial"/>
                <w:color w:val="000000" w:themeColor="text1"/>
                <w:sz w:val="18"/>
                <w:szCs w:val="18"/>
              </w:rPr>
              <w:t>Okres stałości właściwości materiałów do znakowania przy składowaniu</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0E533AE"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miesiące</w:t>
            </w:r>
          </w:p>
        </w:tc>
        <w:tc>
          <w:tcPr>
            <w:tcW w:w="2207"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3FC7326" w14:textId="77777777" w:rsidR="00F45500" w:rsidRPr="007B192E" w:rsidRDefault="00F45500" w:rsidP="008F7A94">
            <w:pPr>
              <w:spacing w:before="120"/>
              <w:jc w:val="center"/>
              <w:rPr>
                <w:rFonts w:ascii="Arial" w:hAnsi="Arial" w:cs="Arial"/>
                <w:color w:val="000000" w:themeColor="text1"/>
                <w:sz w:val="18"/>
                <w:szCs w:val="18"/>
              </w:rPr>
            </w:pPr>
            <w:r w:rsidRPr="007B192E">
              <w:rPr>
                <w:rFonts w:ascii="Arial" w:hAnsi="Arial" w:cs="Arial"/>
                <w:color w:val="000000" w:themeColor="text1"/>
                <w:sz w:val="18"/>
                <w:szCs w:val="18"/>
              </w:rPr>
              <w:t> 6</w:t>
            </w:r>
          </w:p>
        </w:tc>
      </w:tr>
    </w:tbl>
    <w:p w14:paraId="541F4D64" w14:textId="77777777" w:rsidR="00F45500" w:rsidRPr="007B192E" w:rsidRDefault="00F45500" w:rsidP="00F45500">
      <w:pPr>
        <w:spacing w:before="120" w:after="120"/>
        <w:jc w:val="both"/>
        <w:rPr>
          <w:rFonts w:ascii="Arial" w:hAnsi="Arial" w:cs="Arial"/>
          <w:color w:val="000000" w:themeColor="text1"/>
          <w:sz w:val="18"/>
          <w:szCs w:val="18"/>
        </w:rPr>
      </w:pPr>
    </w:p>
    <w:p w14:paraId="4FE8E56C" w14:textId="77777777" w:rsidR="00F45500" w:rsidRPr="007B192E" w:rsidRDefault="00F45500" w:rsidP="00F45500">
      <w:pPr>
        <w:tabs>
          <w:tab w:val="left" w:pos="1702"/>
        </w:tabs>
        <w:spacing w:before="120" w:after="120"/>
        <w:ind w:left="851" w:hanging="851"/>
        <w:jc w:val="both"/>
        <w:rPr>
          <w:rFonts w:ascii="Arial" w:hAnsi="Arial" w:cs="Arial"/>
          <w:color w:val="000000" w:themeColor="text1"/>
          <w:sz w:val="18"/>
          <w:szCs w:val="18"/>
        </w:rPr>
      </w:pPr>
    </w:p>
    <w:p w14:paraId="34B62FE2" w14:textId="77777777" w:rsidR="00F45500" w:rsidRPr="007B192E" w:rsidRDefault="00F45500" w:rsidP="00F45500">
      <w:pPr>
        <w:tabs>
          <w:tab w:val="left" w:pos="1702"/>
        </w:tabs>
        <w:spacing w:before="120" w:after="120"/>
        <w:ind w:left="851" w:hanging="851"/>
        <w:jc w:val="both"/>
        <w:rPr>
          <w:rFonts w:ascii="Arial" w:hAnsi="Arial" w:cs="Arial"/>
          <w:color w:val="000000" w:themeColor="text1"/>
          <w:sz w:val="18"/>
          <w:szCs w:val="18"/>
        </w:rPr>
      </w:pPr>
      <w:r w:rsidRPr="007B192E">
        <w:rPr>
          <w:rFonts w:ascii="Arial" w:hAnsi="Arial" w:cs="Arial"/>
          <w:color w:val="000000" w:themeColor="text1"/>
          <w:sz w:val="18"/>
          <w:szCs w:val="18"/>
        </w:rPr>
        <w:t>Tablica 5.</w:t>
      </w:r>
      <w:r w:rsidRPr="007B192E">
        <w:rPr>
          <w:rFonts w:ascii="Arial" w:hAnsi="Arial" w:cs="Arial"/>
          <w:color w:val="000000" w:themeColor="text1"/>
          <w:sz w:val="18"/>
          <w:szCs w:val="18"/>
        </w:rPr>
        <w:tab/>
        <w:t xml:space="preserve">Zbiorcze zestawienie wymagań dla </w:t>
      </w:r>
      <w:proofErr w:type="spellStart"/>
      <w:r w:rsidRPr="007B192E">
        <w:rPr>
          <w:rFonts w:ascii="Arial" w:hAnsi="Arial" w:cs="Arial"/>
          <w:color w:val="000000" w:themeColor="text1"/>
          <w:sz w:val="18"/>
          <w:szCs w:val="18"/>
        </w:rPr>
        <w:t>oznakowań</w:t>
      </w:r>
      <w:proofErr w:type="spellEnd"/>
    </w:p>
    <w:tbl>
      <w:tblPr>
        <w:tblW w:w="7529" w:type="dxa"/>
        <w:jc w:val="center"/>
        <w:tblLayout w:type="fixed"/>
        <w:tblCellMar>
          <w:left w:w="10" w:type="dxa"/>
          <w:right w:w="10" w:type="dxa"/>
        </w:tblCellMar>
        <w:tblLook w:val="0000" w:firstRow="0" w:lastRow="0" w:firstColumn="0" w:lastColumn="0" w:noHBand="0" w:noVBand="0"/>
      </w:tblPr>
      <w:tblGrid>
        <w:gridCol w:w="495"/>
        <w:gridCol w:w="3685"/>
        <w:gridCol w:w="1134"/>
        <w:gridCol w:w="1276"/>
        <w:gridCol w:w="939"/>
      </w:tblGrid>
      <w:tr w:rsidR="004D7D23" w:rsidRPr="007B192E" w14:paraId="4DA70F18" w14:textId="77777777" w:rsidTr="008F7A94">
        <w:trPr>
          <w:cantSplit/>
          <w:tblHeader/>
          <w:jc w:val="center"/>
        </w:trPr>
        <w:tc>
          <w:tcPr>
            <w:tcW w:w="495" w:type="dxa"/>
            <w:tcBorders>
              <w:top w:val="single" w:sz="4" w:space="0" w:color="000000"/>
              <w:left w:val="single" w:sz="4" w:space="0" w:color="000000"/>
              <w:bottom w:val="double" w:sz="2" w:space="0" w:color="000000"/>
            </w:tcBorders>
            <w:tcMar>
              <w:top w:w="0" w:type="dxa"/>
              <w:left w:w="70" w:type="dxa"/>
              <w:bottom w:w="0" w:type="dxa"/>
              <w:right w:w="70" w:type="dxa"/>
            </w:tcMar>
          </w:tcPr>
          <w:p w14:paraId="4C57CE29" w14:textId="77777777" w:rsidR="00F45500" w:rsidRPr="007B192E" w:rsidRDefault="00F45500" w:rsidP="008F7A94">
            <w:pPr>
              <w:spacing w:before="120" w:after="120"/>
              <w:jc w:val="both"/>
              <w:rPr>
                <w:rFonts w:ascii="Arial" w:hAnsi="Arial" w:cs="Arial"/>
                <w:bCs/>
                <w:color w:val="000000" w:themeColor="text1"/>
                <w:sz w:val="18"/>
                <w:szCs w:val="18"/>
              </w:rPr>
            </w:pPr>
            <w:r w:rsidRPr="007B192E">
              <w:rPr>
                <w:rFonts w:ascii="Arial" w:hAnsi="Arial" w:cs="Arial"/>
                <w:bCs/>
                <w:color w:val="000000" w:themeColor="text1"/>
                <w:sz w:val="18"/>
                <w:szCs w:val="18"/>
              </w:rPr>
              <w:t>Lp.</w:t>
            </w:r>
          </w:p>
        </w:tc>
        <w:tc>
          <w:tcPr>
            <w:tcW w:w="3685" w:type="dxa"/>
            <w:tcBorders>
              <w:top w:val="single" w:sz="4" w:space="0" w:color="000000"/>
              <w:left w:val="single" w:sz="4" w:space="0" w:color="000000"/>
              <w:bottom w:val="double" w:sz="2" w:space="0" w:color="000000"/>
            </w:tcBorders>
            <w:tcMar>
              <w:top w:w="0" w:type="dxa"/>
              <w:left w:w="70" w:type="dxa"/>
              <w:bottom w:w="0" w:type="dxa"/>
              <w:right w:w="70" w:type="dxa"/>
            </w:tcMar>
          </w:tcPr>
          <w:p w14:paraId="5F8CEBA9" w14:textId="77777777" w:rsidR="00F45500" w:rsidRPr="007B192E" w:rsidRDefault="00F45500" w:rsidP="008F7A94">
            <w:pPr>
              <w:spacing w:before="120" w:after="120"/>
              <w:jc w:val="both"/>
              <w:rPr>
                <w:rFonts w:ascii="Arial" w:hAnsi="Arial" w:cs="Arial"/>
                <w:bCs/>
                <w:color w:val="000000" w:themeColor="text1"/>
                <w:sz w:val="18"/>
                <w:szCs w:val="18"/>
              </w:rPr>
            </w:pPr>
            <w:r w:rsidRPr="007B192E">
              <w:rPr>
                <w:rFonts w:ascii="Arial" w:hAnsi="Arial" w:cs="Arial"/>
                <w:bCs/>
                <w:color w:val="000000" w:themeColor="text1"/>
                <w:sz w:val="18"/>
                <w:szCs w:val="18"/>
              </w:rPr>
              <w:t>Właściwość</w:t>
            </w:r>
          </w:p>
        </w:tc>
        <w:tc>
          <w:tcPr>
            <w:tcW w:w="1134" w:type="dxa"/>
            <w:tcBorders>
              <w:top w:val="single" w:sz="4" w:space="0" w:color="000000"/>
              <w:left w:val="single" w:sz="4" w:space="0" w:color="000000"/>
              <w:bottom w:val="double" w:sz="2" w:space="0" w:color="000000"/>
            </w:tcBorders>
            <w:tcMar>
              <w:top w:w="0" w:type="dxa"/>
              <w:left w:w="70" w:type="dxa"/>
              <w:bottom w:w="0" w:type="dxa"/>
              <w:right w:w="70" w:type="dxa"/>
            </w:tcMar>
          </w:tcPr>
          <w:p w14:paraId="3C399A65" w14:textId="77777777" w:rsidR="00F45500" w:rsidRPr="007B192E" w:rsidRDefault="00F45500" w:rsidP="008F7A94">
            <w:pPr>
              <w:spacing w:before="120" w:after="120"/>
              <w:jc w:val="both"/>
              <w:rPr>
                <w:rFonts w:ascii="Arial" w:hAnsi="Arial" w:cs="Arial"/>
                <w:bCs/>
                <w:color w:val="000000" w:themeColor="text1"/>
                <w:sz w:val="18"/>
                <w:szCs w:val="18"/>
              </w:rPr>
            </w:pPr>
            <w:r w:rsidRPr="007B192E">
              <w:rPr>
                <w:rFonts w:ascii="Arial" w:hAnsi="Arial" w:cs="Arial"/>
                <w:bCs/>
                <w:color w:val="000000" w:themeColor="text1"/>
                <w:sz w:val="18"/>
                <w:szCs w:val="18"/>
              </w:rPr>
              <w:t>Jednostka</w:t>
            </w:r>
          </w:p>
        </w:tc>
        <w:tc>
          <w:tcPr>
            <w:tcW w:w="1276" w:type="dxa"/>
            <w:tcBorders>
              <w:top w:val="single" w:sz="4" w:space="0" w:color="000000"/>
              <w:left w:val="single" w:sz="4" w:space="0" w:color="000000"/>
              <w:bottom w:val="double" w:sz="2" w:space="0" w:color="000000"/>
            </w:tcBorders>
            <w:tcMar>
              <w:top w:w="0" w:type="dxa"/>
              <w:left w:w="70" w:type="dxa"/>
              <w:bottom w:w="0" w:type="dxa"/>
              <w:right w:w="70" w:type="dxa"/>
            </w:tcMar>
          </w:tcPr>
          <w:p w14:paraId="08E4F308" w14:textId="77777777" w:rsidR="00F45500" w:rsidRPr="007B192E" w:rsidRDefault="00F45500" w:rsidP="008F7A94">
            <w:pPr>
              <w:spacing w:before="120" w:after="120"/>
              <w:jc w:val="both"/>
              <w:rPr>
                <w:rFonts w:ascii="Arial" w:hAnsi="Arial" w:cs="Arial"/>
                <w:bCs/>
                <w:color w:val="000000" w:themeColor="text1"/>
                <w:sz w:val="18"/>
                <w:szCs w:val="18"/>
              </w:rPr>
            </w:pPr>
            <w:r w:rsidRPr="007B192E">
              <w:rPr>
                <w:rFonts w:ascii="Arial" w:hAnsi="Arial" w:cs="Arial"/>
                <w:bCs/>
                <w:color w:val="000000" w:themeColor="text1"/>
                <w:sz w:val="18"/>
                <w:szCs w:val="18"/>
              </w:rPr>
              <w:t>Wymagania</w:t>
            </w:r>
          </w:p>
        </w:tc>
        <w:tc>
          <w:tcPr>
            <w:tcW w:w="939" w:type="dxa"/>
            <w:tcBorders>
              <w:top w:val="single" w:sz="4" w:space="0" w:color="000000"/>
              <w:left w:val="single" w:sz="4" w:space="0" w:color="000000"/>
              <w:bottom w:val="double" w:sz="2" w:space="0" w:color="000000"/>
              <w:right w:val="single" w:sz="4" w:space="0" w:color="000000"/>
            </w:tcBorders>
            <w:tcMar>
              <w:top w:w="0" w:type="dxa"/>
              <w:left w:w="70" w:type="dxa"/>
              <w:bottom w:w="0" w:type="dxa"/>
              <w:right w:w="70" w:type="dxa"/>
            </w:tcMar>
          </w:tcPr>
          <w:p w14:paraId="524C2151" w14:textId="77777777" w:rsidR="00F45500" w:rsidRPr="007B192E" w:rsidRDefault="00F45500" w:rsidP="008F7A94">
            <w:pPr>
              <w:spacing w:before="120" w:after="120"/>
              <w:jc w:val="both"/>
              <w:rPr>
                <w:rFonts w:ascii="Arial" w:hAnsi="Arial" w:cs="Arial"/>
                <w:bCs/>
                <w:color w:val="000000" w:themeColor="text1"/>
                <w:sz w:val="18"/>
                <w:szCs w:val="18"/>
              </w:rPr>
            </w:pPr>
            <w:r w:rsidRPr="007B192E">
              <w:rPr>
                <w:rFonts w:ascii="Arial" w:hAnsi="Arial" w:cs="Arial"/>
                <w:bCs/>
                <w:color w:val="000000" w:themeColor="text1"/>
                <w:sz w:val="18"/>
                <w:szCs w:val="18"/>
              </w:rPr>
              <w:t>Klasa</w:t>
            </w:r>
          </w:p>
        </w:tc>
      </w:tr>
      <w:tr w:rsidR="004D7D23" w:rsidRPr="007B192E" w14:paraId="55D3B341" w14:textId="77777777" w:rsidTr="008F7A94">
        <w:trPr>
          <w:cantSplit/>
          <w:jc w:val="center"/>
        </w:trPr>
        <w:tc>
          <w:tcPr>
            <w:tcW w:w="495" w:type="dxa"/>
            <w:tcBorders>
              <w:top w:val="double" w:sz="2" w:space="0" w:color="000000"/>
              <w:left w:val="single" w:sz="4" w:space="0" w:color="000000"/>
              <w:bottom w:val="single" w:sz="4" w:space="0" w:color="000000"/>
            </w:tcBorders>
            <w:tcMar>
              <w:top w:w="0" w:type="dxa"/>
              <w:left w:w="70" w:type="dxa"/>
              <w:bottom w:w="0" w:type="dxa"/>
              <w:right w:w="70" w:type="dxa"/>
            </w:tcMar>
          </w:tcPr>
          <w:p w14:paraId="1CFAF06D" w14:textId="77777777" w:rsidR="00F45500" w:rsidRPr="007B192E" w:rsidRDefault="00F45500" w:rsidP="00F45500">
            <w:pPr>
              <w:numPr>
                <w:ilvl w:val="0"/>
                <w:numId w:val="184"/>
              </w:numPr>
              <w:tabs>
                <w:tab w:val="left" w:pos="474"/>
              </w:tabs>
              <w:overflowPunct/>
              <w:autoSpaceDE/>
              <w:autoSpaceDN w:val="0"/>
              <w:snapToGrid w:val="0"/>
              <w:ind w:left="57"/>
              <w:jc w:val="both"/>
              <w:rPr>
                <w:rFonts w:ascii="Arial" w:hAnsi="Arial" w:cs="Arial"/>
                <w:b/>
                <w:bCs/>
                <w:color w:val="000000" w:themeColor="text1"/>
                <w:sz w:val="18"/>
                <w:szCs w:val="18"/>
              </w:rPr>
            </w:pPr>
          </w:p>
        </w:tc>
        <w:tc>
          <w:tcPr>
            <w:tcW w:w="3685" w:type="dxa"/>
            <w:tcBorders>
              <w:top w:val="double" w:sz="2" w:space="0" w:color="000000"/>
              <w:left w:val="single" w:sz="4" w:space="0" w:color="000000"/>
              <w:bottom w:val="single" w:sz="4" w:space="0" w:color="000000"/>
            </w:tcBorders>
            <w:tcMar>
              <w:top w:w="0" w:type="dxa"/>
              <w:left w:w="70" w:type="dxa"/>
              <w:bottom w:w="0" w:type="dxa"/>
              <w:right w:w="70" w:type="dxa"/>
            </w:tcMar>
          </w:tcPr>
          <w:p w14:paraId="61E63DD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Współczynnik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dla oznako-</w:t>
            </w:r>
            <w:proofErr w:type="spellStart"/>
            <w:r w:rsidRPr="007B192E">
              <w:rPr>
                <w:rFonts w:ascii="Arial" w:hAnsi="Arial" w:cs="Arial"/>
                <w:color w:val="000000" w:themeColor="text1"/>
                <w:sz w:val="18"/>
                <w:szCs w:val="18"/>
              </w:rPr>
              <w:t>wania</w:t>
            </w:r>
            <w:proofErr w:type="spellEnd"/>
            <w:r w:rsidRPr="007B192E">
              <w:rPr>
                <w:rFonts w:ascii="Arial" w:hAnsi="Arial" w:cs="Arial"/>
                <w:color w:val="000000" w:themeColor="text1"/>
                <w:sz w:val="18"/>
                <w:szCs w:val="18"/>
              </w:rPr>
              <w:t xml:space="preserve"> nowego (w ciągu 14 - 30 dni po wykonaniu) w stanie suchym barwy:    </w:t>
            </w:r>
          </w:p>
          <w:p w14:paraId="58E0574C" w14:textId="77777777" w:rsidR="00F45500" w:rsidRPr="007B192E" w:rsidRDefault="00F45500" w:rsidP="00F45500">
            <w:pPr>
              <w:numPr>
                <w:ilvl w:val="1"/>
                <w:numId w:val="106"/>
              </w:numPr>
              <w:tabs>
                <w:tab w:val="clear" w:pos="1477"/>
              </w:tabs>
              <w:overflowPunct/>
              <w:autoSpaceDE/>
              <w:autoSpaceDN w:val="0"/>
              <w:ind w:left="0" w:firstLine="0"/>
              <w:jc w:val="both"/>
              <w:rPr>
                <w:rFonts w:ascii="Arial" w:hAnsi="Arial" w:cs="Arial"/>
                <w:color w:val="000000" w:themeColor="text1"/>
                <w:sz w:val="18"/>
                <w:szCs w:val="18"/>
              </w:rPr>
            </w:pPr>
            <w:r w:rsidRPr="007B192E">
              <w:rPr>
                <w:rFonts w:ascii="Arial" w:hAnsi="Arial" w:cs="Arial"/>
                <w:color w:val="000000" w:themeColor="text1"/>
                <w:sz w:val="18"/>
                <w:szCs w:val="18"/>
              </w:rPr>
              <w:t>białej,</w:t>
            </w:r>
          </w:p>
          <w:p w14:paraId="3181DCCC" w14:textId="77777777" w:rsidR="00F45500" w:rsidRPr="007B192E" w:rsidRDefault="00F45500" w:rsidP="00F45500">
            <w:pPr>
              <w:numPr>
                <w:ilvl w:val="1"/>
                <w:numId w:val="106"/>
              </w:numPr>
              <w:tabs>
                <w:tab w:val="clear" w:pos="1477"/>
              </w:tabs>
              <w:overflowPunct/>
              <w:autoSpaceDE/>
              <w:autoSpaceDN w:val="0"/>
              <w:ind w:left="0" w:firstLine="0"/>
              <w:jc w:val="both"/>
              <w:rPr>
                <w:rFonts w:ascii="Arial" w:hAnsi="Arial" w:cs="Arial"/>
                <w:color w:val="000000" w:themeColor="text1"/>
                <w:sz w:val="18"/>
                <w:szCs w:val="18"/>
              </w:rPr>
            </w:pPr>
            <w:r w:rsidRPr="007B192E">
              <w:rPr>
                <w:rFonts w:ascii="Arial" w:hAnsi="Arial" w:cs="Arial"/>
                <w:color w:val="000000" w:themeColor="text1"/>
                <w:sz w:val="18"/>
                <w:szCs w:val="18"/>
              </w:rPr>
              <w:t>żółtej tymczasowej</w:t>
            </w:r>
          </w:p>
        </w:tc>
        <w:tc>
          <w:tcPr>
            <w:tcW w:w="1134" w:type="dxa"/>
            <w:tcBorders>
              <w:top w:val="double" w:sz="2" w:space="0" w:color="000000"/>
              <w:left w:val="single" w:sz="4" w:space="0" w:color="000000"/>
              <w:bottom w:val="single" w:sz="4" w:space="0" w:color="000000"/>
            </w:tcBorders>
            <w:tcMar>
              <w:top w:w="0" w:type="dxa"/>
              <w:left w:w="70" w:type="dxa"/>
              <w:bottom w:w="0" w:type="dxa"/>
              <w:right w:w="70" w:type="dxa"/>
            </w:tcMar>
          </w:tcPr>
          <w:p w14:paraId="5E003DF2" w14:textId="77777777" w:rsidR="00F45500" w:rsidRPr="007B192E" w:rsidRDefault="00F45500" w:rsidP="008F7A94">
            <w:pPr>
              <w:snapToGrid w:val="0"/>
              <w:jc w:val="both"/>
              <w:rPr>
                <w:rFonts w:ascii="Arial" w:hAnsi="Arial" w:cs="Arial"/>
                <w:color w:val="000000" w:themeColor="text1"/>
                <w:sz w:val="18"/>
                <w:szCs w:val="18"/>
              </w:rPr>
            </w:pPr>
          </w:p>
          <w:p w14:paraId="4A5563D3" w14:textId="77777777" w:rsidR="00F45500" w:rsidRPr="007B192E" w:rsidRDefault="00F45500" w:rsidP="008F7A94">
            <w:pPr>
              <w:jc w:val="both"/>
              <w:rPr>
                <w:rFonts w:ascii="Arial" w:hAnsi="Arial" w:cs="Arial"/>
                <w:color w:val="000000" w:themeColor="text1"/>
                <w:sz w:val="18"/>
                <w:szCs w:val="18"/>
              </w:rPr>
            </w:pPr>
          </w:p>
          <w:p w14:paraId="48E3799B" w14:textId="77777777" w:rsidR="00F45500" w:rsidRPr="007B192E" w:rsidRDefault="00F45500" w:rsidP="008F7A94">
            <w:pPr>
              <w:jc w:val="both"/>
              <w:rPr>
                <w:rFonts w:ascii="Arial" w:hAnsi="Arial" w:cs="Arial"/>
                <w:color w:val="000000" w:themeColor="text1"/>
                <w:sz w:val="18"/>
                <w:szCs w:val="18"/>
              </w:rPr>
            </w:pPr>
          </w:p>
          <w:p w14:paraId="59BD14F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p w14:paraId="45DAF40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double" w:sz="2" w:space="0" w:color="000000"/>
              <w:left w:val="single" w:sz="4" w:space="0" w:color="000000"/>
              <w:bottom w:val="single" w:sz="4" w:space="0" w:color="000000"/>
            </w:tcBorders>
            <w:tcMar>
              <w:top w:w="0" w:type="dxa"/>
              <w:left w:w="70" w:type="dxa"/>
              <w:bottom w:w="0" w:type="dxa"/>
              <w:right w:w="70" w:type="dxa"/>
            </w:tcMar>
          </w:tcPr>
          <w:p w14:paraId="7BD1246E" w14:textId="77777777" w:rsidR="00F45500" w:rsidRPr="007B192E" w:rsidRDefault="00F45500" w:rsidP="008F7A94">
            <w:pPr>
              <w:snapToGrid w:val="0"/>
              <w:jc w:val="both"/>
              <w:rPr>
                <w:rFonts w:ascii="Arial" w:hAnsi="Arial" w:cs="Arial"/>
                <w:color w:val="000000" w:themeColor="text1"/>
                <w:sz w:val="18"/>
                <w:szCs w:val="18"/>
              </w:rPr>
            </w:pPr>
          </w:p>
          <w:p w14:paraId="216F9962" w14:textId="77777777" w:rsidR="00F45500" w:rsidRPr="007B192E" w:rsidRDefault="00F45500" w:rsidP="008F7A94">
            <w:pPr>
              <w:jc w:val="both"/>
              <w:rPr>
                <w:rFonts w:ascii="Arial" w:hAnsi="Arial" w:cs="Arial"/>
                <w:color w:val="000000" w:themeColor="text1"/>
                <w:sz w:val="18"/>
                <w:szCs w:val="18"/>
              </w:rPr>
            </w:pPr>
          </w:p>
          <w:p w14:paraId="515BFD2C" w14:textId="77777777" w:rsidR="00F45500" w:rsidRPr="007B192E" w:rsidRDefault="00F45500" w:rsidP="008F7A94">
            <w:pPr>
              <w:jc w:val="both"/>
              <w:rPr>
                <w:rFonts w:ascii="Arial" w:hAnsi="Arial" w:cs="Arial"/>
                <w:color w:val="000000" w:themeColor="text1"/>
                <w:sz w:val="18"/>
                <w:szCs w:val="18"/>
              </w:rPr>
            </w:pPr>
          </w:p>
          <w:p w14:paraId="510C60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200</w:t>
            </w:r>
          </w:p>
          <w:p w14:paraId="62D1392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150</w:t>
            </w:r>
          </w:p>
        </w:tc>
        <w:tc>
          <w:tcPr>
            <w:tcW w:w="939" w:type="dxa"/>
            <w:tcBorders>
              <w:top w:val="double" w:sz="2" w:space="0" w:color="000000"/>
              <w:left w:val="single" w:sz="4" w:space="0" w:color="000000"/>
              <w:bottom w:val="single" w:sz="4" w:space="0" w:color="000000"/>
              <w:right w:val="single" w:sz="4" w:space="0" w:color="000000"/>
            </w:tcBorders>
            <w:tcMar>
              <w:top w:w="0" w:type="dxa"/>
              <w:left w:w="70" w:type="dxa"/>
              <w:bottom w:w="0" w:type="dxa"/>
              <w:right w:w="70" w:type="dxa"/>
            </w:tcMar>
          </w:tcPr>
          <w:p w14:paraId="0F8A01C8" w14:textId="77777777" w:rsidR="00F45500" w:rsidRPr="007B192E" w:rsidRDefault="00F45500" w:rsidP="008F7A94">
            <w:pPr>
              <w:snapToGrid w:val="0"/>
              <w:jc w:val="both"/>
              <w:rPr>
                <w:rFonts w:ascii="Arial" w:hAnsi="Arial" w:cs="Arial"/>
                <w:color w:val="000000" w:themeColor="text1"/>
                <w:sz w:val="18"/>
                <w:szCs w:val="18"/>
              </w:rPr>
            </w:pPr>
          </w:p>
          <w:p w14:paraId="3C73181E" w14:textId="77777777" w:rsidR="00F45500" w:rsidRPr="007B192E" w:rsidRDefault="00F45500" w:rsidP="008F7A94">
            <w:pPr>
              <w:jc w:val="both"/>
              <w:rPr>
                <w:rFonts w:ascii="Arial" w:hAnsi="Arial" w:cs="Arial"/>
                <w:color w:val="000000" w:themeColor="text1"/>
                <w:sz w:val="18"/>
                <w:szCs w:val="18"/>
              </w:rPr>
            </w:pPr>
          </w:p>
          <w:p w14:paraId="26711529" w14:textId="77777777" w:rsidR="00F45500" w:rsidRPr="007B192E" w:rsidRDefault="00F45500" w:rsidP="008F7A94">
            <w:pPr>
              <w:jc w:val="both"/>
              <w:rPr>
                <w:rFonts w:ascii="Arial" w:hAnsi="Arial" w:cs="Arial"/>
                <w:color w:val="000000" w:themeColor="text1"/>
                <w:sz w:val="18"/>
                <w:szCs w:val="18"/>
              </w:rPr>
            </w:pPr>
          </w:p>
          <w:p w14:paraId="5B458CB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R4</w:t>
            </w:r>
          </w:p>
          <w:p w14:paraId="1633A1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R3</w:t>
            </w:r>
          </w:p>
        </w:tc>
      </w:tr>
      <w:tr w:rsidR="004D7D23" w:rsidRPr="007B192E" w14:paraId="4E2C4F3F"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3590A6C5" w14:textId="77777777" w:rsidR="00F45500" w:rsidRPr="007B192E"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095AAB7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Współczynnik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dla oznako-</w:t>
            </w:r>
            <w:proofErr w:type="spellStart"/>
            <w:r w:rsidRPr="007B192E">
              <w:rPr>
                <w:rFonts w:ascii="Arial" w:hAnsi="Arial" w:cs="Arial"/>
                <w:color w:val="000000" w:themeColor="text1"/>
                <w:sz w:val="18"/>
                <w:szCs w:val="18"/>
              </w:rPr>
              <w:t>wania</w:t>
            </w:r>
            <w:proofErr w:type="spellEnd"/>
            <w:r w:rsidRPr="007B192E">
              <w:rPr>
                <w:rFonts w:ascii="Arial" w:hAnsi="Arial" w:cs="Arial"/>
                <w:color w:val="000000" w:themeColor="text1"/>
                <w:sz w:val="18"/>
                <w:szCs w:val="18"/>
              </w:rPr>
              <w:t xml:space="preserve"> eksploatowanego od 2 do 6 miesięcy po wykonaniu, barwy:</w:t>
            </w:r>
          </w:p>
          <w:p w14:paraId="767083D0" w14:textId="77777777" w:rsidR="00F45500" w:rsidRPr="007B192E" w:rsidRDefault="00F45500" w:rsidP="00BA5651">
            <w:pPr>
              <w:numPr>
                <w:ilvl w:val="0"/>
                <w:numId w:val="260"/>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w:t>
            </w:r>
          </w:p>
          <w:p w14:paraId="557DBA5F" w14:textId="77777777" w:rsidR="00F45500" w:rsidRPr="007B192E" w:rsidRDefault="00F45500" w:rsidP="00BA5651">
            <w:pPr>
              <w:numPr>
                <w:ilvl w:val="0"/>
                <w:numId w:val="260"/>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5363B96F" w14:textId="77777777" w:rsidR="00F45500" w:rsidRPr="007B192E" w:rsidRDefault="00F45500" w:rsidP="008F7A94">
            <w:pPr>
              <w:snapToGrid w:val="0"/>
              <w:jc w:val="both"/>
              <w:rPr>
                <w:rFonts w:ascii="Arial" w:hAnsi="Arial" w:cs="Arial"/>
                <w:color w:val="000000" w:themeColor="text1"/>
                <w:sz w:val="18"/>
                <w:szCs w:val="18"/>
              </w:rPr>
            </w:pPr>
          </w:p>
          <w:p w14:paraId="33CDB8E2" w14:textId="77777777" w:rsidR="00F45500" w:rsidRPr="007B192E" w:rsidRDefault="00F45500" w:rsidP="008F7A94">
            <w:pPr>
              <w:jc w:val="both"/>
              <w:rPr>
                <w:rFonts w:ascii="Arial" w:hAnsi="Arial" w:cs="Arial"/>
                <w:color w:val="000000" w:themeColor="text1"/>
                <w:sz w:val="18"/>
                <w:szCs w:val="18"/>
              </w:rPr>
            </w:pPr>
          </w:p>
          <w:p w14:paraId="763A7C9B" w14:textId="77777777" w:rsidR="00F45500" w:rsidRPr="007B192E" w:rsidRDefault="00F45500" w:rsidP="008F7A94">
            <w:pPr>
              <w:jc w:val="both"/>
              <w:rPr>
                <w:rFonts w:ascii="Arial" w:hAnsi="Arial" w:cs="Arial"/>
                <w:color w:val="000000" w:themeColor="text1"/>
                <w:sz w:val="18"/>
                <w:szCs w:val="18"/>
              </w:rPr>
            </w:pPr>
          </w:p>
          <w:p w14:paraId="3CCB439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p w14:paraId="5CECC64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02807EFF" w14:textId="77777777" w:rsidR="00F45500" w:rsidRPr="007B192E" w:rsidRDefault="00F45500" w:rsidP="008F7A94">
            <w:pPr>
              <w:snapToGrid w:val="0"/>
              <w:jc w:val="both"/>
              <w:rPr>
                <w:rFonts w:ascii="Arial" w:hAnsi="Arial" w:cs="Arial"/>
                <w:color w:val="000000" w:themeColor="text1"/>
                <w:sz w:val="18"/>
                <w:szCs w:val="18"/>
              </w:rPr>
            </w:pPr>
          </w:p>
          <w:p w14:paraId="1694BC41" w14:textId="77777777" w:rsidR="00F45500" w:rsidRPr="007B192E" w:rsidRDefault="00F45500" w:rsidP="008F7A94">
            <w:pPr>
              <w:jc w:val="both"/>
              <w:rPr>
                <w:rFonts w:ascii="Arial" w:hAnsi="Arial" w:cs="Arial"/>
                <w:color w:val="000000" w:themeColor="text1"/>
                <w:sz w:val="18"/>
                <w:szCs w:val="18"/>
              </w:rPr>
            </w:pPr>
          </w:p>
          <w:p w14:paraId="6306C542" w14:textId="77777777" w:rsidR="00F45500" w:rsidRPr="007B192E" w:rsidRDefault="00F45500" w:rsidP="008F7A94">
            <w:pPr>
              <w:jc w:val="both"/>
              <w:rPr>
                <w:rFonts w:ascii="Arial" w:hAnsi="Arial" w:cs="Arial"/>
                <w:color w:val="000000" w:themeColor="text1"/>
                <w:sz w:val="18"/>
                <w:szCs w:val="18"/>
              </w:rPr>
            </w:pPr>
          </w:p>
          <w:p w14:paraId="15CA55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150</w:t>
            </w:r>
          </w:p>
          <w:p w14:paraId="0E4F8D5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1CED0796" w14:textId="77777777" w:rsidR="00F45500" w:rsidRPr="007B192E" w:rsidRDefault="00F45500" w:rsidP="008F7A94">
            <w:pPr>
              <w:snapToGrid w:val="0"/>
              <w:jc w:val="both"/>
              <w:rPr>
                <w:rFonts w:ascii="Arial" w:hAnsi="Arial" w:cs="Arial"/>
                <w:color w:val="000000" w:themeColor="text1"/>
                <w:sz w:val="18"/>
                <w:szCs w:val="18"/>
              </w:rPr>
            </w:pPr>
          </w:p>
          <w:p w14:paraId="4C48D0F2" w14:textId="77777777" w:rsidR="00F45500" w:rsidRPr="007B192E" w:rsidRDefault="00F45500" w:rsidP="008F7A94">
            <w:pPr>
              <w:jc w:val="both"/>
              <w:rPr>
                <w:rFonts w:ascii="Arial" w:hAnsi="Arial" w:cs="Arial"/>
                <w:color w:val="000000" w:themeColor="text1"/>
                <w:sz w:val="18"/>
                <w:szCs w:val="18"/>
              </w:rPr>
            </w:pPr>
          </w:p>
          <w:p w14:paraId="2084AA62" w14:textId="77777777" w:rsidR="00F45500" w:rsidRPr="007B192E" w:rsidRDefault="00F45500" w:rsidP="008F7A94">
            <w:pPr>
              <w:jc w:val="both"/>
              <w:rPr>
                <w:rFonts w:ascii="Arial" w:hAnsi="Arial" w:cs="Arial"/>
                <w:color w:val="000000" w:themeColor="text1"/>
                <w:sz w:val="18"/>
                <w:szCs w:val="18"/>
              </w:rPr>
            </w:pPr>
          </w:p>
          <w:p w14:paraId="1C893C9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R3</w:t>
            </w:r>
          </w:p>
          <w:p w14:paraId="57E6D95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R2</w:t>
            </w:r>
          </w:p>
        </w:tc>
      </w:tr>
      <w:tr w:rsidR="004D7D23" w:rsidRPr="007B192E" w14:paraId="4979D285"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14E8F4AA" w14:textId="77777777" w:rsidR="00F45500" w:rsidRPr="007B192E"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47FEC9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Współczynnik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dla oznako-</w:t>
            </w:r>
            <w:proofErr w:type="spellStart"/>
            <w:r w:rsidRPr="007B192E">
              <w:rPr>
                <w:rFonts w:ascii="Arial" w:hAnsi="Arial" w:cs="Arial"/>
                <w:color w:val="000000" w:themeColor="text1"/>
                <w:sz w:val="18"/>
                <w:szCs w:val="18"/>
              </w:rPr>
              <w:t>wania</w:t>
            </w:r>
            <w:proofErr w:type="spellEnd"/>
            <w:r w:rsidRPr="007B192E">
              <w:rPr>
                <w:rFonts w:ascii="Arial" w:hAnsi="Arial" w:cs="Arial"/>
                <w:color w:val="000000" w:themeColor="text1"/>
                <w:sz w:val="18"/>
                <w:szCs w:val="18"/>
              </w:rPr>
              <w:t xml:space="preserve"> suchego od 7 miesiąca po wykonaniu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1494092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0E2F97B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52DB7DE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R2</w:t>
            </w:r>
          </w:p>
        </w:tc>
      </w:tr>
      <w:tr w:rsidR="004D7D23" w:rsidRPr="007B192E" w14:paraId="62BAFDD8"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618E1CB8" w14:textId="77777777" w:rsidR="00F45500" w:rsidRPr="007B192E"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23F0A7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Współczynnik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dla grubowarstwowego strukturalnego oznako-</w:t>
            </w:r>
            <w:proofErr w:type="spellStart"/>
            <w:r w:rsidRPr="007B192E">
              <w:rPr>
                <w:rFonts w:ascii="Arial" w:hAnsi="Arial" w:cs="Arial"/>
                <w:color w:val="000000" w:themeColor="text1"/>
                <w:sz w:val="18"/>
                <w:szCs w:val="18"/>
              </w:rPr>
              <w:t>wania</w:t>
            </w:r>
            <w:proofErr w:type="spellEnd"/>
            <w:r w:rsidRPr="007B192E">
              <w:rPr>
                <w:rFonts w:ascii="Arial" w:hAnsi="Arial" w:cs="Arial"/>
                <w:color w:val="000000" w:themeColor="text1"/>
                <w:sz w:val="18"/>
                <w:szCs w:val="18"/>
              </w:rPr>
              <w:t xml:space="preserve"> wilgotnego od 14 do 30 dnia po wykonaniu,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268A8D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642302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50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2E35D86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RW3</w:t>
            </w:r>
          </w:p>
        </w:tc>
      </w:tr>
      <w:tr w:rsidR="004D7D23" w:rsidRPr="007B192E" w14:paraId="7912F4DD"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3AA923EE" w14:textId="77777777" w:rsidR="00F45500" w:rsidRPr="007B192E"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05D440D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Współczynnik odblasku R</w:t>
            </w:r>
            <w:r w:rsidRPr="007B192E">
              <w:rPr>
                <w:rFonts w:ascii="Arial" w:hAnsi="Arial" w:cs="Arial"/>
                <w:color w:val="000000" w:themeColor="text1"/>
                <w:sz w:val="18"/>
                <w:szCs w:val="18"/>
                <w:vertAlign w:val="subscript"/>
              </w:rPr>
              <w:t>L</w:t>
            </w:r>
            <w:r w:rsidRPr="007B192E">
              <w:rPr>
                <w:rFonts w:ascii="Arial" w:hAnsi="Arial" w:cs="Arial"/>
                <w:color w:val="000000" w:themeColor="text1"/>
                <w:sz w:val="18"/>
                <w:szCs w:val="18"/>
              </w:rPr>
              <w:t xml:space="preserve"> dla grubowarstwowego strukturalnego oznako-</w:t>
            </w:r>
            <w:proofErr w:type="spellStart"/>
            <w:r w:rsidRPr="007B192E">
              <w:rPr>
                <w:rFonts w:ascii="Arial" w:hAnsi="Arial" w:cs="Arial"/>
                <w:color w:val="000000" w:themeColor="text1"/>
                <w:sz w:val="18"/>
                <w:szCs w:val="18"/>
              </w:rPr>
              <w:t>wania</w:t>
            </w:r>
            <w:proofErr w:type="spellEnd"/>
            <w:r w:rsidRPr="007B192E">
              <w:rPr>
                <w:rFonts w:ascii="Arial" w:hAnsi="Arial" w:cs="Arial"/>
                <w:color w:val="000000" w:themeColor="text1"/>
                <w:sz w:val="18"/>
                <w:szCs w:val="18"/>
              </w:rPr>
              <w:t xml:space="preserve"> wilgotnego po 30 dniu od wykonania, barwy białej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AC8811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vAlign w:val="center"/>
          </w:tcPr>
          <w:p w14:paraId="390C913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35</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vAlign w:val="center"/>
          </w:tcPr>
          <w:p w14:paraId="322CBB1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RW2</w:t>
            </w:r>
          </w:p>
        </w:tc>
      </w:tr>
      <w:tr w:rsidR="004D7D23" w:rsidRPr="007B192E" w14:paraId="5CEC507E"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6748BE5D" w14:textId="77777777" w:rsidR="00F45500" w:rsidRPr="007B192E"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6CBBEE3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Współczynnik luminancji </w:t>
            </w:r>
            <w:r w:rsidRPr="007B192E">
              <w:rPr>
                <w:rFonts w:ascii="Arial" w:hAnsi="Arial" w:cs="Arial"/>
                <w:color w:val="000000" w:themeColor="text1"/>
                <w:sz w:val="18"/>
                <w:szCs w:val="18"/>
              </w:rPr>
              <w:t xml:space="preserve"> dla </w:t>
            </w:r>
            <w:proofErr w:type="spellStart"/>
            <w:r w:rsidRPr="007B192E">
              <w:rPr>
                <w:rFonts w:ascii="Arial" w:hAnsi="Arial" w:cs="Arial"/>
                <w:color w:val="000000" w:themeColor="text1"/>
                <w:sz w:val="18"/>
                <w:szCs w:val="18"/>
              </w:rPr>
              <w:t>oznakowa-nia</w:t>
            </w:r>
            <w:proofErr w:type="spellEnd"/>
            <w:r w:rsidRPr="007B192E">
              <w:rPr>
                <w:rFonts w:ascii="Arial" w:hAnsi="Arial" w:cs="Arial"/>
                <w:color w:val="000000" w:themeColor="text1"/>
                <w:sz w:val="18"/>
                <w:szCs w:val="18"/>
              </w:rPr>
              <w:t xml:space="preserve"> nowego (od 14 do 30 dnia po wykonaniu)  barwy:</w:t>
            </w:r>
          </w:p>
          <w:p w14:paraId="00ADCA09" w14:textId="77777777" w:rsidR="00F45500" w:rsidRPr="007B192E" w:rsidRDefault="00F45500" w:rsidP="00F45500">
            <w:pPr>
              <w:numPr>
                <w:ilvl w:val="0"/>
                <w:numId w:val="64"/>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 na nawierzchni asfaltowej,</w:t>
            </w:r>
          </w:p>
          <w:p w14:paraId="262C750B" w14:textId="77777777" w:rsidR="00F45500" w:rsidRPr="007B192E" w:rsidRDefault="00F45500" w:rsidP="00F45500">
            <w:pPr>
              <w:numPr>
                <w:ilvl w:val="0"/>
                <w:numId w:val="64"/>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 na nawierzchni betonowej,</w:t>
            </w:r>
          </w:p>
          <w:p w14:paraId="1292DC33" w14:textId="77777777" w:rsidR="00F45500" w:rsidRPr="007B192E" w:rsidRDefault="00F45500" w:rsidP="00F45500">
            <w:pPr>
              <w:numPr>
                <w:ilvl w:val="0"/>
                <w:numId w:val="64"/>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27164E28" w14:textId="77777777" w:rsidR="00F45500" w:rsidRPr="007B192E" w:rsidRDefault="00F45500" w:rsidP="008F7A94">
            <w:pPr>
              <w:snapToGrid w:val="0"/>
              <w:jc w:val="both"/>
              <w:rPr>
                <w:rFonts w:ascii="Arial" w:hAnsi="Arial" w:cs="Arial"/>
                <w:color w:val="000000" w:themeColor="text1"/>
                <w:sz w:val="18"/>
                <w:szCs w:val="18"/>
              </w:rPr>
            </w:pPr>
          </w:p>
          <w:p w14:paraId="1DC12A84" w14:textId="77777777" w:rsidR="00F45500" w:rsidRPr="007B192E" w:rsidRDefault="00F45500" w:rsidP="008F7A94">
            <w:pPr>
              <w:jc w:val="both"/>
              <w:rPr>
                <w:rFonts w:ascii="Arial" w:hAnsi="Arial" w:cs="Arial"/>
                <w:color w:val="000000" w:themeColor="text1"/>
                <w:sz w:val="18"/>
                <w:szCs w:val="18"/>
              </w:rPr>
            </w:pPr>
          </w:p>
          <w:p w14:paraId="1688BAD9" w14:textId="77777777" w:rsidR="00F45500" w:rsidRPr="007B192E" w:rsidRDefault="00F45500" w:rsidP="008F7A94">
            <w:pPr>
              <w:jc w:val="both"/>
              <w:rPr>
                <w:rFonts w:ascii="Arial" w:hAnsi="Arial" w:cs="Arial"/>
                <w:color w:val="000000" w:themeColor="text1"/>
                <w:sz w:val="18"/>
                <w:szCs w:val="18"/>
              </w:rPr>
            </w:pPr>
          </w:p>
          <w:p w14:paraId="1674CB1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p w14:paraId="19A039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p w14:paraId="32B80FC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5A413145" w14:textId="77777777" w:rsidR="00F45500" w:rsidRPr="007B192E" w:rsidRDefault="00F45500" w:rsidP="008F7A94">
            <w:pPr>
              <w:snapToGrid w:val="0"/>
              <w:jc w:val="both"/>
              <w:rPr>
                <w:rFonts w:ascii="Arial" w:hAnsi="Arial" w:cs="Arial"/>
                <w:color w:val="000000" w:themeColor="text1"/>
                <w:sz w:val="18"/>
                <w:szCs w:val="18"/>
              </w:rPr>
            </w:pPr>
          </w:p>
          <w:p w14:paraId="120C1792" w14:textId="77777777" w:rsidR="00F45500" w:rsidRPr="007B192E" w:rsidRDefault="00F45500" w:rsidP="008F7A94">
            <w:pPr>
              <w:jc w:val="both"/>
              <w:rPr>
                <w:rFonts w:ascii="Arial" w:hAnsi="Arial" w:cs="Arial"/>
                <w:color w:val="000000" w:themeColor="text1"/>
                <w:sz w:val="18"/>
                <w:szCs w:val="18"/>
              </w:rPr>
            </w:pPr>
          </w:p>
          <w:p w14:paraId="74F1029E" w14:textId="77777777" w:rsidR="00F45500" w:rsidRPr="007B192E" w:rsidRDefault="00F45500" w:rsidP="008F7A94">
            <w:pPr>
              <w:jc w:val="both"/>
              <w:rPr>
                <w:rFonts w:ascii="Arial" w:hAnsi="Arial" w:cs="Arial"/>
                <w:color w:val="000000" w:themeColor="text1"/>
                <w:sz w:val="18"/>
                <w:szCs w:val="18"/>
              </w:rPr>
            </w:pPr>
          </w:p>
          <w:p w14:paraId="5CFE6B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0,40</w:t>
            </w:r>
          </w:p>
          <w:p w14:paraId="277489B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0,50</w:t>
            </w:r>
          </w:p>
          <w:p w14:paraId="3CD3CCC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0,30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462E673" w14:textId="77777777" w:rsidR="00F45500" w:rsidRPr="007B192E" w:rsidRDefault="00F45500" w:rsidP="008F7A94">
            <w:pPr>
              <w:snapToGrid w:val="0"/>
              <w:jc w:val="both"/>
              <w:rPr>
                <w:rFonts w:ascii="Arial" w:hAnsi="Arial" w:cs="Arial"/>
                <w:color w:val="000000" w:themeColor="text1"/>
                <w:sz w:val="18"/>
                <w:szCs w:val="18"/>
              </w:rPr>
            </w:pPr>
          </w:p>
          <w:p w14:paraId="012F978F" w14:textId="77777777" w:rsidR="00F45500" w:rsidRPr="007B192E" w:rsidRDefault="00F45500" w:rsidP="008F7A94">
            <w:pPr>
              <w:jc w:val="both"/>
              <w:rPr>
                <w:rFonts w:ascii="Arial" w:hAnsi="Arial" w:cs="Arial"/>
                <w:color w:val="000000" w:themeColor="text1"/>
                <w:sz w:val="18"/>
                <w:szCs w:val="18"/>
              </w:rPr>
            </w:pPr>
          </w:p>
          <w:p w14:paraId="19D5EAE5" w14:textId="77777777" w:rsidR="00F45500" w:rsidRPr="007B192E" w:rsidRDefault="00F45500" w:rsidP="008F7A94">
            <w:pPr>
              <w:jc w:val="both"/>
              <w:rPr>
                <w:rFonts w:ascii="Arial" w:hAnsi="Arial" w:cs="Arial"/>
                <w:color w:val="000000" w:themeColor="text1"/>
                <w:sz w:val="18"/>
                <w:szCs w:val="18"/>
              </w:rPr>
            </w:pPr>
          </w:p>
          <w:p w14:paraId="3EA1118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B3</w:t>
            </w:r>
          </w:p>
          <w:p w14:paraId="442A788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B4</w:t>
            </w:r>
          </w:p>
          <w:p w14:paraId="2C5F3E7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B2</w:t>
            </w:r>
          </w:p>
        </w:tc>
      </w:tr>
      <w:tr w:rsidR="004D7D23" w:rsidRPr="007B192E" w14:paraId="543523D1"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70D8D5E0" w14:textId="77777777" w:rsidR="00F45500" w:rsidRPr="007B192E"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4991E5F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Współczynnik luminancji </w:t>
            </w:r>
            <w:r w:rsidRPr="007B192E">
              <w:rPr>
                <w:rFonts w:ascii="Arial" w:hAnsi="Arial" w:cs="Arial"/>
                <w:color w:val="000000" w:themeColor="text1"/>
                <w:sz w:val="18"/>
                <w:szCs w:val="18"/>
              </w:rPr>
              <w:t xml:space="preserve"> dla </w:t>
            </w:r>
            <w:proofErr w:type="spellStart"/>
            <w:r w:rsidRPr="007B192E">
              <w:rPr>
                <w:rFonts w:ascii="Arial" w:hAnsi="Arial" w:cs="Arial"/>
                <w:color w:val="000000" w:themeColor="text1"/>
                <w:sz w:val="18"/>
                <w:szCs w:val="18"/>
              </w:rPr>
              <w:t>oznakowa-nia</w:t>
            </w:r>
            <w:proofErr w:type="spellEnd"/>
            <w:r w:rsidRPr="007B192E">
              <w:rPr>
                <w:rFonts w:ascii="Arial" w:hAnsi="Arial" w:cs="Arial"/>
                <w:color w:val="000000" w:themeColor="text1"/>
                <w:sz w:val="18"/>
                <w:szCs w:val="18"/>
              </w:rPr>
              <w:t xml:space="preserve"> eksploatowanego (po 30 dniu od wykonania) barwy:</w:t>
            </w:r>
          </w:p>
          <w:p w14:paraId="7D30FF3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białej</w:t>
            </w:r>
          </w:p>
          <w:p w14:paraId="5BBCA951" w14:textId="77777777" w:rsidR="00F45500" w:rsidRPr="007B192E" w:rsidRDefault="00F45500" w:rsidP="008F7A94">
            <w:pPr>
              <w:suppressLineNumbers/>
              <w:jc w:val="both"/>
              <w:rPr>
                <w:rFonts w:ascii="Arial" w:hAnsi="Arial" w:cs="Arial"/>
                <w:color w:val="000000" w:themeColor="text1"/>
                <w:sz w:val="18"/>
                <w:szCs w:val="18"/>
              </w:rPr>
            </w:pPr>
            <w:r w:rsidRPr="007B192E">
              <w:rPr>
                <w:rFonts w:ascii="Arial" w:hAnsi="Arial" w:cs="Arial"/>
                <w:color w:val="000000" w:themeColor="text1"/>
                <w:sz w:val="18"/>
                <w:szCs w:val="18"/>
              </w:rPr>
              <w:t>- 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6FB86077" w14:textId="77777777" w:rsidR="00F45500" w:rsidRPr="007B192E" w:rsidRDefault="00F45500" w:rsidP="008F7A94">
            <w:pPr>
              <w:snapToGrid w:val="0"/>
              <w:jc w:val="both"/>
              <w:rPr>
                <w:rFonts w:ascii="Arial" w:hAnsi="Arial" w:cs="Arial"/>
                <w:color w:val="000000" w:themeColor="text1"/>
                <w:sz w:val="18"/>
                <w:szCs w:val="18"/>
              </w:rPr>
            </w:pPr>
          </w:p>
          <w:p w14:paraId="0F599F7B" w14:textId="77777777" w:rsidR="00F45500" w:rsidRPr="007B192E" w:rsidRDefault="00F45500" w:rsidP="008F7A94">
            <w:pPr>
              <w:jc w:val="both"/>
              <w:rPr>
                <w:rFonts w:ascii="Arial" w:hAnsi="Arial" w:cs="Arial"/>
                <w:color w:val="000000" w:themeColor="text1"/>
                <w:sz w:val="18"/>
                <w:szCs w:val="18"/>
              </w:rPr>
            </w:pPr>
          </w:p>
          <w:p w14:paraId="7C47FB09" w14:textId="77777777" w:rsidR="00F45500" w:rsidRPr="007B192E" w:rsidRDefault="00F45500" w:rsidP="008F7A94">
            <w:pPr>
              <w:jc w:val="both"/>
              <w:rPr>
                <w:rFonts w:ascii="Arial" w:hAnsi="Arial" w:cs="Arial"/>
                <w:color w:val="000000" w:themeColor="text1"/>
                <w:sz w:val="18"/>
                <w:szCs w:val="18"/>
              </w:rPr>
            </w:pPr>
          </w:p>
          <w:p w14:paraId="707681C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p w14:paraId="0D5E874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7E78F86C" w14:textId="77777777" w:rsidR="00F45500" w:rsidRPr="007B192E" w:rsidRDefault="00F45500" w:rsidP="008F7A94">
            <w:pPr>
              <w:snapToGrid w:val="0"/>
              <w:jc w:val="both"/>
              <w:rPr>
                <w:rFonts w:ascii="Arial" w:hAnsi="Arial" w:cs="Arial"/>
                <w:color w:val="000000" w:themeColor="text1"/>
                <w:sz w:val="18"/>
                <w:szCs w:val="18"/>
              </w:rPr>
            </w:pPr>
          </w:p>
          <w:p w14:paraId="01DF3F93" w14:textId="77777777" w:rsidR="00F45500" w:rsidRPr="007B192E" w:rsidRDefault="00F45500" w:rsidP="008F7A94">
            <w:pPr>
              <w:jc w:val="both"/>
              <w:rPr>
                <w:rFonts w:ascii="Arial" w:hAnsi="Arial" w:cs="Arial"/>
                <w:color w:val="000000" w:themeColor="text1"/>
                <w:sz w:val="18"/>
                <w:szCs w:val="18"/>
              </w:rPr>
            </w:pPr>
          </w:p>
          <w:p w14:paraId="6C969316" w14:textId="77777777" w:rsidR="00F45500" w:rsidRPr="007B192E" w:rsidRDefault="00F45500" w:rsidP="008F7A94">
            <w:pPr>
              <w:jc w:val="both"/>
              <w:rPr>
                <w:rFonts w:ascii="Arial" w:hAnsi="Arial" w:cs="Arial"/>
                <w:color w:val="000000" w:themeColor="text1"/>
                <w:sz w:val="18"/>
                <w:szCs w:val="18"/>
              </w:rPr>
            </w:pPr>
          </w:p>
          <w:p w14:paraId="6795A50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0,30</w:t>
            </w:r>
          </w:p>
          <w:p w14:paraId="72E9265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0,20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57153F6" w14:textId="77777777" w:rsidR="00F45500" w:rsidRPr="007B192E" w:rsidRDefault="00F45500" w:rsidP="008F7A94">
            <w:pPr>
              <w:snapToGrid w:val="0"/>
              <w:jc w:val="both"/>
              <w:rPr>
                <w:rFonts w:ascii="Arial" w:hAnsi="Arial" w:cs="Arial"/>
                <w:color w:val="000000" w:themeColor="text1"/>
                <w:sz w:val="18"/>
                <w:szCs w:val="18"/>
              </w:rPr>
            </w:pPr>
          </w:p>
          <w:p w14:paraId="17AEFB95" w14:textId="77777777" w:rsidR="00F45500" w:rsidRPr="007B192E" w:rsidRDefault="00F45500" w:rsidP="008F7A94">
            <w:pPr>
              <w:jc w:val="both"/>
              <w:rPr>
                <w:rFonts w:ascii="Arial" w:hAnsi="Arial" w:cs="Arial"/>
                <w:color w:val="000000" w:themeColor="text1"/>
                <w:sz w:val="18"/>
                <w:szCs w:val="18"/>
              </w:rPr>
            </w:pPr>
          </w:p>
          <w:p w14:paraId="2EF6364E" w14:textId="77777777" w:rsidR="00F45500" w:rsidRPr="007B192E" w:rsidRDefault="00F45500" w:rsidP="008F7A94">
            <w:pPr>
              <w:jc w:val="both"/>
              <w:rPr>
                <w:rFonts w:ascii="Arial" w:hAnsi="Arial" w:cs="Arial"/>
                <w:color w:val="000000" w:themeColor="text1"/>
                <w:sz w:val="18"/>
                <w:szCs w:val="18"/>
              </w:rPr>
            </w:pPr>
          </w:p>
          <w:p w14:paraId="368E2A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B2</w:t>
            </w:r>
          </w:p>
          <w:p w14:paraId="070134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B1</w:t>
            </w:r>
          </w:p>
        </w:tc>
      </w:tr>
      <w:tr w:rsidR="004D7D23" w:rsidRPr="007B192E" w14:paraId="5A51BEE4"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15ABE2C5" w14:textId="77777777" w:rsidR="00F45500" w:rsidRPr="007B192E"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7E274AD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Współczynnik luminancji w świetle rozproszonym </w:t>
            </w:r>
            <w:proofErr w:type="spellStart"/>
            <w:r w:rsidRPr="007B192E">
              <w:rPr>
                <w:rFonts w:ascii="Arial" w:hAnsi="Arial" w:cs="Arial"/>
                <w:color w:val="000000" w:themeColor="text1"/>
                <w:sz w:val="18"/>
                <w:szCs w:val="18"/>
              </w:rPr>
              <w:t>Qd</w:t>
            </w:r>
            <w:proofErr w:type="spellEnd"/>
            <w:r w:rsidRPr="007B192E">
              <w:rPr>
                <w:rFonts w:ascii="Arial" w:hAnsi="Arial" w:cs="Arial"/>
                <w:color w:val="000000" w:themeColor="text1"/>
                <w:sz w:val="18"/>
                <w:szCs w:val="18"/>
              </w:rPr>
              <w:t xml:space="preserve"> (alternatywnie do </w:t>
            </w:r>
            <w:r w:rsidRPr="007B192E">
              <w:rPr>
                <w:rFonts w:ascii="Arial" w:hAnsi="Arial" w:cs="Arial"/>
                <w:color w:val="000000" w:themeColor="text1"/>
                <w:sz w:val="18"/>
                <w:szCs w:val="18"/>
              </w:rPr>
              <w:t>) dla oznakowania nowego w ciągu od 14 do 30  dnia po wykonaniu, barwy:</w:t>
            </w:r>
          </w:p>
          <w:p w14:paraId="44704CC4" w14:textId="77777777" w:rsidR="00F45500" w:rsidRPr="007B192E" w:rsidRDefault="00F45500" w:rsidP="00F45500">
            <w:pPr>
              <w:numPr>
                <w:ilvl w:val="0"/>
                <w:numId w:val="70"/>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 na nawierzchni asfaltowej</w:t>
            </w:r>
          </w:p>
          <w:p w14:paraId="233DC981" w14:textId="77777777" w:rsidR="00F45500" w:rsidRPr="007B192E" w:rsidRDefault="00F45500" w:rsidP="00F45500">
            <w:pPr>
              <w:numPr>
                <w:ilvl w:val="0"/>
                <w:numId w:val="70"/>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 na nawierzchni betonowej</w:t>
            </w:r>
          </w:p>
          <w:p w14:paraId="14682C96" w14:textId="77777777" w:rsidR="00F45500" w:rsidRPr="007B192E" w:rsidRDefault="00F45500" w:rsidP="00F45500">
            <w:pPr>
              <w:numPr>
                <w:ilvl w:val="0"/>
                <w:numId w:val="70"/>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7B833E58" w14:textId="77777777" w:rsidR="00F45500" w:rsidRPr="007B192E" w:rsidRDefault="00F45500" w:rsidP="008F7A94">
            <w:pPr>
              <w:snapToGrid w:val="0"/>
              <w:jc w:val="both"/>
              <w:rPr>
                <w:rFonts w:ascii="Arial" w:hAnsi="Arial" w:cs="Arial"/>
                <w:color w:val="000000" w:themeColor="text1"/>
                <w:sz w:val="18"/>
                <w:szCs w:val="18"/>
              </w:rPr>
            </w:pPr>
          </w:p>
          <w:p w14:paraId="74FBBD96" w14:textId="77777777" w:rsidR="00F45500" w:rsidRPr="007B192E" w:rsidRDefault="00F45500" w:rsidP="008F7A94">
            <w:pPr>
              <w:jc w:val="both"/>
              <w:rPr>
                <w:rFonts w:ascii="Arial" w:hAnsi="Arial" w:cs="Arial"/>
                <w:color w:val="000000" w:themeColor="text1"/>
                <w:sz w:val="18"/>
                <w:szCs w:val="18"/>
              </w:rPr>
            </w:pPr>
          </w:p>
          <w:p w14:paraId="78A51B00" w14:textId="77777777" w:rsidR="00F45500" w:rsidRPr="007B192E" w:rsidRDefault="00F45500" w:rsidP="008F7A94">
            <w:pPr>
              <w:jc w:val="both"/>
              <w:rPr>
                <w:rFonts w:ascii="Arial" w:hAnsi="Arial" w:cs="Arial"/>
                <w:color w:val="000000" w:themeColor="text1"/>
                <w:sz w:val="18"/>
                <w:szCs w:val="18"/>
              </w:rPr>
            </w:pPr>
          </w:p>
          <w:p w14:paraId="7109C469" w14:textId="77777777" w:rsidR="00F45500" w:rsidRPr="007B192E" w:rsidRDefault="00F45500" w:rsidP="008F7A94">
            <w:pPr>
              <w:jc w:val="both"/>
              <w:rPr>
                <w:rFonts w:ascii="Arial" w:hAnsi="Arial" w:cs="Arial"/>
                <w:color w:val="000000" w:themeColor="text1"/>
                <w:sz w:val="18"/>
                <w:szCs w:val="18"/>
              </w:rPr>
            </w:pPr>
          </w:p>
          <w:p w14:paraId="1EC0E24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p w14:paraId="68B4F0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p w14:paraId="0077142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734DF91B" w14:textId="77777777" w:rsidR="00F45500" w:rsidRPr="007B192E" w:rsidRDefault="00F45500" w:rsidP="008F7A94">
            <w:pPr>
              <w:snapToGrid w:val="0"/>
              <w:jc w:val="both"/>
              <w:rPr>
                <w:rFonts w:ascii="Arial" w:hAnsi="Arial" w:cs="Arial"/>
                <w:color w:val="000000" w:themeColor="text1"/>
                <w:sz w:val="18"/>
                <w:szCs w:val="18"/>
              </w:rPr>
            </w:pPr>
          </w:p>
          <w:p w14:paraId="115A7D32" w14:textId="77777777" w:rsidR="00F45500" w:rsidRPr="007B192E" w:rsidRDefault="00F45500" w:rsidP="008F7A94">
            <w:pPr>
              <w:jc w:val="both"/>
              <w:rPr>
                <w:rFonts w:ascii="Arial" w:hAnsi="Arial" w:cs="Arial"/>
                <w:color w:val="000000" w:themeColor="text1"/>
                <w:sz w:val="18"/>
                <w:szCs w:val="18"/>
              </w:rPr>
            </w:pPr>
          </w:p>
          <w:p w14:paraId="578193E5" w14:textId="77777777" w:rsidR="00F45500" w:rsidRPr="007B192E" w:rsidRDefault="00F45500" w:rsidP="008F7A94">
            <w:pPr>
              <w:jc w:val="both"/>
              <w:rPr>
                <w:rFonts w:ascii="Arial" w:hAnsi="Arial" w:cs="Arial"/>
                <w:color w:val="000000" w:themeColor="text1"/>
                <w:sz w:val="18"/>
                <w:szCs w:val="18"/>
              </w:rPr>
            </w:pPr>
          </w:p>
          <w:p w14:paraId="2113A2E4" w14:textId="77777777" w:rsidR="00F45500" w:rsidRPr="007B192E" w:rsidRDefault="00F45500" w:rsidP="008F7A94">
            <w:pPr>
              <w:jc w:val="both"/>
              <w:rPr>
                <w:rFonts w:ascii="Arial" w:hAnsi="Arial" w:cs="Arial"/>
                <w:color w:val="000000" w:themeColor="text1"/>
                <w:sz w:val="18"/>
                <w:szCs w:val="18"/>
              </w:rPr>
            </w:pPr>
          </w:p>
          <w:p w14:paraId="095CD17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130</w:t>
            </w:r>
          </w:p>
          <w:p w14:paraId="48DD2E8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160</w:t>
            </w:r>
          </w:p>
          <w:p w14:paraId="684FD36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100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596D0940" w14:textId="77777777" w:rsidR="00F45500" w:rsidRPr="007B192E" w:rsidRDefault="00F45500" w:rsidP="008F7A94">
            <w:pPr>
              <w:snapToGrid w:val="0"/>
              <w:jc w:val="both"/>
              <w:rPr>
                <w:rFonts w:ascii="Arial" w:hAnsi="Arial" w:cs="Arial"/>
                <w:color w:val="000000" w:themeColor="text1"/>
                <w:sz w:val="18"/>
                <w:szCs w:val="18"/>
              </w:rPr>
            </w:pPr>
          </w:p>
          <w:p w14:paraId="4708D45C" w14:textId="77777777" w:rsidR="00F45500" w:rsidRPr="007B192E" w:rsidRDefault="00F45500" w:rsidP="008F7A94">
            <w:pPr>
              <w:jc w:val="both"/>
              <w:rPr>
                <w:rFonts w:ascii="Arial" w:hAnsi="Arial" w:cs="Arial"/>
                <w:color w:val="000000" w:themeColor="text1"/>
                <w:sz w:val="18"/>
                <w:szCs w:val="18"/>
              </w:rPr>
            </w:pPr>
          </w:p>
          <w:p w14:paraId="38C7ADC8" w14:textId="77777777" w:rsidR="00F45500" w:rsidRPr="007B192E" w:rsidRDefault="00F45500" w:rsidP="008F7A94">
            <w:pPr>
              <w:jc w:val="both"/>
              <w:rPr>
                <w:rFonts w:ascii="Arial" w:hAnsi="Arial" w:cs="Arial"/>
                <w:color w:val="000000" w:themeColor="text1"/>
                <w:sz w:val="18"/>
                <w:szCs w:val="18"/>
              </w:rPr>
            </w:pPr>
          </w:p>
          <w:p w14:paraId="5F629BC2" w14:textId="77777777" w:rsidR="00F45500" w:rsidRPr="007B192E" w:rsidRDefault="00F45500" w:rsidP="008F7A94">
            <w:pPr>
              <w:jc w:val="both"/>
              <w:rPr>
                <w:rFonts w:ascii="Arial" w:hAnsi="Arial" w:cs="Arial"/>
                <w:color w:val="000000" w:themeColor="text1"/>
                <w:sz w:val="18"/>
                <w:szCs w:val="18"/>
              </w:rPr>
            </w:pPr>
          </w:p>
          <w:p w14:paraId="64FE53F7"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Q3</w:t>
            </w:r>
          </w:p>
          <w:p w14:paraId="0BE8198E"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Q4</w:t>
            </w:r>
          </w:p>
          <w:p w14:paraId="6229027F"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Q2</w:t>
            </w:r>
          </w:p>
        </w:tc>
      </w:tr>
      <w:tr w:rsidR="004D7D23" w:rsidRPr="007B192E" w14:paraId="4055EEAB"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0D151B3B" w14:textId="77777777" w:rsidR="00F45500" w:rsidRPr="007B192E"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lang w:val="en-US"/>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7DC2573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Współczynnik luminancji w świetle rozproszonym </w:t>
            </w:r>
            <w:proofErr w:type="spellStart"/>
            <w:r w:rsidRPr="007B192E">
              <w:rPr>
                <w:rFonts w:ascii="Arial" w:hAnsi="Arial" w:cs="Arial"/>
                <w:color w:val="000000" w:themeColor="text1"/>
                <w:sz w:val="18"/>
                <w:szCs w:val="18"/>
              </w:rPr>
              <w:t>Qd</w:t>
            </w:r>
            <w:proofErr w:type="spellEnd"/>
            <w:r w:rsidRPr="007B192E">
              <w:rPr>
                <w:rFonts w:ascii="Arial" w:hAnsi="Arial" w:cs="Arial"/>
                <w:color w:val="000000" w:themeColor="text1"/>
                <w:sz w:val="18"/>
                <w:szCs w:val="18"/>
              </w:rPr>
              <w:t xml:space="preserve"> (alternatywnie do </w:t>
            </w:r>
            <w:r w:rsidRPr="007B192E">
              <w:rPr>
                <w:rFonts w:ascii="Arial" w:hAnsi="Arial" w:cs="Arial"/>
                <w:color w:val="000000" w:themeColor="text1"/>
                <w:sz w:val="18"/>
                <w:szCs w:val="18"/>
              </w:rPr>
              <w:t>) dla oznakowania eksploatowanego w ciągu całego okresu eksploatacji po 30 dniu od wykonania,  barwy:</w:t>
            </w:r>
          </w:p>
          <w:p w14:paraId="239895F9" w14:textId="77777777" w:rsidR="00F45500" w:rsidRPr="007B192E" w:rsidRDefault="00F45500" w:rsidP="00F45500">
            <w:pPr>
              <w:numPr>
                <w:ilvl w:val="0"/>
                <w:numId w:val="98"/>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 na nawierzchni asfaltowej</w:t>
            </w:r>
          </w:p>
          <w:p w14:paraId="2FBE45E7" w14:textId="77777777" w:rsidR="00F45500" w:rsidRPr="007B192E" w:rsidRDefault="00F45500" w:rsidP="00F45500">
            <w:pPr>
              <w:numPr>
                <w:ilvl w:val="0"/>
                <w:numId w:val="98"/>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białej na nawierzchni betonowej</w:t>
            </w:r>
          </w:p>
          <w:p w14:paraId="318C7D98" w14:textId="77777777" w:rsidR="00F45500" w:rsidRPr="007B192E" w:rsidRDefault="00F45500" w:rsidP="00F45500">
            <w:pPr>
              <w:numPr>
                <w:ilvl w:val="0"/>
                <w:numId w:val="98"/>
              </w:numPr>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żółtej</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75BAFF6A" w14:textId="77777777" w:rsidR="00F45500" w:rsidRPr="007B192E" w:rsidRDefault="00F45500" w:rsidP="008F7A94">
            <w:pPr>
              <w:snapToGrid w:val="0"/>
              <w:jc w:val="both"/>
              <w:rPr>
                <w:rFonts w:ascii="Arial" w:hAnsi="Arial" w:cs="Arial"/>
                <w:color w:val="000000" w:themeColor="text1"/>
                <w:sz w:val="18"/>
                <w:szCs w:val="18"/>
              </w:rPr>
            </w:pPr>
          </w:p>
          <w:p w14:paraId="21E5857D" w14:textId="77777777" w:rsidR="00F45500" w:rsidRPr="007B192E" w:rsidRDefault="00F45500" w:rsidP="008F7A94">
            <w:pPr>
              <w:jc w:val="both"/>
              <w:rPr>
                <w:rFonts w:ascii="Arial" w:hAnsi="Arial" w:cs="Arial"/>
                <w:color w:val="000000" w:themeColor="text1"/>
                <w:sz w:val="18"/>
                <w:szCs w:val="18"/>
              </w:rPr>
            </w:pPr>
          </w:p>
          <w:p w14:paraId="7D3EC92C" w14:textId="77777777" w:rsidR="00F45500" w:rsidRPr="007B192E" w:rsidRDefault="00F45500" w:rsidP="008F7A94">
            <w:pPr>
              <w:jc w:val="both"/>
              <w:rPr>
                <w:rFonts w:ascii="Arial" w:hAnsi="Arial" w:cs="Arial"/>
                <w:color w:val="000000" w:themeColor="text1"/>
                <w:sz w:val="18"/>
                <w:szCs w:val="18"/>
              </w:rPr>
            </w:pPr>
          </w:p>
          <w:p w14:paraId="6CB8A919" w14:textId="77777777" w:rsidR="00F45500" w:rsidRPr="007B192E" w:rsidRDefault="00F45500" w:rsidP="008F7A94">
            <w:pPr>
              <w:jc w:val="both"/>
              <w:rPr>
                <w:rFonts w:ascii="Arial" w:hAnsi="Arial" w:cs="Arial"/>
                <w:color w:val="000000" w:themeColor="text1"/>
                <w:sz w:val="18"/>
                <w:szCs w:val="18"/>
              </w:rPr>
            </w:pPr>
          </w:p>
          <w:p w14:paraId="033C17B3" w14:textId="77777777" w:rsidR="00F45500" w:rsidRPr="007B192E" w:rsidRDefault="00F45500" w:rsidP="008F7A94">
            <w:pPr>
              <w:jc w:val="both"/>
              <w:rPr>
                <w:rFonts w:ascii="Arial" w:hAnsi="Arial" w:cs="Arial"/>
                <w:color w:val="000000" w:themeColor="text1"/>
                <w:sz w:val="18"/>
                <w:szCs w:val="18"/>
              </w:rPr>
            </w:pPr>
          </w:p>
          <w:p w14:paraId="3365EBF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p w14:paraId="681B51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p w14:paraId="7B0FD7D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mcd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lx</w:t>
            </w:r>
            <w:r w:rsidRPr="007B192E">
              <w:rPr>
                <w:rFonts w:ascii="Arial" w:hAnsi="Arial" w:cs="Arial"/>
                <w:color w:val="000000" w:themeColor="text1"/>
                <w:sz w:val="18"/>
                <w:szCs w:val="18"/>
                <w:vertAlign w:val="superscript"/>
              </w:rPr>
              <w:t>-1</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29D8BFCE" w14:textId="77777777" w:rsidR="00F45500" w:rsidRPr="007B192E" w:rsidRDefault="00F45500" w:rsidP="008F7A94">
            <w:pPr>
              <w:snapToGrid w:val="0"/>
              <w:jc w:val="both"/>
              <w:rPr>
                <w:rFonts w:ascii="Arial" w:hAnsi="Arial" w:cs="Arial"/>
                <w:color w:val="000000" w:themeColor="text1"/>
                <w:sz w:val="18"/>
                <w:szCs w:val="18"/>
              </w:rPr>
            </w:pPr>
          </w:p>
          <w:p w14:paraId="7B43142E" w14:textId="77777777" w:rsidR="00F45500" w:rsidRPr="007B192E" w:rsidRDefault="00F45500" w:rsidP="008F7A94">
            <w:pPr>
              <w:jc w:val="both"/>
              <w:rPr>
                <w:rFonts w:ascii="Arial" w:hAnsi="Arial" w:cs="Arial"/>
                <w:color w:val="000000" w:themeColor="text1"/>
                <w:sz w:val="18"/>
                <w:szCs w:val="18"/>
              </w:rPr>
            </w:pPr>
          </w:p>
          <w:p w14:paraId="576A1A73" w14:textId="77777777" w:rsidR="00F45500" w:rsidRPr="007B192E" w:rsidRDefault="00F45500" w:rsidP="008F7A94">
            <w:pPr>
              <w:jc w:val="both"/>
              <w:rPr>
                <w:rFonts w:ascii="Arial" w:hAnsi="Arial" w:cs="Arial"/>
                <w:color w:val="000000" w:themeColor="text1"/>
                <w:sz w:val="18"/>
                <w:szCs w:val="18"/>
              </w:rPr>
            </w:pPr>
          </w:p>
          <w:p w14:paraId="1C85A3CB" w14:textId="77777777" w:rsidR="00F45500" w:rsidRPr="007B192E" w:rsidRDefault="00F45500" w:rsidP="008F7A94">
            <w:pPr>
              <w:jc w:val="both"/>
              <w:rPr>
                <w:rFonts w:ascii="Arial" w:hAnsi="Arial" w:cs="Arial"/>
                <w:color w:val="000000" w:themeColor="text1"/>
                <w:sz w:val="18"/>
                <w:szCs w:val="18"/>
              </w:rPr>
            </w:pPr>
          </w:p>
          <w:p w14:paraId="4DE95971" w14:textId="77777777" w:rsidR="00F45500" w:rsidRPr="007B192E" w:rsidRDefault="00F45500" w:rsidP="008F7A94">
            <w:pPr>
              <w:jc w:val="both"/>
              <w:rPr>
                <w:rFonts w:ascii="Arial" w:hAnsi="Arial" w:cs="Arial"/>
                <w:color w:val="000000" w:themeColor="text1"/>
                <w:sz w:val="18"/>
                <w:szCs w:val="18"/>
              </w:rPr>
            </w:pPr>
          </w:p>
          <w:p w14:paraId="0C1934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100</w:t>
            </w:r>
          </w:p>
          <w:p w14:paraId="3E0C1DE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130</w:t>
            </w:r>
          </w:p>
          <w:p w14:paraId="71E4EB6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80</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7628CF19" w14:textId="77777777" w:rsidR="00F45500" w:rsidRPr="007B192E" w:rsidRDefault="00F45500" w:rsidP="008F7A94">
            <w:pPr>
              <w:snapToGrid w:val="0"/>
              <w:jc w:val="both"/>
              <w:rPr>
                <w:rFonts w:ascii="Arial" w:hAnsi="Arial" w:cs="Arial"/>
                <w:color w:val="000000" w:themeColor="text1"/>
                <w:sz w:val="18"/>
                <w:szCs w:val="18"/>
              </w:rPr>
            </w:pPr>
          </w:p>
          <w:p w14:paraId="169DE0E7" w14:textId="77777777" w:rsidR="00F45500" w:rsidRPr="007B192E" w:rsidRDefault="00F45500" w:rsidP="008F7A94">
            <w:pPr>
              <w:jc w:val="both"/>
              <w:rPr>
                <w:rFonts w:ascii="Arial" w:hAnsi="Arial" w:cs="Arial"/>
                <w:color w:val="000000" w:themeColor="text1"/>
                <w:sz w:val="18"/>
                <w:szCs w:val="18"/>
              </w:rPr>
            </w:pPr>
          </w:p>
          <w:p w14:paraId="41C9CA45" w14:textId="77777777" w:rsidR="00F45500" w:rsidRPr="007B192E" w:rsidRDefault="00F45500" w:rsidP="008F7A94">
            <w:pPr>
              <w:jc w:val="both"/>
              <w:rPr>
                <w:rFonts w:ascii="Arial" w:hAnsi="Arial" w:cs="Arial"/>
                <w:color w:val="000000" w:themeColor="text1"/>
                <w:sz w:val="18"/>
                <w:szCs w:val="18"/>
              </w:rPr>
            </w:pPr>
          </w:p>
          <w:p w14:paraId="7561966D" w14:textId="77777777" w:rsidR="00F45500" w:rsidRPr="007B192E" w:rsidRDefault="00F45500" w:rsidP="008F7A94">
            <w:pPr>
              <w:jc w:val="both"/>
              <w:rPr>
                <w:rFonts w:ascii="Arial" w:hAnsi="Arial" w:cs="Arial"/>
                <w:color w:val="000000" w:themeColor="text1"/>
                <w:sz w:val="18"/>
                <w:szCs w:val="18"/>
              </w:rPr>
            </w:pPr>
          </w:p>
          <w:p w14:paraId="3BD4B9E0" w14:textId="77777777" w:rsidR="00F45500" w:rsidRPr="007B192E" w:rsidRDefault="00F45500" w:rsidP="008F7A94">
            <w:pPr>
              <w:jc w:val="both"/>
              <w:rPr>
                <w:rFonts w:ascii="Arial" w:hAnsi="Arial" w:cs="Arial"/>
                <w:color w:val="000000" w:themeColor="text1"/>
                <w:sz w:val="18"/>
                <w:szCs w:val="18"/>
                <w:lang w:val="en-US"/>
              </w:rPr>
            </w:pPr>
          </w:p>
          <w:p w14:paraId="6AEB9DF7"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Q2</w:t>
            </w:r>
          </w:p>
          <w:p w14:paraId="6C17F388"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Q3</w:t>
            </w:r>
          </w:p>
          <w:p w14:paraId="6DE68A56"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Q1</w:t>
            </w:r>
          </w:p>
        </w:tc>
      </w:tr>
      <w:tr w:rsidR="004D7D23" w:rsidRPr="007B192E" w14:paraId="656712D1"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3BB1DF7A" w14:textId="77777777" w:rsidR="00F45500" w:rsidRPr="007B192E" w:rsidRDefault="00F45500" w:rsidP="00F45500">
            <w:pPr>
              <w:numPr>
                <w:ilvl w:val="0"/>
                <w:numId w:val="184"/>
              </w:numPr>
              <w:tabs>
                <w:tab w:val="left" w:pos="474"/>
              </w:tabs>
              <w:overflowPunct/>
              <w:autoSpaceDE/>
              <w:autoSpaceDN w:val="0"/>
              <w:snapToGrid w:val="0"/>
              <w:ind w:left="57"/>
              <w:jc w:val="both"/>
              <w:rPr>
                <w:rFonts w:ascii="Arial" w:hAnsi="Arial" w:cs="Arial"/>
                <w:color w:val="000000" w:themeColor="text1"/>
                <w:sz w:val="18"/>
                <w:szCs w:val="18"/>
                <w:lang w:val="en-US"/>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31D71E7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Szorstkość oznakowania eksploatowanego</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24B9931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wskaźnik</w:t>
            </w:r>
          </w:p>
          <w:p w14:paraId="7E4C2E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SRT</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4BAC1B5B" w14:textId="77777777" w:rsidR="00F45500" w:rsidRPr="007B192E" w:rsidRDefault="00F45500" w:rsidP="008F7A94">
            <w:pPr>
              <w:snapToGrid w:val="0"/>
              <w:jc w:val="both"/>
              <w:rPr>
                <w:rFonts w:ascii="Arial" w:hAnsi="Arial" w:cs="Arial"/>
                <w:color w:val="000000" w:themeColor="text1"/>
                <w:sz w:val="18"/>
                <w:szCs w:val="18"/>
              </w:rPr>
            </w:pPr>
          </w:p>
          <w:p w14:paraId="24A2446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45</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0027152A" w14:textId="77777777" w:rsidR="00F45500" w:rsidRPr="007B192E" w:rsidRDefault="00F45500" w:rsidP="008F7A94">
            <w:pPr>
              <w:snapToGrid w:val="0"/>
              <w:jc w:val="both"/>
              <w:rPr>
                <w:rFonts w:ascii="Arial" w:hAnsi="Arial" w:cs="Arial"/>
                <w:color w:val="000000" w:themeColor="text1"/>
                <w:sz w:val="18"/>
                <w:szCs w:val="18"/>
              </w:rPr>
            </w:pPr>
          </w:p>
          <w:p w14:paraId="766395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S1</w:t>
            </w:r>
          </w:p>
        </w:tc>
      </w:tr>
      <w:tr w:rsidR="004D7D23" w:rsidRPr="007B192E" w14:paraId="5BBDA148"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3E49BCF5" w14:textId="77777777" w:rsidR="00F45500" w:rsidRPr="007B192E" w:rsidRDefault="00F45500" w:rsidP="00F45500">
            <w:pPr>
              <w:numPr>
                <w:ilvl w:val="0"/>
                <w:numId w:val="21"/>
              </w:numPr>
              <w:tabs>
                <w:tab w:val="clear" w:pos="0"/>
                <w:tab w:val="left" w:pos="474"/>
              </w:tabs>
              <w:overflowPunct/>
              <w:autoSpaceDE/>
              <w:autoSpaceDN w:val="0"/>
              <w:snapToGrid w:val="0"/>
              <w:jc w:val="both"/>
              <w:rPr>
                <w:rFonts w:ascii="Arial" w:hAnsi="Arial" w:cs="Arial"/>
                <w:color w:val="000000" w:themeColor="text1"/>
                <w:sz w:val="18"/>
                <w:szCs w:val="18"/>
              </w:rPr>
            </w:pP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2DE2E57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xml:space="preserve">Trwałość oznakowania </w:t>
            </w:r>
            <w:proofErr w:type="spellStart"/>
            <w:r w:rsidRPr="007B192E">
              <w:rPr>
                <w:rFonts w:ascii="Arial" w:hAnsi="Arial" w:cs="Arial"/>
                <w:color w:val="000000" w:themeColor="text1"/>
                <w:sz w:val="18"/>
                <w:szCs w:val="18"/>
              </w:rPr>
              <w:t>cienkowarstwo-wego</w:t>
            </w:r>
            <w:proofErr w:type="spellEnd"/>
            <w:r w:rsidRPr="007B192E">
              <w:rPr>
                <w:rFonts w:ascii="Arial" w:hAnsi="Arial" w:cs="Arial"/>
                <w:color w:val="000000" w:themeColor="text1"/>
                <w:sz w:val="18"/>
                <w:szCs w:val="18"/>
              </w:rPr>
              <w:t xml:space="preserve"> po 12 miesiącach:</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7489AD44" w14:textId="77777777" w:rsidR="00F45500" w:rsidRPr="007B192E" w:rsidRDefault="00F45500" w:rsidP="008F7A94">
            <w:pPr>
              <w:snapToGrid w:val="0"/>
              <w:jc w:val="both"/>
              <w:rPr>
                <w:rFonts w:ascii="Arial" w:hAnsi="Arial" w:cs="Arial"/>
                <w:color w:val="000000" w:themeColor="text1"/>
                <w:sz w:val="18"/>
                <w:szCs w:val="18"/>
              </w:rPr>
            </w:pPr>
          </w:p>
          <w:p w14:paraId="60C8FBE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skala LCPC</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19745324" w14:textId="77777777" w:rsidR="00F45500" w:rsidRPr="007B192E" w:rsidRDefault="00F45500" w:rsidP="008F7A94">
            <w:pPr>
              <w:snapToGrid w:val="0"/>
              <w:jc w:val="both"/>
              <w:rPr>
                <w:rFonts w:ascii="Arial" w:hAnsi="Arial" w:cs="Arial"/>
                <w:color w:val="000000" w:themeColor="text1"/>
                <w:sz w:val="18"/>
                <w:szCs w:val="18"/>
              </w:rPr>
            </w:pPr>
          </w:p>
          <w:p w14:paraId="1EA6427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6</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6B511736" w14:textId="77777777" w:rsidR="00F45500" w:rsidRPr="007B192E" w:rsidRDefault="00F45500" w:rsidP="008F7A94">
            <w:pPr>
              <w:snapToGrid w:val="0"/>
              <w:jc w:val="both"/>
              <w:rPr>
                <w:rFonts w:ascii="Arial" w:hAnsi="Arial" w:cs="Arial"/>
                <w:color w:val="000000" w:themeColor="text1"/>
                <w:sz w:val="18"/>
                <w:szCs w:val="18"/>
              </w:rPr>
            </w:pPr>
          </w:p>
          <w:p w14:paraId="20F46B1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r>
      <w:tr w:rsidR="00F45500" w:rsidRPr="007B192E" w14:paraId="5AC9AEE1" w14:textId="77777777" w:rsidTr="008F7A94">
        <w:trPr>
          <w:cantSplit/>
          <w:jc w:val="center"/>
        </w:trPr>
        <w:tc>
          <w:tcPr>
            <w:tcW w:w="495" w:type="dxa"/>
            <w:tcBorders>
              <w:top w:val="single" w:sz="4" w:space="0" w:color="000000"/>
              <w:left w:val="single" w:sz="4" w:space="0" w:color="000000"/>
              <w:bottom w:val="single" w:sz="4" w:space="0" w:color="000000"/>
            </w:tcBorders>
            <w:tcMar>
              <w:top w:w="0" w:type="dxa"/>
              <w:left w:w="70" w:type="dxa"/>
              <w:bottom w:w="0" w:type="dxa"/>
              <w:right w:w="70" w:type="dxa"/>
            </w:tcMar>
          </w:tcPr>
          <w:p w14:paraId="14E12305" w14:textId="77777777" w:rsidR="00F45500" w:rsidRPr="007B192E" w:rsidRDefault="00F45500" w:rsidP="00F45500">
            <w:pPr>
              <w:numPr>
                <w:ilvl w:val="0"/>
                <w:numId w:val="21"/>
              </w:numPr>
              <w:tabs>
                <w:tab w:val="clear" w:pos="0"/>
                <w:tab w:val="left" w:pos="474"/>
              </w:tabs>
              <w:overflowPunct/>
              <w:autoSpaceDE/>
              <w:autoSpaceDN w:val="0"/>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3685" w:type="dxa"/>
            <w:tcBorders>
              <w:top w:val="single" w:sz="4" w:space="0" w:color="000000"/>
              <w:left w:val="single" w:sz="4" w:space="0" w:color="000000"/>
              <w:bottom w:val="single" w:sz="4" w:space="0" w:color="000000"/>
            </w:tcBorders>
            <w:tcMar>
              <w:top w:w="0" w:type="dxa"/>
              <w:left w:w="70" w:type="dxa"/>
              <w:bottom w:w="0" w:type="dxa"/>
              <w:right w:w="70" w:type="dxa"/>
            </w:tcMar>
          </w:tcPr>
          <w:p w14:paraId="1C0944D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Czas schnięcia materiału na nawierzchni</w:t>
            </w:r>
          </w:p>
          <w:p w14:paraId="2AA1E323" w14:textId="77777777" w:rsidR="00F45500" w:rsidRPr="007B192E" w:rsidRDefault="00F45500" w:rsidP="00F45500">
            <w:pPr>
              <w:numPr>
                <w:ilvl w:val="0"/>
                <w:numId w:val="10"/>
              </w:numPr>
              <w:tabs>
                <w:tab w:val="clear" w:pos="709"/>
                <w:tab w:val="left" w:pos="-2835"/>
              </w:tabs>
              <w:overflowPunct/>
              <w:autoSpaceDE/>
              <w:autoSpaceDN w:val="0"/>
              <w:ind w:left="0" w:firstLine="0"/>
              <w:jc w:val="both"/>
              <w:rPr>
                <w:rFonts w:ascii="Arial" w:hAnsi="Arial" w:cs="Arial"/>
                <w:color w:val="000000" w:themeColor="text1"/>
                <w:sz w:val="18"/>
                <w:szCs w:val="18"/>
              </w:rPr>
            </w:pPr>
            <w:r w:rsidRPr="007B192E">
              <w:rPr>
                <w:rFonts w:ascii="Arial" w:hAnsi="Arial" w:cs="Arial"/>
                <w:color w:val="000000" w:themeColor="text1"/>
                <w:sz w:val="18"/>
                <w:szCs w:val="18"/>
              </w:rPr>
              <w:t>w dzień</w:t>
            </w:r>
          </w:p>
          <w:p w14:paraId="1F938E0F" w14:textId="77777777" w:rsidR="00F45500" w:rsidRPr="007B192E" w:rsidRDefault="00F45500" w:rsidP="00F45500">
            <w:pPr>
              <w:numPr>
                <w:ilvl w:val="0"/>
                <w:numId w:val="10"/>
              </w:numPr>
              <w:tabs>
                <w:tab w:val="clear" w:pos="709"/>
                <w:tab w:val="left" w:pos="-2835"/>
              </w:tabs>
              <w:overflowPunct/>
              <w:autoSpaceDE/>
              <w:autoSpaceDN w:val="0"/>
              <w:ind w:left="0" w:firstLine="0"/>
              <w:jc w:val="both"/>
              <w:rPr>
                <w:rFonts w:ascii="Arial" w:hAnsi="Arial" w:cs="Arial"/>
                <w:color w:val="000000" w:themeColor="text1"/>
                <w:sz w:val="18"/>
                <w:szCs w:val="18"/>
              </w:rPr>
            </w:pPr>
            <w:r w:rsidRPr="007B192E">
              <w:rPr>
                <w:rFonts w:ascii="Arial" w:hAnsi="Arial" w:cs="Arial"/>
                <w:color w:val="000000" w:themeColor="text1"/>
                <w:sz w:val="18"/>
                <w:szCs w:val="18"/>
              </w:rPr>
              <w:t>w nocy</w:t>
            </w:r>
          </w:p>
        </w:tc>
        <w:tc>
          <w:tcPr>
            <w:tcW w:w="1134" w:type="dxa"/>
            <w:tcBorders>
              <w:top w:val="single" w:sz="4" w:space="0" w:color="000000"/>
              <w:left w:val="single" w:sz="4" w:space="0" w:color="000000"/>
              <w:bottom w:val="single" w:sz="4" w:space="0" w:color="000000"/>
            </w:tcBorders>
            <w:tcMar>
              <w:top w:w="0" w:type="dxa"/>
              <w:left w:w="70" w:type="dxa"/>
              <w:bottom w:w="0" w:type="dxa"/>
              <w:right w:w="70" w:type="dxa"/>
            </w:tcMar>
          </w:tcPr>
          <w:p w14:paraId="7ABD8ED7" w14:textId="77777777" w:rsidR="00F45500" w:rsidRPr="007B192E" w:rsidRDefault="00F45500" w:rsidP="008F7A94">
            <w:pPr>
              <w:snapToGrid w:val="0"/>
              <w:jc w:val="both"/>
              <w:rPr>
                <w:rFonts w:ascii="Arial" w:hAnsi="Arial" w:cs="Arial"/>
                <w:color w:val="000000" w:themeColor="text1"/>
                <w:sz w:val="18"/>
                <w:szCs w:val="18"/>
              </w:rPr>
            </w:pPr>
          </w:p>
          <w:p w14:paraId="551DD3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h</w:t>
            </w:r>
          </w:p>
          <w:p w14:paraId="7449B56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h</w:t>
            </w:r>
          </w:p>
        </w:tc>
        <w:tc>
          <w:tcPr>
            <w:tcW w:w="1276" w:type="dxa"/>
            <w:tcBorders>
              <w:top w:val="single" w:sz="4" w:space="0" w:color="000000"/>
              <w:left w:val="single" w:sz="4" w:space="0" w:color="000000"/>
              <w:bottom w:val="single" w:sz="4" w:space="0" w:color="000000"/>
            </w:tcBorders>
            <w:tcMar>
              <w:top w:w="0" w:type="dxa"/>
              <w:left w:w="70" w:type="dxa"/>
              <w:bottom w:w="0" w:type="dxa"/>
              <w:right w:w="70" w:type="dxa"/>
            </w:tcMar>
          </w:tcPr>
          <w:p w14:paraId="4AC0B01E" w14:textId="77777777" w:rsidR="00F45500" w:rsidRPr="007B192E" w:rsidRDefault="00F45500" w:rsidP="008F7A94">
            <w:pPr>
              <w:snapToGrid w:val="0"/>
              <w:jc w:val="both"/>
              <w:rPr>
                <w:rFonts w:ascii="Arial" w:hAnsi="Arial" w:cs="Arial"/>
                <w:color w:val="000000" w:themeColor="text1"/>
                <w:sz w:val="18"/>
                <w:szCs w:val="18"/>
              </w:rPr>
            </w:pPr>
          </w:p>
          <w:p w14:paraId="5D3153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1</w:t>
            </w:r>
          </w:p>
          <w:p w14:paraId="4852BA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 2</w:t>
            </w:r>
          </w:p>
        </w:tc>
        <w:tc>
          <w:tcPr>
            <w:tcW w:w="939" w:type="dxa"/>
            <w:tcBorders>
              <w:top w:val="single" w:sz="4" w:space="0" w:color="000000"/>
              <w:left w:val="single" w:sz="4" w:space="0" w:color="000000"/>
              <w:bottom w:val="single" w:sz="4" w:space="0" w:color="000000"/>
              <w:right w:val="single" w:sz="4" w:space="0" w:color="000000"/>
            </w:tcBorders>
            <w:tcMar>
              <w:top w:w="0" w:type="dxa"/>
              <w:left w:w="70" w:type="dxa"/>
              <w:bottom w:w="0" w:type="dxa"/>
              <w:right w:w="70" w:type="dxa"/>
            </w:tcMar>
          </w:tcPr>
          <w:p w14:paraId="28BF1AF7" w14:textId="77777777" w:rsidR="00F45500" w:rsidRPr="007B192E" w:rsidRDefault="00F45500" w:rsidP="008F7A94">
            <w:pPr>
              <w:snapToGrid w:val="0"/>
              <w:jc w:val="both"/>
              <w:rPr>
                <w:rFonts w:ascii="Arial" w:hAnsi="Arial" w:cs="Arial"/>
                <w:color w:val="000000" w:themeColor="text1"/>
                <w:sz w:val="18"/>
                <w:szCs w:val="18"/>
              </w:rPr>
            </w:pPr>
          </w:p>
          <w:p w14:paraId="467A2BA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p w14:paraId="57EA83A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t>
            </w:r>
          </w:p>
        </w:tc>
      </w:tr>
    </w:tbl>
    <w:p w14:paraId="0646C855" w14:textId="77777777" w:rsidR="00F45500" w:rsidRPr="007B192E" w:rsidRDefault="00F45500" w:rsidP="00F45500">
      <w:pPr>
        <w:spacing w:before="120"/>
        <w:jc w:val="both"/>
        <w:rPr>
          <w:rFonts w:ascii="Arial" w:hAnsi="Arial" w:cs="Arial"/>
          <w:color w:val="000000" w:themeColor="text1"/>
          <w:sz w:val="18"/>
          <w:szCs w:val="18"/>
        </w:rPr>
      </w:pPr>
    </w:p>
    <w:p w14:paraId="64800924"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6.4. Tolerancje wymiarów oznakowania</w:t>
      </w:r>
    </w:p>
    <w:p w14:paraId="1EEBA6FC"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6.4.1. </w:t>
      </w:r>
      <w:r w:rsidRPr="007B192E">
        <w:rPr>
          <w:rFonts w:ascii="Arial" w:hAnsi="Arial" w:cs="Arial"/>
          <w:color w:val="000000" w:themeColor="text1"/>
          <w:sz w:val="18"/>
          <w:szCs w:val="18"/>
        </w:rPr>
        <w:t>Tolerancje nowo wykonanego oznakowania</w:t>
      </w:r>
    </w:p>
    <w:p w14:paraId="5171E385"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Tolerancje nowo wykonanego oznakowania poziomego, zgodnego z dokumentacją projektową i załącznikiem nr 2 do rozporządzenia Ministra Infrastruktury z 3.07.2003 r. [7], powinny odpowiadać następującym warunkom:</w:t>
      </w:r>
    </w:p>
    <w:p w14:paraId="19323438"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szerokość linii może różnić się od wymaganej o </w:t>
      </w:r>
      <w:r w:rsidRPr="007B192E">
        <w:rPr>
          <w:rFonts w:ascii="Arial" w:hAnsi="Arial" w:cs="Arial"/>
          <w:color w:val="000000" w:themeColor="text1"/>
          <w:sz w:val="18"/>
          <w:szCs w:val="18"/>
        </w:rPr>
        <w:t> 5 mm,</w:t>
      </w:r>
    </w:p>
    <w:p w14:paraId="360A0616"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długość linii może być mniejsza od wymaganej co najwyżej o 50 mm lub większa co najwyżej o 150 mm,</w:t>
      </w:r>
    </w:p>
    <w:p w14:paraId="3998473E"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dla linii przerywanych, długość cyklu składającego się z linii i przerwy nie może odbiegać od średniej liczonej z 10 kolejnych cykli o więcej niż </w:t>
      </w:r>
      <w:r w:rsidRPr="007B192E">
        <w:rPr>
          <w:rFonts w:ascii="Arial" w:hAnsi="Arial" w:cs="Arial"/>
          <w:color w:val="000000" w:themeColor="text1"/>
          <w:sz w:val="18"/>
          <w:szCs w:val="18"/>
        </w:rPr>
        <w:t> 50 mm długości wymaganej,</w:t>
      </w:r>
    </w:p>
    <w:p w14:paraId="21F1F9C8"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dla strzałek, liter i cyfr rozstaw punktów narożnikowych nie może mieć większej odchyłki od wymaganego wzoru niż </w:t>
      </w:r>
      <w:r w:rsidRPr="007B192E">
        <w:rPr>
          <w:rFonts w:ascii="Arial" w:hAnsi="Arial" w:cs="Arial"/>
          <w:color w:val="000000" w:themeColor="text1"/>
          <w:sz w:val="18"/>
          <w:szCs w:val="18"/>
        </w:rPr>
        <w:t xml:space="preserve"> 50 mm dla wymiaru długości i </w:t>
      </w:r>
      <w:r w:rsidRPr="007B192E">
        <w:rPr>
          <w:rFonts w:ascii="Arial" w:hAnsi="Arial" w:cs="Arial"/>
          <w:color w:val="000000" w:themeColor="text1"/>
          <w:sz w:val="18"/>
          <w:szCs w:val="18"/>
        </w:rPr>
        <w:t> 20 mm dla wymiaru szerokości.</w:t>
      </w:r>
    </w:p>
    <w:p w14:paraId="5B08227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nowego oznakowania poziomego, spowodowanego zmianami organizacji ruchu, należy dokładnie usunąć zbędne stare oznakowanie.</w:t>
      </w:r>
    </w:p>
    <w:p w14:paraId="621FA4B2"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6.4.2. </w:t>
      </w:r>
      <w:r w:rsidRPr="007B192E">
        <w:rPr>
          <w:rFonts w:ascii="Arial" w:hAnsi="Arial" w:cs="Arial"/>
          <w:color w:val="000000" w:themeColor="text1"/>
          <w:sz w:val="18"/>
          <w:szCs w:val="18"/>
        </w:rPr>
        <w:t>Tolerancje przy odnawianiu istniejącego oznakowania</w:t>
      </w:r>
    </w:p>
    <w:p w14:paraId="72FE1C99" w14:textId="77777777" w:rsidR="00F45500" w:rsidRPr="007B192E" w:rsidRDefault="00F45500" w:rsidP="00F45500">
      <w:pPr>
        <w:spacing w:before="120" w:after="120"/>
        <w:jc w:val="both"/>
        <w:rPr>
          <w:rFonts w:ascii="Arial" w:hAnsi="Arial" w:cs="Arial"/>
          <w:color w:val="000000" w:themeColor="text1"/>
          <w:sz w:val="18"/>
          <w:szCs w:val="18"/>
        </w:rPr>
      </w:pPr>
      <w:r w:rsidRPr="007B192E">
        <w:rPr>
          <w:rFonts w:ascii="Arial" w:hAnsi="Arial" w:cs="Arial"/>
          <w:color w:val="000000" w:themeColor="text1"/>
          <w:sz w:val="18"/>
          <w:szCs w:val="18"/>
        </w:rPr>
        <w:tab/>
        <w:t>Przy odnawianiu istniejącego oznakowania należy dążyć do  pokrycia pełnej powierzchni istniejących znaków, przy zachowaniu dopuszczalnych tolerancji podanych w punkcie 6.4.1.</w:t>
      </w:r>
    </w:p>
    <w:p w14:paraId="199C14EB" w14:textId="77777777" w:rsidR="00F45500" w:rsidRPr="007B192E" w:rsidRDefault="0062339E" w:rsidP="0062339E">
      <w:pPr>
        <w:pStyle w:val="Nagwek2"/>
        <w:rPr>
          <w:i w:val="0"/>
          <w:color w:val="000000" w:themeColor="text1"/>
        </w:rPr>
      </w:pPr>
      <w:r w:rsidRPr="007B192E">
        <w:rPr>
          <w:i w:val="0"/>
          <w:color w:val="000000" w:themeColor="text1"/>
        </w:rPr>
        <w:t>7. OBMIAR ROBÓT</w:t>
      </w:r>
    </w:p>
    <w:p w14:paraId="13DB2E40"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7.1. Ogólne zasady obmiaru robót</w:t>
      </w:r>
    </w:p>
    <w:p w14:paraId="5A8A0D8A"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7D363B20"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7.2. Jednostka obmiarowa</w:t>
      </w:r>
    </w:p>
    <w:p w14:paraId="24872C38" w14:textId="77777777" w:rsidR="00F45500" w:rsidRPr="007B192E" w:rsidRDefault="00F45500" w:rsidP="00F45500">
      <w:pPr>
        <w:spacing w:after="120"/>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oznakowania poziomego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powierzchni naniesionych </w:t>
      </w:r>
      <w:proofErr w:type="spellStart"/>
      <w:r w:rsidRPr="007B192E">
        <w:rPr>
          <w:rFonts w:ascii="Arial" w:hAnsi="Arial" w:cs="Arial"/>
          <w:color w:val="000000" w:themeColor="text1"/>
          <w:sz w:val="18"/>
          <w:szCs w:val="18"/>
        </w:rPr>
        <w:t>oznakowań</w:t>
      </w:r>
      <w:proofErr w:type="spellEnd"/>
      <w:r w:rsidRPr="007B192E">
        <w:rPr>
          <w:rFonts w:ascii="Arial" w:hAnsi="Arial" w:cs="Arial"/>
          <w:color w:val="000000" w:themeColor="text1"/>
          <w:sz w:val="18"/>
          <w:szCs w:val="18"/>
        </w:rPr>
        <w:t xml:space="preserve"> lub liczba umieszczonych punktowych elementów odblaskowych.</w:t>
      </w:r>
    </w:p>
    <w:p w14:paraId="70B821E7" w14:textId="77777777" w:rsidR="00F45500" w:rsidRPr="007B192E" w:rsidRDefault="0062339E" w:rsidP="0062339E">
      <w:pPr>
        <w:pStyle w:val="Nagwek2"/>
        <w:rPr>
          <w:i w:val="0"/>
          <w:color w:val="000000" w:themeColor="text1"/>
        </w:rPr>
      </w:pPr>
      <w:r w:rsidRPr="007B192E">
        <w:rPr>
          <w:i w:val="0"/>
          <w:color w:val="000000" w:themeColor="text1"/>
        </w:rPr>
        <w:t>8. ODBIÓR ROBÓT</w:t>
      </w:r>
    </w:p>
    <w:p w14:paraId="62F998A5"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8.1. Ogólne zasady odbioru robót</w:t>
      </w:r>
    </w:p>
    <w:p w14:paraId="1C61EA5B"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7368548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0480F84D"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8.2. Odbiór robót zanikających i ulegających zakryciu</w:t>
      </w:r>
    </w:p>
    <w:p w14:paraId="62C2494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Odbiór robót zanikających i ulegających zakryciu, w zależności od przyjętego sposobu wykonania robót, może być dokonany po:</w:t>
      </w:r>
    </w:p>
    <w:p w14:paraId="52834366"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oczyszczeniu powierzchni nawierzchni,</w:t>
      </w:r>
    </w:p>
    <w:p w14:paraId="10BD88E2"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przedznakowaniu</w:t>
      </w:r>
      <w:proofErr w:type="spellEnd"/>
      <w:r w:rsidRPr="007B192E">
        <w:rPr>
          <w:rFonts w:ascii="Arial" w:hAnsi="Arial" w:cs="Arial"/>
          <w:color w:val="000000" w:themeColor="text1"/>
          <w:sz w:val="18"/>
          <w:szCs w:val="18"/>
        </w:rPr>
        <w:t>,</w:t>
      </w:r>
    </w:p>
    <w:p w14:paraId="5238FDFF"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frezowaniu nawierzchni przed wykonaniem znakowania materiałem grubowarstwowym,</w:t>
      </w:r>
    </w:p>
    <w:p w14:paraId="6F750CCE"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usunięciu istniejącego oznakowania poziomego,</w:t>
      </w:r>
    </w:p>
    <w:p w14:paraId="78792D9F"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wykonaniu podkładu (</w:t>
      </w:r>
      <w:proofErr w:type="spellStart"/>
      <w:r w:rsidRPr="007B192E">
        <w:rPr>
          <w:rFonts w:ascii="Arial" w:hAnsi="Arial" w:cs="Arial"/>
          <w:color w:val="000000" w:themeColor="text1"/>
          <w:sz w:val="18"/>
          <w:szCs w:val="18"/>
        </w:rPr>
        <w:t>primera</w:t>
      </w:r>
      <w:proofErr w:type="spellEnd"/>
      <w:r w:rsidRPr="007B192E">
        <w:rPr>
          <w:rFonts w:ascii="Arial" w:hAnsi="Arial" w:cs="Arial"/>
          <w:color w:val="000000" w:themeColor="text1"/>
          <w:sz w:val="18"/>
          <w:szCs w:val="18"/>
        </w:rPr>
        <w:t>) na nawierzchni betonowej.</w:t>
      </w:r>
    </w:p>
    <w:p w14:paraId="5BD83774"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8.3. Odbiór ostateczny</w:t>
      </w:r>
    </w:p>
    <w:p w14:paraId="10D43F6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Odbioru ostatecznego należy dokonać po całkowitym zakończeniu robót, na podstawie wyników pomiarów i badań jakościowych określonych w punktach od 2 do 6.</w:t>
      </w:r>
    </w:p>
    <w:p w14:paraId="398FFE5F"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8.4. Odbiór pogwarancyjny</w:t>
      </w:r>
    </w:p>
    <w:p w14:paraId="641E5AB3"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Odbioru pogwarancyjnego należy dokonać po upływie okresu gwarancyjnego, ustalonego w SST. Sprawdzeniu podlegają cechy oznakowania określone niniejszym ST na podstawie badań wykonanych przed upływem okresu gwarancyjnego.</w:t>
      </w:r>
    </w:p>
    <w:p w14:paraId="7B8A7D3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Zaleca się stosowanie następujących minimalnych okresów gwarancyjnych dla oznakowania grubowarstwowego, oznakowania taśmami i punktowymi elementami odblaskowymi: co najmniej 24 miesiące.</w:t>
      </w:r>
    </w:p>
    <w:p w14:paraId="0AF267F2" w14:textId="77777777" w:rsidR="00F45500" w:rsidRPr="007B192E" w:rsidRDefault="0062339E" w:rsidP="0062339E">
      <w:pPr>
        <w:pStyle w:val="Nagwek2"/>
        <w:rPr>
          <w:i w:val="0"/>
          <w:color w:val="000000" w:themeColor="text1"/>
        </w:rPr>
      </w:pPr>
      <w:r w:rsidRPr="007B192E">
        <w:rPr>
          <w:i w:val="0"/>
          <w:color w:val="000000" w:themeColor="text1"/>
        </w:rPr>
        <w:t>9. PODSTAWA PŁATNOŚCI</w:t>
      </w:r>
    </w:p>
    <w:p w14:paraId="108A74FA"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9.1. Ogólne ustalenia dotyczące podstawy płatności</w:t>
      </w:r>
    </w:p>
    <w:p w14:paraId="2AB647E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9. Ponadto Zamawiający powinien tak sformułować umowę, aby Wykonawca musiał doprowadzić oznakowanie do wymagań zawartych w SST w przypadku zauważenia niezgodności.</w:t>
      </w:r>
    </w:p>
    <w:p w14:paraId="2DF23646"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9.2. Cena jednostki obmiarowej</w:t>
      </w:r>
    </w:p>
    <w:p w14:paraId="4018F9D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ab/>
        <w:t>Cena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wykonania robót obejmuje:</w:t>
      </w:r>
    </w:p>
    <w:p w14:paraId="193581DA"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prace pomiarowe, roboty przygotowawcze i oznakowanie robót,</w:t>
      </w:r>
    </w:p>
    <w:p w14:paraId="34C34C62"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przygotowanie i dostarczenie materiałów,</w:t>
      </w:r>
    </w:p>
    <w:p w14:paraId="43560A51"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oczyszczenie podłoża (nawierzchni),</w:t>
      </w:r>
    </w:p>
    <w:p w14:paraId="56D6A08A"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proofErr w:type="spellStart"/>
      <w:r w:rsidRPr="007B192E">
        <w:rPr>
          <w:rFonts w:ascii="Arial" w:hAnsi="Arial" w:cs="Arial"/>
          <w:color w:val="000000" w:themeColor="text1"/>
          <w:sz w:val="18"/>
          <w:szCs w:val="18"/>
        </w:rPr>
        <w:t>przedznakowanie</w:t>
      </w:r>
      <w:proofErr w:type="spellEnd"/>
      <w:r w:rsidRPr="007B192E">
        <w:rPr>
          <w:rFonts w:ascii="Arial" w:hAnsi="Arial" w:cs="Arial"/>
          <w:color w:val="000000" w:themeColor="text1"/>
          <w:sz w:val="18"/>
          <w:szCs w:val="18"/>
        </w:rPr>
        <w:t>,</w:t>
      </w:r>
    </w:p>
    <w:p w14:paraId="02D9A32E"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naniesienie powłoki znaków na nawierzchnię drogi o kształtach i wymiarach zgodnych z dokumentacją projektową i załącznikiem nr 2 do rozporządzenia Ministra Infrastruktury [7],</w:t>
      </w:r>
    </w:p>
    <w:p w14:paraId="7255D567" w14:textId="77777777" w:rsidR="00F45500" w:rsidRPr="007B192E" w:rsidRDefault="00F45500" w:rsidP="00F45500">
      <w:pPr>
        <w:numPr>
          <w:ilvl w:val="0"/>
          <w:numId w:val="101"/>
        </w:numPr>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ochrona znaków przed zniszczeniem przez pojazdy w czasie prowadzenia robót,</w:t>
      </w:r>
    </w:p>
    <w:p w14:paraId="61E8CB60" w14:textId="77777777" w:rsidR="00F45500" w:rsidRPr="007B192E" w:rsidRDefault="00F45500" w:rsidP="00F45500">
      <w:pPr>
        <w:numPr>
          <w:ilvl w:val="0"/>
          <w:numId w:val="101"/>
        </w:numPr>
        <w:overflowPunct/>
        <w:autoSpaceDE/>
        <w:autoSpaceDN w:val="0"/>
        <w:spacing w:after="12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laboratoryjnych wymaganych w specyfikacji technicznej.</w:t>
      </w:r>
    </w:p>
    <w:p w14:paraId="3ACF157D" w14:textId="77777777" w:rsidR="00F45500" w:rsidRPr="007B192E" w:rsidRDefault="0062339E" w:rsidP="0062339E">
      <w:pPr>
        <w:pStyle w:val="Nagwek2"/>
        <w:rPr>
          <w:i w:val="0"/>
          <w:color w:val="000000" w:themeColor="text1"/>
        </w:rPr>
      </w:pPr>
      <w:r w:rsidRPr="007B192E">
        <w:rPr>
          <w:i w:val="0"/>
          <w:color w:val="000000" w:themeColor="text1"/>
        </w:rPr>
        <w:t>10. PRZEPISY  ZWIĄZANE</w:t>
      </w:r>
    </w:p>
    <w:p w14:paraId="357840AA"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10.1. Normy</w:t>
      </w:r>
    </w:p>
    <w:tbl>
      <w:tblPr>
        <w:tblW w:w="7510" w:type="dxa"/>
        <w:tblInd w:w="-70" w:type="dxa"/>
        <w:tblLayout w:type="fixed"/>
        <w:tblCellMar>
          <w:left w:w="10" w:type="dxa"/>
          <w:right w:w="10" w:type="dxa"/>
        </w:tblCellMar>
        <w:tblLook w:val="0000" w:firstRow="0" w:lastRow="0" w:firstColumn="0" w:lastColumn="0" w:noHBand="0" w:noVBand="0"/>
      </w:tblPr>
      <w:tblGrid>
        <w:gridCol w:w="496"/>
        <w:gridCol w:w="1842"/>
        <w:gridCol w:w="5172"/>
      </w:tblGrid>
      <w:tr w:rsidR="004D7D23" w:rsidRPr="007B192E" w14:paraId="26A1493D" w14:textId="77777777" w:rsidTr="008F7A94">
        <w:tc>
          <w:tcPr>
            <w:tcW w:w="496" w:type="dxa"/>
            <w:tcMar>
              <w:top w:w="0" w:type="dxa"/>
              <w:left w:w="70" w:type="dxa"/>
              <w:bottom w:w="0" w:type="dxa"/>
              <w:right w:w="70" w:type="dxa"/>
            </w:tcMar>
          </w:tcPr>
          <w:p w14:paraId="615594F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842" w:type="dxa"/>
            <w:tcMar>
              <w:top w:w="0" w:type="dxa"/>
              <w:left w:w="70" w:type="dxa"/>
              <w:bottom w:w="0" w:type="dxa"/>
              <w:right w:w="70" w:type="dxa"/>
            </w:tcMar>
          </w:tcPr>
          <w:p w14:paraId="2B3FE3E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PN-89/C-81400</w:t>
            </w:r>
          </w:p>
        </w:tc>
        <w:tc>
          <w:tcPr>
            <w:tcW w:w="5172" w:type="dxa"/>
            <w:tcMar>
              <w:top w:w="0" w:type="dxa"/>
              <w:left w:w="70" w:type="dxa"/>
              <w:bottom w:w="0" w:type="dxa"/>
              <w:right w:w="70" w:type="dxa"/>
            </w:tcMar>
          </w:tcPr>
          <w:p w14:paraId="4D17D70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Wyroby lakierowe. Pakowanie, przechowywanie i transport</w:t>
            </w:r>
          </w:p>
        </w:tc>
      </w:tr>
      <w:tr w:rsidR="004D7D23" w:rsidRPr="007B192E" w14:paraId="531BA892" w14:textId="77777777" w:rsidTr="008F7A94">
        <w:tc>
          <w:tcPr>
            <w:tcW w:w="496" w:type="dxa"/>
            <w:tcMar>
              <w:top w:w="0" w:type="dxa"/>
              <w:left w:w="70" w:type="dxa"/>
              <w:bottom w:w="0" w:type="dxa"/>
              <w:right w:w="70" w:type="dxa"/>
            </w:tcMar>
          </w:tcPr>
          <w:p w14:paraId="148382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842" w:type="dxa"/>
            <w:tcMar>
              <w:top w:w="0" w:type="dxa"/>
              <w:left w:w="70" w:type="dxa"/>
              <w:bottom w:w="0" w:type="dxa"/>
              <w:right w:w="70" w:type="dxa"/>
            </w:tcMar>
          </w:tcPr>
          <w:p w14:paraId="1428A9F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PN-85/O-79252</w:t>
            </w:r>
          </w:p>
        </w:tc>
        <w:tc>
          <w:tcPr>
            <w:tcW w:w="5172" w:type="dxa"/>
            <w:tcMar>
              <w:top w:w="0" w:type="dxa"/>
              <w:left w:w="70" w:type="dxa"/>
              <w:bottom w:w="0" w:type="dxa"/>
              <w:right w:w="70" w:type="dxa"/>
            </w:tcMar>
          </w:tcPr>
          <w:p w14:paraId="770D44F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Opakowania transportowe z zawartością. Znaki i znakowanie. Wymagania podstawowe</w:t>
            </w:r>
          </w:p>
        </w:tc>
      </w:tr>
      <w:tr w:rsidR="004D7D23" w:rsidRPr="007B192E" w14:paraId="6FE8DC2E" w14:textId="77777777" w:rsidTr="008F7A94">
        <w:tc>
          <w:tcPr>
            <w:tcW w:w="496" w:type="dxa"/>
            <w:tcMar>
              <w:top w:w="0" w:type="dxa"/>
              <w:left w:w="70" w:type="dxa"/>
              <w:bottom w:w="0" w:type="dxa"/>
              <w:right w:w="70" w:type="dxa"/>
            </w:tcMar>
          </w:tcPr>
          <w:p w14:paraId="671ED828"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3.</w:t>
            </w:r>
          </w:p>
        </w:tc>
        <w:tc>
          <w:tcPr>
            <w:tcW w:w="1842" w:type="dxa"/>
            <w:tcMar>
              <w:top w:w="0" w:type="dxa"/>
              <w:left w:w="70" w:type="dxa"/>
              <w:bottom w:w="0" w:type="dxa"/>
              <w:right w:w="70" w:type="dxa"/>
            </w:tcMar>
          </w:tcPr>
          <w:p w14:paraId="25575EAF" w14:textId="77777777" w:rsidR="00F45500" w:rsidRPr="007B192E" w:rsidRDefault="00F45500" w:rsidP="008F7A94">
            <w:pPr>
              <w:suppressLineNumbers/>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PN-EN 1423:2000</w:t>
            </w:r>
          </w:p>
          <w:p w14:paraId="23D8257C" w14:textId="77777777" w:rsidR="00F45500" w:rsidRPr="007B192E" w:rsidRDefault="00F45500" w:rsidP="008F7A94">
            <w:pPr>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14:paraId="3622CB9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Materiały do posypywania. Kulki szklane, kruszywo przeciwpoślizgowe i ich mieszaniny)</w:t>
            </w:r>
          </w:p>
        </w:tc>
      </w:tr>
      <w:tr w:rsidR="004D7D23" w:rsidRPr="007B192E" w14:paraId="1FA5EE4C" w14:textId="77777777" w:rsidTr="008F7A94">
        <w:tc>
          <w:tcPr>
            <w:tcW w:w="496" w:type="dxa"/>
            <w:tcMar>
              <w:top w:w="0" w:type="dxa"/>
              <w:left w:w="70" w:type="dxa"/>
              <w:bottom w:w="0" w:type="dxa"/>
              <w:right w:w="70" w:type="dxa"/>
            </w:tcMar>
          </w:tcPr>
          <w:p w14:paraId="5353D4BC"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3a.</w:t>
            </w:r>
          </w:p>
        </w:tc>
        <w:tc>
          <w:tcPr>
            <w:tcW w:w="1842" w:type="dxa"/>
            <w:tcMar>
              <w:top w:w="0" w:type="dxa"/>
              <w:left w:w="70" w:type="dxa"/>
              <w:bottom w:w="0" w:type="dxa"/>
              <w:right w:w="70" w:type="dxa"/>
            </w:tcMar>
          </w:tcPr>
          <w:p w14:paraId="52150C3C"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PN-EN 1423:2001/A1:2005</w:t>
            </w:r>
          </w:p>
        </w:tc>
        <w:tc>
          <w:tcPr>
            <w:tcW w:w="5172" w:type="dxa"/>
            <w:tcMar>
              <w:top w:w="0" w:type="dxa"/>
              <w:left w:w="70" w:type="dxa"/>
              <w:bottom w:w="0" w:type="dxa"/>
              <w:right w:w="70" w:type="dxa"/>
            </w:tcMar>
          </w:tcPr>
          <w:p w14:paraId="0C832EC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Materiały do posypywania. Kulki szklane, kruszywo przeciwpoślizgowe i ich mieszaniny (Zmiana A1)</w:t>
            </w:r>
          </w:p>
        </w:tc>
      </w:tr>
      <w:tr w:rsidR="004D7D23" w:rsidRPr="007B192E" w14:paraId="760778DD" w14:textId="77777777" w:rsidTr="008F7A94">
        <w:tc>
          <w:tcPr>
            <w:tcW w:w="496" w:type="dxa"/>
            <w:tcMar>
              <w:top w:w="0" w:type="dxa"/>
              <w:left w:w="70" w:type="dxa"/>
              <w:bottom w:w="0" w:type="dxa"/>
              <w:right w:w="70" w:type="dxa"/>
            </w:tcMar>
          </w:tcPr>
          <w:p w14:paraId="3BB38BF6"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4.</w:t>
            </w:r>
          </w:p>
        </w:tc>
        <w:tc>
          <w:tcPr>
            <w:tcW w:w="1842" w:type="dxa"/>
            <w:tcMar>
              <w:top w:w="0" w:type="dxa"/>
              <w:left w:w="70" w:type="dxa"/>
              <w:bottom w:w="0" w:type="dxa"/>
              <w:right w:w="70" w:type="dxa"/>
            </w:tcMar>
          </w:tcPr>
          <w:p w14:paraId="720D389A"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PN-EN 1436:2000</w:t>
            </w:r>
          </w:p>
          <w:p w14:paraId="00415CCB" w14:textId="77777777" w:rsidR="00F45500" w:rsidRPr="007B192E" w:rsidRDefault="00F45500" w:rsidP="008F7A94">
            <w:pPr>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14:paraId="66917A2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Wymagania dotyczące poziomego oznakowania dróg</w:t>
            </w:r>
          </w:p>
        </w:tc>
      </w:tr>
      <w:tr w:rsidR="004D7D23" w:rsidRPr="007B192E" w14:paraId="3A84AEEE" w14:textId="77777777" w:rsidTr="008F7A94">
        <w:tc>
          <w:tcPr>
            <w:tcW w:w="496" w:type="dxa"/>
            <w:tcMar>
              <w:top w:w="0" w:type="dxa"/>
              <w:left w:w="70" w:type="dxa"/>
              <w:bottom w:w="0" w:type="dxa"/>
              <w:right w:w="70" w:type="dxa"/>
            </w:tcMar>
          </w:tcPr>
          <w:p w14:paraId="17B4B0F2"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4a.</w:t>
            </w:r>
          </w:p>
        </w:tc>
        <w:tc>
          <w:tcPr>
            <w:tcW w:w="1842" w:type="dxa"/>
            <w:tcMar>
              <w:top w:w="0" w:type="dxa"/>
              <w:left w:w="70" w:type="dxa"/>
              <w:bottom w:w="0" w:type="dxa"/>
              <w:right w:w="70" w:type="dxa"/>
            </w:tcMar>
          </w:tcPr>
          <w:p w14:paraId="09F4F4BB"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PN-EN 1436:2000/A1:2005</w:t>
            </w:r>
          </w:p>
        </w:tc>
        <w:tc>
          <w:tcPr>
            <w:tcW w:w="5172" w:type="dxa"/>
            <w:tcMar>
              <w:top w:w="0" w:type="dxa"/>
              <w:left w:w="70" w:type="dxa"/>
              <w:bottom w:w="0" w:type="dxa"/>
              <w:right w:w="70" w:type="dxa"/>
            </w:tcMar>
          </w:tcPr>
          <w:p w14:paraId="155D61F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Wymagania dotyczące poziomego oznakowania dróg (Zmiana A1)</w:t>
            </w:r>
          </w:p>
        </w:tc>
      </w:tr>
      <w:tr w:rsidR="004D7D23" w:rsidRPr="007B192E" w14:paraId="25554100" w14:textId="77777777" w:rsidTr="008F7A94">
        <w:tc>
          <w:tcPr>
            <w:tcW w:w="496" w:type="dxa"/>
            <w:tcMar>
              <w:top w:w="0" w:type="dxa"/>
              <w:left w:w="70" w:type="dxa"/>
              <w:bottom w:w="0" w:type="dxa"/>
              <w:right w:w="70" w:type="dxa"/>
            </w:tcMar>
          </w:tcPr>
          <w:p w14:paraId="0F37A4A6" w14:textId="77777777" w:rsidR="00F45500" w:rsidRPr="007B192E" w:rsidRDefault="00F45500" w:rsidP="008F7A94">
            <w:pPr>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5.</w:t>
            </w:r>
          </w:p>
        </w:tc>
        <w:tc>
          <w:tcPr>
            <w:tcW w:w="1842" w:type="dxa"/>
            <w:tcMar>
              <w:top w:w="0" w:type="dxa"/>
              <w:left w:w="70" w:type="dxa"/>
              <w:bottom w:w="0" w:type="dxa"/>
              <w:right w:w="70" w:type="dxa"/>
            </w:tcMar>
          </w:tcPr>
          <w:p w14:paraId="64B43305" w14:textId="77777777" w:rsidR="00F45500" w:rsidRPr="007B192E" w:rsidRDefault="00F45500" w:rsidP="008F7A94">
            <w:pPr>
              <w:suppressLineNumbers/>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PN-EN 1463-1:2000</w:t>
            </w:r>
          </w:p>
          <w:p w14:paraId="701621ED" w14:textId="77777777" w:rsidR="00F45500" w:rsidRPr="007B192E" w:rsidRDefault="00F45500" w:rsidP="008F7A94">
            <w:pPr>
              <w:suppressLineNumbers/>
              <w:jc w:val="both"/>
              <w:rPr>
                <w:rFonts w:ascii="Arial" w:hAnsi="Arial" w:cs="Arial"/>
                <w:color w:val="000000" w:themeColor="text1"/>
                <w:sz w:val="18"/>
                <w:szCs w:val="18"/>
                <w:lang w:val="de-DE"/>
              </w:rPr>
            </w:pPr>
          </w:p>
        </w:tc>
        <w:tc>
          <w:tcPr>
            <w:tcW w:w="5172" w:type="dxa"/>
            <w:tcMar>
              <w:top w:w="0" w:type="dxa"/>
              <w:left w:w="70" w:type="dxa"/>
              <w:bottom w:w="0" w:type="dxa"/>
              <w:right w:w="70" w:type="dxa"/>
            </w:tcMar>
          </w:tcPr>
          <w:p w14:paraId="1C207C8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Punktowe elementy odblaskowe Część 1: Wymagania dotyczące charakterystyki nowego elementu</w:t>
            </w:r>
          </w:p>
        </w:tc>
      </w:tr>
      <w:tr w:rsidR="004D7D23" w:rsidRPr="007B192E" w14:paraId="22CE52A6" w14:textId="77777777" w:rsidTr="008F7A94">
        <w:tc>
          <w:tcPr>
            <w:tcW w:w="496" w:type="dxa"/>
            <w:tcMar>
              <w:top w:w="0" w:type="dxa"/>
              <w:left w:w="70" w:type="dxa"/>
              <w:bottom w:w="0" w:type="dxa"/>
              <w:right w:w="70" w:type="dxa"/>
            </w:tcMar>
          </w:tcPr>
          <w:p w14:paraId="52AB5233"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5a.</w:t>
            </w:r>
          </w:p>
        </w:tc>
        <w:tc>
          <w:tcPr>
            <w:tcW w:w="1842" w:type="dxa"/>
            <w:tcMar>
              <w:top w:w="0" w:type="dxa"/>
              <w:left w:w="70" w:type="dxa"/>
              <w:bottom w:w="0" w:type="dxa"/>
              <w:right w:w="70" w:type="dxa"/>
            </w:tcMar>
          </w:tcPr>
          <w:p w14:paraId="117D4705" w14:textId="77777777" w:rsidR="00F45500" w:rsidRPr="007B192E" w:rsidRDefault="00F45500" w:rsidP="008F7A94">
            <w:pPr>
              <w:suppressLineNumbers/>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PN-EN 1463-1:2000/A1:2005</w:t>
            </w:r>
          </w:p>
        </w:tc>
        <w:tc>
          <w:tcPr>
            <w:tcW w:w="5172" w:type="dxa"/>
            <w:tcMar>
              <w:top w:w="0" w:type="dxa"/>
              <w:left w:w="70" w:type="dxa"/>
              <w:bottom w:w="0" w:type="dxa"/>
              <w:right w:w="70" w:type="dxa"/>
            </w:tcMar>
          </w:tcPr>
          <w:p w14:paraId="0E1A522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Punktowe elementy odblaskowe Część 1: Wymagania dotyczące charakterystyki nowego elementu (Zmiana A1)</w:t>
            </w:r>
          </w:p>
        </w:tc>
      </w:tr>
      <w:tr w:rsidR="004D7D23" w:rsidRPr="007B192E" w14:paraId="053BF6A6" w14:textId="77777777" w:rsidTr="008F7A94">
        <w:tc>
          <w:tcPr>
            <w:tcW w:w="496" w:type="dxa"/>
            <w:tcMar>
              <w:top w:w="0" w:type="dxa"/>
              <w:left w:w="70" w:type="dxa"/>
              <w:bottom w:w="0" w:type="dxa"/>
              <w:right w:w="70" w:type="dxa"/>
            </w:tcMar>
          </w:tcPr>
          <w:p w14:paraId="604571C9" w14:textId="77777777" w:rsidR="00F45500" w:rsidRPr="007B192E" w:rsidRDefault="00F45500" w:rsidP="008F7A94">
            <w:pPr>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5b.</w:t>
            </w:r>
          </w:p>
        </w:tc>
        <w:tc>
          <w:tcPr>
            <w:tcW w:w="1842" w:type="dxa"/>
            <w:tcMar>
              <w:top w:w="0" w:type="dxa"/>
              <w:left w:w="70" w:type="dxa"/>
              <w:bottom w:w="0" w:type="dxa"/>
              <w:right w:w="70" w:type="dxa"/>
            </w:tcMar>
          </w:tcPr>
          <w:p w14:paraId="632B10CC" w14:textId="77777777" w:rsidR="00F45500" w:rsidRPr="007B192E" w:rsidRDefault="00F45500" w:rsidP="008F7A94">
            <w:pPr>
              <w:suppressLineNumbers/>
              <w:jc w:val="both"/>
              <w:rPr>
                <w:rFonts w:ascii="Arial" w:hAnsi="Arial" w:cs="Arial"/>
                <w:color w:val="000000" w:themeColor="text1"/>
                <w:sz w:val="18"/>
                <w:szCs w:val="18"/>
              </w:rPr>
            </w:pPr>
            <w:r w:rsidRPr="007B192E">
              <w:rPr>
                <w:rFonts w:ascii="Arial" w:hAnsi="Arial" w:cs="Arial"/>
                <w:color w:val="000000" w:themeColor="text1"/>
                <w:sz w:val="18"/>
                <w:szCs w:val="18"/>
              </w:rPr>
              <w:t>PN-EN 1463-2:2000</w:t>
            </w:r>
          </w:p>
        </w:tc>
        <w:tc>
          <w:tcPr>
            <w:tcW w:w="5172" w:type="dxa"/>
            <w:tcMar>
              <w:top w:w="0" w:type="dxa"/>
              <w:left w:w="70" w:type="dxa"/>
              <w:bottom w:w="0" w:type="dxa"/>
              <w:right w:w="70" w:type="dxa"/>
            </w:tcMar>
          </w:tcPr>
          <w:p w14:paraId="063047B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Punktowe elementy odblaskowe Część 2: Badania terenowe</w:t>
            </w:r>
          </w:p>
        </w:tc>
      </w:tr>
      <w:tr w:rsidR="004D7D23" w:rsidRPr="007B192E" w14:paraId="5CEAF147" w14:textId="77777777" w:rsidTr="008F7A94">
        <w:tc>
          <w:tcPr>
            <w:tcW w:w="496" w:type="dxa"/>
            <w:tcMar>
              <w:top w:w="0" w:type="dxa"/>
              <w:left w:w="70" w:type="dxa"/>
              <w:bottom w:w="0" w:type="dxa"/>
              <w:right w:w="70" w:type="dxa"/>
            </w:tcMar>
          </w:tcPr>
          <w:p w14:paraId="6871F68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842" w:type="dxa"/>
            <w:tcMar>
              <w:top w:w="0" w:type="dxa"/>
              <w:left w:w="70" w:type="dxa"/>
              <w:bottom w:w="0" w:type="dxa"/>
              <w:right w:w="70" w:type="dxa"/>
            </w:tcMar>
          </w:tcPr>
          <w:p w14:paraId="770A6F2D" w14:textId="77777777" w:rsidR="00F45500" w:rsidRPr="007B192E" w:rsidRDefault="00F45500" w:rsidP="008F7A94">
            <w:pPr>
              <w:suppressLineNumbers/>
              <w:jc w:val="both"/>
              <w:rPr>
                <w:rFonts w:ascii="Arial" w:hAnsi="Arial" w:cs="Arial"/>
                <w:color w:val="000000" w:themeColor="text1"/>
                <w:sz w:val="18"/>
                <w:szCs w:val="18"/>
              </w:rPr>
            </w:pPr>
            <w:r w:rsidRPr="007B192E">
              <w:rPr>
                <w:rFonts w:ascii="Arial" w:hAnsi="Arial" w:cs="Arial"/>
                <w:color w:val="000000" w:themeColor="text1"/>
                <w:sz w:val="18"/>
                <w:szCs w:val="18"/>
              </w:rPr>
              <w:t>PN-EN 1871:2003</w:t>
            </w:r>
          </w:p>
        </w:tc>
        <w:tc>
          <w:tcPr>
            <w:tcW w:w="5172" w:type="dxa"/>
            <w:tcMar>
              <w:top w:w="0" w:type="dxa"/>
              <w:left w:w="70" w:type="dxa"/>
              <w:bottom w:w="0" w:type="dxa"/>
              <w:right w:w="70" w:type="dxa"/>
            </w:tcMar>
          </w:tcPr>
          <w:p w14:paraId="66581A0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Materiały do poziomego oznakowania dróg. Właściwości fizyczne</w:t>
            </w:r>
          </w:p>
        </w:tc>
      </w:tr>
      <w:tr w:rsidR="004D7D23" w:rsidRPr="007B192E" w14:paraId="79C148F7" w14:textId="77777777" w:rsidTr="008F7A94">
        <w:tc>
          <w:tcPr>
            <w:tcW w:w="496" w:type="dxa"/>
            <w:tcMar>
              <w:top w:w="0" w:type="dxa"/>
              <w:left w:w="70" w:type="dxa"/>
              <w:bottom w:w="0" w:type="dxa"/>
              <w:right w:w="70" w:type="dxa"/>
            </w:tcMar>
          </w:tcPr>
          <w:p w14:paraId="3C372B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6a.</w:t>
            </w:r>
          </w:p>
        </w:tc>
        <w:tc>
          <w:tcPr>
            <w:tcW w:w="1842" w:type="dxa"/>
            <w:tcMar>
              <w:top w:w="0" w:type="dxa"/>
              <w:left w:w="70" w:type="dxa"/>
              <w:bottom w:w="0" w:type="dxa"/>
              <w:right w:w="70" w:type="dxa"/>
            </w:tcMar>
          </w:tcPr>
          <w:p w14:paraId="2B822245" w14:textId="77777777" w:rsidR="00F45500" w:rsidRPr="007B192E" w:rsidRDefault="00F45500" w:rsidP="008F7A94">
            <w:pPr>
              <w:suppressLineNumbers/>
              <w:jc w:val="both"/>
              <w:rPr>
                <w:rFonts w:ascii="Arial" w:hAnsi="Arial" w:cs="Arial"/>
                <w:color w:val="000000" w:themeColor="text1"/>
                <w:sz w:val="18"/>
                <w:szCs w:val="18"/>
                <w:lang w:val="de-DE"/>
              </w:rPr>
            </w:pPr>
            <w:r w:rsidRPr="007B192E">
              <w:rPr>
                <w:rFonts w:ascii="Arial" w:hAnsi="Arial" w:cs="Arial"/>
                <w:color w:val="000000" w:themeColor="text1"/>
                <w:sz w:val="18"/>
                <w:szCs w:val="18"/>
                <w:lang w:val="de-DE"/>
              </w:rPr>
              <w:t>PN-EN 13036-4: 2004(U)</w:t>
            </w:r>
          </w:p>
        </w:tc>
        <w:tc>
          <w:tcPr>
            <w:tcW w:w="5172" w:type="dxa"/>
            <w:tcMar>
              <w:top w:w="0" w:type="dxa"/>
              <w:left w:w="70" w:type="dxa"/>
              <w:bottom w:w="0" w:type="dxa"/>
              <w:right w:w="70" w:type="dxa"/>
            </w:tcMar>
          </w:tcPr>
          <w:p w14:paraId="3A696E8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Drogi samochodowe i lotniskowe – Metody badań – Część 4: Metoda pomiaru oporów poślizgu/poślizgnięcia na powierzchni: próba wahadła</w:t>
            </w:r>
          </w:p>
        </w:tc>
      </w:tr>
    </w:tbl>
    <w:p w14:paraId="07192079" w14:textId="77777777" w:rsidR="00F45500" w:rsidRPr="007B192E" w:rsidRDefault="00F45500" w:rsidP="00F45500">
      <w:pPr>
        <w:keepNext/>
        <w:spacing w:before="24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lang w:val="de-DE"/>
        </w:rPr>
        <w:t xml:space="preserve">10.2. </w:t>
      </w:r>
      <w:r w:rsidRPr="007B192E">
        <w:rPr>
          <w:rFonts w:ascii="Arial" w:hAnsi="Arial" w:cs="Arial"/>
          <w:b/>
          <w:color w:val="000000" w:themeColor="text1"/>
          <w:sz w:val="18"/>
          <w:szCs w:val="18"/>
        </w:rPr>
        <w:t>Przepisy związane i inne dokumenty</w:t>
      </w:r>
    </w:p>
    <w:p w14:paraId="69FF756E"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Załącznik nr 2 do rozporządzenia Ministra Infrastruktury z dnia 3 lipca 2003 r. Szczegółowe warunki </w:t>
      </w:r>
      <w:r w:rsidRPr="007B192E">
        <w:rPr>
          <w:rFonts w:ascii="Arial" w:hAnsi="Arial" w:cs="Arial"/>
          <w:color w:val="000000" w:themeColor="text1"/>
          <w:sz w:val="18"/>
          <w:szCs w:val="18"/>
        </w:rPr>
        <w:tab/>
        <w:t>techniczne dla znaków drogowych poziomych i warunki ich umieszczania na drogach (Dz. U. nr 220, poz. 2181)</w:t>
      </w:r>
    </w:p>
    <w:p w14:paraId="0848F500"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Rozporządzenie  Ministra  Infrastruktury   z  dnia  11 sierpnia 2004 r.  w  sprawie  sposobów deklarowania </w:t>
      </w:r>
      <w:r w:rsidRPr="007B192E">
        <w:rPr>
          <w:rFonts w:ascii="Arial" w:hAnsi="Arial" w:cs="Arial"/>
          <w:color w:val="000000" w:themeColor="text1"/>
          <w:sz w:val="18"/>
          <w:szCs w:val="18"/>
        </w:rPr>
        <w:tab/>
        <w:t xml:space="preserve">zgodności wyrobów budowlanych oraz sposobu znakowania ich  znakiem budowlanym (Dz. U. nr 198, poz. </w:t>
      </w:r>
      <w:r w:rsidRPr="007B192E">
        <w:rPr>
          <w:rFonts w:ascii="Arial" w:hAnsi="Arial" w:cs="Arial"/>
          <w:color w:val="000000" w:themeColor="text1"/>
          <w:sz w:val="18"/>
          <w:szCs w:val="18"/>
        </w:rPr>
        <w:tab/>
        <w:t>2041)</w:t>
      </w:r>
    </w:p>
    <w:p w14:paraId="71EBB406"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Warunki Techniczne. Poziome znakowanie dróg. POD-97. Seria „I” - Informacje, Instrukcje. Zeszyt nr 55. </w:t>
      </w:r>
      <w:r w:rsidRPr="007B192E">
        <w:rPr>
          <w:rFonts w:ascii="Arial" w:hAnsi="Arial" w:cs="Arial"/>
          <w:color w:val="000000" w:themeColor="text1"/>
          <w:sz w:val="18"/>
          <w:szCs w:val="18"/>
        </w:rPr>
        <w:tab/>
      </w:r>
      <w:proofErr w:type="spellStart"/>
      <w:r w:rsidRPr="007B192E">
        <w:rPr>
          <w:rFonts w:ascii="Arial" w:hAnsi="Arial" w:cs="Arial"/>
          <w:color w:val="000000" w:themeColor="text1"/>
          <w:sz w:val="18"/>
          <w:szCs w:val="18"/>
        </w:rPr>
        <w:t>IBDiM</w:t>
      </w:r>
      <w:proofErr w:type="spellEnd"/>
      <w:r w:rsidRPr="007B192E">
        <w:rPr>
          <w:rFonts w:ascii="Arial" w:hAnsi="Arial" w:cs="Arial"/>
          <w:color w:val="000000" w:themeColor="text1"/>
          <w:sz w:val="18"/>
          <w:szCs w:val="18"/>
        </w:rPr>
        <w:t>, Warszawa, 1997</w:t>
      </w:r>
    </w:p>
    <w:p w14:paraId="7A663EC4"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Warunki Techniczne. Poziome znakowanie dróg. POD-2006. Seria „I” - Informacje, Instrukcje. </w:t>
      </w:r>
      <w:proofErr w:type="spellStart"/>
      <w:r w:rsidRPr="007B192E">
        <w:rPr>
          <w:rFonts w:ascii="Arial" w:hAnsi="Arial" w:cs="Arial"/>
          <w:color w:val="000000" w:themeColor="text1"/>
          <w:sz w:val="18"/>
          <w:szCs w:val="18"/>
        </w:rPr>
        <w:t>IBDiM</w:t>
      </w:r>
      <w:proofErr w:type="spellEnd"/>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tab/>
        <w:t>Warszawa, w opracowaniu</w:t>
      </w:r>
    </w:p>
    <w:p w14:paraId="3F82D752"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Prawo przewozowe (Dz. U. nr 53 z 1984 r., poz. 272 z późniejszymi zmianami)</w:t>
      </w:r>
    </w:p>
    <w:p w14:paraId="198B30D8"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Rozporządzenie  Ministra  Infrastruktury   z  dnia  11 sierpnia 2004 r.  w  sprawie  systemów oceny zgodności, </w:t>
      </w:r>
      <w:r w:rsidRPr="007B192E">
        <w:rPr>
          <w:rFonts w:ascii="Arial" w:hAnsi="Arial" w:cs="Arial"/>
          <w:color w:val="000000" w:themeColor="text1"/>
          <w:sz w:val="18"/>
          <w:szCs w:val="18"/>
        </w:rPr>
        <w:tab/>
        <w:t xml:space="preserve">wymagań jakie powinny spełniać notyfikowane jednostki uczestniczące w ocenie zgodności oraz sposobu </w:t>
      </w:r>
      <w:r w:rsidRPr="007B192E">
        <w:rPr>
          <w:rFonts w:ascii="Arial" w:hAnsi="Arial" w:cs="Arial"/>
          <w:color w:val="000000" w:themeColor="text1"/>
          <w:sz w:val="18"/>
          <w:szCs w:val="18"/>
        </w:rPr>
        <w:tab/>
        <w:t>oznaczania wyrobów budowlanych oznakowaniem CE (Dz. U. nr 195, poz. 2011)</w:t>
      </w:r>
    </w:p>
    <w:p w14:paraId="0BDD8FF6"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 xml:space="preserve">Rozporządzenie Ministra Zdrowia z dnia 2 września 2003 r. w sprawie oznakowania opakowań substancji </w:t>
      </w:r>
      <w:r w:rsidRPr="007B192E">
        <w:rPr>
          <w:rFonts w:ascii="Arial" w:hAnsi="Arial" w:cs="Arial"/>
          <w:color w:val="000000" w:themeColor="text1"/>
          <w:sz w:val="18"/>
          <w:szCs w:val="18"/>
        </w:rPr>
        <w:tab/>
        <w:t>niebezpiecznych i preparatów niebezpiecznych (Dz. U. nr 73, poz. 1679)</w:t>
      </w:r>
    </w:p>
    <w:p w14:paraId="4DE87A67"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hAnsi="Arial" w:cs="Arial"/>
          <w:color w:val="000000" w:themeColor="text1"/>
          <w:sz w:val="18"/>
          <w:szCs w:val="18"/>
        </w:rPr>
        <w:t>Umowa europejska dotycząca międzynarodowego przewozu towarów niebezpiecznych (RID/ADR)</w:t>
      </w:r>
    </w:p>
    <w:p w14:paraId="6AAC976F" w14:textId="77777777" w:rsidR="00F45500" w:rsidRPr="007B192E" w:rsidRDefault="00F45500" w:rsidP="00BA5651">
      <w:pPr>
        <w:numPr>
          <w:ilvl w:val="0"/>
          <w:numId w:val="259"/>
        </w:numPr>
        <w:tabs>
          <w:tab w:val="left" w:pos="-2835"/>
        </w:tabs>
        <w:overflowPunct/>
        <w:autoSpaceDE/>
        <w:autoSpaceDN w:val="0"/>
        <w:ind w:left="720" w:hanging="360"/>
        <w:jc w:val="both"/>
        <w:rPr>
          <w:rFonts w:ascii="Arial" w:hAnsi="Arial" w:cs="Arial"/>
          <w:color w:val="000000" w:themeColor="text1"/>
          <w:sz w:val="18"/>
          <w:szCs w:val="18"/>
        </w:rPr>
      </w:pPr>
      <w:r w:rsidRPr="007B192E">
        <w:rPr>
          <w:rFonts w:ascii="Arial" w:eastAsia="Arial" w:hAnsi="Arial" w:cs="Arial"/>
          <w:color w:val="000000" w:themeColor="text1"/>
          <w:sz w:val="18"/>
          <w:szCs w:val="18"/>
        </w:rPr>
        <w:t xml:space="preserve">Rozporządzenie Ministra Infrastruktury z dnia 8 listopada 2004 r. w sprawie aprobat technicznych oraz </w:t>
      </w:r>
      <w:r w:rsidRPr="007B192E">
        <w:rPr>
          <w:rFonts w:ascii="Arial" w:eastAsia="Arial" w:hAnsi="Arial" w:cs="Arial"/>
          <w:color w:val="000000" w:themeColor="text1"/>
          <w:sz w:val="18"/>
          <w:szCs w:val="18"/>
        </w:rPr>
        <w:tab/>
        <w:t>jednostek organizacyjnych uprawnionych do ich wydania (Dz.U. nr 249, poz. 2497)</w:t>
      </w:r>
    </w:p>
    <w:p w14:paraId="7A3A6B3E"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r>
    </w:p>
    <w:p w14:paraId="2E311546" w14:textId="77777777" w:rsidR="00F45500" w:rsidRPr="007B192E" w:rsidRDefault="00F45500" w:rsidP="00E9570E">
      <w:pPr>
        <w:rPr>
          <w:rFonts w:ascii="Arial" w:hAnsi="Arial" w:cs="Arial"/>
          <w:b/>
          <w:bCs/>
          <w:color w:val="000000" w:themeColor="text1"/>
          <w:sz w:val="18"/>
          <w:szCs w:val="18"/>
        </w:rPr>
      </w:pPr>
      <w:r w:rsidRPr="007B192E">
        <w:rPr>
          <w:rFonts w:ascii="Arial" w:hAnsi="Arial" w:cs="Arial"/>
          <w:b/>
          <w:bCs/>
          <w:color w:val="000000" w:themeColor="text1"/>
          <w:sz w:val="18"/>
          <w:szCs w:val="18"/>
        </w:rPr>
        <w:br w:type="page"/>
      </w:r>
    </w:p>
    <w:p w14:paraId="2C09D9B3" w14:textId="77777777" w:rsidR="00F45500" w:rsidRPr="007B192E" w:rsidRDefault="00072148" w:rsidP="00072148">
      <w:pPr>
        <w:pStyle w:val="Nagwek1"/>
        <w:jc w:val="center"/>
        <w:rPr>
          <w:color w:val="000000" w:themeColor="text1"/>
          <w:sz w:val="40"/>
        </w:rPr>
      </w:pPr>
      <w:bookmarkStart w:id="340" w:name="_Toc163481062"/>
      <w:r w:rsidRPr="007B192E">
        <w:rPr>
          <w:color w:val="000000" w:themeColor="text1"/>
          <w:sz w:val="40"/>
        </w:rPr>
        <w:lastRenderedPageBreak/>
        <w:t>D-</w:t>
      </w:r>
      <w:r w:rsidR="00F45500" w:rsidRPr="007B192E">
        <w:rPr>
          <w:color w:val="000000" w:themeColor="text1"/>
          <w:sz w:val="40"/>
        </w:rPr>
        <w:t>07.06.02</w:t>
      </w:r>
      <w:r w:rsidRPr="007B192E">
        <w:rPr>
          <w:color w:val="000000" w:themeColor="text1"/>
          <w:sz w:val="40"/>
        </w:rPr>
        <w:t xml:space="preserve"> </w:t>
      </w:r>
      <w:r w:rsidR="00F45500" w:rsidRPr="007B192E">
        <w:rPr>
          <w:color w:val="000000" w:themeColor="text1"/>
          <w:sz w:val="40"/>
        </w:rPr>
        <w:t>URZĄDZENIE ZABEZPIECZAJĄCE RUCH PIESZYCH</w:t>
      </w:r>
      <w:bookmarkEnd w:id="340"/>
    </w:p>
    <w:p w14:paraId="10F17582" w14:textId="77777777" w:rsidR="00F45500" w:rsidRPr="007B192E" w:rsidRDefault="00F45500" w:rsidP="00E9570E">
      <w:pPr>
        <w:pStyle w:val="Nagwek2"/>
        <w:rPr>
          <w:i w:val="0"/>
          <w:color w:val="000000" w:themeColor="text1"/>
        </w:rPr>
      </w:pPr>
      <w:bookmarkStart w:id="341" w:name="_Toc425562413"/>
      <w:bookmarkStart w:id="342" w:name="_Toc501175572"/>
      <w:r w:rsidRPr="007B192E">
        <w:rPr>
          <w:i w:val="0"/>
          <w:color w:val="000000" w:themeColor="text1"/>
        </w:rPr>
        <w:t>1. WSTĘP</w:t>
      </w:r>
      <w:bookmarkEnd w:id="341"/>
      <w:bookmarkEnd w:id="342"/>
    </w:p>
    <w:p w14:paraId="1A35A8A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1.1. Przedmiot OST</w:t>
      </w:r>
    </w:p>
    <w:p w14:paraId="17942A39" w14:textId="77777777" w:rsidR="00F45500" w:rsidRPr="007B192E" w:rsidRDefault="00F45500" w:rsidP="00F45500">
      <w:pPr>
        <w:tabs>
          <w:tab w:val="left" w:pos="-2070"/>
          <w:tab w:val="right" w:leader="dot" w:pos="-1985"/>
          <w:tab w:val="left" w:pos="540"/>
        </w:tabs>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Przedmiotem niniejszej ogólnej specyfikacji technicznej (OST) są wymagania dotyczące wykonania i odbioru robót związanych z urządzeniami zabezpieczającymi ruch pieszych.</w:t>
      </w:r>
    </w:p>
    <w:p w14:paraId="2A24837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1.2. Zakres stosowania OST</w:t>
      </w:r>
    </w:p>
    <w:p w14:paraId="55D4D70E"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Ogólna specyfikacja techniczna (OST) stanowi obowiązującą podstawę opracowania szczegółowej specyfikacji technicznej (SST) stosowanej jako dokument przetargowy i kontraktowy przy zlecaniu i realizacji robót na drogach krajowych i wojewódzkich.</w:t>
      </w:r>
    </w:p>
    <w:p w14:paraId="614B17F7"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color w:val="000000" w:themeColor="text1"/>
          <w:sz w:val="18"/>
          <w:szCs w:val="18"/>
        </w:rPr>
        <w:tab/>
        <w:t>Zaleca się wykorzystanie OST przy zlecaniu robót na drogach miejskich  i gminnych.</w:t>
      </w:r>
    </w:p>
    <w:p w14:paraId="18E33D7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OST</w:t>
      </w:r>
    </w:p>
    <w:p w14:paraId="60B8E24E"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Ustalenia zawarte w niniejszej specyfikacji dotyczą zasad prowadzenia robót związanych z urządzeniami zabezpieczającymi ruch pieszych, do których należą:</w:t>
      </w:r>
    </w:p>
    <w:p w14:paraId="2FCEA467"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 xml:space="preserve">ogrodzenia ochronne sztywne, jak: siatki wygradzające na linkach lub w ramach z kątowników, barierki rurowe, barierki z kształtowników w ramach, płotki </w:t>
      </w:r>
      <w:proofErr w:type="spellStart"/>
      <w:r w:rsidRPr="007B192E">
        <w:rPr>
          <w:rFonts w:ascii="Arial" w:hAnsi="Arial" w:cs="Arial"/>
          <w:color w:val="000000" w:themeColor="text1"/>
          <w:sz w:val="18"/>
          <w:szCs w:val="18"/>
        </w:rPr>
        <w:t>szczeblinowe</w:t>
      </w:r>
      <w:proofErr w:type="spellEnd"/>
      <w:r w:rsidRPr="007B192E">
        <w:rPr>
          <w:rFonts w:ascii="Arial" w:hAnsi="Arial" w:cs="Arial"/>
          <w:color w:val="000000" w:themeColor="text1"/>
          <w:sz w:val="18"/>
          <w:szCs w:val="18"/>
        </w:rPr>
        <w:t>, płotki panelowe z tworzyw sztucznych lub szkła zbrojonego,</w:t>
      </w:r>
    </w:p>
    <w:p w14:paraId="2585C3A2"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color w:val="000000" w:themeColor="text1"/>
          <w:sz w:val="18"/>
          <w:szCs w:val="18"/>
        </w:rPr>
        <w:tab/>
        <w:t>Celem stosowania urządzeń zabezpieczających ruch pieszych jest ochrona życia  i zdrowia uczestników ruchu drogowego, zarówno pieszych jak i kierowców oraz pasażerów pojazdów poprzez uniemożliwienie nagłego wtargnięcia na jezdnię (torowisko tramwajowe, tory kolejowe) w miejscach do tego nieprzeznaczonych.</w:t>
      </w:r>
    </w:p>
    <w:p w14:paraId="17AEEAE1"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color w:val="000000" w:themeColor="text1"/>
          <w:sz w:val="18"/>
          <w:szCs w:val="18"/>
        </w:rPr>
        <w:tab/>
        <w:t>Urządzenia zabezpieczające ruch pieszych powinny być zlokalizowane w szczególności:</w:t>
      </w:r>
    </w:p>
    <w:p w14:paraId="2C758917"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 xml:space="preserve">między jezdnią i chodnikiem położonym bezpośrednio przy jezdni, gdy prędkość projektowa na drodze wynosi </w:t>
      </w:r>
      <w:proofErr w:type="spellStart"/>
      <w:r w:rsidRPr="007B192E">
        <w:rPr>
          <w:rFonts w:ascii="Arial" w:hAnsi="Arial" w:cs="Arial"/>
          <w:color w:val="000000" w:themeColor="text1"/>
          <w:sz w:val="18"/>
          <w:szCs w:val="18"/>
        </w:rPr>
        <w:t>V</w:t>
      </w:r>
      <w:r w:rsidRPr="007B192E">
        <w:rPr>
          <w:rFonts w:ascii="Arial" w:hAnsi="Arial" w:cs="Arial"/>
          <w:color w:val="000000" w:themeColor="text1"/>
          <w:sz w:val="18"/>
          <w:szCs w:val="18"/>
          <w:vertAlign w:val="subscript"/>
        </w:rPr>
        <w:t>p</w:t>
      </w:r>
      <w:proofErr w:type="spellEnd"/>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rPr>
        <w:sym w:font="Courier New" w:char="F03E"/>
      </w:r>
      <w:r w:rsidRPr="007B192E">
        <w:rPr>
          <w:rFonts w:ascii="Arial" w:hAnsi="Arial" w:cs="Arial"/>
          <w:color w:val="000000" w:themeColor="text1"/>
          <w:sz w:val="18"/>
          <w:szCs w:val="18"/>
        </w:rPr>
        <w:t xml:space="preserve"> 80 km/h,</w:t>
      </w:r>
    </w:p>
    <w:p w14:paraId="3418F88B"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na pasach dzielących w miejscach przewidywanego nieprzepisowego przekraczania jezdni,</w:t>
      </w:r>
    </w:p>
    <w:p w14:paraId="3D03C762"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w miejscach o niedostatecznej widoczności, gdzie spodziewane jest przekraczanie jezdni,</w:t>
      </w:r>
    </w:p>
    <w:p w14:paraId="5504E11A"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w rejonie wyjść ze szkół i terenów zabaw dzieci,</w:t>
      </w:r>
    </w:p>
    <w:p w14:paraId="373C8EDE"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w sąsiedztwie bezkolizyjnych przejść dla pieszych,</w:t>
      </w:r>
    </w:p>
    <w:p w14:paraId="2941AE1F" w14:textId="77777777" w:rsidR="00F45500" w:rsidRPr="007B192E" w:rsidRDefault="00F45500" w:rsidP="00F45500">
      <w:pPr>
        <w:widowControl/>
        <w:numPr>
          <w:ilvl w:val="0"/>
          <w:numId w:val="196"/>
        </w:numPr>
        <w:tabs>
          <w:tab w:val="right" w:leader="dot" w:pos="-1985"/>
          <w:tab w:val="left" w:pos="540"/>
        </w:tabs>
        <w:suppressAutoHyphens w:val="0"/>
        <w:autoSpaceDN w:val="0"/>
        <w:adjustRightInd w:val="0"/>
        <w:jc w:val="both"/>
        <w:textAlignment w:val="auto"/>
        <w:rPr>
          <w:rFonts w:ascii="Arial" w:hAnsi="Arial" w:cs="Arial"/>
          <w:b/>
          <w:color w:val="000000" w:themeColor="text1"/>
          <w:sz w:val="18"/>
          <w:szCs w:val="18"/>
        </w:rPr>
      </w:pPr>
      <w:r w:rsidRPr="007B192E">
        <w:rPr>
          <w:rFonts w:ascii="Arial" w:hAnsi="Arial" w:cs="Arial"/>
          <w:color w:val="000000" w:themeColor="text1"/>
          <w:sz w:val="18"/>
          <w:szCs w:val="18"/>
        </w:rPr>
        <w:t>na przystankach komunikacji zbiorowej usytuowanych między jezdniami o przeciwnych kierunkach jazdy (np. w torowisku tramwajowym lub w węzłach dróg ekspresowych) .</w:t>
      </w:r>
    </w:p>
    <w:p w14:paraId="57C19C1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398D6350"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Ogrodzenia ochronne sztywne - przegrody fizyczne separujące ruch pieszy od ruchu kołowego wykonane z kształtowników stalowych, siatek na linkach naciągowych, ram z kształtowników wypełnionych siatką, szczeblinami lub panelami z tworzyw sztucznych lub szkła zbrojonego.</w:t>
      </w:r>
    </w:p>
    <w:p w14:paraId="0027C8D0" w14:textId="77777777" w:rsidR="00F45500" w:rsidRPr="007B192E" w:rsidRDefault="00F45500" w:rsidP="00F45500">
      <w:pPr>
        <w:tabs>
          <w:tab w:val="right" w:leader="dot" w:pos="-1985"/>
          <w:tab w:val="left" w:pos="540"/>
        </w:tabs>
        <w:spacing w:before="120"/>
        <w:rPr>
          <w:rFonts w:ascii="Arial" w:hAnsi="Arial" w:cs="Arial"/>
          <w:color w:val="000000" w:themeColor="text1"/>
          <w:sz w:val="18"/>
          <w:szCs w:val="18"/>
        </w:rPr>
      </w:pPr>
      <w:r w:rsidRPr="007B192E">
        <w:rPr>
          <w:rFonts w:ascii="Arial" w:hAnsi="Arial" w:cs="Arial"/>
          <w:b/>
          <w:color w:val="000000" w:themeColor="text1"/>
          <w:sz w:val="18"/>
          <w:szCs w:val="18"/>
        </w:rPr>
        <w:t xml:space="preserve">1.4.4.  </w:t>
      </w:r>
      <w:r w:rsidRPr="007B192E">
        <w:rPr>
          <w:rFonts w:ascii="Arial" w:hAnsi="Arial" w:cs="Arial"/>
          <w:color w:val="000000" w:themeColor="text1"/>
          <w:sz w:val="18"/>
          <w:szCs w:val="18"/>
        </w:rPr>
        <w:t>Kształtowniki - wyroby o stałym przekroju poprzecznym w kształcie złożonej figury geometrycznej, dostarczane w odcinkach prostych, stosowane w konstrukcjach stalowych lub w połączeniu z innymi materiałami budowlanymi.</w:t>
      </w:r>
    </w:p>
    <w:p w14:paraId="114F7163" w14:textId="77777777" w:rsidR="00F45500" w:rsidRPr="007B192E" w:rsidRDefault="00F45500" w:rsidP="00F45500">
      <w:pPr>
        <w:tabs>
          <w:tab w:val="right" w:leader="dot" w:pos="-1985"/>
          <w:tab w:val="left" w:pos="540"/>
        </w:tabs>
        <w:spacing w:before="120"/>
        <w:rPr>
          <w:rFonts w:ascii="Arial" w:hAnsi="Arial" w:cs="Arial"/>
          <w:color w:val="000000" w:themeColor="text1"/>
          <w:sz w:val="18"/>
          <w:szCs w:val="18"/>
        </w:rPr>
      </w:pPr>
      <w:r w:rsidRPr="007B192E">
        <w:rPr>
          <w:rFonts w:ascii="Arial" w:hAnsi="Arial" w:cs="Arial"/>
          <w:b/>
          <w:color w:val="000000" w:themeColor="text1"/>
          <w:sz w:val="18"/>
          <w:szCs w:val="18"/>
        </w:rPr>
        <w:t xml:space="preserve">1.4.5. </w:t>
      </w:r>
      <w:r w:rsidRPr="007B192E">
        <w:rPr>
          <w:rFonts w:ascii="Arial" w:hAnsi="Arial" w:cs="Arial"/>
          <w:color w:val="000000" w:themeColor="text1"/>
          <w:sz w:val="18"/>
          <w:szCs w:val="18"/>
        </w:rPr>
        <w:t>Siatka metalowa - siatka wykonana z drutu o różnym sposobie jego splotu (płóciennym, skośnym), pleciona z płaskich i okrągłych spirali, zgrzewana, skręcana oraz kombinowana (harfowa, pętlowa, półpętlowa) o różnych wielkościach oczek.</w:t>
      </w:r>
    </w:p>
    <w:p w14:paraId="2FBDA1AF" w14:textId="77777777" w:rsidR="00F45500" w:rsidRPr="007B192E" w:rsidRDefault="00F45500" w:rsidP="00F45500">
      <w:pPr>
        <w:tabs>
          <w:tab w:val="right" w:leader="dot" w:pos="-1985"/>
          <w:tab w:val="left" w:pos="540"/>
        </w:tabs>
        <w:spacing w:before="120"/>
        <w:rPr>
          <w:rFonts w:ascii="Arial" w:hAnsi="Arial" w:cs="Arial"/>
          <w:color w:val="000000" w:themeColor="text1"/>
          <w:sz w:val="18"/>
          <w:szCs w:val="18"/>
        </w:rPr>
      </w:pPr>
      <w:r w:rsidRPr="007B192E">
        <w:rPr>
          <w:rFonts w:ascii="Arial" w:hAnsi="Arial" w:cs="Arial"/>
          <w:b/>
          <w:color w:val="000000" w:themeColor="text1"/>
          <w:sz w:val="18"/>
          <w:szCs w:val="18"/>
        </w:rPr>
        <w:t xml:space="preserve">1.4.6. </w:t>
      </w:r>
      <w:r w:rsidRPr="007B192E">
        <w:rPr>
          <w:rFonts w:ascii="Arial" w:hAnsi="Arial" w:cs="Arial"/>
          <w:color w:val="000000" w:themeColor="text1"/>
          <w:sz w:val="18"/>
          <w:szCs w:val="18"/>
        </w:rPr>
        <w:t>Siatka pleciona ślimakowa - siatka o oczkach kwadratowych, pleciona z płaskich spiral wykonanych z drutu okrągłego.</w:t>
      </w:r>
    </w:p>
    <w:p w14:paraId="18F079B2" w14:textId="77777777" w:rsidR="00F45500" w:rsidRPr="007B192E" w:rsidRDefault="00F45500" w:rsidP="00F45500">
      <w:pPr>
        <w:tabs>
          <w:tab w:val="right" w:leader="dot" w:pos="-1985"/>
          <w:tab w:val="left" w:pos="540"/>
        </w:tabs>
        <w:spacing w:before="120"/>
        <w:rPr>
          <w:rFonts w:ascii="Arial" w:hAnsi="Arial" w:cs="Arial"/>
          <w:color w:val="000000" w:themeColor="text1"/>
          <w:sz w:val="18"/>
          <w:szCs w:val="18"/>
        </w:rPr>
      </w:pPr>
      <w:r w:rsidRPr="007B192E">
        <w:rPr>
          <w:rFonts w:ascii="Arial" w:hAnsi="Arial" w:cs="Arial"/>
          <w:b/>
          <w:color w:val="000000" w:themeColor="text1"/>
          <w:sz w:val="18"/>
          <w:szCs w:val="18"/>
        </w:rPr>
        <w:t xml:space="preserve">1.4.7. </w:t>
      </w:r>
      <w:r w:rsidRPr="007B192E">
        <w:rPr>
          <w:rFonts w:ascii="Arial" w:hAnsi="Arial" w:cs="Arial"/>
          <w:color w:val="000000" w:themeColor="text1"/>
          <w:sz w:val="18"/>
          <w:szCs w:val="18"/>
        </w:rPr>
        <w:t>Stalowa linka usztywniająca - równomiernie skręcone splotki z drutu okrągłego tworzące linę stalową.</w:t>
      </w:r>
    </w:p>
    <w:p w14:paraId="5C79536A" w14:textId="77777777" w:rsidR="00F45500" w:rsidRPr="007B192E" w:rsidRDefault="00F45500" w:rsidP="00F45500">
      <w:pPr>
        <w:tabs>
          <w:tab w:val="right" w:leader="dot" w:pos="-1985"/>
          <w:tab w:val="left" w:pos="540"/>
        </w:tabs>
        <w:spacing w:before="120"/>
        <w:rPr>
          <w:rFonts w:ascii="Arial" w:hAnsi="Arial" w:cs="Arial"/>
          <w:color w:val="000000" w:themeColor="text1"/>
          <w:sz w:val="18"/>
          <w:szCs w:val="18"/>
        </w:rPr>
      </w:pPr>
      <w:r w:rsidRPr="007B192E">
        <w:rPr>
          <w:rFonts w:ascii="Arial" w:hAnsi="Arial" w:cs="Arial"/>
          <w:b/>
          <w:color w:val="000000" w:themeColor="text1"/>
          <w:sz w:val="18"/>
          <w:szCs w:val="18"/>
        </w:rPr>
        <w:t xml:space="preserve">1.4.8.  </w:t>
      </w:r>
      <w:r w:rsidRPr="007B192E">
        <w:rPr>
          <w:rFonts w:ascii="Arial" w:hAnsi="Arial" w:cs="Arial"/>
          <w:color w:val="000000" w:themeColor="text1"/>
          <w:sz w:val="18"/>
          <w:szCs w:val="18"/>
        </w:rPr>
        <w:t>Łańcuch techniczny ogniwowy - wyrób z prętów lub walcówki stalowej o ogniwach krótkich, średnich i długich zgrzewanych elektrycznie.</w:t>
      </w:r>
    </w:p>
    <w:p w14:paraId="3581FABA" w14:textId="77777777" w:rsidR="00F45500" w:rsidRPr="007B192E" w:rsidRDefault="00F45500" w:rsidP="00F45500">
      <w:pPr>
        <w:tabs>
          <w:tab w:val="right" w:leader="dot" w:pos="-1985"/>
          <w:tab w:val="left" w:pos="540"/>
        </w:tabs>
        <w:spacing w:before="120" w:after="120"/>
        <w:rPr>
          <w:rFonts w:ascii="Arial" w:hAnsi="Arial" w:cs="Arial"/>
          <w:color w:val="000000" w:themeColor="text1"/>
          <w:sz w:val="18"/>
          <w:szCs w:val="18"/>
        </w:rPr>
      </w:pPr>
      <w:r w:rsidRPr="007B192E">
        <w:rPr>
          <w:rFonts w:ascii="Arial" w:hAnsi="Arial" w:cs="Arial"/>
          <w:b/>
          <w:color w:val="000000" w:themeColor="text1"/>
          <w:sz w:val="18"/>
          <w:szCs w:val="18"/>
        </w:rPr>
        <w:t xml:space="preserve">1.4.9.  </w:t>
      </w:r>
      <w:r w:rsidRPr="007B192E">
        <w:rPr>
          <w:rFonts w:ascii="Arial" w:hAnsi="Arial" w:cs="Arial"/>
          <w:color w:val="000000" w:themeColor="text1"/>
          <w:sz w:val="18"/>
          <w:szCs w:val="18"/>
        </w:rPr>
        <w:t>Szkło zbrojone - szkło mające wewnątrz wtopioną równolegle do powierzchni siatkę drucianą.</w:t>
      </w:r>
    </w:p>
    <w:p w14:paraId="567C76A7"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b/>
          <w:color w:val="000000" w:themeColor="text1"/>
          <w:sz w:val="18"/>
          <w:szCs w:val="18"/>
        </w:rPr>
        <w:t>1.4.10.</w:t>
      </w:r>
      <w:r w:rsidRPr="007B192E">
        <w:rPr>
          <w:rFonts w:ascii="Arial" w:hAnsi="Arial" w:cs="Arial"/>
          <w:color w:val="000000" w:themeColor="text1"/>
          <w:sz w:val="18"/>
          <w:szCs w:val="18"/>
        </w:rPr>
        <w:t xml:space="preserve">Pozostałe określenia podstawowe są zgodne z obowiązującymi, odpowiednimi polskimi normami i z definicjami podanymi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 xml:space="preserve">00.00.00 „Wymagania ogólne” pkt 1.4. </w:t>
      </w:r>
    </w:p>
    <w:p w14:paraId="7FE0D0A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6EB0F399"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robót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 xml:space="preserve">00.00.00 „Wymagania ogólne” pkt 1.5. </w:t>
      </w:r>
    </w:p>
    <w:p w14:paraId="157E347D" w14:textId="77777777" w:rsidR="00F45500" w:rsidRPr="007B192E" w:rsidRDefault="00F45500" w:rsidP="00E9570E">
      <w:pPr>
        <w:pStyle w:val="Nagwek2"/>
        <w:rPr>
          <w:i w:val="0"/>
          <w:color w:val="000000" w:themeColor="text1"/>
        </w:rPr>
      </w:pPr>
      <w:bookmarkStart w:id="343" w:name="_Toc425562414"/>
      <w:bookmarkStart w:id="344" w:name="_Toc501175573"/>
      <w:r w:rsidRPr="007B192E">
        <w:rPr>
          <w:i w:val="0"/>
          <w:color w:val="000000" w:themeColor="text1"/>
        </w:rPr>
        <w:t>2. MATERIAŁY</w:t>
      </w:r>
      <w:bookmarkEnd w:id="343"/>
      <w:bookmarkEnd w:id="344"/>
    </w:p>
    <w:p w14:paraId="25B0554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78C49BFF" w14:textId="77777777" w:rsidR="00F45500" w:rsidRPr="007B192E" w:rsidRDefault="00F45500" w:rsidP="00F45500">
      <w:pPr>
        <w:tabs>
          <w:tab w:val="right" w:leader="dot" w:pos="-1985"/>
          <w:tab w:val="left" w:pos="540"/>
        </w:tabs>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materiałów, ich pozyskiwania i składowania,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2.</w:t>
      </w:r>
    </w:p>
    <w:p w14:paraId="29A1749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Rodzaje materiałów</w:t>
      </w:r>
    </w:p>
    <w:p w14:paraId="32033899" w14:textId="77777777" w:rsidR="00F45500" w:rsidRPr="007B192E" w:rsidRDefault="00F45500" w:rsidP="00F45500">
      <w:pPr>
        <w:widowControl/>
        <w:tabs>
          <w:tab w:val="right" w:leader="dot" w:pos="-1985"/>
          <w:tab w:val="left" w:pos="540"/>
        </w:tabs>
        <w:suppressAutoHyphens w:val="0"/>
        <w:adjustRightInd w:val="0"/>
        <w:jc w:val="both"/>
        <w:rPr>
          <w:rFonts w:ascii="Arial" w:hAnsi="Arial" w:cs="Arial"/>
          <w:b/>
          <w:color w:val="000000" w:themeColor="text1"/>
          <w:sz w:val="18"/>
          <w:szCs w:val="18"/>
        </w:rPr>
      </w:pPr>
      <w:r w:rsidRPr="007B192E">
        <w:rPr>
          <w:rFonts w:ascii="Arial" w:hAnsi="Arial" w:cs="Arial"/>
          <w:color w:val="000000" w:themeColor="text1"/>
          <w:sz w:val="18"/>
          <w:szCs w:val="18"/>
        </w:rPr>
        <w:t>Do wykonania robót należy wykorzystać elementy pochodzące z demontażu istniejących ogrodzeń.</w:t>
      </w:r>
    </w:p>
    <w:p w14:paraId="409F1AB3" w14:textId="77777777" w:rsidR="00F45500" w:rsidRPr="007B192E" w:rsidRDefault="00F45500" w:rsidP="00E9570E">
      <w:pPr>
        <w:pStyle w:val="Nagwek2"/>
        <w:rPr>
          <w:i w:val="0"/>
          <w:color w:val="000000" w:themeColor="text1"/>
        </w:rPr>
      </w:pPr>
      <w:bookmarkStart w:id="345" w:name="_Toc425562415"/>
      <w:bookmarkStart w:id="346" w:name="_Toc501175574"/>
      <w:r w:rsidRPr="007B192E">
        <w:rPr>
          <w:i w:val="0"/>
          <w:color w:val="000000" w:themeColor="text1"/>
        </w:rPr>
        <w:lastRenderedPageBreak/>
        <w:t>3. SPRZĘT</w:t>
      </w:r>
      <w:bookmarkEnd w:id="345"/>
      <w:bookmarkEnd w:id="346"/>
    </w:p>
    <w:p w14:paraId="32D02C0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3.1. Ogólne wymagania dotyczące sprzętu</w:t>
      </w:r>
    </w:p>
    <w:p w14:paraId="7736E58E"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sprzętu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10117BF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3.2. Sprzęt do wykonania urządzeń zabezpieczających ruch pieszych</w:t>
      </w:r>
    </w:p>
    <w:p w14:paraId="09CC69B4"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 xml:space="preserve">       </w:t>
      </w:r>
      <w:r w:rsidRPr="007B192E">
        <w:rPr>
          <w:rFonts w:ascii="Arial" w:hAnsi="Arial" w:cs="Arial"/>
          <w:color w:val="000000" w:themeColor="text1"/>
          <w:sz w:val="18"/>
          <w:szCs w:val="18"/>
        </w:rPr>
        <w:tab/>
        <w:t>Wykonawca przystępujący do wykonania urządzeń zabezpieczających ruch pieszych powinien wykazać się możliwością korzystania z następującego sprzętu:</w:t>
      </w:r>
    </w:p>
    <w:p w14:paraId="01FFC4C2"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szpadli, drągów stalowych, wyciągarek do napinania linek i siatek, młotków, kluczy do montażu elementów panelowych itp.</w:t>
      </w:r>
    </w:p>
    <w:p w14:paraId="4C2BF9F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środków transportu materiałów,</w:t>
      </w:r>
    </w:p>
    <w:p w14:paraId="4E20D750"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żurawi samochodowych o udźwigu do 4 t,</w:t>
      </w:r>
    </w:p>
    <w:p w14:paraId="5CF1087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ewentualnych wiertnic do wykonania dołów pod słupki w gruncie zwięzłym (lecz nie w terenach uzbrojonych w centrach miast),</w:t>
      </w:r>
    </w:p>
    <w:p w14:paraId="25DE35AA"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ewentualnych młotów (bab), wibromłotów do wbijania lub </w:t>
      </w:r>
      <w:proofErr w:type="spellStart"/>
      <w:r w:rsidRPr="007B192E">
        <w:rPr>
          <w:rFonts w:ascii="Arial" w:hAnsi="Arial" w:cs="Arial"/>
          <w:color w:val="000000" w:themeColor="text1"/>
          <w:sz w:val="18"/>
          <w:szCs w:val="18"/>
        </w:rPr>
        <w:t>wwibrowania</w:t>
      </w:r>
      <w:proofErr w:type="spellEnd"/>
      <w:r w:rsidRPr="007B192E">
        <w:rPr>
          <w:rFonts w:ascii="Arial" w:hAnsi="Arial" w:cs="Arial"/>
          <w:color w:val="000000" w:themeColor="text1"/>
          <w:sz w:val="18"/>
          <w:szCs w:val="18"/>
        </w:rPr>
        <w:t xml:space="preserve"> słupków w grunt,</w:t>
      </w:r>
    </w:p>
    <w:p w14:paraId="58BD8755"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przewoźnych zbiorników do wody,</w:t>
      </w:r>
    </w:p>
    <w:p w14:paraId="79FDBA2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betoniarek  przewoźnych do wykonywania fundamentów betonowych „na mokro”,</w:t>
      </w:r>
    </w:p>
    <w:p w14:paraId="15DAF75C"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koparek kołowych (np. 0,15 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 lub koparek gąsiennicowych (np. 0,25 m</w:t>
      </w:r>
      <w:r w:rsidRPr="007B192E">
        <w:rPr>
          <w:rFonts w:ascii="Arial" w:hAnsi="Arial" w:cs="Arial"/>
          <w:color w:val="000000" w:themeColor="text1"/>
          <w:sz w:val="18"/>
          <w:szCs w:val="18"/>
          <w:vertAlign w:val="superscript"/>
        </w:rPr>
        <w:t>3</w:t>
      </w:r>
      <w:r w:rsidRPr="007B192E">
        <w:rPr>
          <w:rFonts w:ascii="Arial" w:hAnsi="Arial" w:cs="Arial"/>
          <w:color w:val="000000" w:themeColor="text1"/>
          <w:sz w:val="18"/>
          <w:szCs w:val="18"/>
        </w:rPr>
        <w:t>),</w:t>
      </w:r>
    </w:p>
    <w:p w14:paraId="0C5036B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sprzętu spawalniczego itp.</w:t>
      </w:r>
    </w:p>
    <w:p w14:paraId="7C4F464B" w14:textId="77777777" w:rsidR="00F45500" w:rsidRPr="007B192E" w:rsidRDefault="00F45500" w:rsidP="00E9570E">
      <w:pPr>
        <w:pStyle w:val="Nagwek2"/>
        <w:rPr>
          <w:i w:val="0"/>
          <w:color w:val="000000" w:themeColor="text1"/>
        </w:rPr>
      </w:pPr>
      <w:bookmarkStart w:id="347" w:name="_Toc425562416"/>
      <w:bookmarkStart w:id="348" w:name="_Toc501175575"/>
      <w:r w:rsidRPr="007B192E">
        <w:rPr>
          <w:i w:val="0"/>
          <w:color w:val="000000" w:themeColor="text1"/>
        </w:rPr>
        <w:t>4. TRANSPORT</w:t>
      </w:r>
      <w:bookmarkEnd w:id="347"/>
      <w:bookmarkEnd w:id="348"/>
    </w:p>
    <w:p w14:paraId="0848A03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4.1. Ogólne wymagania dotyczące transportu</w:t>
      </w:r>
    </w:p>
    <w:p w14:paraId="6536FFEC"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transportu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0A04E57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4.2. Transport materiałów </w:t>
      </w:r>
    </w:p>
    <w:p w14:paraId="78E2D852"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Siatkę metalową należy przewozić w zasadzie krytymi środkami transportu, zabezpieczającymi ją przed uszkodzeniami mechanicznymi   i wpływami atmosferycznymi. Przewożenie siatki odkrytymi środkami transportu jest dozwolone za zgodą Inżyniera.</w:t>
      </w:r>
    </w:p>
    <w:p w14:paraId="3191AB70"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Liny stalowe o masie do 400 kg mogą być dostarczane na bębnach drewnianych, metalowych lub w kręgach. Liny należy przewozić w warunkach nie wpływających na zmianę własności lin.</w:t>
      </w:r>
    </w:p>
    <w:p w14:paraId="3C6AC606"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Rury stalowe na słupki, przeciągi, pochwyty przewozić można dowolnymi środkami transportu. W przypadku załadowania na środek transportu więcej niż jednej partii rur należy je zabezpieczyć przed pomieszaniem.</w:t>
      </w:r>
    </w:p>
    <w:p w14:paraId="673BA1F4"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Kształtowniki można przewozić dowolnym środkiem transportu luzem lub w wiązkach.  W przypadku ładowania na środek transportu więcej niż jednej partii wyrobów należy je zabezpieczyć przed pomieszaniem. Przy transporcie przedmiotów metalizowanych zalecana jest ostrożność ze względu na podatność powłok na uszkodzenia mechaniczne, występujące przy uderzeniach.</w:t>
      </w:r>
    </w:p>
    <w:p w14:paraId="75C0FC4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w:t>
      </w:r>
    </w:p>
    <w:p w14:paraId="079C4768"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Druty i pręty spawalnicze należy przewozić w warunkach zabezpieczających przed korozją, zanieczyszczeniem i uszkodzeniem.</w:t>
      </w:r>
    </w:p>
    <w:p w14:paraId="116C190E"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Łańcuchy techniczne ogniwowe dostarcza się luzem bez opakowania. Dopuszcza się dostawę łańcuchów w paletach skrzynkowych. Łańcuchy należy przewozić dowolnymi krytymi środkami transportu.</w:t>
      </w:r>
    </w:p>
    <w:p w14:paraId="7B09F15E"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Szkło płaskie zbrojone powinno być przewożone w opakowaniach ustawionych w pozycji pionowej na dłuższym boku, środkami transportowymi w sposób zabezpieczający je przed przesuwaniem i opadami atmosferycznymi. Opakowania ze szkłem w czasie transportu należy ustawiać czołami równolegle do kierunku ruchu. Ładowanie skrzyni i pojemników w kilku warstwach jest dopuszczalne pod warunkiem zabezpieczenia ich przed przesuwaniem lub upadkiem. Dopuszcza się inny rodzaj transportu za zgodą Inżyniera.</w:t>
      </w:r>
    </w:p>
    <w:p w14:paraId="477DA7B2"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Prefabrykaty betonowe i żelbetowe powinny być przewożone środkami transportowymi w warunkach zabezpieczających je przed uszkodzeniami. Rozmieszczenie ich na środkach transportowych winno być symetryczne, a górna warstwa nie powinna wystawać poza ściany środka transportowego więcej niż 1/3 wysokości tej warstwy.</w:t>
      </w:r>
    </w:p>
    <w:p w14:paraId="3A973DF1"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Cement należy przewozić zgodnie z postanowieniami BN-88/6731-08 [46], zaś mieszankę betonową wg PN-B-06251 [4].</w:t>
      </w:r>
    </w:p>
    <w:p w14:paraId="57301E11" w14:textId="77777777" w:rsidR="00F45500" w:rsidRPr="007B192E" w:rsidRDefault="00F45500" w:rsidP="00E9570E">
      <w:pPr>
        <w:pStyle w:val="Nagwek2"/>
        <w:rPr>
          <w:i w:val="0"/>
          <w:color w:val="000000" w:themeColor="text1"/>
        </w:rPr>
      </w:pPr>
      <w:bookmarkStart w:id="349" w:name="_Toc425562417"/>
      <w:bookmarkStart w:id="350" w:name="_Toc501175576"/>
      <w:r w:rsidRPr="007B192E">
        <w:rPr>
          <w:i w:val="0"/>
          <w:color w:val="000000" w:themeColor="text1"/>
        </w:rPr>
        <w:t>5. WYKONANIE ROBÓT</w:t>
      </w:r>
      <w:bookmarkEnd w:id="349"/>
      <w:bookmarkEnd w:id="350"/>
    </w:p>
    <w:p w14:paraId="6BFE520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169CFCC8"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w:t>
      </w:r>
    </w:p>
    <w:p w14:paraId="1F9A476B"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Zasady wykonania urządzeń zabezpieczających ruch pieszych</w:t>
      </w:r>
    </w:p>
    <w:p w14:paraId="7CB2A7A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 zależności od wielkości robót Wykonawca przedstawi do akceptacji Inżyniera zakres robót wykonywanych bezpośrednio na placu budowy oraz robót przygotowawczych na zapleczu.</w:t>
      </w:r>
    </w:p>
    <w:p w14:paraId="6CD61B4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Przed wykonywaniem robót należy wytyczyć lokalizację barier, płotków  i innych urządzeń liniowych zabezpieczających ruch pieszych na podstawie dokumentacji projektowej, SST lub zaleceń Inżyniera.</w:t>
      </w:r>
    </w:p>
    <w:p w14:paraId="6CE0CDB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Do podstawowych czynności objętych niniejszą OST przy wykonywaniu ww. robót należą:</w:t>
      </w:r>
    </w:p>
    <w:p w14:paraId="07404FAE"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wykonanie dołów pod słupki,</w:t>
      </w:r>
    </w:p>
    <w:p w14:paraId="493D7F3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wykonanie fundamentów betonowych pod słupki,</w:t>
      </w:r>
    </w:p>
    <w:p w14:paraId="5746DD0A"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ustawienie słupków,</w:t>
      </w:r>
    </w:p>
    <w:p w14:paraId="549AA3F8"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zamontowanie elementów w ramach z kształtowników,</w:t>
      </w:r>
    </w:p>
    <w:p w14:paraId="4B914B0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przymocowanie łańcuchów w barierach łańcuchowych,</w:t>
      </w:r>
    </w:p>
    <w:p w14:paraId="1FF8B8B1"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ustawienie zapór z kwietników, wazonów itp.</w:t>
      </w:r>
    </w:p>
    <w:p w14:paraId="23D23405"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Wykonanie dołów pod słupki</w:t>
      </w:r>
    </w:p>
    <w:p w14:paraId="522275DD"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Jeśli dokumentacja projektowa lub  SST nie podaje  inaczej, to doły pod słupki powinny mieć wymiary w planie co najmniej o 20 cm większe od wymiarów słupka, a głębokość od  0,8 do 1,2 m.</w:t>
      </w:r>
    </w:p>
    <w:p w14:paraId="0F10752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Ustawienie słupków wraz z wykonaniem fundamentów betonowych pod słupki</w:t>
      </w:r>
    </w:p>
    <w:p w14:paraId="056B3928"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Jeśli dokumentacja projektowa lub SST nie podaje inaczej, to słupki mogą być osadzone w betonie ułożonym w dołku albo oprawione w bloczki betonowe formowane na zapleczu i dostarczane do miejsca budowy urządzenia zabezpieczającego ruch pieszych. Po uzyskaniu akceptacji Inżyniera, słupki betonowe mogą być obłożone kamieniami lub gruzem i przysypane ziemią.</w:t>
      </w:r>
    </w:p>
    <w:p w14:paraId="7D7C5ACA"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Słupek należy wstawić w gotowy wykop i napełnić otwór mieszanką betonową odpowiadającą wymaganiom punktu 2.9. Do czasu stwardnienia betonu słupek należy podeprzeć.</w:t>
      </w:r>
    </w:p>
    <w:p w14:paraId="26B3FE7B"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Fundament betonowy wykonany „na mokro”, w którym osadzono słupek, można wykorzystywać do dalszych prac (np. napinania siatki) co najmniej po 7 dniach od ustawienia słupka w betonie, a jeśli temperatura w czasie wykonywania fundamentu jest niższa od 10</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 po 14 dniach.</w:t>
      </w:r>
    </w:p>
    <w:p w14:paraId="62367B5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5.5. Ustawienie słupków</w:t>
      </w:r>
    </w:p>
    <w:p w14:paraId="5F269D75"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Słupki, bez względu na rodzaj i sposób osadzenia w gruncie, powinny stać pionowo w linii urządzenia zabezpieczającego ruch pieszych, a ich wierzchołki powinny znajdować się na jednakowej wysokości. Słupki z rur powinny mieć zaspawany górny otwór rury.</w:t>
      </w:r>
    </w:p>
    <w:p w14:paraId="67737E1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Słupki końcowe, narożne oraz stojące na załamaniach wygrodzenia o kącie większym od 15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 xml:space="preserve"> należy zabezpieczyć przed wychylaniem się ukośnymi słupkami wspierającymi, ustawiając je wzdłuż biegu ogrodzenia pod kątem około 30 do 45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w:t>
      </w:r>
    </w:p>
    <w:p w14:paraId="54B8804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Słupki do siatki ogrodzeniowej powinny być przystosowane do umocowania na nich linek usztywniających przez posiadanie odpowiednich uszek lub otworów do zaczepów i haków metalowych. Słupki końcowe lub narożne powinny być dodatkowo przystosowane do umocowania do nich siatki (np. przez przymocowanie do nich pręta stalowego).</w:t>
      </w:r>
    </w:p>
    <w:p w14:paraId="451F35A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5.6. Słupki wbijane lub </w:t>
      </w:r>
      <w:proofErr w:type="spellStart"/>
      <w:r w:rsidRPr="007B192E">
        <w:rPr>
          <w:color w:val="000000" w:themeColor="text1"/>
          <w:sz w:val="18"/>
          <w:szCs w:val="18"/>
        </w:rPr>
        <w:t>wwibrowywane</w:t>
      </w:r>
      <w:proofErr w:type="spellEnd"/>
      <w:r w:rsidRPr="007B192E">
        <w:rPr>
          <w:color w:val="000000" w:themeColor="text1"/>
          <w:sz w:val="18"/>
          <w:szCs w:val="18"/>
        </w:rPr>
        <w:t xml:space="preserve"> bezpośrednio w grunt</w:t>
      </w:r>
    </w:p>
    <w:p w14:paraId="59596702"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Jeśli dokumentacja projektowa lub SST ustali bezpośrednie wbijanie lub </w:t>
      </w:r>
      <w:proofErr w:type="spellStart"/>
      <w:r w:rsidRPr="007B192E">
        <w:rPr>
          <w:rFonts w:ascii="Arial" w:hAnsi="Arial" w:cs="Arial"/>
          <w:color w:val="000000" w:themeColor="text1"/>
          <w:sz w:val="18"/>
          <w:szCs w:val="18"/>
        </w:rPr>
        <w:t>wwibrowywanie</w:t>
      </w:r>
      <w:proofErr w:type="spellEnd"/>
      <w:r w:rsidRPr="007B192E">
        <w:rPr>
          <w:rFonts w:ascii="Arial" w:hAnsi="Arial" w:cs="Arial"/>
          <w:color w:val="000000" w:themeColor="text1"/>
          <w:sz w:val="18"/>
          <w:szCs w:val="18"/>
        </w:rPr>
        <w:t xml:space="preserve"> słupków w grunt, to Wykonawca przedstawi do akceptacji Inżyniera:</w:t>
      </w:r>
    </w:p>
    <w:p w14:paraId="55D1ABCA"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b/>
          <w:color w:val="000000" w:themeColor="text1"/>
          <w:sz w:val="18"/>
          <w:szCs w:val="18"/>
        </w:rPr>
      </w:pPr>
      <w:r w:rsidRPr="007B192E">
        <w:rPr>
          <w:rFonts w:ascii="Arial" w:hAnsi="Arial" w:cs="Arial"/>
          <w:color w:val="000000" w:themeColor="text1"/>
          <w:sz w:val="18"/>
          <w:szCs w:val="18"/>
        </w:rPr>
        <w:t>sposób wykonania, zapewniający zachowanie osi słupka w pionie i nie powodujący odkształceń lub uszkodzeń słupka,</w:t>
      </w:r>
    </w:p>
    <w:p w14:paraId="67B84C15"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b/>
          <w:color w:val="000000" w:themeColor="text1"/>
          <w:sz w:val="18"/>
          <w:szCs w:val="18"/>
        </w:rPr>
      </w:pPr>
      <w:r w:rsidRPr="007B192E">
        <w:rPr>
          <w:rFonts w:ascii="Arial" w:hAnsi="Arial" w:cs="Arial"/>
          <w:color w:val="000000" w:themeColor="text1"/>
          <w:sz w:val="18"/>
          <w:szCs w:val="18"/>
        </w:rPr>
        <w:t>rodzaj sprzętu (i jego charakterystykę techniczną), dotyczący np. młotów (bab) ręcznych podnoszonych bezpośrednio (lub przy użyciu urządzeń pomocniczych) przez robotników, młotów mechanicznych z wciągarką ręczną lub napędem spalinowym, wibromłotów pogrążających słupki w gruncie poprzez wibrację i działanie udarowe</w:t>
      </w:r>
    </w:p>
    <w:p w14:paraId="244BAA75"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przy zachowaniu wymagań ustawienia słupków podanych w p. 5.5 z anulowaniem postanowień dotyczących wykonania dołów i fundamentów podanych w punktach 5.3 i 5.4.</w:t>
      </w:r>
    </w:p>
    <w:p w14:paraId="05D7026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 xml:space="preserve">5.7. Rozpięcie siatki </w:t>
      </w:r>
    </w:p>
    <w:p w14:paraId="2483F03A"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Jeśli dokumentacja projektowa lub SST nie podaje inaczej, to należy rozwiesić trzy linki (druty) usztywniające: u góry, na dole i w środku siatki  przymocowując je do słupków. Do słupków końcowych i narożnych linki muszą być starannie przymocowane (np. przewleczone przez uszka, zagięte do tyłu na około 10 cm i okręcone na bieżącym drucie). Linki powinny być umocowane tak, aby nie mogły przesuwać się i wywierać nacisku na słupki narożne, a w przypadku zerwania się zwalniały siatkę tylko między słupkami. Linki napina się wyciągarkami, względnie złączami rzymskimi wmontowanymi co 3 do 8 m lub innym sposobem zaakceptowanym przez Inżyniera.</w:t>
      </w:r>
      <w:r w:rsidRPr="007B192E">
        <w:rPr>
          <w:rFonts w:ascii="Arial" w:hAnsi="Arial" w:cs="Arial"/>
          <w:color w:val="000000" w:themeColor="text1"/>
          <w:sz w:val="18"/>
          <w:szCs w:val="18"/>
        </w:rPr>
        <w:tab/>
        <w:t>Nie należy zbyt silnie napinać linek, aby nie oddziaływały one ujemnie na słupki narożne.</w:t>
      </w:r>
    </w:p>
    <w:p w14:paraId="74A3AD7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Siatkę metalową przymocowuje się do słupków końcowych i narożnych za pomocą prętów płaskich lub zaokrąglonych lub w inny sposób zaakceptowany przez Inżyniera. Siatkę napina się w sposób podobny do napinania linek i przymocowuje się (np. kawałkami ocynkowanego drutu co 50 do 70 cm) do linek. Górną krawędź siatki metalowej należy łączyć z linką zaginając na niej poszczególne druty siatki. Siatka powinna być napięta sztywno, jednak tak, aby nie zniekształcić jej oczek.</w:t>
      </w:r>
    </w:p>
    <w:p w14:paraId="4643C57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5.8. Wykonanie siatki w  ramach</w:t>
      </w:r>
    </w:p>
    <w:p w14:paraId="30FB4876"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Jeśli dokumentacja projektowa lub SST nie podaje inaczej, to siatka powinna być umieszczona w ramach z kątownika (np. o wymiarach 45 x 45 x 5 mm lub 50 x 50 x 6 mm) lub innego kształtownika zaakceptowanego przez Inżyniera.</w:t>
      </w:r>
    </w:p>
    <w:p w14:paraId="3317B5BA"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Zaleca się wykonanie jednakowych odległości między słupkami, w celu zachowania możliwie jednego wymiaru ramy. Krótsze ramy można wykonać przy narożnikach. Górne krawędzie ram powinny być zawsze poziome.</w:t>
      </w:r>
    </w:p>
    <w:p w14:paraId="2FA378C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Prześwity między ramą a słupkiem nie powinny być większe niż 8 do 10 cm.</w:t>
      </w:r>
    </w:p>
    <w:p w14:paraId="2D5CA2AA"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Ramy z siatką umieszcza się między słupkami i przymocowuje do słupków w sposób zgodny z dokumentacją projektową, SST lub wskazaniami Inżyniera. W celu uniknięcia wydłużenia lub kurczenia się ram pod wpływem temperatury zaleca się mocować ramy do słupków za pomocą śrub i płaskowników z otworami podłużnymi.</w:t>
      </w:r>
    </w:p>
    <w:p w14:paraId="55D914B8" w14:textId="77777777" w:rsidR="00F45500" w:rsidRPr="007B192E" w:rsidRDefault="00F45500" w:rsidP="00F45500">
      <w:pPr>
        <w:pStyle w:val="StylIwony"/>
        <w:spacing w:after="0"/>
        <w:rPr>
          <w:rFonts w:ascii="Arial" w:hAnsi="Arial" w:cs="Arial"/>
          <w:b/>
          <w:color w:val="000000" w:themeColor="text1"/>
          <w:sz w:val="18"/>
          <w:szCs w:val="18"/>
        </w:rPr>
      </w:pPr>
      <w:r w:rsidRPr="007B192E">
        <w:rPr>
          <w:rFonts w:ascii="Arial" w:hAnsi="Arial" w:cs="Arial"/>
          <w:b/>
          <w:color w:val="000000" w:themeColor="text1"/>
          <w:sz w:val="18"/>
          <w:szCs w:val="18"/>
        </w:rPr>
        <w:t>5.9. Wykonanie urządzeń zabezpieczających ruch pieszych z ram wypełnionych różnymi materiałami</w:t>
      </w:r>
    </w:p>
    <w:p w14:paraId="03FCC332"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Jeśli dokumentacja projektowa lub SST nie podaje inaczej, to ramy mogą być wykonane z kątowników o wymiarach 45 x 45 x 5 mm, 50 x 50 x 6 mm lub innego kształtownika zaakceptowanego przez Inżyniera.</w:t>
      </w:r>
    </w:p>
    <w:p w14:paraId="12D8FB4E"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Wysokość i szerokość elementów w ramach z kątowników winna być zgodna z dokumentacją projektową lub SST.</w:t>
      </w:r>
    </w:p>
    <w:p w14:paraId="292DA446"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Wypełnienie ram może być wykonane z płaskowników, prętów stalowych, szkła zbrojonego, tworzyw sztucznych itp.</w:t>
      </w:r>
    </w:p>
    <w:p w14:paraId="5703C91A"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Pozostałe warunki montażu obowiązują  jak w punkcie 5.8.</w:t>
      </w:r>
    </w:p>
    <w:p w14:paraId="4746C2B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5.10. Wykonanie urządzeń zabezpieczających ruch pieszych w formie poręczy</w:t>
      </w:r>
    </w:p>
    <w:p w14:paraId="00A898E9"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Poręcze oddzielające ruch pieszy od kołowego winny być wykonane zgodnie z dokumentacją projektową lub SST.</w:t>
      </w:r>
    </w:p>
    <w:p w14:paraId="5EFEDF7C"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W przypadku braku szczegółowych wskazań, za  zgodą Inżyniera można stosować poręcze zgodne z [47], [49] lub KB8-3.3(5)[48] typ P1 z płaskownika 50x10 mm (szczebliny, przeciągi) i 80x12 mm (pochwyt, słupki); typ 2A z pochwytem z ceownika 80E, słupkami z dwuteownika 80 oraz przeciągami z rur </w:t>
      </w:r>
      <w:r w:rsidRPr="007B192E">
        <w:rPr>
          <w:rFonts w:ascii="Arial" w:hAnsi="Arial" w:cs="Arial"/>
          <w:color w:val="000000" w:themeColor="text1"/>
          <w:sz w:val="18"/>
          <w:szCs w:val="18"/>
        </w:rPr>
        <w:sym w:font="Courier New" w:char="F3C6"/>
      </w:r>
      <w:r w:rsidRPr="007B192E">
        <w:rPr>
          <w:rFonts w:ascii="Arial" w:hAnsi="Arial" w:cs="Arial"/>
          <w:color w:val="000000" w:themeColor="text1"/>
          <w:sz w:val="18"/>
          <w:szCs w:val="18"/>
        </w:rPr>
        <w:t xml:space="preserve"> 32x3; typ 2B jak typ 2A lecz z przeciągami z kątownika 45x45x5 mm; typ 3A z pochwytem z ceownika 80E, słupkami z dwuteownika 80 oraz przeciągami z rur </w:t>
      </w:r>
      <w:r w:rsidRPr="007B192E">
        <w:rPr>
          <w:rFonts w:ascii="Arial" w:hAnsi="Arial" w:cs="Arial"/>
          <w:color w:val="000000" w:themeColor="text1"/>
          <w:sz w:val="18"/>
          <w:szCs w:val="18"/>
        </w:rPr>
        <w:sym w:font="Courier New" w:char="F3C6"/>
      </w:r>
      <w:r w:rsidRPr="007B192E">
        <w:rPr>
          <w:rFonts w:ascii="Arial" w:hAnsi="Arial" w:cs="Arial"/>
          <w:color w:val="000000" w:themeColor="text1"/>
          <w:sz w:val="18"/>
          <w:szCs w:val="18"/>
        </w:rPr>
        <w:t xml:space="preserve"> 32x3 oraz typ 3B jak wyżej lecz z przeciągami z kątownika 45x45x5 mm. Długość segmentów: dla poręczy ze szczeblinami 1,0 m dla pozostałych 2,0 m. Wysokość poręczy wynosi 1,0 m. Poręcze powinny odpowiadać wymaganiom [53].</w:t>
      </w:r>
    </w:p>
    <w:p w14:paraId="72D084C4"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Rozstaw dylatacji poręczy powinien być zgodny z dokumentacją projektową lub SST.</w:t>
      </w:r>
    </w:p>
    <w:p w14:paraId="44824E0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Maksymalną długość poręczy nie </w:t>
      </w:r>
      <w:proofErr w:type="spellStart"/>
      <w:r w:rsidRPr="007B192E">
        <w:rPr>
          <w:rFonts w:ascii="Arial" w:hAnsi="Arial" w:cs="Arial"/>
          <w:color w:val="000000" w:themeColor="text1"/>
          <w:sz w:val="18"/>
          <w:szCs w:val="18"/>
        </w:rPr>
        <w:t>dylatowanych</w:t>
      </w:r>
      <w:proofErr w:type="spellEnd"/>
      <w:r w:rsidRPr="007B192E">
        <w:rPr>
          <w:rFonts w:ascii="Arial" w:hAnsi="Arial" w:cs="Arial"/>
          <w:color w:val="000000" w:themeColor="text1"/>
          <w:sz w:val="18"/>
          <w:szCs w:val="18"/>
        </w:rPr>
        <w:t xml:space="preserve"> określa się na 50 m pod warunkiem zgody Inżyniera.</w:t>
      </w:r>
    </w:p>
    <w:p w14:paraId="55F797D7" w14:textId="77777777" w:rsidR="00F45500" w:rsidRPr="007B192E" w:rsidRDefault="00F45500" w:rsidP="00F45500">
      <w:pPr>
        <w:pStyle w:val="StylIwony"/>
        <w:spacing w:after="0"/>
        <w:rPr>
          <w:rFonts w:ascii="Arial" w:hAnsi="Arial" w:cs="Arial"/>
          <w:b/>
          <w:color w:val="000000" w:themeColor="text1"/>
          <w:sz w:val="18"/>
          <w:szCs w:val="18"/>
        </w:rPr>
      </w:pPr>
      <w:r w:rsidRPr="007B192E">
        <w:rPr>
          <w:rFonts w:ascii="Arial" w:hAnsi="Arial" w:cs="Arial"/>
          <w:b/>
          <w:color w:val="000000" w:themeColor="text1"/>
          <w:sz w:val="18"/>
          <w:szCs w:val="18"/>
        </w:rPr>
        <w:t>5.11. Wykonanie spawanych złącz elementów urządzeń zabezpieczających ruch pieszych</w:t>
      </w:r>
    </w:p>
    <w:p w14:paraId="1688E947"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Złącza spawane elementów urządzeń zabezpieczających ruch pieszych powinny odpowiadać wymaganiom PN-M-69011 [12].</w:t>
      </w:r>
    </w:p>
    <w:p w14:paraId="1D69F7ED"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Wytrzymałość zmęczeniowa spoin powinna wynosić od 19 do 32 </w:t>
      </w:r>
      <w:proofErr w:type="spellStart"/>
      <w:r w:rsidRPr="007B192E">
        <w:rPr>
          <w:rFonts w:ascii="Arial" w:hAnsi="Arial" w:cs="Arial"/>
          <w:color w:val="000000" w:themeColor="text1"/>
          <w:sz w:val="18"/>
          <w:szCs w:val="18"/>
        </w:rPr>
        <w:t>MPa</w:t>
      </w:r>
      <w:proofErr w:type="spellEnd"/>
      <w:r w:rsidRPr="007B192E">
        <w:rPr>
          <w:rFonts w:ascii="Arial" w:hAnsi="Arial" w:cs="Arial"/>
          <w:color w:val="000000" w:themeColor="text1"/>
          <w:sz w:val="18"/>
          <w:szCs w:val="18"/>
        </w:rPr>
        <w:t xml:space="preserve">. Odchyłki wymiarów spoin nie powinny przekraczać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0,5 mm dla grubości spoiny do 6 mm i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1,0 mm dla spoiny powyżej 6 mm.</w:t>
      </w:r>
    </w:p>
    <w:p w14:paraId="0558FC3E"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Odstęp, w złączach zakładkowych i </w:t>
      </w:r>
      <w:proofErr w:type="spellStart"/>
      <w:r w:rsidRPr="007B192E">
        <w:rPr>
          <w:rFonts w:ascii="Arial" w:hAnsi="Arial" w:cs="Arial"/>
          <w:color w:val="000000" w:themeColor="text1"/>
          <w:sz w:val="18"/>
          <w:szCs w:val="18"/>
        </w:rPr>
        <w:t>nadkładkowych</w:t>
      </w:r>
      <w:proofErr w:type="spellEnd"/>
      <w:r w:rsidRPr="007B192E">
        <w:rPr>
          <w:rFonts w:ascii="Arial" w:hAnsi="Arial" w:cs="Arial"/>
          <w:color w:val="000000" w:themeColor="text1"/>
          <w:sz w:val="18"/>
          <w:szCs w:val="18"/>
        </w:rPr>
        <w:t>, pomiędzy przylegającymi do siebie płaszczyznami nie powinien być większy niż 1 mm.</w:t>
      </w:r>
    </w:p>
    <w:p w14:paraId="41D19264"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Złącza spawane nie powinny mieć wad większych niż podane w tablicy 19. Inżynier może dopuścić wady większe niż podane w tablicy 19 jeśli uzna, że nie mają one zasadniczego wpływu na cechy eksploatacyjne urządzeń zabezpieczających ruch pieszych.</w:t>
      </w:r>
    </w:p>
    <w:p w14:paraId="1FE9E531" w14:textId="77777777" w:rsidR="00F45500" w:rsidRPr="007B192E" w:rsidRDefault="00F45500" w:rsidP="00F45500">
      <w:pPr>
        <w:pStyle w:val="StylIwony"/>
        <w:rPr>
          <w:rFonts w:ascii="Arial" w:hAnsi="Arial" w:cs="Arial"/>
          <w:color w:val="000000" w:themeColor="text1"/>
          <w:sz w:val="18"/>
          <w:szCs w:val="18"/>
        </w:rPr>
      </w:pPr>
    </w:p>
    <w:p w14:paraId="6B0A3AA0" w14:textId="77777777" w:rsidR="00F45500" w:rsidRPr="007B192E" w:rsidRDefault="00F45500" w:rsidP="00F45500">
      <w:pPr>
        <w:pStyle w:val="StylIwony"/>
        <w:rPr>
          <w:rFonts w:ascii="Arial" w:hAnsi="Arial" w:cs="Arial"/>
          <w:color w:val="000000" w:themeColor="text1"/>
          <w:sz w:val="18"/>
          <w:szCs w:val="18"/>
        </w:rPr>
      </w:pPr>
      <w:r w:rsidRPr="007B192E">
        <w:rPr>
          <w:rFonts w:ascii="Arial" w:hAnsi="Arial" w:cs="Arial"/>
          <w:color w:val="000000" w:themeColor="text1"/>
          <w:sz w:val="18"/>
          <w:szCs w:val="18"/>
        </w:rPr>
        <w:t>Tablica 19. Dopuszczalne wymiary wad w złączach spawanych według PN-M-69775 [32]</w:t>
      </w:r>
    </w:p>
    <w:tbl>
      <w:tblPr>
        <w:tblW w:w="0" w:type="auto"/>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3756"/>
        <w:gridCol w:w="3685"/>
      </w:tblGrid>
      <w:tr w:rsidR="004D7D23" w:rsidRPr="007B192E" w14:paraId="266DFC88" w14:textId="77777777" w:rsidTr="008F7A94">
        <w:tc>
          <w:tcPr>
            <w:tcW w:w="3756" w:type="dxa"/>
            <w:tcBorders>
              <w:top w:val="single" w:sz="6" w:space="0" w:color="auto"/>
              <w:left w:val="single" w:sz="6" w:space="0" w:color="auto"/>
              <w:bottom w:val="double" w:sz="6" w:space="0" w:color="auto"/>
              <w:right w:val="single" w:sz="6" w:space="0" w:color="auto"/>
            </w:tcBorders>
            <w:noWrap/>
            <w:hideMark/>
          </w:tcPr>
          <w:p w14:paraId="02780450" w14:textId="77777777" w:rsidR="00F45500" w:rsidRPr="007B192E" w:rsidRDefault="00F45500" w:rsidP="008F7A94">
            <w:pPr>
              <w:pStyle w:val="StylIwony"/>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Rodzaj wady</w:t>
            </w:r>
          </w:p>
        </w:tc>
        <w:tc>
          <w:tcPr>
            <w:tcW w:w="3685" w:type="dxa"/>
            <w:tcBorders>
              <w:top w:val="single" w:sz="6" w:space="0" w:color="auto"/>
              <w:left w:val="single" w:sz="6" w:space="0" w:color="auto"/>
              <w:bottom w:val="double" w:sz="6" w:space="0" w:color="auto"/>
              <w:right w:val="single" w:sz="6" w:space="0" w:color="auto"/>
            </w:tcBorders>
            <w:noWrap/>
            <w:hideMark/>
          </w:tcPr>
          <w:p w14:paraId="514A3206" w14:textId="77777777" w:rsidR="00F45500" w:rsidRPr="007B192E" w:rsidRDefault="00F45500" w:rsidP="008F7A94">
            <w:pPr>
              <w:pStyle w:val="StylIwony"/>
              <w:spacing w:before="60" w:after="60"/>
              <w:jc w:val="center"/>
              <w:rPr>
                <w:rFonts w:ascii="Arial" w:hAnsi="Arial" w:cs="Arial"/>
                <w:color w:val="000000" w:themeColor="text1"/>
                <w:sz w:val="18"/>
                <w:szCs w:val="18"/>
              </w:rPr>
            </w:pPr>
            <w:r w:rsidRPr="007B192E">
              <w:rPr>
                <w:rFonts w:ascii="Arial" w:hAnsi="Arial" w:cs="Arial"/>
                <w:color w:val="000000" w:themeColor="text1"/>
                <w:sz w:val="18"/>
                <w:szCs w:val="18"/>
              </w:rPr>
              <w:t>Dopuszczalny wymiar wady  w mm</w:t>
            </w:r>
          </w:p>
        </w:tc>
      </w:tr>
      <w:tr w:rsidR="004D7D23" w:rsidRPr="007B192E" w14:paraId="0E97742F" w14:textId="77777777" w:rsidTr="008F7A94">
        <w:tc>
          <w:tcPr>
            <w:tcW w:w="3756" w:type="dxa"/>
            <w:tcBorders>
              <w:top w:val="nil"/>
              <w:left w:val="single" w:sz="6" w:space="0" w:color="auto"/>
              <w:bottom w:val="single" w:sz="6" w:space="0" w:color="auto"/>
              <w:right w:val="single" w:sz="6" w:space="0" w:color="auto"/>
            </w:tcBorders>
            <w:noWrap/>
            <w:hideMark/>
          </w:tcPr>
          <w:p w14:paraId="647DAA8C" w14:textId="77777777" w:rsidR="00F45500" w:rsidRPr="007B192E" w:rsidRDefault="00F45500" w:rsidP="008F7A94">
            <w:pPr>
              <w:pStyle w:val="StylIwony"/>
              <w:spacing w:before="60" w:after="0"/>
              <w:rPr>
                <w:rFonts w:ascii="Arial" w:hAnsi="Arial" w:cs="Arial"/>
                <w:color w:val="000000" w:themeColor="text1"/>
                <w:sz w:val="18"/>
                <w:szCs w:val="18"/>
              </w:rPr>
            </w:pPr>
            <w:r w:rsidRPr="007B192E">
              <w:rPr>
                <w:rFonts w:ascii="Arial" w:hAnsi="Arial" w:cs="Arial"/>
                <w:color w:val="000000" w:themeColor="text1"/>
                <w:sz w:val="18"/>
                <w:szCs w:val="18"/>
              </w:rPr>
              <w:t>Brak przetopu</w:t>
            </w:r>
          </w:p>
          <w:p w14:paraId="44049F1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Podtopienie lica</w:t>
            </w:r>
          </w:p>
          <w:p w14:paraId="00581438"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Porowatość</w:t>
            </w:r>
          </w:p>
          <w:p w14:paraId="4E0C5A2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Krater</w:t>
            </w:r>
          </w:p>
          <w:p w14:paraId="4AEC1BC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Wklęśnięcie lica</w:t>
            </w:r>
          </w:p>
          <w:p w14:paraId="5EF3A38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Uszkodzenie mechaniczne</w:t>
            </w:r>
          </w:p>
          <w:p w14:paraId="43D61969"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Różnica wysokości sąsiednich wgłębień</w:t>
            </w:r>
          </w:p>
          <w:p w14:paraId="0799AC09"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i wypukłości lica</w:t>
            </w:r>
          </w:p>
        </w:tc>
        <w:tc>
          <w:tcPr>
            <w:tcW w:w="3685" w:type="dxa"/>
            <w:tcBorders>
              <w:top w:val="nil"/>
              <w:left w:val="single" w:sz="6" w:space="0" w:color="auto"/>
              <w:bottom w:val="single" w:sz="6" w:space="0" w:color="auto"/>
              <w:right w:val="single" w:sz="6" w:space="0" w:color="auto"/>
            </w:tcBorders>
            <w:noWrap/>
            <w:hideMark/>
          </w:tcPr>
          <w:p w14:paraId="2D699569" w14:textId="77777777" w:rsidR="00F45500" w:rsidRPr="007B192E" w:rsidRDefault="00F45500" w:rsidP="008F7A94">
            <w:pPr>
              <w:pStyle w:val="StylIwony"/>
              <w:spacing w:before="60" w:after="0"/>
              <w:jc w:val="center"/>
              <w:rPr>
                <w:rFonts w:ascii="Arial" w:hAnsi="Arial" w:cs="Arial"/>
                <w:color w:val="000000" w:themeColor="text1"/>
                <w:sz w:val="18"/>
                <w:szCs w:val="18"/>
              </w:rPr>
            </w:pPr>
            <w:r w:rsidRPr="007B192E">
              <w:rPr>
                <w:rFonts w:ascii="Arial" w:hAnsi="Arial" w:cs="Arial"/>
                <w:color w:val="000000" w:themeColor="text1"/>
                <w:sz w:val="18"/>
                <w:szCs w:val="18"/>
              </w:rPr>
              <w:t>2,0</w:t>
            </w:r>
          </w:p>
          <w:p w14:paraId="4695A334"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1,5</w:t>
            </w:r>
          </w:p>
          <w:p w14:paraId="75A2D55C"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3,0</w:t>
            </w:r>
          </w:p>
          <w:p w14:paraId="02E0119A"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1,5</w:t>
            </w:r>
          </w:p>
          <w:p w14:paraId="690FF910"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1,5</w:t>
            </w:r>
          </w:p>
          <w:p w14:paraId="24D2DCE4"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1,0</w:t>
            </w:r>
          </w:p>
          <w:p w14:paraId="4870EDE5" w14:textId="77777777" w:rsidR="00F45500" w:rsidRPr="007B192E" w:rsidRDefault="00F45500" w:rsidP="008F7A94">
            <w:pPr>
              <w:pStyle w:val="StylIwony"/>
              <w:spacing w:before="0" w:after="0"/>
              <w:jc w:val="center"/>
              <w:rPr>
                <w:rFonts w:ascii="Arial" w:hAnsi="Arial" w:cs="Arial"/>
                <w:color w:val="000000" w:themeColor="text1"/>
                <w:sz w:val="18"/>
                <w:szCs w:val="18"/>
              </w:rPr>
            </w:pPr>
          </w:p>
          <w:p w14:paraId="2F634694" w14:textId="77777777" w:rsidR="00F45500" w:rsidRPr="007B192E" w:rsidRDefault="00F45500" w:rsidP="008F7A94">
            <w:pPr>
              <w:pStyle w:val="StylIwony"/>
              <w:spacing w:before="0" w:after="60"/>
              <w:jc w:val="center"/>
              <w:rPr>
                <w:rFonts w:ascii="Arial" w:hAnsi="Arial" w:cs="Arial"/>
                <w:color w:val="000000" w:themeColor="text1"/>
                <w:sz w:val="18"/>
                <w:szCs w:val="18"/>
              </w:rPr>
            </w:pPr>
            <w:r w:rsidRPr="007B192E">
              <w:rPr>
                <w:rFonts w:ascii="Arial" w:hAnsi="Arial" w:cs="Arial"/>
                <w:color w:val="000000" w:themeColor="text1"/>
                <w:sz w:val="18"/>
                <w:szCs w:val="18"/>
              </w:rPr>
              <w:t>3,0</w:t>
            </w:r>
          </w:p>
        </w:tc>
      </w:tr>
    </w:tbl>
    <w:p w14:paraId="6350EF70" w14:textId="77777777" w:rsidR="00F45500" w:rsidRPr="007B192E" w:rsidRDefault="00F45500" w:rsidP="00F45500">
      <w:pPr>
        <w:pStyle w:val="Nagwek2"/>
        <w:numPr>
          <w:ilvl w:val="1"/>
          <w:numId w:val="30"/>
        </w:numPr>
        <w:overflowPunct/>
        <w:autoSpaceDE/>
        <w:jc w:val="both"/>
        <w:textAlignment w:val="auto"/>
        <w:rPr>
          <w:color w:val="000000" w:themeColor="text1"/>
          <w:sz w:val="18"/>
          <w:szCs w:val="18"/>
        </w:rPr>
      </w:pPr>
      <w:r w:rsidRPr="007B192E">
        <w:rPr>
          <w:color w:val="000000" w:themeColor="text1"/>
          <w:sz w:val="18"/>
          <w:szCs w:val="18"/>
        </w:rPr>
        <w:t>5.12. Wykonanie ogrodzeń łańcuchowych</w:t>
      </w:r>
    </w:p>
    <w:p w14:paraId="32FE76A7"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Ogrodzenia łańcuchowe winny być wykonane zgodnie z dokumentacją projektową lub SST. W przypadku braku szczegółowych wskazań za zgodą Inżyniera można wykonywać ogrodzenia łańcuchowe z rur stalowych według PN-H-74219 [11], PN-H-74220 [12] lub BN-73/0658-01 [43] oraz z łańcuchów ogniwowych według PN-M-84540 [38], PN-M-84541 [39], PN-M-84543 [41].</w:t>
      </w:r>
    </w:p>
    <w:p w14:paraId="671AABC6"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Połączenie łańcuchów ze słupkami należy wykonać za pomocą przyspawanych uszek z prętów lub drutu, odgiętych koliście w stronę słupka.</w:t>
      </w:r>
    </w:p>
    <w:p w14:paraId="053CB33C"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Jeśli dokumentacja projektowa lub SST nie określają inaczej, wysokość słupków wynosi 1,10 m, a rozstaw 1,50 lub 2,00 m [50]. Strzałka ugięcia łańcuchów wynosi 0,10 m.</w:t>
      </w:r>
    </w:p>
    <w:p w14:paraId="04B4B248"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Jeśli linia barier łańcuchowych pokrywa się z urządzeniami podziemnymi zlokalizowanymi w chodniku, należy zrezygnować z posadowienia słupków na fundamencie betonowym wykonywanym „na mokro”, a starać się szukać innego rozwiązania (np. na płytach z blachy o grubościach od 5 do 10 mm i zagłębionymi ok. 0,5 m poniżej poziomu chodnika). Rozwiązania te winny uzyskać akceptację  Inżyniera.</w:t>
      </w:r>
    </w:p>
    <w:p w14:paraId="2328317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5.13.</w:t>
      </w:r>
      <w:r w:rsidRPr="007B192E">
        <w:rPr>
          <w:b w:val="0"/>
          <w:color w:val="000000" w:themeColor="text1"/>
          <w:sz w:val="18"/>
          <w:szCs w:val="18"/>
        </w:rPr>
        <w:t xml:space="preserve"> </w:t>
      </w:r>
      <w:r w:rsidRPr="007B192E">
        <w:rPr>
          <w:color w:val="000000" w:themeColor="text1"/>
          <w:sz w:val="18"/>
          <w:szCs w:val="18"/>
        </w:rPr>
        <w:t>Malowanie metalowych urządzeń zabezpieczających ruch pieszych</w:t>
      </w:r>
    </w:p>
    <w:p w14:paraId="57FDD295"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Zaleca się przeprowadzać malowanie w okresie od maja do września, wyłącznie w dni pogodne, przy zalecanej temperaturze powietrza od 15 do 20</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nie należy malować pędzlem lub wałkiem w temperaturze poniżej  +5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jak również malować metodą natryskową w temperaturze poniżej +15</w:t>
      </w:r>
      <w:r w:rsidRPr="007B192E">
        <w:rPr>
          <w:rFonts w:ascii="Arial" w:hAnsi="Arial" w:cs="Arial"/>
          <w:color w:val="000000" w:themeColor="text1"/>
          <w:sz w:val="18"/>
          <w:szCs w:val="18"/>
          <w:vertAlign w:val="superscript"/>
        </w:rPr>
        <w:t>o</w:t>
      </w:r>
      <w:r w:rsidRPr="007B192E">
        <w:rPr>
          <w:rFonts w:ascii="Arial" w:hAnsi="Arial" w:cs="Arial"/>
          <w:color w:val="000000" w:themeColor="text1"/>
          <w:sz w:val="18"/>
          <w:szCs w:val="18"/>
        </w:rPr>
        <w:t>C oraz podczas występującej mgły i rosy.</w:t>
      </w:r>
    </w:p>
    <w:p w14:paraId="3F8474B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Należy przestrzegać następujących zasad przy malowaniu urządzeń:</w:t>
      </w:r>
    </w:p>
    <w:p w14:paraId="577F9C53"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ściernych, piaskowania, odpalania, ługowania lub przy zastosowaniu innych środków, zgodnie z wymaganiami PN-ISO-8501-1 [42] i PN-H-97052 [27],</w:t>
      </w:r>
    </w:p>
    <w:p w14:paraId="559D0D4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przed malowaniem należy wypełnić wgłębienia i rysy na powierzchniach za pomocą kitów lub szpachlówek ogólnego stosowania, a następnie - wygładzić i zeszlifować podłoże pod farbę,</w:t>
      </w:r>
    </w:p>
    <w:p w14:paraId="0513DAB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ind w:left="284" w:hanging="284"/>
        <w:jc w:val="both"/>
        <w:rPr>
          <w:rFonts w:ascii="Arial" w:hAnsi="Arial" w:cs="Arial"/>
          <w:color w:val="000000" w:themeColor="text1"/>
          <w:sz w:val="18"/>
          <w:szCs w:val="18"/>
        </w:rPr>
      </w:pPr>
      <w:r w:rsidRPr="007B192E">
        <w:rPr>
          <w:rFonts w:ascii="Arial" w:hAnsi="Arial" w:cs="Arial"/>
          <w:color w:val="000000" w:themeColor="text1"/>
          <w:sz w:val="18"/>
          <w:szCs w:val="18"/>
        </w:rPr>
        <w:t>do malowania można stosować farby ogólnego stosowania przeznaczone do użytku zewnętrznego, dobrej jakości, z nieprzekroczonym okresem gwarancji, jako:</w:t>
      </w:r>
    </w:p>
    <w:p w14:paraId="65BADB4C" w14:textId="77777777" w:rsidR="00F45500" w:rsidRPr="007B192E" w:rsidRDefault="00F45500" w:rsidP="00BA5651">
      <w:pPr>
        <w:pStyle w:val="StylIwony"/>
        <w:widowControl/>
        <w:numPr>
          <w:ilvl w:val="0"/>
          <w:numId w:val="270"/>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farby do gruntowania przeciwrdzewnego (farby i lakiery przeciwkorozyjne),</w:t>
      </w:r>
    </w:p>
    <w:p w14:paraId="4C7BE89F" w14:textId="77777777" w:rsidR="00F45500" w:rsidRPr="007B192E" w:rsidRDefault="00F45500" w:rsidP="00BA5651">
      <w:pPr>
        <w:pStyle w:val="StylIwony"/>
        <w:widowControl/>
        <w:numPr>
          <w:ilvl w:val="0"/>
          <w:numId w:val="270"/>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farby nawierzchniowe (np. lakiery, emalie, wyroby ftalowe, ftalowo-styrenowe, akrylowe itp.)</w:t>
      </w:r>
    </w:p>
    <w:p w14:paraId="4897F8D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oraz</w:t>
      </w:r>
    </w:p>
    <w:p w14:paraId="0931810F" w14:textId="77777777" w:rsidR="00F45500" w:rsidRPr="007B192E" w:rsidRDefault="00F45500" w:rsidP="00BA5651">
      <w:pPr>
        <w:pStyle w:val="StylIwony"/>
        <w:widowControl/>
        <w:numPr>
          <w:ilvl w:val="0"/>
          <w:numId w:val="271"/>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rozcieńczalniki zalecone przez producenta stosowanej farby,</w:t>
      </w:r>
    </w:p>
    <w:p w14:paraId="4B30DE16"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 xml:space="preserve">farbę dłużej przechowywaną należy przygotować do malowania przez usunięcie „kożucha” (zestalonej substancji błonotwórczej na powierzchni farby), dokładne wymieszanie (połączenie lżejszych i cięższych składników farby), </w:t>
      </w:r>
      <w:r w:rsidRPr="007B192E">
        <w:rPr>
          <w:rFonts w:ascii="Arial" w:hAnsi="Arial" w:cs="Arial"/>
          <w:color w:val="000000" w:themeColor="text1"/>
          <w:sz w:val="18"/>
          <w:szCs w:val="18"/>
        </w:rPr>
        <w:lastRenderedPageBreak/>
        <w:t>rozcieńczenie zbyt zgęstniałej farby, ewentualne przecedzenie (usunięcie nierozmieszanych resztek osadu i innych zanieczyszczeń),</w:t>
      </w:r>
    </w:p>
    <w:p w14:paraId="2CC4D05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malowanie można przeprowadzać pędzlami, wałkami malarskimi lub ewentualnie metodą natryskową (pistoletami elektrycznymi, urządzeniami kompresorowymi itp.),</w:t>
      </w:r>
    </w:p>
    <w:p w14:paraId="1578F44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 zasady malowanie należy wykonać dwuwarstwowo: farbą do gruntowania i farbą nawierzchniową, przy czym każdą następną warstwę można nałożyć po całkowitym wyschnięciu farby poprzedniej.</w:t>
      </w:r>
    </w:p>
    <w:p w14:paraId="5C40A98D"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Malowanie powinno odpowiadać wymaganiom PN-H-97053 [28].</w:t>
      </w:r>
    </w:p>
    <w:p w14:paraId="37B56AED"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Rodzaj farby oraz liczbę jej warstw zastosowanych przy malowaniu określają SST lub Inżynier na wniosek Wykonawcy.</w:t>
      </w:r>
    </w:p>
    <w:p w14:paraId="45D3E4BB"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Należy zwracać uwagę na dokładne pokrycie farbą miejsc stykania się słupka metalowego z betonem fundamentu, ze względu na najszybsze niszczenie się farby w tych miejscach i pojawianie się rdzawych zacieków sygnalizujących korozje słupka.</w:t>
      </w:r>
    </w:p>
    <w:p w14:paraId="6CFAC394"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Zaleca się stosowanie farb możliwie jak najmniej szkodliwych dla zdrowia ludzi i środowiska, z niską zawartością m.in. niearomatycznych rozpuszczalników. Przy stosowaniu farb nieznanego pochodzenia Wykonawca przedstawi do akceptacji Inżyniera badania na zawartość szkodliwych składników (np. trującego toluenu jako rozpuszczalnika).</w:t>
      </w:r>
    </w:p>
    <w:p w14:paraId="6B2E0950"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Wykonawca nie dopuści do skażenia farbami wód powierzchniowych    i gruntowych oraz kanalizacji. Zlewki poprodukcyjne, powstające przy myciu urządzeń i pędzli oraz z samej farby, należy usuwać do izolowanych zbiorników, w celu ich naturalnej lub sztucznej neutralizacji i detoksykacji.</w:t>
      </w:r>
    </w:p>
    <w:p w14:paraId="60282857" w14:textId="77777777" w:rsidR="00F45500" w:rsidRPr="007B192E" w:rsidRDefault="00F45500" w:rsidP="00E9570E">
      <w:pPr>
        <w:pStyle w:val="Nagwek2"/>
        <w:rPr>
          <w:i w:val="0"/>
          <w:color w:val="000000" w:themeColor="text1"/>
        </w:rPr>
      </w:pPr>
      <w:bookmarkStart w:id="351" w:name="_Toc425562418"/>
      <w:bookmarkStart w:id="352" w:name="_Toc501175577"/>
      <w:r w:rsidRPr="007B192E">
        <w:rPr>
          <w:i w:val="0"/>
          <w:color w:val="000000" w:themeColor="text1"/>
        </w:rPr>
        <w:t>6. KONTROLA JAKOŚCI ROBÓT</w:t>
      </w:r>
      <w:bookmarkEnd w:id="351"/>
      <w:bookmarkEnd w:id="352"/>
    </w:p>
    <w:p w14:paraId="7FA0693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6.1. Ogólne zasady kontroli jakości robót</w:t>
      </w:r>
    </w:p>
    <w:p w14:paraId="47F089F7"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71E9AAA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6.2. Badania przed przystąpieniem do robót</w:t>
      </w:r>
    </w:p>
    <w:p w14:paraId="2C44FEB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 uzyskać od producentów zaświadczenia o jakości (atesty) oraz wykonać badania materiałów przeznaczonych do wykonania robót i przedstawić ich wyniki Inżynierowi w celu akceptacji materiałów, zgodnie z wymaganiami określonymi w pkt 2.3.</w:t>
      </w:r>
    </w:p>
    <w:p w14:paraId="6DEDA7D8"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Do materiałów, których producenci są zobowiązani (przez właściwe normy PN i BN) dostarczyć zaświadczenia o jakości (atesty) należą:</w:t>
      </w:r>
    </w:p>
    <w:p w14:paraId="514D0E17"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siatki ogrodzeniowe,</w:t>
      </w:r>
    </w:p>
    <w:p w14:paraId="142275AE"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liny stalowe,</w:t>
      </w:r>
    </w:p>
    <w:p w14:paraId="09094837"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rury i kształtowniki,</w:t>
      </w:r>
    </w:p>
    <w:p w14:paraId="44241BB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łańcuchy stalowe ogniwowe,</w:t>
      </w:r>
    </w:p>
    <w:p w14:paraId="3847AB4C"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drut spawalniczy,</w:t>
      </w:r>
    </w:p>
    <w:p w14:paraId="30835375"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pręty zbrojeniowe,</w:t>
      </w:r>
    </w:p>
    <w:p w14:paraId="392588F8"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szkło płaskie zbrojone,</w:t>
      </w:r>
    </w:p>
    <w:p w14:paraId="70046749"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elementy betonowe i żelbetowe.</w:t>
      </w:r>
    </w:p>
    <w:p w14:paraId="73FB498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Do materiałów, których badania powinien przeprowadzić Wykonawca należą materiały do wykonania fundamentów betonowych „na mokro”. Uwzględniając nieskomplikowany charakter robót fundamentowych, na wniosek Wykonawcy, Inżynier może zwolnić go z potrzeby wykonania badań materiałów dla tych robót.</w:t>
      </w:r>
    </w:p>
    <w:p w14:paraId="0A40194F"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6.3. Badania i kontrola w czasie wykonywania robót</w:t>
      </w:r>
    </w:p>
    <w:p w14:paraId="5817A2C5"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b/>
          <w:color w:val="000000" w:themeColor="text1"/>
          <w:sz w:val="18"/>
          <w:szCs w:val="18"/>
        </w:rPr>
        <w:t xml:space="preserve">6.3.1. </w:t>
      </w:r>
      <w:r w:rsidRPr="007B192E">
        <w:rPr>
          <w:rFonts w:ascii="Arial" w:hAnsi="Arial" w:cs="Arial"/>
          <w:color w:val="000000" w:themeColor="text1"/>
          <w:sz w:val="18"/>
          <w:szCs w:val="18"/>
        </w:rPr>
        <w:t>Badania materiałów w czasie wykonywania robót</w:t>
      </w:r>
    </w:p>
    <w:p w14:paraId="1DCC4CD0" w14:textId="77777777" w:rsidR="00F45500" w:rsidRPr="007B192E" w:rsidRDefault="00F45500" w:rsidP="00F45500">
      <w:pPr>
        <w:pStyle w:val="StylIwony"/>
        <w:spacing w:after="0"/>
        <w:rPr>
          <w:rFonts w:ascii="Arial" w:hAnsi="Arial" w:cs="Arial"/>
          <w:color w:val="000000" w:themeColor="text1"/>
          <w:sz w:val="18"/>
          <w:szCs w:val="18"/>
        </w:rPr>
      </w:pPr>
      <w:r w:rsidRPr="007B192E">
        <w:rPr>
          <w:rFonts w:ascii="Arial" w:hAnsi="Arial" w:cs="Arial"/>
          <w:color w:val="000000" w:themeColor="text1"/>
          <w:sz w:val="18"/>
          <w:szCs w:val="18"/>
        </w:rPr>
        <w:tab/>
        <w:t>Wszystkie materiały dostarczone na budowę z zaświadczeniem o jakości (atestem) producenta powinny być sprawdzone w zakresie powierzchni wyrobu i jego wymiarów.</w:t>
      </w:r>
    </w:p>
    <w:p w14:paraId="41AB9AF5"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Częstotliwość badań i ocena ich wyników powinna być zgodna z zaleceniami tablicy 20.</w:t>
      </w:r>
    </w:p>
    <w:p w14:paraId="6F648936" w14:textId="77777777" w:rsidR="00F45500" w:rsidRPr="007B192E" w:rsidRDefault="00F45500" w:rsidP="00F45500">
      <w:pPr>
        <w:pStyle w:val="StylIwony"/>
        <w:spacing w:before="0"/>
        <w:rPr>
          <w:rFonts w:ascii="Arial" w:hAnsi="Arial" w:cs="Arial"/>
          <w:color w:val="000000" w:themeColor="text1"/>
          <w:sz w:val="18"/>
          <w:szCs w:val="18"/>
        </w:rPr>
      </w:pPr>
    </w:p>
    <w:p w14:paraId="7EF0BF25" w14:textId="77777777" w:rsidR="00F45500" w:rsidRPr="007B192E" w:rsidRDefault="00F45500" w:rsidP="00F45500">
      <w:pPr>
        <w:pStyle w:val="StylIwony"/>
        <w:spacing w:before="0"/>
        <w:rPr>
          <w:rFonts w:ascii="Arial" w:hAnsi="Arial" w:cs="Arial"/>
          <w:color w:val="000000" w:themeColor="text1"/>
          <w:sz w:val="18"/>
          <w:szCs w:val="18"/>
        </w:rPr>
      </w:pPr>
      <w:r w:rsidRPr="007B192E">
        <w:rPr>
          <w:rFonts w:ascii="Arial" w:hAnsi="Arial" w:cs="Arial"/>
          <w:color w:val="000000" w:themeColor="text1"/>
          <w:sz w:val="18"/>
          <w:szCs w:val="18"/>
        </w:rPr>
        <w:t>Tablica 20. Częstotliwość badań przy sprawdzeniu powierzchni i wymiarów wyrobów dostarczonych przez producentów</w:t>
      </w:r>
    </w:p>
    <w:tbl>
      <w:tblPr>
        <w:tblW w:w="0" w:type="auto"/>
        <w:tblInd w:w="16" w:type="dxa"/>
        <w:tblBorders>
          <w:top w:val="single" w:sz="6" w:space="0" w:color="auto"/>
          <w:left w:val="single" w:sz="6" w:space="0" w:color="auto"/>
          <w:bottom w:val="single" w:sz="6" w:space="0" w:color="auto"/>
          <w:right w:val="single" w:sz="6" w:space="0" w:color="auto"/>
        </w:tblBorders>
        <w:tblCellMar>
          <w:left w:w="70" w:type="dxa"/>
          <w:right w:w="70" w:type="dxa"/>
        </w:tblCellMar>
        <w:tblLook w:val="04A0" w:firstRow="1" w:lastRow="0" w:firstColumn="1" w:lastColumn="0" w:noHBand="0" w:noVBand="1"/>
      </w:tblPr>
      <w:tblGrid>
        <w:gridCol w:w="496"/>
        <w:gridCol w:w="1417"/>
        <w:gridCol w:w="1505"/>
        <w:gridCol w:w="2748"/>
        <w:gridCol w:w="1417"/>
      </w:tblGrid>
      <w:tr w:rsidR="004D7D23" w:rsidRPr="007B192E" w14:paraId="44176611" w14:textId="77777777" w:rsidTr="008F7A94">
        <w:tc>
          <w:tcPr>
            <w:tcW w:w="496" w:type="dxa"/>
            <w:tcBorders>
              <w:top w:val="single" w:sz="6" w:space="0" w:color="auto"/>
              <w:left w:val="single" w:sz="6" w:space="0" w:color="auto"/>
              <w:bottom w:val="double" w:sz="6" w:space="0" w:color="auto"/>
              <w:right w:val="nil"/>
            </w:tcBorders>
            <w:noWrap/>
            <w:hideMark/>
          </w:tcPr>
          <w:p w14:paraId="74E1E93F" w14:textId="77777777" w:rsidR="00F45500" w:rsidRPr="007B192E" w:rsidRDefault="00F45500" w:rsidP="008F7A94">
            <w:pPr>
              <w:pStyle w:val="StylIwony"/>
              <w:spacing w:after="0"/>
              <w:jc w:val="center"/>
              <w:rPr>
                <w:rFonts w:ascii="Arial" w:hAnsi="Arial" w:cs="Arial"/>
                <w:color w:val="000000" w:themeColor="text1"/>
                <w:sz w:val="18"/>
                <w:szCs w:val="18"/>
              </w:rPr>
            </w:pPr>
            <w:r w:rsidRPr="007B192E">
              <w:rPr>
                <w:rFonts w:ascii="Arial" w:hAnsi="Arial" w:cs="Arial"/>
                <w:color w:val="000000" w:themeColor="text1"/>
                <w:sz w:val="18"/>
                <w:szCs w:val="18"/>
              </w:rPr>
              <w:t>Lp.</w:t>
            </w:r>
          </w:p>
        </w:tc>
        <w:tc>
          <w:tcPr>
            <w:tcW w:w="1417" w:type="dxa"/>
            <w:tcBorders>
              <w:top w:val="single" w:sz="6" w:space="0" w:color="auto"/>
              <w:left w:val="single" w:sz="6" w:space="0" w:color="auto"/>
              <w:bottom w:val="double" w:sz="6" w:space="0" w:color="auto"/>
              <w:right w:val="single" w:sz="6" w:space="0" w:color="auto"/>
            </w:tcBorders>
            <w:noWrap/>
            <w:hideMark/>
          </w:tcPr>
          <w:p w14:paraId="19BE0B01" w14:textId="77777777" w:rsidR="00F45500" w:rsidRPr="007B192E" w:rsidRDefault="00F45500" w:rsidP="008F7A94">
            <w:pPr>
              <w:pStyle w:val="StylIwony"/>
              <w:spacing w:after="0"/>
              <w:jc w:val="center"/>
              <w:rPr>
                <w:rFonts w:ascii="Arial" w:hAnsi="Arial" w:cs="Arial"/>
                <w:color w:val="000000" w:themeColor="text1"/>
                <w:sz w:val="18"/>
                <w:szCs w:val="18"/>
              </w:rPr>
            </w:pPr>
            <w:r w:rsidRPr="007B192E">
              <w:rPr>
                <w:rFonts w:ascii="Arial" w:hAnsi="Arial" w:cs="Arial"/>
                <w:color w:val="000000" w:themeColor="text1"/>
                <w:sz w:val="18"/>
                <w:szCs w:val="18"/>
              </w:rPr>
              <w:t>Rodzaj badania</w:t>
            </w:r>
          </w:p>
        </w:tc>
        <w:tc>
          <w:tcPr>
            <w:tcW w:w="1505" w:type="dxa"/>
            <w:tcBorders>
              <w:top w:val="single" w:sz="6" w:space="0" w:color="auto"/>
              <w:left w:val="nil"/>
              <w:bottom w:val="double" w:sz="6" w:space="0" w:color="auto"/>
              <w:right w:val="nil"/>
            </w:tcBorders>
            <w:noWrap/>
            <w:hideMark/>
          </w:tcPr>
          <w:p w14:paraId="2AB8D53E" w14:textId="77777777" w:rsidR="00F45500" w:rsidRPr="007B192E" w:rsidRDefault="00F45500" w:rsidP="008F7A94">
            <w:pPr>
              <w:pStyle w:val="StylIwony"/>
              <w:spacing w:after="0"/>
              <w:jc w:val="center"/>
              <w:rPr>
                <w:rFonts w:ascii="Arial" w:hAnsi="Arial" w:cs="Arial"/>
                <w:color w:val="000000" w:themeColor="text1"/>
                <w:sz w:val="18"/>
                <w:szCs w:val="18"/>
              </w:rPr>
            </w:pPr>
            <w:r w:rsidRPr="007B192E">
              <w:rPr>
                <w:rFonts w:ascii="Arial" w:hAnsi="Arial" w:cs="Arial"/>
                <w:color w:val="000000" w:themeColor="text1"/>
                <w:sz w:val="18"/>
                <w:szCs w:val="18"/>
              </w:rPr>
              <w:t>Liczba badań</w:t>
            </w:r>
          </w:p>
        </w:tc>
        <w:tc>
          <w:tcPr>
            <w:tcW w:w="2748" w:type="dxa"/>
            <w:tcBorders>
              <w:top w:val="single" w:sz="6" w:space="0" w:color="auto"/>
              <w:left w:val="single" w:sz="6" w:space="0" w:color="auto"/>
              <w:bottom w:val="double" w:sz="6" w:space="0" w:color="auto"/>
              <w:right w:val="single" w:sz="6" w:space="0" w:color="auto"/>
            </w:tcBorders>
            <w:noWrap/>
            <w:hideMark/>
          </w:tcPr>
          <w:p w14:paraId="0FD987FD" w14:textId="77777777" w:rsidR="00F45500" w:rsidRPr="007B192E" w:rsidRDefault="00F45500" w:rsidP="008F7A94">
            <w:pPr>
              <w:pStyle w:val="StylIwony"/>
              <w:spacing w:after="0"/>
              <w:jc w:val="center"/>
              <w:rPr>
                <w:rFonts w:ascii="Arial" w:hAnsi="Arial" w:cs="Arial"/>
                <w:color w:val="000000" w:themeColor="text1"/>
                <w:sz w:val="18"/>
                <w:szCs w:val="18"/>
              </w:rPr>
            </w:pPr>
            <w:r w:rsidRPr="007B192E">
              <w:rPr>
                <w:rFonts w:ascii="Arial" w:hAnsi="Arial" w:cs="Arial"/>
                <w:color w:val="000000" w:themeColor="text1"/>
                <w:sz w:val="18"/>
                <w:szCs w:val="18"/>
              </w:rPr>
              <w:t>Opis badań</w:t>
            </w:r>
          </w:p>
        </w:tc>
        <w:tc>
          <w:tcPr>
            <w:tcW w:w="1417" w:type="dxa"/>
            <w:tcBorders>
              <w:top w:val="single" w:sz="6" w:space="0" w:color="auto"/>
              <w:left w:val="nil"/>
              <w:bottom w:val="double" w:sz="6" w:space="0" w:color="auto"/>
              <w:right w:val="single" w:sz="6" w:space="0" w:color="auto"/>
            </w:tcBorders>
            <w:noWrap/>
            <w:hideMark/>
          </w:tcPr>
          <w:p w14:paraId="2742ADE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Ocena wyników badań</w:t>
            </w:r>
          </w:p>
        </w:tc>
      </w:tr>
      <w:tr w:rsidR="004D7D23" w:rsidRPr="007B192E" w14:paraId="5CAF7032" w14:textId="77777777" w:rsidTr="008F7A94">
        <w:tc>
          <w:tcPr>
            <w:tcW w:w="496" w:type="dxa"/>
            <w:tcBorders>
              <w:top w:val="nil"/>
              <w:left w:val="single" w:sz="6" w:space="0" w:color="auto"/>
              <w:bottom w:val="single" w:sz="6" w:space="0" w:color="auto"/>
              <w:right w:val="single" w:sz="6" w:space="0" w:color="auto"/>
            </w:tcBorders>
            <w:noWrap/>
            <w:hideMark/>
          </w:tcPr>
          <w:p w14:paraId="50B37583" w14:textId="77777777" w:rsidR="00F45500" w:rsidRPr="007B192E" w:rsidRDefault="00F45500" w:rsidP="008F7A94">
            <w:pPr>
              <w:pStyle w:val="StylIwony"/>
              <w:spacing w:before="60" w:after="0"/>
              <w:jc w:val="center"/>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417" w:type="dxa"/>
            <w:tcBorders>
              <w:top w:val="nil"/>
              <w:left w:val="nil"/>
              <w:bottom w:val="nil"/>
              <w:right w:val="single" w:sz="6" w:space="0" w:color="auto"/>
            </w:tcBorders>
            <w:noWrap/>
            <w:hideMark/>
          </w:tcPr>
          <w:p w14:paraId="0FB00C8B" w14:textId="77777777" w:rsidR="00F45500" w:rsidRPr="007B192E" w:rsidRDefault="00F45500" w:rsidP="008F7A94">
            <w:pPr>
              <w:pStyle w:val="StylIwony"/>
              <w:spacing w:before="60" w:after="0"/>
              <w:rPr>
                <w:rFonts w:ascii="Arial" w:hAnsi="Arial" w:cs="Arial"/>
                <w:color w:val="000000" w:themeColor="text1"/>
                <w:sz w:val="18"/>
                <w:szCs w:val="18"/>
              </w:rPr>
            </w:pPr>
            <w:r w:rsidRPr="007B192E">
              <w:rPr>
                <w:rFonts w:ascii="Arial" w:hAnsi="Arial" w:cs="Arial"/>
                <w:color w:val="000000" w:themeColor="text1"/>
                <w:sz w:val="18"/>
                <w:szCs w:val="18"/>
              </w:rPr>
              <w:t>Sprawdzenie powierzchni</w:t>
            </w:r>
          </w:p>
        </w:tc>
        <w:tc>
          <w:tcPr>
            <w:tcW w:w="1505" w:type="dxa"/>
            <w:vMerge w:val="restart"/>
            <w:tcBorders>
              <w:top w:val="nil"/>
              <w:left w:val="nil"/>
              <w:bottom w:val="single" w:sz="6" w:space="0" w:color="auto"/>
              <w:right w:val="single" w:sz="6" w:space="0" w:color="auto"/>
            </w:tcBorders>
            <w:noWrap/>
            <w:hideMark/>
          </w:tcPr>
          <w:p w14:paraId="6FDDDDD3" w14:textId="77777777" w:rsidR="00F45500" w:rsidRPr="007B192E" w:rsidRDefault="00F45500" w:rsidP="008F7A94">
            <w:pPr>
              <w:pStyle w:val="StylIwony"/>
              <w:spacing w:before="60" w:after="0"/>
              <w:rPr>
                <w:rFonts w:ascii="Arial" w:hAnsi="Arial" w:cs="Arial"/>
                <w:color w:val="000000" w:themeColor="text1"/>
                <w:sz w:val="18"/>
                <w:szCs w:val="18"/>
              </w:rPr>
            </w:pPr>
            <w:r w:rsidRPr="007B192E">
              <w:rPr>
                <w:rFonts w:ascii="Arial" w:hAnsi="Arial" w:cs="Arial"/>
                <w:color w:val="000000" w:themeColor="text1"/>
                <w:sz w:val="18"/>
                <w:szCs w:val="18"/>
              </w:rPr>
              <w:t>od 5 do 10 badań z wybranych losowo elementów w każdej dostarczonej partii wyrobów liczącej do 1000 elementów</w:t>
            </w:r>
          </w:p>
        </w:tc>
        <w:tc>
          <w:tcPr>
            <w:tcW w:w="2748" w:type="dxa"/>
            <w:tcBorders>
              <w:top w:val="nil"/>
              <w:left w:val="nil"/>
              <w:bottom w:val="nil"/>
              <w:right w:val="single" w:sz="6" w:space="0" w:color="auto"/>
            </w:tcBorders>
            <w:noWrap/>
            <w:hideMark/>
          </w:tcPr>
          <w:p w14:paraId="2D93E3BC" w14:textId="77777777" w:rsidR="00F45500" w:rsidRPr="007B192E" w:rsidRDefault="00F45500" w:rsidP="008F7A94">
            <w:pPr>
              <w:pStyle w:val="StylIwony"/>
              <w:spacing w:before="60" w:after="0"/>
              <w:rPr>
                <w:rFonts w:ascii="Arial" w:hAnsi="Arial" w:cs="Arial"/>
                <w:color w:val="000000" w:themeColor="text1"/>
                <w:sz w:val="18"/>
                <w:szCs w:val="18"/>
              </w:rPr>
            </w:pPr>
            <w:r w:rsidRPr="007B192E">
              <w:rPr>
                <w:rFonts w:ascii="Arial" w:hAnsi="Arial" w:cs="Arial"/>
                <w:color w:val="000000" w:themeColor="text1"/>
                <w:sz w:val="18"/>
                <w:szCs w:val="18"/>
              </w:rPr>
              <w:t>Powierzchnię zbadać nieuzbrojonym okiem. Do ew. sprawdzenia głębokości wad użyć dostępnych narzędzi (np. liniałów z czujnikiem, suwmiarek, mikrometrów itp.</w:t>
            </w:r>
          </w:p>
        </w:tc>
        <w:tc>
          <w:tcPr>
            <w:tcW w:w="1417" w:type="dxa"/>
            <w:vMerge w:val="restart"/>
            <w:tcBorders>
              <w:top w:val="nil"/>
              <w:left w:val="nil"/>
              <w:bottom w:val="single" w:sz="6" w:space="0" w:color="auto"/>
              <w:right w:val="single" w:sz="6" w:space="0" w:color="auto"/>
            </w:tcBorders>
            <w:noWrap/>
            <w:hideMark/>
          </w:tcPr>
          <w:p w14:paraId="1D947559" w14:textId="77777777" w:rsidR="00F45500" w:rsidRPr="007B192E" w:rsidRDefault="00F45500" w:rsidP="008F7A94">
            <w:pPr>
              <w:pStyle w:val="StylIwony"/>
              <w:spacing w:before="0" w:after="0"/>
              <w:rPr>
                <w:rFonts w:ascii="Arial" w:hAnsi="Arial" w:cs="Arial"/>
                <w:color w:val="000000" w:themeColor="text1"/>
                <w:sz w:val="18"/>
                <w:szCs w:val="18"/>
              </w:rPr>
            </w:pPr>
          </w:p>
          <w:p w14:paraId="636686D6" w14:textId="77777777" w:rsidR="00F45500" w:rsidRPr="007B192E" w:rsidRDefault="00F45500" w:rsidP="008F7A94">
            <w:pPr>
              <w:pStyle w:val="StylIwony"/>
              <w:spacing w:before="0" w:after="0"/>
              <w:rPr>
                <w:rFonts w:ascii="Arial" w:hAnsi="Arial" w:cs="Arial"/>
                <w:color w:val="000000" w:themeColor="text1"/>
                <w:sz w:val="18"/>
                <w:szCs w:val="18"/>
              </w:rPr>
            </w:pPr>
          </w:p>
          <w:p w14:paraId="6F4F9FB9" w14:textId="77777777" w:rsidR="00F45500" w:rsidRPr="007B192E" w:rsidRDefault="00F45500" w:rsidP="008F7A94">
            <w:pPr>
              <w:pStyle w:val="StylIwony"/>
              <w:rPr>
                <w:rFonts w:ascii="Arial" w:hAnsi="Arial" w:cs="Arial"/>
                <w:color w:val="000000" w:themeColor="text1"/>
                <w:sz w:val="18"/>
                <w:szCs w:val="18"/>
              </w:rPr>
            </w:pPr>
            <w:r w:rsidRPr="007B192E">
              <w:rPr>
                <w:rFonts w:ascii="Arial" w:hAnsi="Arial" w:cs="Arial"/>
                <w:color w:val="000000" w:themeColor="text1"/>
                <w:sz w:val="18"/>
                <w:szCs w:val="18"/>
              </w:rPr>
              <w:t>Wyniki badań powinny być zgodne z wymaganiami punktu 2.3.</w:t>
            </w:r>
          </w:p>
        </w:tc>
      </w:tr>
      <w:tr w:rsidR="00F45500" w:rsidRPr="007B192E" w14:paraId="3E622553" w14:textId="77777777" w:rsidTr="008F7A94">
        <w:tc>
          <w:tcPr>
            <w:tcW w:w="496" w:type="dxa"/>
            <w:tcBorders>
              <w:top w:val="nil"/>
              <w:left w:val="single" w:sz="6" w:space="0" w:color="auto"/>
              <w:bottom w:val="single" w:sz="6" w:space="0" w:color="auto"/>
              <w:right w:val="nil"/>
            </w:tcBorders>
            <w:noWrap/>
            <w:hideMark/>
          </w:tcPr>
          <w:p w14:paraId="51700EE5" w14:textId="77777777" w:rsidR="00F45500" w:rsidRPr="007B192E" w:rsidRDefault="00F45500" w:rsidP="008F7A94">
            <w:pPr>
              <w:pStyle w:val="StylIwony"/>
              <w:spacing w:before="60" w:after="0"/>
              <w:jc w:val="center"/>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417" w:type="dxa"/>
            <w:tcBorders>
              <w:top w:val="single" w:sz="6" w:space="0" w:color="auto"/>
              <w:left w:val="single" w:sz="6" w:space="0" w:color="auto"/>
              <w:bottom w:val="single" w:sz="6" w:space="0" w:color="auto"/>
              <w:right w:val="single" w:sz="6" w:space="0" w:color="auto"/>
            </w:tcBorders>
            <w:noWrap/>
            <w:hideMark/>
          </w:tcPr>
          <w:p w14:paraId="52F85423" w14:textId="77777777" w:rsidR="00F45500" w:rsidRPr="007B192E" w:rsidRDefault="00F45500" w:rsidP="008F7A94">
            <w:pPr>
              <w:pStyle w:val="StylIwony"/>
              <w:spacing w:before="60" w:after="0"/>
              <w:rPr>
                <w:rFonts w:ascii="Arial" w:hAnsi="Arial" w:cs="Arial"/>
                <w:color w:val="000000" w:themeColor="text1"/>
                <w:sz w:val="18"/>
                <w:szCs w:val="18"/>
              </w:rPr>
            </w:pPr>
            <w:r w:rsidRPr="007B192E">
              <w:rPr>
                <w:rFonts w:ascii="Arial" w:hAnsi="Arial" w:cs="Arial"/>
                <w:color w:val="000000" w:themeColor="text1"/>
                <w:sz w:val="18"/>
                <w:szCs w:val="18"/>
              </w:rPr>
              <w:t>Sprawdzenie wymiarów</w:t>
            </w:r>
          </w:p>
        </w:tc>
        <w:tc>
          <w:tcPr>
            <w:tcW w:w="0" w:type="auto"/>
            <w:vMerge/>
            <w:tcBorders>
              <w:top w:val="nil"/>
              <w:left w:val="nil"/>
              <w:bottom w:val="single" w:sz="6" w:space="0" w:color="auto"/>
              <w:right w:val="single" w:sz="6" w:space="0" w:color="auto"/>
            </w:tcBorders>
            <w:vAlign w:val="center"/>
            <w:hideMark/>
          </w:tcPr>
          <w:p w14:paraId="1BC0A09A" w14:textId="77777777" w:rsidR="00F45500" w:rsidRPr="007B192E" w:rsidRDefault="00F45500" w:rsidP="008F7A94">
            <w:pPr>
              <w:rPr>
                <w:rFonts w:ascii="Arial" w:hAnsi="Arial" w:cs="Arial"/>
                <w:color w:val="000000" w:themeColor="text1"/>
                <w:sz w:val="18"/>
                <w:szCs w:val="18"/>
              </w:rPr>
            </w:pPr>
          </w:p>
        </w:tc>
        <w:tc>
          <w:tcPr>
            <w:tcW w:w="2748" w:type="dxa"/>
            <w:tcBorders>
              <w:top w:val="single" w:sz="6" w:space="0" w:color="auto"/>
              <w:left w:val="single" w:sz="6" w:space="0" w:color="auto"/>
              <w:bottom w:val="single" w:sz="6" w:space="0" w:color="auto"/>
              <w:right w:val="single" w:sz="6" w:space="0" w:color="auto"/>
            </w:tcBorders>
            <w:noWrap/>
            <w:hideMark/>
          </w:tcPr>
          <w:p w14:paraId="47DDFE46" w14:textId="77777777" w:rsidR="00F45500" w:rsidRPr="007B192E" w:rsidRDefault="00F45500" w:rsidP="008F7A94">
            <w:pPr>
              <w:pStyle w:val="StylIwony"/>
              <w:spacing w:before="60" w:after="60"/>
              <w:rPr>
                <w:rFonts w:ascii="Arial" w:hAnsi="Arial" w:cs="Arial"/>
                <w:color w:val="000000" w:themeColor="text1"/>
                <w:sz w:val="18"/>
                <w:szCs w:val="18"/>
              </w:rPr>
            </w:pPr>
            <w:r w:rsidRPr="007B192E">
              <w:rPr>
                <w:rFonts w:ascii="Arial" w:hAnsi="Arial" w:cs="Arial"/>
                <w:color w:val="000000" w:themeColor="text1"/>
                <w:sz w:val="18"/>
                <w:szCs w:val="18"/>
              </w:rPr>
              <w:t>Przeprowadzić uniwersalnymi przyrządami pomiarowymi lub sprawdzianami</w:t>
            </w:r>
          </w:p>
        </w:tc>
        <w:tc>
          <w:tcPr>
            <w:tcW w:w="0" w:type="auto"/>
            <w:vMerge/>
            <w:tcBorders>
              <w:top w:val="nil"/>
              <w:left w:val="nil"/>
              <w:bottom w:val="single" w:sz="6" w:space="0" w:color="auto"/>
              <w:right w:val="single" w:sz="6" w:space="0" w:color="auto"/>
            </w:tcBorders>
            <w:vAlign w:val="center"/>
            <w:hideMark/>
          </w:tcPr>
          <w:p w14:paraId="2A70A477" w14:textId="77777777" w:rsidR="00F45500" w:rsidRPr="007B192E" w:rsidRDefault="00F45500" w:rsidP="008F7A94">
            <w:pPr>
              <w:rPr>
                <w:rFonts w:ascii="Arial" w:hAnsi="Arial" w:cs="Arial"/>
                <w:color w:val="000000" w:themeColor="text1"/>
                <w:sz w:val="18"/>
                <w:szCs w:val="18"/>
              </w:rPr>
            </w:pPr>
          </w:p>
        </w:tc>
      </w:tr>
    </w:tbl>
    <w:p w14:paraId="563EAE8D" w14:textId="77777777" w:rsidR="00F45500" w:rsidRPr="007B192E" w:rsidRDefault="00F45500" w:rsidP="00F45500">
      <w:pPr>
        <w:pStyle w:val="StylIwony"/>
        <w:spacing w:before="0" w:after="0"/>
        <w:rPr>
          <w:rFonts w:ascii="Arial" w:hAnsi="Arial" w:cs="Arial"/>
          <w:color w:val="000000" w:themeColor="text1"/>
          <w:sz w:val="18"/>
          <w:szCs w:val="18"/>
        </w:rPr>
      </w:pPr>
    </w:p>
    <w:p w14:paraId="3DBB496A"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 przypadkach budzących wątpliwości można zlecić uprawnionej jednostce zbadanie właściwości dostarczonych wyrobów i materiałów w zakresie wymagań podanych w punktach  od 2.3 do 2.11.</w:t>
      </w:r>
    </w:p>
    <w:p w14:paraId="54FC3A74" w14:textId="77777777" w:rsidR="00F45500" w:rsidRPr="007B192E" w:rsidRDefault="00F45500" w:rsidP="00F45500">
      <w:pPr>
        <w:pStyle w:val="StylIwony"/>
        <w:rPr>
          <w:rFonts w:ascii="Arial" w:hAnsi="Arial" w:cs="Arial"/>
          <w:color w:val="000000" w:themeColor="text1"/>
          <w:sz w:val="18"/>
          <w:szCs w:val="18"/>
        </w:rPr>
      </w:pPr>
      <w:r w:rsidRPr="007B192E">
        <w:rPr>
          <w:rFonts w:ascii="Arial" w:hAnsi="Arial" w:cs="Arial"/>
          <w:b/>
          <w:color w:val="000000" w:themeColor="text1"/>
          <w:sz w:val="18"/>
          <w:szCs w:val="18"/>
        </w:rPr>
        <w:t xml:space="preserve">6.3.2. </w:t>
      </w:r>
      <w:r w:rsidRPr="007B192E">
        <w:rPr>
          <w:rFonts w:ascii="Arial" w:hAnsi="Arial" w:cs="Arial"/>
          <w:color w:val="000000" w:themeColor="text1"/>
          <w:sz w:val="18"/>
          <w:szCs w:val="18"/>
        </w:rPr>
        <w:t>Kontrola w czasie wykonywania robót</w:t>
      </w:r>
    </w:p>
    <w:p w14:paraId="6B5B50E6"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 czasie wykonywania urządzeń zabezpieczających ruch pieszych należy zbadać:</w:t>
      </w:r>
    </w:p>
    <w:p w14:paraId="293B82D0" w14:textId="77777777" w:rsidR="00F45500" w:rsidRPr="007B192E"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zgodność wykonania urządzeń z dokumentacją projektową (lokalizacja, wymiary),</w:t>
      </w:r>
    </w:p>
    <w:p w14:paraId="6B1637C2" w14:textId="77777777" w:rsidR="00F45500" w:rsidRPr="007B192E"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zachowanie dopuszczalnych odchyłek wymiarów, zgodnie z punktami od 2.3 do 2.11,</w:t>
      </w:r>
    </w:p>
    <w:p w14:paraId="4E65F148" w14:textId="77777777" w:rsidR="00F45500" w:rsidRPr="007B192E"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prawidłowość wykonania dołów pod słupki, zgodnie z punktem 5.3,</w:t>
      </w:r>
    </w:p>
    <w:p w14:paraId="37E62EE6" w14:textId="77777777" w:rsidR="00F45500" w:rsidRPr="007B192E"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poprawność wykonania fundamentów pod słupki zgodnie z punktem 5.4,</w:t>
      </w:r>
    </w:p>
    <w:p w14:paraId="14A1FBEF" w14:textId="77777777" w:rsidR="00F45500" w:rsidRPr="007B192E"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poprawność ustawienia słupków, zgodnie z punktem 5.5 i 5.6,</w:t>
      </w:r>
    </w:p>
    <w:p w14:paraId="254AB327" w14:textId="77777777" w:rsidR="00F45500" w:rsidRPr="007B192E" w:rsidRDefault="00F45500" w:rsidP="00BA5651">
      <w:pPr>
        <w:pStyle w:val="StylIwony"/>
        <w:widowControl/>
        <w:numPr>
          <w:ilvl w:val="0"/>
          <w:numId w:val="272"/>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prawidłowość wykonania siatki zabezpieczającej zgodnie z punktem  5.7 lub 5.8.</w:t>
      </w:r>
    </w:p>
    <w:p w14:paraId="3DC7A2E7"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W przypadku wykonania spawanych złącz elementów urządzeń:</w:t>
      </w:r>
    </w:p>
    <w:p w14:paraId="2EC1598D" w14:textId="77777777" w:rsidR="00F45500" w:rsidRPr="007B192E"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przed oględzinami, spoinę i przylegające do niej elementy łączone  (od 10 do 20 mm z każdej strony) należy dokładnie oczyścić z żużla, zgorzeliny, odprysków, rdzy, farb i innych zanieczyszczeń utrudniających prowadzenie obserwacji i pomiarów,</w:t>
      </w:r>
    </w:p>
    <w:p w14:paraId="4A9543B3" w14:textId="77777777" w:rsidR="00F45500" w:rsidRPr="007B192E"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oględziny złączy należy przeprowadzić wizualnie z ewentualnym użyciem lupy o powiększeniu od 2 do 4 razy; do pomiarów spoin powinny być stosowane wzorniki, przymiary oraz uniwersalne spoinomierze,</w:t>
      </w:r>
    </w:p>
    <w:p w14:paraId="5B52FCD2" w14:textId="77777777" w:rsidR="00F45500" w:rsidRPr="007B192E"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w przypadkach wątpliwych można zlecić uprawnionej jednostce zbadanie wytrzymałości zmęczeniowej spoin, zgodnie z PN-M-06515 [29],</w:t>
      </w:r>
    </w:p>
    <w:p w14:paraId="19B9F97B" w14:textId="77777777" w:rsidR="00F45500" w:rsidRPr="007B192E" w:rsidRDefault="00F45500" w:rsidP="00BA5651">
      <w:pPr>
        <w:pStyle w:val="StylIwony"/>
        <w:widowControl/>
        <w:numPr>
          <w:ilvl w:val="0"/>
          <w:numId w:val="273"/>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złącza o wadach większych niż dopuszczalne powinny być naprawione powtórnym spawaniem.</w:t>
      </w:r>
    </w:p>
    <w:p w14:paraId="0EA49A76" w14:textId="77777777" w:rsidR="00F45500" w:rsidRPr="007B192E" w:rsidRDefault="00F45500" w:rsidP="00E9570E">
      <w:pPr>
        <w:pStyle w:val="Nagwek2"/>
        <w:rPr>
          <w:i w:val="0"/>
          <w:color w:val="000000" w:themeColor="text1"/>
        </w:rPr>
      </w:pPr>
      <w:bookmarkStart w:id="353" w:name="_Toc425562419"/>
      <w:bookmarkStart w:id="354" w:name="_Toc501175578"/>
      <w:r w:rsidRPr="007B192E">
        <w:rPr>
          <w:i w:val="0"/>
          <w:color w:val="000000" w:themeColor="text1"/>
        </w:rPr>
        <w:t>7. OBMIAR ROBÓT</w:t>
      </w:r>
      <w:bookmarkEnd w:id="353"/>
      <w:bookmarkEnd w:id="354"/>
    </w:p>
    <w:p w14:paraId="5BC64BE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7.1. Ogólne zasady obmiaru robót</w:t>
      </w:r>
    </w:p>
    <w:p w14:paraId="6159B441"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4965005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7.2. Jednostka obmiarowa</w:t>
      </w:r>
    </w:p>
    <w:p w14:paraId="42CA3A68"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Jednostką obmiarową urządzenia zabezpieczającego ruch pieszych (siatek, barierek, płotków, barier łańcuchowych)  jest m (metr). Obmiar polega na określeniu rzeczywistej długości urządzenia zabezpieczającego ruch pieszych.</w:t>
      </w:r>
    </w:p>
    <w:p w14:paraId="632F81D8" w14:textId="77777777" w:rsidR="00F45500" w:rsidRPr="007B192E" w:rsidRDefault="00F45500" w:rsidP="00F45500">
      <w:pPr>
        <w:pStyle w:val="StylIwony"/>
        <w:spacing w:before="0" w:after="0"/>
        <w:ind w:firstLine="709"/>
        <w:rPr>
          <w:rFonts w:ascii="Arial" w:hAnsi="Arial" w:cs="Arial"/>
          <w:color w:val="000000" w:themeColor="text1"/>
          <w:sz w:val="18"/>
          <w:szCs w:val="18"/>
        </w:rPr>
      </w:pPr>
      <w:r w:rsidRPr="007B192E">
        <w:rPr>
          <w:rFonts w:ascii="Arial" w:hAnsi="Arial" w:cs="Arial"/>
          <w:color w:val="000000" w:themeColor="text1"/>
          <w:sz w:val="18"/>
          <w:szCs w:val="18"/>
        </w:rPr>
        <w:t xml:space="preserve"> Jednostką obmiarową przy zaporach z kwietników betonowych jest szt. (sztuka).</w:t>
      </w:r>
    </w:p>
    <w:p w14:paraId="3095220C" w14:textId="77777777" w:rsidR="00F45500" w:rsidRPr="007B192E" w:rsidRDefault="00F45500" w:rsidP="00E9570E">
      <w:pPr>
        <w:pStyle w:val="Nagwek2"/>
        <w:rPr>
          <w:i w:val="0"/>
          <w:color w:val="000000" w:themeColor="text1"/>
        </w:rPr>
      </w:pPr>
      <w:bookmarkStart w:id="355" w:name="_Toc425562420"/>
      <w:bookmarkStart w:id="356" w:name="_Toc501175579"/>
      <w:r w:rsidRPr="007B192E">
        <w:rPr>
          <w:i w:val="0"/>
          <w:color w:val="000000" w:themeColor="text1"/>
        </w:rPr>
        <w:t>8. ODBIÓR ROBÓT</w:t>
      </w:r>
      <w:bookmarkEnd w:id="355"/>
      <w:bookmarkEnd w:id="356"/>
    </w:p>
    <w:p w14:paraId="6447F362"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3750EC51"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3686A09D" w14:textId="77777777" w:rsidR="00F45500" w:rsidRPr="007B192E" w:rsidRDefault="00F45500" w:rsidP="00E9570E">
      <w:pPr>
        <w:pStyle w:val="Nagwek2"/>
        <w:rPr>
          <w:i w:val="0"/>
          <w:color w:val="000000" w:themeColor="text1"/>
        </w:rPr>
      </w:pPr>
      <w:bookmarkStart w:id="357" w:name="_Toc425562421"/>
      <w:bookmarkStart w:id="358" w:name="_Toc501175580"/>
      <w:r w:rsidRPr="007B192E">
        <w:rPr>
          <w:i w:val="0"/>
          <w:color w:val="000000" w:themeColor="text1"/>
        </w:rPr>
        <w:t>9. PODSTAWA PŁATNOŚCI</w:t>
      </w:r>
      <w:bookmarkEnd w:id="357"/>
      <w:bookmarkEnd w:id="358"/>
    </w:p>
    <w:p w14:paraId="65CC81E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9.1. Ogólne ustalenia dotyczące podstawy płatności</w:t>
      </w:r>
    </w:p>
    <w:p w14:paraId="71A1213C"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OST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9.</w:t>
      </w:r>
    </w:p>
    <w:p w14:paraId="4D84E73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jednostek obmiarowych</w:t>
      </w:r>
    </w:p>
    <w:p w14:paraId="7EA722E3"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Cena 1 m wykonania ogrodzeń ochronnych sztywnych obejmuje:</w:t>
      </w:r>
    </w:p>
    <w:p w14:paraId="6CF24C9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2671D71D"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dostarczenie na miejsce wbudowania elementów konstrukcji barier, płotków, poręczy, paneli lub innych ogrodzeń sztywnych oraz materiałów pomocniczych,</w:t>
      </w:r>
    </w:p>
    <w:p w14:paraId="7856304D"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dostarczenie na plac budowy składników oraz przygotowanie masy betonowej w przypadkach jej użycia,</w:t>
      </w:r>
    </w:p>
    <w:p w14:paraId="1D87DFBA"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zainstalowanie urządzeń bezpieczeństwa w sposób zapewniający stabilność,</w:t>
      </w:r>
    </w:p>
    <w:p w14:paraId="009EAFD3"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doprowadzenie terenu wokół wykonanych urządzeń do stanu przewidzianego w dokumentacji projektowej lub według zaleceń Inżyniera,</w:t>
      </w:r>
    </w:p>
    <w:p w14:paraId="62CBEF8B"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przeprowadzenie badań i pomiarów kontrolnych.</w:t>
      </w:r>
    </w:p>
    <w:p w14:paraId="44B182A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Cena 1 m barier ochronnych łańcuchowych obejmuje:</w:t>
      </w:r>
    </w:p>
    <w:p w14:paraId="68EF5B0C"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prace pomiarowe przy wytyczeniu linii barier oraz rozstawu słupków,</w:t>
      </w:r>
    </w:p>
    <w:p w14:paraId="4184D5A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dostarczenie na miejsce wbudowania elementów barier łańcuchowych,</w:t>
      </w:r>
    </w:p>
    <w:p w14:paraId="2004DF34"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wykopanie dołków pod słupki,</w:t>
      </w:r>
    </w:p>
    <w:p w14:paraId="75F39392"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dostarczenie na miejsce wbudowania elementów konstrukcji barier, płotków, poręczy, paneli oraz innych ogrodzeń sztywnych, oraz materiałów pomocniczych,</w:t>
      </w:r>
    </w:p>
    <w:p w14:paraId="1C714566"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zainstalowanie słupków w fundamencie betonowym i założenie łańcuchów,</w:t>
      </w:r>
    </w:p>
    <w:p w14:paraId="4080092F"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doprowadzenie terenu wzdłuż wykonanych barier do stanu pierwotnego (np. ponowne ułożenie rozebranego chodnika) przewidzianego w dokumentacji projektowej albo według zaleceń Inżyniera,</w:t>
      </w:r>
    </w:p>
    <w:p w14:paraId="0AED3395"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przeprowadzenie badań i pomiarów kontrolnych.</w:t>
      </w:r>
    </w:p>
    <w:p w14:paraId="48E096FF" w14:textId="77777777" w:rsidR="00F45500" w:rsidRPr="007B192E" w:rsidRDefault="00F45500" w:rsidP="00F45500">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ab/>
        <w:t>Cena elementów zapór ochronnych z kwietników betonowych (żelbetowych) obejmuje:</w:t>
      </w:r>
    </w:p>
    <w:p w14:paraId="6B0D937E"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wyznaczenie linii ustawienia kwietników zgodnie z dokumentacją projektową lub wskazaniami Inżyniera,</w:t>
      </w:r>
    </w:p>
    <w:p w14:paraId="02E04755"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dostarczenie kwietników na miejsce ustawienia,</w:t>
      </w:r>
    </w:p>
    <w:p w14:paraId="711D3369" w14:textId="77777777" w:rsidR="00F45500" w:rsidRPr="007B192E" w:rsidRDefault="00F45500" w:rsidP="00F45500">
      <w:pPr>
        <w:pStyle w:val="StylIwony"/>
        <w:widowControl/>
        <w:numPr>
          <w:ilvl w:val="0"/>
          <w:numId w:val="196"/>
        </w:numPr>
        <w:suppressAutoHyphens w:val="0"/>
        <w:overflowPunct w:val="0"/>
        <w:autoSpaceDE w:val="0"/>
        <w:autoSpaceDN w:val="0"/>
        <w:adjustRightInd w:val="0"/>
        <w:spacing w:before="0" w:after="0"/>
        <w:jc w:val="both"/>
        <w:rPr>
          <w:rFonts w:ascii="Arial" w:hAnsi="Arial" w:cs="Arial"/>
          <w:color w:val="000000" w:themeColor="text1"/>
          <w:sz w:val="18"/>
          <w:szCs w:val="18"/>
        </w:rPr>
      </w:pPr>
      <w:r w:rsidRPr="007B192E">
        <w:rPr>
          <w:rFonts w:ascii="Arial" w:hAnsi="Arial" w:cs="Arial"/>
          <w:color w:val="000000" w:themeColor="text1"/>
          <w:sz w:val="18"/>
          <w:szCs w:val="18"/>
        </w:rPr>
        <w:t>ustawienie kwietników za pomocą dźwigu zgodnie z uprzednio wyznaczoną lokalizacją.</w:t>
      </w:r>
    </w:p>
    <w:p w14:paraId="084A3172" w14:textId="77777777" w:rsidR="00F45500" w:rsidRPr="007B192E" w:rsidRDefault="00F45500" w:rsidP="00E9570E">
      <w:pPr>
        <w:pStyle w:val="Nagwek2"/>
        <w:rPr>
          <w:i w:val="0"/>
          <w:color w:val="000000" w:themeColor="text1"/>
        </w:rPr>
      </w:pPr>
      <w:bookmarkStart w:id="359" w:name="_Toc425562422"/>
      <w:bookmarkStart w:id="360" w:name="_Toc501175581"/>
      <w:r w:rsidRPr="007B192E">
        <w:rPr>
          <w:i w:val="0"/>
          <w:color w:val="000000" w:themeColor="text1"/>
        </w:rPr>
        <w:t>10. PRZEPISY ZWIĄZANE</w:t>
      </w:r>
      <w:bookmarkEnd w:id="359"/>
      <w:bookmarkEnd w:id="360"/>
    </w:p>
    <w:p w14:paraId="215794F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10.1. Normy</w:t>
      </w:r>
    </w:p>
    <w:tbl>
      <w:tblPr>
        <w:tblW w:w="0" w:type="auto"/>
        <w:tblCellMar>
          <w:left w:w="70" w:type="dxa"/>
          <w:right w:w="70" w:type="dxa"/>
        </w:tblCellMar>
        <w:tblLook w:val="04A0" w:firstRow="1" w:lastRow="0" w:firstColumn="1" w:lastColumn="0" w:noHBand="0" w:noVBand="1"/>
      </w:tblPr>
      <w:tblGrid>
        <w:gridCol w:w="496"/>
        <w:gridCol w:w="1701"/>
        <w:gridCol w:w="6300"/>
      </w:tblGrid>
      <w:tr w:rsidR="004D7D23" w:rsidRPr="007B192E" w14:paraId="551A5169" w14:textId="77777777" w:rsidTr="008F7A94">
        <w:tc>
          <w:tcPr>
            <w:tcW w:w="496" w:type="dxa"/>
            <w:hideMark/>
          </w:tcPr>
          <w:p w14:paraId="37FB9F0D"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  1.</w:t>
            </w:r>
          </w:p>
        </w:tc>
        <w:tc>
          <w:tcPr>
            <w:tcW w:w="1701" w:type="dxa"/>
            <w:hideMark/>
          </w:tcPr>
          <w:p w14:paraId="4B119A3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PN-B-03264</w:t>
            </w:r>
          </w:p>
        </w:tc>
        <w:tc>
          <w:tcPr>
            <w:tcW w:w="6300" w:type="dxa"/>
            <w:hideMark/>
          </w:tcPr>
          <w:p w14:paraId="7D55869E"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Konstrukcje żelbetowe. Obliczenia statyczne i projektowanie</w:t>
            </w:r>
          </w:p>
        </w:tc>
      </w:tr>
      <w:tr w:rsidR="004D7D23" w:rsidRPr="007B192E" w14:paraId="63D3B32F" w14:textId="77777777" w:rsidTr="008F7A94">
        <w:tc>
          <w:tcPr>
            <w:tcW w:w="496" w:type="dxa"/>
            <w:hideMark/>
          </w:tcPr>
          <w:p w14:paraId="6DB20647"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  2.</w:t>
            </w:r>
          </w:p>
        </w:tc>
        <w:tc>
          <w:tcPr>
            <w:tcW w:w="1701" w:type="dxa"/>
            <w:hideMark/>
          </w:tcPr>
          <w:p w14:paraId="61A7C98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PN-H-04651</w:t>
            </w:r>
          </w:p>
        </w:tc>
        <w:tc>
          <w:tcPr>
            <w:tcW w:w="6300" w:type="dxa"/>
            <w:hideMark/>
          </w:tcPr>
          <w:p w14:paraId="7CEB241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Ochrona przed korozją. Klasyfikacja i określenie agresywności korozyjnej środowisk</w:t>
            </w:r>
          </w:p>
        </w:tc>
      </w:tr>
      <w:tr w:rsidR="004D7D23" w:rsidRPr="007B192E" w14:paraId="208D0EEA" w14:textId="77777777" w:rsidTr="008F7A94">
        <w:tc>
          <w:tcPr>
            <w:tcW w:w="496" w:type="dxa"/>
            <w:hideMark/>
          </w:tcPr>
          <w:p w14:paraId="4B8DFA99"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  3.</w:t>
            </w:r>
          </w:p>
        </w:tc>
        <w:tc>
          <w:tcPr>
            <w:tcW w:w="1701" w:type="dxa"/>
            <w:hideMark/>
          </w:tcPr>
          <w:p w14:paraId="20D3A85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PN-B-06250</w:t>
            </w:r>
          </w:p>
        </w:tc>
        <w:tc>
          <w:tcPr>
            <w:tcW w:w="6300" w:type="dxa"/>
            <w:hideMark/>
          </w:tcPr>
          <w:p w14:paraId="72ED9C2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Beton zwykły</w:t>
            </w:r>
          </w:p>
        </w:tc>
      </w:tr>
      <w:tr w:rsidR="004D7D23" w:rsidRPr="007B192E" w14:paraId="3F622288" w14:textId="77777777" w:rsidTr="008F7A94">
        <w:tc>
          <w:tcPr>
            <w:tcW w:w="496" w:type="dxa"/>
            <w:hideMark/>
          </w:tcPr>
          <w:p w14:paraId="5E81F30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 4.</w:t>
            </w:r>
          </w:p>
        </w:tc>
        <w:tc>
          <w:tcPr>
            <w:tcW w:w="1701" w:type="dxa"/>
            <w:hideMark/>
          </w:tcPr>
          <w:p w14:paraId="3A566E4D"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PN-B-06251</w:t>
            </w:r>
          </w:p>
        </w:tc>
        <w:tc>
          <w:tcPr>
            <w:tcW w:w="6300" w:type="dxa"/>
            <w:hideMark/>
          </w:tcPr>
          <w:p w14:paraId="20D2505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Roboty betonowe i żelbetowe. Wymagania techniczne</w:t>
            </w:r>
          </w:p>
        </w:tc>
      </w:tr>
      <w:tr w:rsidR="004D7D23" w:rsidRPr="007B192E" w14:paraId="7318EC6E" w14:textId="77777777" w:rsidTr="008F7A94">
        <w:tc>
          <w:tcPr>
            <w:tcW w:w="496" w:type="dxa"/>
            <w:hideMark/>
          </w:tcPr>
          <w:p w14:paraId="32D382F7"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lastRenderedPageBreak/>
              <w:t xml:space="preserve">  5.</w:t>
            </w:r>
          </w:p>
        </w:tc>
        <w:tc>
          <w:tcPr>
            <w:tcW w:w="1701" w:type="dxa"/>
            <w:hideMark/>
          </w:tcPr>
          <w:p w14:paraId="7754031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PN-B-06712</w:t>
            </w:r>
          </w:p>
        </w:tc>
        <w:tc>
          <w:tcPr>
            <w:tcW w:w="6300" w:type="dxa"/>
            <w:hideMark/>
          </w:tcPr>
          <w:p w14:paraId="6D085104"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Kruszywa mineralne do betonu</w:t>
            </w:r>
          </w:p>
        </w:tc>
      </w:tr>
      <w:tr w:rsidR="004D7D23" w:rsidRPr="007B192E" w14:paraId="741C9CCC" w14:textId="77777777" w:rsidTr="008F7A94">
        <w:tc>
          <w:tcPr>
            <w:tcW w:w="496" w:type="dxa"/>
            <w:hideMark/>
          </w:tcPr>
          <w:p w14:paraId="1E331A0B"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  6.</w:t>
            </w:r>
          </w:p>
        </w:tc>
        <w:tc>
          <w:tcPr>
            <w:tcW w:w="1701" w:type="dxa"/>
            <w:hideMark/>
          </w:tcPr>
          <w:p w14:paraId="297AE8F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PN-B-10285</w:t>
            </w:r>
          </w:p>
        </w:tc>
        <w:tc>
          <w:tcPr>
            <w:tcW w:w="6300" w:type="dxa"/>
            <w:hideMark/>
          </w:tcPr>
          <w:p w14:paraId="6B493FA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Roboty malarskie budowlane farbami, lakierami i emaliami na spoinach bezwodnych</w:t>
            </w:r>
          </w:p>
        </w:tc>
      </w:tr>
      <w:tr w:rsidR="004D7D23" w:rsidRPr="007B192E" w14:paraId="7F82AE02" w14:textId="77777777" w:rsidTr="008F7A94">
        <w:tc>
          <w:tcPr>
            <w:tcW w:w="496" w:type="dxa"/>
            <w:hideMark/>
          </w:tcPr>
          <w:p w14:paraId="08B82CE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 xml:space="preserve">  7.</w:t>
            </w:r>
          </w:p>
        </w:tc>
        <w:tc>
          <w:tcPr>
            <w:tcW w:w="1701" w:type="dxa"/>
            <w:hideMark/>
          </w:tcPr>
          <w:p w14:paraId="1CA072D1"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PN-B-13051</w:t>
            </w:r>
          </w:p>
        </w:tc>
        <w:tc>
          <w:tcPr>
            <w:tcW w:w="6300" w:type="dxa"/>
            <w:hideMark/>
          </w:tcPr>
          <w:p w14:paraId="526172E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Szkło płaskie zbrojone</w:t>
            </w:r>
          </w:p>
        </w:tc>
      </w:tr>
      <w:tr w:rsidR="004D7D23" w:rsidRPr="007B192E" w14:paraId="592803F6" w14:textId="77777777" w:rsidTr="008F7A94">
        <w:tc>
          <w:tcPr>
            <w:tcW w:w="496" w:type="dxa"/>
            <w:hideMark/>
          </w:tcPr>
          <w:p w14:paraId="535A809B" w14:textId="77777777" w:rsidR="00F45500" w:rsidRPr="007B192E" w:rsidRDefault="00F45500" w:rsidP="008F7A94">
            <w:pPr>
              <w:pStyle w:val="StylIwony"/>
              <w:spacing w:before="0" w:after="0"/>
              <w:jc w:val="center"/>
              <w:rPr>
                <w:rFonts w:ascii="Arial" w:hAnsi="Arial" w:cs="Arial"/>
                <w:color w:val="000000" w:themeColor="text1"/>
                <w:sz w:val="18"/>
                <w:szCs w:val="18"/>
                <w:lang w:val="en-US"/>
              </w:rPr>
            </w:pPr>
            <w:r w:rsidRPr="007B192E">
              <w:rPr>
                <w:rFonts w:ascii="Arial" w:hAnsi="Arial" w:cs="Arial"/>
                <w:color w:val="000000" w:themeColor="text1"/>
                <w:sz w:val="18"/>
                <w:szCs w:val="18"/>
              </w:rPr>
              <w:t xml:space="preserve">  </w:t>
            </w:r>
            <w:r w:rsidRPr="007B192E">
              <w:rPr>
                <w:rFonts w:ascii="Arial" w:hAnsi="Arial" w:cs="Arial"/>
                <w:color w:val="000000" w:themeColor="text1"/>
                <w:sz w:val="18"/>
                <w:szCs w:val="18"/>
                <w:lang w:val="en-US"/>
              </w:rPr>
              <w:t>8.</w:t>
            </w:r>
          </w:p>
        </w:tc>
        <w:tc>
          <w:tcPr>
            <w:tcW w:w="1701" w:type="dxa"/>
            <w:hideMark/>
          </w:tcPr>
          <w:p w14:paraId="52049A24" w14:textId="77777777" w:rsidR="00F45500" w:rsidRPr="007B192E" w:rsidRDefault="00F45500" w:rsidP="008F7A94">
            <w:pPr>
              <w:pStyle w:val="StylIwony"/>
              <w:spacing w:before="0" w:after="0"/>
              <w:rPr>
                <w:rFonts w:ascii="Arial" w:hAnsi="Arial" w:cs="Arial"/>
                <w:color w:val="000000" w:themeColor="text1"/>
                <w:sz w:val="18"/>
                <w:szCs w:val="18"/>
                <w:lang w:val="en-US"/>
              </w:rPr>
            </w:pPr>
            <w:r w:rsidRPr="007B192E">
              <w:rPr>
                <w:rFonts w:ascii="Arial" w:hAnsi="Arial" w:cs="Arial"/>
                <w:color w:val="000000" w:themeColor="text1"/>
                <w:sz w:val="18"/>
                <w:szCs w:val="18"/>
                <w:lang w:val="en-US"/>
              </w:rPr>
              <w:t>PN-B-19701</w:t>
            </w:r>
          </w:p>
        </w:tc>
        <w:tc>
          <w:tcPr>
            <w:tcW w:w="6300" w:type="dxa"/>
            <w:hideMark/>
          </w:tcPr>
          <w:p w14:paraId="159A3D2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Cement. Cement powszechnego użytku. Skład, wymagania i ocena zgodności</w:t>
            </w:r>
          </w:p>
        </w:tc>
      </w:tr>
      <w:tr w:rsidR="004D7D23" w:rsidRPr="007B192E" w14:paraId="1CE14C30" w14:textId="77777777" w:rsidTr="008F7A94">
        <w:tc>
          <w:tcPr>
            <w:tcW w:w="496" w:type="dxa"/>
            <w:hideMark/>
          </w:tcPr>
          <w:p w14:paraId="6F2CE090"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9.</w:t>
            </w:r>
          </w:p>
        </w:tc>
        <w:tc>
          <w:tcPr>
            <w:tcW w:w="1701" w:type="dxa"/>
            <w:hideMark/>
          </w:tcPr>
          <w:p w14:paraId="27AFD93E"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PN-B-23010</w:t>
            </w:r>
          </w:p>
        </w:tc>
        <w:tc>
          <w:tcPr>
            <w:tcW w:w="6300" w:type="dxa"/>
            <w:hideMark/>
          </w:tcPr>
          <w:p w14:paraId="202DECC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Domieszki do betonu. Klasyfikacja i określenia</w:t>
            </w:r>
          </w:p>
        </w:tc>
      </w:tr>
      <w:tr w:rsidR="004D7D23" w:rsidRPr="007B192E" w14:paraId="022633D3" w14:textId="77777777" w:rsidTr="008F7A94">
        <w:tc>
          <w:tcPr>
            <w:tcW w:w="496" w:type="dxa"/>
            <w:hideMark/>
          </w:tcPr>
          <w:p w14:paraId="0A348244"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701" w:type="dxa"/>
            <w:hideMark/>
          </w:tcPr>
          <w:p w14:paraId="1B76205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PN-B-32250</w:t>
            </w:r>
          </w:p>
        </w:tc>
        <w:tc>
          <w:tcPr>
            <w:tcW w:w="6300" w:type="dxa"/>
            <w:hideMark/>
          </w:tcPr>
          <w:p w14:paraId="1DC3F8A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Materiały budowlane. Woda do betonów   i zapraw</w:t>
            </w:r>
          </w:p>
        </w:tc>
      </w:tr>
      <w:tr w:rsidR="004D7D23" w:rsidRPr="007B192E" w14:paraId="1D9397AB" w14:textId="77777777" w:rsidTr="008F7A94">
        <w:tc>
          <w:tcPr>
            <w:tcW w:w="496" w:type="dxa"/>
            <w:hideMark/>
          </w:tcPr>
          <w:p w14:paraId="0E9ED862"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1701" w:type="dxa"/>
            <w:hideMark/>
          </w:tcPr>
          <w:p w14:paraId="7EDFD9F4"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PN-H-74219</w:t>
            </w:r>
          </w:p>
        </w:tc>
        <w:tc>
          <w:tcPr>
            <w:tcW w:w="6300" w:type="dxa"/>
            <w:hideMark/>
          </w:tcPr>
          <w:p w14:paraId="6CB958E1"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Rury stalowe bez szwu walcowane na gorąco ogólnego zastosowania</w:t>
            </w:r>
          </w:p>
        </w:tc>
      </w:tr>
      <w:tr w:rsidR="004D7D23" w:rsidRPr="007B192E" w14:paraId="600CA61A" w14:textId="77777777" w:rsidTr="008F7A94">
        <w:tc>
          <w:tcPr>
            <w:tcW w:w="496" w:type="dxa"/>
            <w:hideMark/>
          </w:tcPr>
          <w:p w14:paraId="422E2C33"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701" w:type="dxa"/>
            <w:hideMark/>
          </w:tcPr>
          <w:p w14:paraId="0062796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PN-H-74220</w:t>
            </w:r>
          </w:p>
        </w:tc>
        <w:tc>
          <w:tcPr>
            <w:tcW w:w="6300" w:type="dxa"/>
            <w:hideMark/>
          </w:tcPr>
          <w:p w14:paraId="5CD7DB80"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Rury stalowe bez szwu ciągnione i walcowane na zimno ogólnego przeznaczenia</w:t>
            </w:r>
          </w:p>
        </w:tc>
      </w:tr>
      <w:tr w:rsidR="004D7D23" w:rsidRPr="007B192E" w14:paraId="6CE1C059" w14:textId="77777777" w:rsidTr="008F7A94">
        <w:tc>
          <w:tcPr>
            <w:tcW w:w="496" w:type="dxa"/>
            <w:hideMark/>
          </w:tcPr>
          <w:p w14:paraId="604D0B2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1701" w:type="dxa"/>
            <w:hideMark/>
          </w:tcPr>
          <w:p w14:paraId="06B2FED1"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PN-H-82200</w:t>
            </w:r>
          </w:p>
        </w:tc>
        <w:tc>
          <w:tcPr>
            <w:tcW w:w="6300" w:type="dxa"/>
            <w:hideMark/>
          </w:tcPr>
          <w:p w14:paraId="1BE64B41"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Cynk</w:t>
            </w:r>
          </w:p>
        </w:tc>
      </w:tr>
      <w:tr w:rsidR="004D7D23" w:rsidRPr="007B192E" w14:paraId="156B4B71" w14:textId="77777777" w:rsidTr="008F7A94">
        <w:tc>
          <w:tcPr>
            <w:tcW w:w="496" w:type="dxa"/>
            <w:hideMark/>
          </w:tcPr>
          <w:p w14:paraId="2B9CF7F7"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1701" w:type="dxa"/>
            <w:hideMark/>
          </w:tcPr>
          <w:p w14:paraId="3FE18C48"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PN-H-84018</w:t>
            </w:r>
          </w:p>
        </w:tc>
        <w:tc>
          <w:tcPr>
            <w:tcW w:w="6300" w:type="dxa"/>
            <w:hideMark/>
          </w:tcPr>
          <w:p w14:paraId="4ACF7FE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niskostopowa o podwyższonej wytrzymałości. Gatunki</w:t>
            </w:r>
          </w:p>
        </w:tc>
      </w:tr>
      <w:tr w:rsidR="004D7D23" w:rsidRPr="007B192E" w14:paraId="7760752B" w14:textId="77777777" w:rsidTr="008F7A94">
        <w:tc>
          <w:tcPr>
            <w:tcW w:w="496" w:type="dxa"/>
            <w:hideMark/>
          </w:tcPr>
          <w:p w14:paraId="5039E533"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1701" w:type="dxa"/>
            <w:hideMark/>
          </w:tcPr>
          <w:p w14:paraId="581AA360"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PN-H-84019</w:t>
            </w:r>
          </w:p>
        </w:tc>
        <w:tc>
          <w:tcPr>
            <w:tcW w:w="6300" w:type="dxa"/>
            <w:hideMark/>
          </w:tcPr>
          <w:p w14:paraId="10FA8F84"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węglowa konstrukcyjna wyższej jakości ogólnego przeznaczenia. Gatunki</w:t>
            </w:r>
          </w:p>
        </w:tc>
      </w:tr>
      <w:tr w:rsidR="004D7D23" w:rsidRPr="007B192E" w14:paraId="0BC86FB7" w14:textId="77777777" w:rsidTr="008F7A94">
        <w:tc>
          <w:tcPr>
            <w:tcW w:w="496" w:type="dxa"/>
            <w:hideMark/>
          </w:tcPr>
          <w:p w14:paraId="4A7BF7FE"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16.</w:t>
            </w:r>
          </w:p>
        </w:tc>
        <w:tc>
          <w:tcPr>
            <w:tcW w:w="1701" w:type="dxa"/>
            <w:hideMark/>
          </w:tcPr>
          <w:p w14:paraId="10E5B16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PN-H-84020</w:t>
            </w:r>
          </w:p>
        </w:tc>
        <w:tc>
          <w:tcPr>
            <w:tcW w:w="6300" w:type="dxa"/>
            <w:hideMark/>
          </w:tcPr>
          <w:p w14:paraId="56D385F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niestopowa konstrukcyjna ogólnego przeznaczenia. Gatunki</w:t>
            </w:r>
          </w:p>
        </w:tc>
      </w:tr>
      <w:tr w:rsidR="004D7D23" w:rsidRPr="007B192E" w14:paraId="25C3D18F" w14:textId="77777777" w:rsidTr="008F7A94">
        <w:tc>
          <w:tcPr>
            <w:tcW w:w="496" w:type="dxa"/>
            <w:hideMark/>
          </w:tcPr>
          <w:p w14:paraId="23727E6C"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17.</w:t>
            </w:r>
          </w:p>
        </w:tc>
        <w:tc>
          <w:tcPr>
            <w:tcW w:w="1701" w:type="dxa"/>
            <w:hideMark/>
          </w:tcPr>
          <w:p w14:paraId="7A68BEE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PN-H-84023-07</w:t>
            </w:r>
          </w:p>
        </w:tc>
        <w:tc>
          <w:tcPr>
            <w:tcW w:w="6300" w:type="dxa"/>
            <w:hideMark/>
          </w:tcPr>
          <w:p w14:paraId="1F6FF98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określonego zastosowania. Stal na rury</w:t>
            </w:r>
          </w:p>
        </w:tc>
      </w:tr>
      <w:tr w:rsidR="004D7D23" w:rsidRPr="007B192E" w14:paraId="34ED3E7A" w14:textId="77777777" w:rsidTr="008F7A94">
        <w:tc>
          <w:tcPr>
            <w:tcW w:w="496" w:type="dxa"/>
            <w:hideMark/>
          </w:tcPr>
          <w:p w14:paraId="644B32EA"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18.</w:t>
            </w:r>
          </w:p>
        </w:tc>
        <w:tc>
          <w:tcPr>
            <w:tcW w:w="1701" w:type="dxa"/>
            <w:hideMark/>
          </w:tcPr>
          <w:p w14:paraId="33ED1E4A"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PN-H-84030-02</w:t>
            </w:r>
          </w:p>
        </w:tc>
        <w:tc>
          <w:tcPr>
            <w:tcW w:w="6300" w:type="dxa"/>
            <w:hideMark/>
          </w:tcPr>
          <w:p w14:paraId="2AAFCA3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stopowa konstrukcyjna. Stal do nawęglania. Gatunki</w:t>
            </w:r>
          </w:p>
        </w:tc>
      </w:tr>
      <w:tr w:rsidR="004D7D23" w:rsidRPr="007B192E" w14:paraId="33DDF4E6" w14:textId="77777777" w:rsidTr="008F7A94">
        <w:tc>
          <w:tcPr>
            <w:tcW w:w="496" w:type="dxa"/>
            <w:hideMark/>
          </w:tcPr>
          <w:p w14:paraId="0C82A564"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19.</w:t>
            </w:r>
          </w:p>
        </w:tc>
        <w:tc>
          <w:tcPr>
            <w:tcW w:w="1701" w:type="dxa"/>
            <w:hideMark/>
          </w:tcPr>
          <w:p w14:paraId="0B0FA35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PN-H-93010</w:t>
            </w:r>
          </w:p>
        </w:tc>
        <w:tc>
          <w:tcPr>
            <w:tcW w:w="6300" w:type="dxa"/>
            <w:hideMark/>
          </w:tcPr>
          <w:p w14:paraId="71FA8C1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Kształtowniki walcowane na gorąco</w:t>
            </w:r>
          </w:p>
        </w:tc>
      </w:tr>
      <w:tr w:rsidR="004D7D23" w:rsidRPr="007B192E" w14:paraId="0214F1D2" w14:textId="77777777" w:rsidTr="008F7A94">
        <w:tc>
          <w:tcPr>
            <w:tcW w:w="496" w:type="dxa"/>
            <w:hideMark/>
          </w:tcPr>
          <w:p w14:paraId="6508F697"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1701" w:type="dxa"/>
            <w:hideMark/>
          </w:tcPr>
          <w:p w14:paraId="23E8F34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PN-H-93200-02</w:t>
            </w:r>
          </w:p>
        </w:tc>
        <w:tc>
          <w:tcPr>
            <w:tcW w:w="6300" w:type="dxa"/>
            <w:hideMark/>
          </w:tcPr>
          <w:p w14:paraId="3ACA686D"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Walcówka i pręty stalowe okrągłe walcowane na gorąco. Walcówka i pręty ogólnego zastosowania. Wymiary</w:t>
            </w:r>
          </w:p>
        </w:tc>
      </w:tr>
      <w:tr w:rsidR="004D7D23" w:rsidRPr="007B192E" w14:paraId="7B56A0B3" w14:textId="77777777" w:rsidTr="008F7A94">
        <w:tc>
          <w:tcPr>
            <w:tcW w:w="496" w:type="dxa"/>
            <w:hideMark/>
          </w:tcPr>
          <w:p w14:paraId="788DBF0E"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21.</w:t>
            </w:r>
          </w:p>
        </w:tc>
        <w:tc>
          <w:tcPr>
            <w:tcW w:w="1701" w:type="dxa"/>
            <w:hideMark/>
          </w:tcPr>
          <w:p w14:paraId="70E77E0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PN-H-93401</w:t>
            </w:r>
          </w:p>
        </w:tc>
        <w:tc>
          <w:tcPr>
            <w:tcW w:w="6300" w:type="dxa"/>
            <w:hideMark/>
          </w:tcPr>
          <w:p w14:paraId="7BDA28A8"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walcowana. Kątowniki równoramienne</w:t>
            </w:r>
          </w:p>
        </w:tc>
      </w:tr>
      <w:tr w:rsidR="004D7D23" w:rsidRPr="007B192E" w14:paraId="73F59FAB" w14:textId="77777777" w:rsidTr="008F7A94">
        <w:tc>
          <w:tcPr>
            <w:tcW w:w="496" w:type="dxa"/>
            <w:hideMark/>
          </w:tcPr>
          <w:p w14:paraId="455FF3FB"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22.</w:t>
            </w:r>
          </w:p>
        </w:tc>
        <w:tc>
          <w:tcPr>
            <w:tcW w:w="1701" w:type="dxa"/>
            <w:hideMark/>
          </w:tcPr>
          <w:p w14:paraId="0D1FAEE4"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PN-H-93402</w:t>
            </w:r>
          </w:p>
        </w:tc>
        <w:tc>
          <w:tcPr>
            <w:tcW w:w="6300" w:type="dxa"/>
            <w:hideMark/>
          </w:tcPr>
          <w:p w14:paraId="138517FA"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Kątowniki nierównoramienne stalowe walcowane na gorąco</w:t>
            </w:r>
          </w:p>
        </w:tc>
      </w:tr>
      <w:tr w:rsidR="004D7D23" w:rsidRPr="007B192E" w14:paraId="7D9CAB69" w14:textId="77777777" w:rsidTr="008F7A94">
        <w:tc>
          <w:tcPr>
            <w:tcW w:w="496" w:type="dxa"/>
            <w:hideMark/>
          </w:tcPr>
          <w:p w14:paraId="30FB58C3"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23.</w:t>
            </w:r>
          </w:p>
        </w:tc>
        <w:tc>
          <w:tcPr>
            <w:tcW w:w="1701" w:type="dxa"/>
            <w:hideMark/>
          </w:tcPr>
          <w:p w14:paraId="3588EB3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PN-H-93403</w:t>
            </w:r>
          </w:p>
        </w:tc>
        <w:tc>
          <w:tcPr>
            <w:tcW w:w="6300" w:type="dxa"/>
            <w:hideMark/>
          </w:tcPr>
          <w:p w14:paraId="60B43D3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Ceowniki walcowane. Wymiary</w:t>
            </w:r>
          </w:p>
        </w:tc>
      </w:tr>
      <w:tr w:rsidR="004D7D23" w:rsidRPr="007B192E" w14:paraId="0540123E" w14:textId="77777777" w:rsidTr="008F7A94">
        <w:tc>
          <w:tcPr>
            <w:tcW w:w="496" w:type="dxa"/>
            <w:hideMark/>
          </w:tcPr>
          <w:p w14:paraId="7E68CBD5"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24.</w:t>
            </w:r>
          </w:p>
        </w:tc>
        <w:tc>
          <w:tcPr>
            <w:tcW w:w="1701" w:type="dxa"/>
            <w:hideMark/>
          </w:tcPr>
          <w:p w14:paraId="1560B1C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PN-H-93406</w:t>
            </w:r>
          </w:p>
        </w:tc>
        <w:tc>
          <w:tcPr>
            <w:tcW w:w="6300" w:type="dxa"/>
            <w:hideMark/>
          </w:tcPr>
          <w:p w14:paraId="3990DB7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Teowniki walcowane na gorąco</w:t>
            </w:r>
          </w:p>
        </w:tc>
      </w:tr>
      <w:tr w:rsidR="004D7D23" w:rsidRPr="007B192E" w14:paraId="18741289" w14:textId="77777777" w:rsidTr="008F7A94">
        <w:tc>
          <w:tcPr>
            <w:tcW w:w="496" w:type="dxa"/>
            <w:hideMark/>
          </w:tcPr>
          <w:p w14:paraId="060875D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1701" w:type="dxa"/>
            <w:hideMark/>
          </w:tcPr>
          <w:p w14:paraId="0D9E98F9"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PN-H-93407</w:t>
            </w:r>
          </w:p>
        </w:tc>
        <w:tc>
          <w:tcPr>
            <w:tcW w:w="6300" w:type="dxa"/>
            <w:hideMark/>
          </w:tcPr>
          <w:p w14:paraId="185F3B5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Stal. Dwuteowniki walcowane na gorąco</w:t>
            </w:r>
          </w:p>
        </w:tc>
      </w:tr>
      <w:tr w:rsidR="004D7D23" w:rsidRPr="007B192E" w14:paraId="05C9DE05" w14:textId="77777777" w:rsidTr="008F7A94">
        <w:tc>
          <w:tcPr>
            <w:tcW w:w="496" w:type="dxa"/>
            <w:hideMark/>
          </w:tcPr>
          <w:p w14:paraId="37F7BF67"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26.</w:t>
            </w:r>
          </w:p>
        </w:tc>
        <w:tc>
          <w:tcPr>
            <w:tcW w:w="1701" w:type="dxa"/>
            <w:hideMark/>
          </w:tcPr>
          <w:p w14:paraId="36769DA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PN-H-97051</w:t>
            </w:r>
          </w:p>
        </w:tc>
        <w:tc>
          <w:tcPr>
            <w:tcW w:w="6300" w:type="dxa"/>
            <w:hideMark/>
          </w:tcPr>
          <w:p w14:paraId="7F8AAADD"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Ochrona przed korozją. Przygotowanie powierzchni stali, staliwa i żeliwa do malowania. Ogólne wytyczne</w:t>
            </w:r>
          </w:p>
        </w:tc>
      </w:tr>
      <w:tr w:rsidR="004D7D23" w:rsidRPr="007B192E" w14:paraId="4573BCFA" w14:textId="77777777" w:rsidTr="008F7A94">
        <w:tc>
          <w:tcPr>
            <w:tcW w:w="496" w:type="dxa"/>
            <w:hideMark/>
          </w:tcPr>
          <w:p w14:paraId="2C571180"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27.</w:t>
            </w:r>
          </w:p>
        </w:tc>
        <w:tc>
          <w:tcPr>
            <w:tcW w:w="1701" w:type="dxa"/>
            <w:hideMark/>
          </w:tcPr>
          <w:p w14:paraId="2347315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PN-H-97052</w:t>
            </w:r>
          </w:p>
        </w:tc>
        <w:tc>
          <w:tcPr>
            <w:tcW w:w="6300" w:type="dxa"/>
            <w:hideMark/>
          </w:tcPr>
          <w:p w14:paraId="7D3DC321"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Ochrona przed korozją. Ocena przygotowania powierzchni stali, staliwa i żeliwa do malowania</w:t>
            </w:r>
          </w:p>
        </w:tc>
      </w:tr>
      <w:tr w:rsidR="004D7D23" w:rsidRPr="007B192E" w14:paraId="0805258F" w14:textId="77777777" w:rsidTr="008F7A94">
        <w:tc>
          <w:tcPr>
            <w:tcW w:w="496" w:type="dxa"/>
            <w:hideMark/>
          </w:tcPr>
          <w:p w14:paraId="0425A38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28.</w:t>
            </w:r>
          </w:p>
        </w:tc>
        <w:tc>
          <w:tcPr>
            <w:tcW w:w="1701" w:type="dxa"/>
            <w:hideMark/>
          </w:tcPr>
          <w:p w14:paraId="3300452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PN-H-97053</w:t>
            </w:r>
          </w:p>
        </w:tc>
        <w:tc>
          <w:tcPr>
            <w:tcW w:w="6300" w:type="dxa"/>
            <w:hideMark/>
          </w:tcPr>
          <w:p w14:paraId="2C6A608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Ochrona przed korozją. Malowanie konstrukcji stalowych. Ogólne wytyczne</w:t>
            </w:r>
          </w:p>
        </w:tc>
      </w:tr>
      <w:tr w:rsidR="004D7D23" w:rsidRPr="007B192E" w14:paraId="2B805332" w14:textId="77777777" w:rsidTr="008F7A94">
        <w:tc>
          <w:tcPr>
            <w:tcW w:w="496" w:type="dxa"/>
            <w:hideMark/>
          </w:tcPr>
          <w:p w14:paraId="487E999E"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29.</w:t>
            </w:r>
          </w:p>
        </w:tc>
        <w:tc>
          <w:tcPr>
            <w:tcW w:w="1701" w:type="dxa"/>
            <w:hideMark/>
          </w:tcPr>
          <w:p w14:paraId="3BD824D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PN-M-06515</w:t>
            </w:r>
          </w:p>
        </w:tc>
        <w:tc>
          <w:tcPr>
            <w:tcW w:w="6300" w:type="dxa"/>
            <w:hideMark/>
          </w:tcPr>
          <w:p w14:paraId="6E0AB2F5"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Dźwignice. Ogólne zasady projektowania ustrojów nośnych</w:t>
            </w:r>
          </w:p>
        </w:tc>
      </w:tr>
      <w:tr w:rsidR="004D7D23" w:rsidRPr="007B192E" w14:paraId="2CE86BB5" w14:textId="77777777" w:rsidTr="008F7A94">
        <w:tc>
          <w:tcPr>
            <w:tcW w:w="496" w:type="dxa"/>
            <w:hideMark/>
          </w:tcPr>
          <w:p w14:paraId="7504781B"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1701" w:type="dxa"/>
            <w:hideMark/>
          </w:tcPr>
          <w:p w14:paraId="4780A6E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PN-M-69011</w:t>
            </w:r>
          </w:p>
        </w:tc>
        <w:tc>
          <w:tcPr>
            <w:tcW w:w="6300" w:type="dxa"/>
            <w:hideMark/>
          </w:tcPr>
          <w:p w14:paraId="2D90F3D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Spawalnictwo. Złącza spawane w konstrukcjach spawanych. Podział i wymagania</w:t>
            </w:r>
          </w:p>
        </w:tc>
      </w:tr>
      <w:tr w:rsidR="004D7D23" w:rsidRPr="007B192E" w14:paraId="172A4861" w14:textId="77777777" w:rsidTr="008F7A94">
        <w:tc>
          <w:tcPr>
            <w:tcW w:w="496" w:type="dxa"/>
            <w:hideMark/>
          </w:tcPr>
          <w:p w14:paraId="6B78D358"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31.</w:t>
            </w:r>
          </w:p>
        </w:tc>
        <w:tc>
          <w:tcPr>
            <w:tcW w:w="1701" w:type="dxa"/>
            <w:hideMark/>
          </w:tcPr>
          <w:p w14:paraId="1550D9F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PN-M-69420</w:t>
            </w:r>
          </w:p>
        </w:tc>
        <w:tc>
          <w:tcPr>
            <w:tcW w:w="6300" w:type="dxa"/>
            <w:hideMark/>
          </w:tcPr>
          <w:p w14:paraId="59C5DFD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Spawalnictwo. Druty lite do spawania i napawania stali</w:t>
            </w:r>
          </w:p>
        </w:tc>
      </w:tr>
      <w:tr w:rsidR="004D7D23" w:rsidRPr="007B192E" w14:paraId="13679143" w14:textId="77777777" w:rsidTr="008F7A94">
        <w:tc>
          <w:tcPr>
            <w:tcW w:w="496" w:type="dxa"/>
            <w:hideMark/>
          </w:tcPr>
          <w:p w14:paraId="4C2766F6"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32.</w:t>
            </w:r>
          </w:p>
        </w:tc>
        <w:tc>
          <w:tcPr>
            <w:tcW w:w="1701" w:type="dxa"/>
            <w:hideMark/>
          </w:tcPr>
          <w:p w14:paraId="1EA5CE4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PN-M-69775</w:t>
            </w:r>
          </w:p>
        </w:tc>
        <w:tc>
          <w:tcPr>
            <w:tcW w:w="6300" w:type="dxa"/>
            <w:hideMark/>
          </w:tcPr>
          <w:p w14:paraId="59E7244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Spawalnictwo. Wadliwość złączy spawanych. Oznaczanie klasy wadliwości na podstawie oględzin zewnętrznych</w:t>
            </w:r>
          </w:p>
        </w:tc>
      </w:tr>
      <w:tr w:rsidR="004D7D23" w:rsidRPr="007B192E" w14:paraId="37962D1D" w14:textId="77777777" w:rsidTr="008F7A94">
        <w:tc>
          <w:tcPr>
            <w:tcW w:w="496" w:type="dxa"/>
            <w:hideMark/>
          </w:tcPr>
          <w:p w14:paraId="073C662C"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33.</w:t>
            </w:r>
          </w:p>
        </w:tc>
        <w:tc>
          <w:tcPr>
            <w:tcW w:w="1701" w:type="dxa"/>
            <w:hideMark/>
          </w:tcPr>
          <w:p w14:paraId="33286D9E"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PN-M-80026</w:t>
            </w:r>
          </w:p>
        </w:tc>
        <w:tc>
          <w:tcPr>
            <w:tcW w:w="6300" w:type="dxa"/>
            <w:hideMark/>
          </w:tcPr>
          <w:p w14:paraId="310212C0"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Druty okrągłe ze stali niskowęglowej ogólnego przeznaczenia</w:t>
            </w:r>
          </w:p>
        </w:tc>
      </w:tr>
      <w:tr w:rsidR="004D7D23" w:rsidRPr="007B192E" w14:paraId="4A8F8E51" w14:textId="77777777" w:rsidTr="008F7A94">
        <w:tc>
          <w:tcPr>
            <w:tcW w:w="496" w:type="dxa"/>
            <w:hideMark/>
          </w:tcPr>
          <w:p w14:paraId="174D7174"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34.</w:t>
            </w:r>
          </w:p>
        </w:tc>
        <w:tc>
          <w:tcPr>
            <w:tcW w:w="1701" w:type="dxa"/>
            <w:hideMark/>
          </w:tcPr>
          <w:p w14:paraId="1106204C"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PN-M-80201</w:t>
            </w:r>
          </w:p>
        </w:tc>
        <w:tc>
          <w:tcPr>
            <w:tcW w:w="6300" w:type="dxa"/>
            <w:hideMark/>
          </w:tcPr>
          <w:p w14:paraId="3311BD15"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Liny stalowe z drutu okrągłego. Wymagania i badania</w:t>
            </w:r>
          </w:p>
        </w:tc>
      </w:tr>
      <w:tr w:rsidR="004D7D23" w:rsidRPr="007B192E" w14:paraId="4E1F9346" w14:textId="77777777" w:rsidTr="008F7A94">
        <w:tc>
          <w:tcPr>
            <w:tcW w:w="496" w:type="dxa"/>
            <w:hideMark/>
          </w:tcPr>
          <w:p w14:paraId="0053A268"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35.</w:t>
            </w:r>
          </w:p>
        </w:tc>
        <w:tc>
          <w:tcPr>
            <w:tcW w:w="1701" w:type="dxa"/>
            <w:hideMark/>
          </w:tcPr>
          <w:p w14:paraId="238A0F41"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PN-M-80202</w:t>
            </w:r>
          </w:p>
        </w:tc>
        <w:tc>
          <w:tcPr>
            <w:tcW w:w="6300" w:type="dxa"/>
            <w:hideMark/>
          </w:tcPr>
          <w:p w14:paraId="0277EF2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Liny stalowe 1 x 7</w:t>
            </w:r>
          </w:p>
        </w:tc>
      </w:tr>
      <w:tr w:rsidR="004D7D23" w:rsidRPr="007B192E" w14:paraId="22AE33BC" w14:textId="77777777" w:rsidTr="008F7A94">
        <w:tc>
          <w:tcPr>
            <w:tcW w:w="496" w:type="dxa"/>
            <w:hideMark/>
          </w:tcPr>
          <w:p w14:paraId="2C61BCED"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36.</w:t>
            </w:r>
          </w:p>
        </w:tc>
        <w:tc>
          <w:tcPr>
            <w:tcW w:w="1701" w:type="dxa"/>
            <w:hideMark/>
          </w:tcPr>
          <w:p w14:paraId="3C99881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PN-M-82054</w:t>
            </w:r>
          </w:p>
        </w:tc>
        <w:tc>
          <w:tcPr>
            <w:tcW w:w="6300" w:type="dxa"/>
            <w:hideMark/>
          </w:tcPr>
          <w:p w14:paraId="6905E850"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Śruby, wkręty i nakrętki stalowe. Ogólne wymagania i badania</w:t>
            </w:r>
          </w:p>
        </w:tc>
      </w:tr>
      <w:tr w:rsidR="004D7D23" w:rsidRPr="007B192E" w14:paraId="29F45B05" w14:textId="77777777" w:rsidTr="008F7A94">
        <w:tc>
          <w:tcPr>
            <w:tcW w:w="496" w:type="dxa"/>
            <w:hideMark/>
          </w:tcPr>
          <w:p w14:paraId="100371A4"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37.</w:t>
            </w:r>
          </w:p>
        </w:tc>
        <w:tc>
          <w:tcPr>
            <w:tcW w:w="1701" w:type="dxa"/>
            <w:hideMark/>
          </w:tcPr>
          <w:p w14:paraId="6F2B58D9"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PN-M-82054-03</w:t>
            </w:r>
          </w:p>
        </w:tc>
        <w:tc>
          <w:tcPr>
            <w:tcW w:w="6300" w:type="dxa"/>
            <w:hideMark/>
          </w:tcPr>
          <w:p w14:paraId="6CFC667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Śruby, wkręty i nakrętki stalowe. Właściwości mechaniczne śrub i wkrętów</w:t>
            </w:r>
          </w:p>
        </w:tc>
      </w:tr>
      <w:tr w:rsidR="004D7D23" w:rsidRPr="007B192E" w14:paraId="645DA670" w14:textId="77777777" w:rsidTr="008F7A94">
        <w:tc>
          <w:tcPr>
            <w:tcW w:w="496" w:type="dxa"/>
            <w:hideMark/>
          </w:tcPr>
          <w:p w14:paraId="1E549CAB"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38.</w:t>
            </w:r>
          </w:p>
        </w:tc>
        <w:tc>
          <w:tcPr>
            <w:tcW w:w="1701" w:type="dxa"/>
            <w:hideMark/>
          </w:tcPr>
          <w:p w14:paraId="2F0B1B6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PN-M-84540</w:t>
            </w:r>
          </w:p>
        </w:tc>
        <w:tc>
          <w:tcPr>
            <w:tcW w:w="6300" w:type="dxa"/>
            <w:hideMark/>
          </w:tcPr>
          <w:p w14:paraId="5826D24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Łańcuchy techniczne ogniwowe o ogniwach krótkich</w:t>
            </w:r>
          </w:p>
        </w:tc>
      </w:tr>
      <w:tr w:rsidR="004D7D23" w:rsidRPr="007B192E" w14:paraId="4927873B" w14:textId="77777777" w:rsidTr="008F7A94">
        <w:tc>
          <w:tcPr>
            <w:tcW w:w="496" w:type="dxa"/>
            <w:hideMark/>
          </w:tcPr>
          <w:p w14:paraId="77C6FCD0"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39.</w:t>
            </w:r>
          </w:p>
        </w:tc>
        <w:tc>
          <w:tcPr>
            <w:tcW w:w="1701" w:type="dxa"/>
            <w:hideMark/>
          </w:tcPr>
          <w:p w14:paraId="27DDA782"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PN-M-84541</w:t>
            </w:r>
          </w:p>
        </w:tc>
        <w:tc>
          <w:tcPr>
            <w:tcW w:w="6300" w:type="dxa"/>
            <w:hideMark/>
          </w:tcPr>
          <w:p w14:paraId="7D6FE81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Łańcuchy techniczne ogniwowe o ogniwach średnich</w:t>
            </w:r>
          </w:p>
        </w:tc>
      </w:tr>
      <w:tr w:rsidR="004D7D23" w:rsidRPr="007B192E" w14:paraId="216B7F17" w14:textId="77777777" w:rsidTr="008F7A94">
        <w:tc>
          <w:tcPr>
            <w:tcW w:w="496" w:type="dxa"/>
            <w:hideMark/>
          </w:tcPr>
          <w:p w14:paraId="0C7BCA5D"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40.</w:t>
            </w:r>
          </w:p>
        </w:tc>
        <w:tc>
          <w:tcPr>
            <w:tcW w:w="1701" w:type="dxa"/>
            <w:hideMark/>
          </w:tcPr>
          <w:p w14:paraId="040F02C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PN-M-84542</w:t>
            </w:r>
          </w:p>
        </w:tc>
        <w:tc>
          <w:tcPr>
            <w:tcW w:w="6300" w:type="dxa"/>
            <w:hideMark/>
          </w:tcPr>
          <w:p w14:paraId="4EEAD14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Łańcuchy techniczne ogniwowe. Wymagania i badania</w:t>
            </w:r>
          </w:p>
        </w:tc>
      </w:tr>
      <w:tr w:rsidR="004D7D23" w:rsidRPr="007B192E" w14:paraId="07B336B2" w14:textId="77777777" w:rsidTr="008F7A94">
        <w:tc>
          <w:tcPr>
            <w:tcW w:w="496" w:type="dxa"/>
            <w:hideMark/>
          </w:tcPr>
          <w:p w14:paraId="33F75738"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41.</w:t>
            </w:r>
          </w:p>
        </w:tc>
        <w:tc>
          <w:tcPr>
            <w:tcW w:w="1701" w:type="dxa"/>
            <w:hideMark/>
          </w:tcPr>
          <w:p w14:paraId="32D9CC39"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PN-M-84543</w:t>
            </w:r>
          </w:p>
        </w:tc>
        <w:tc>
          <w:tcPr>
            <w:tcW w:w="6300" w:type="dxa"/>
            <w:hideMark/>
          </w:tcPr>
          <w:p w14:paraId="687C681E"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Łańcuchy techniczne ogniwowe o ogniwach długich</w:t>
            </w:r>
          </w:p>
        </w:tc>
      </w:tr>
      <w:tr w:rsidR="004D7D23" w:rsidRPr="007B192E" w14:paraId="3FF49EBB" w14:textId="77777777" w:rsidTr="008F7A94">
        <w:tc>
          <w:tcPr>
            <w:tcW w:w="496" w:type="dxa"/>
            <w:hideMark/>
          </w:tcPr>
          <w:p w14:paraId="0145FE72"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42.</w:t>
            </w:r>
          </w:p>
        </w:tc>
        <w:tc>
          <w:tcPr>
            <w:tcW w:w="1701" w:type="dxa"/>
            <w:hideMark/>
          </w:tcPr>
          <w:p w14:paraId="753EFC3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PN-ISO-8501-1</w:t>
            </w:r>
          </w:p>
        </w:tc>
        <w:tc>
          <w:tcPr>
            <w:tcW w:w="6300" w:type="dxa"/>
            <w:hideMark/>
          </w:tcPr>
          <w:p w14:paraId="0C5F52B5"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Przygotowanie podłoży stalowych przed nakładaniem farb i podobnych produktów. Stopnie skorodowania i stopnie przygotowania niezabezpieczonych podłoży stalowych oraz podłoży stalowych po całkowitym usunięciu wcześniej nałożonych powłok</w:t>
            </w:r>
          </w:p>
        </w:tc>
      </w:tr>
      <w:tr w:rsidR="004D7D23" w:rsidRPr="007B192E" w14:paraId="13BC3C40" w14:textId="77777777" w:rsidTr="008F7A94">
        <w:tc>
          <w:tcPr>
            <w:tcW w:w="496" w:type="dxa"/>
            <w:hideMark/>
          </w:tcPr>
          <w:p w14:paraId="267A2F85"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43.</w:t>
            </w:r>
          </w:p>
        </w:tc>
        <w:tc>
          <w:tcPr>
            <w:tcW w:w="1701" w:type="dxa"/>
            <w:hideMark/>
          </w:tcPr>
          <w:p w14:paraId="387DD50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BN-73/0658-01</w:t>
            </w:r>
          </w:p>
        </w:tc>
        <w:tc>
          <w:tcPr>
            <w:tcW w:w="6300" w:type="dxa"/>
            <w:hideMark/>
          </w:tcPr>
          <w:p w14:paraId="4E61A9CF"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Rury stalowe profilowe ciągnione na zimno. Wymiary</w:t>
            </w:r>
          </w:p>
        </w:tc>
      </w:tr>
      <w:tr w:rsidR="004D7D23" w:rsidRPr="007B192E" w14:paraId="4150627D" w14:textId="77777777" w:rsidTr="008F7A94">
        <w:tc>
          <w:tcPr>
            <w:tcW w:w="496" w:type="dxa"/>
            <w:hideMark/>
          </w:tcPr>
          <w:p w14:paraId="376012C1"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44.</w:t>
            </w:r>
          </w:p>
        </w:tc>
        <w:tc>
          <w:tcPr>
            <w:tcW w:w="1701" w:type="dxa"/>
            <w:hideMark/>
          </w:tcPr>
          <w:p w14:paraId="7BBC5618"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BN-89/1076-02</w:t>
            </w:r>
          </w:p>
        </w:tc>
        <w:tc>
          <w:tcPr>
            <w:tcW w:w="6300" w:type="dxa"/>
            <w:hideMark/>
          </w:tcPr>
          <w:p w14:paraId="033FCAB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Ochrona przed korozją. Powłoki metalizacyjne cynkowe i aluminiowe na konstrukcjach stalowych, staliwnych i żeliwnych. Wymagania i badania</w:t>
            </w:r>
          </w:p>
        </w:tc>
      </w:tr>
      <w:tr w:rsidR="004D7D23" w:rsidRPr="007B192E" w14:paraId="6707A02C" w14:textId="77777777" w:rsidTr="008F7A94">
        <w:tc>
          <w:tcPr>
            <w:tcW w:w="496" w:type="dxa"/>
            <w:hideMark/>
          </w:tcPr>
          <w:p w14:paraId="43DF1BFF"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45</w:t>
            </w:r>
          </w:p>
        </w:tc>
        <w:tc>
          <w:tcPr>
            <w:tcW w:w="1701" w:type="dxa"/>
            <w:hideMark/>
          </w:tcPr>
          <w:p w14:paraId="6141D429"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BN-83/5032-02</w:t>
            </w:r>
          </w:p>
        </w:tc>
        <w:tc>
          <w:tcPr>
            <w:tcW w:w="6300" w:type="dxa"/>
            <w:hideMark/>
          </w:tcPr>
          <w:p w14:paraId="35751085"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Siatki metalowe. Siatki plecione ślimakowe</w:t>
            </w:r>
          </w:p>
        </w:tc>
      </w:tr>
      <w:tr w:rsidR="004D7D23" w:rsidRPr="007B192E" w14:paraId="69F9A3D6" w14:textId="77777777" w:rsidTr="008F7A94">
        <w:tc>
          <w:tcPr>
            <w:tcW w:w="496" w:type="dxa"/>
            <w:hideMark/>
          </w:tcPr>
          <w:p w14:paraId="2A989A5E"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46</w:t>
            </w:r>
          </w:p>
        </w:tc>
        <w:tc>
          <w:tcPr>
            <w:tcW w:w="1701" w:type="dxa"/>
            <w:hideMark/>
          </w:tcPr>
          <w:p w14:paraId="3B66CE95"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BN-88/6731-08</w:t>
            </w:r>
          </w:p>
        </w:tc>
        <w:tc>
          <w:tcPr>
            <w:tcW w:w="6300" w:type="dxa"/>
            <w:hideMark/>
          </w:tcPr>
          <w:p w14:paraId="720FFA13"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Cement. Transport i przechowywanie.</w:t>
            </w:r>
          </w:p>
        </w:tc>
      </w:tr>
    </w:tbl>
    <w:p w14:paraId="290F292D" w14:textId="77777777" w:rsidR="00F45500" w:rsidRPr="007B192E" w:rsidRDefault="00F45500" w:rsidP="00F45500">
      <w:pPr>
        <w:pStyle w:val="StylIwony"/>
        <w:rPr>
          <w:rFonts w:ascii="Arial" w:hAnsi="Arial" w:cs="Arial"/>
          <w:b/>
          <w:color w:val="000000" w:themeColor="text1"/>
          <w:sz w:val="18"/>
          <w:szCs w:val="18"/>
        </w:rPr>
      </w:pPr>
      <w:r w:rsidRPr="007B192E">
        <w:rPr>
          <w:rFonts w:ascii="Arial" w:hAnsi="Arial" w:cs="Arial"/>
          <w:b/>
          <w:color w:val="000000" w:themeColor="text1"/>
          <w:sz w:val="18"/>
          <w:szCs w:val="18"/>
        </w:rPr>
        <w:t>10.2. Inne dokumenty</w:t>
      </w:r>
    </w:p>
    <w:tbl>
      <w:tblPr>
        <w:tblW w:w="0" w:type="auto"/>
        <w:tblCellMar>
          <w:left w:w="70" w:type="dxa"/>
          <w:right w:w="70" w:type="dxa"/>
        </w:tblCellMar>
        <w:tblLook w:val="04A0" w:firstRow="1" w:lastRow="0" w:firstColumn="1" w:lastColumn="0" w:noHBand="0" w:noVBand="1"/>
      </w:tblPr>
      <w:tblGrid>
        <w:gridCol w:w="496"/>
        <w:gridCol w:w="8001"/>
      </w:tblGrid>
      <w:tr w:rsidR="004D7D23" w:rsidRPr="007B192E" w14:paraId="1587E25B" w14:textId="77777777" w:rsidTr="008F7A94">
        <w:tc>
          <w:tcPr>
            <w:tcW w:w="496" w:type="dxa"/>
            <w:hideMark/>
          </w:tcPr>
          <w:p w14:paraId="45AB746C"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47.</w:t>
            </w:r>
          </w:p>
        </w:tc>
        <w:tc>
          <w:tcPr>
            <w:tcW w:w="8001" w:type="dxa"/>
            <w:hideMark/>
          </w:tcPr>
          <w:p w14:paraId="5D9E1B3D"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 xml:space="preserve">Poręcze mostowe - Ministerstwo Komunikacji, Centralne Biuro Studiów i Projektów Dróg i Mostów </w:t>
            </w:r>
            <w:proofErr w:type="spellStart"/>
            <w:r w:rsidRPr="007B192E">
              <w:rPr>
                <w:rFonts w:ascii="Arial" w:hAnsi="Arial" w:cs="Arial"/>
                <w:color w:val="000000" w:themeColor="text1"/>
                <w:sz w:val="18"/>
                <w:szCs w:val="18"/>
              </w:rPr>
              <w:t>Transprojekt</w:t>
            </w:r>
            <w:proofErr w:type="spellEnd"/>
            <w:r w:rsidRPr="007B192E">
              <w:rPr>
                <w:rFonts w:ascii="Arial" w:hAnsi="Arial" w:cs="Arial"/>
                <w:color w:val="000000" w:themeColor="text1"/>
                <w:sz w:val="18"/>
                <w:szCs w:val="18"/>
              </w:rPr>
              <w:t xml:space="preserve"> - Warszawa, 1976.</w:t>
            </w:r>
          </w:p>
        </w:tc>
      </w:tr>
      <w:tr w:rsidR="004D7D23" w:rsidRPr="007B192E" w14:paraId="7CF18663" w14:textId="77777777" w:rsidTr="008F7A94">
        <w:tc>
          <w:tcPr>
            <w:tcW w:w="496" w:type="dxa"/>
            <w:hideMark/>
          </w:tcPr>
          <w:p w14:paraId="190385D1"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48.</w:t>
            </w:r>
          </w:p>
        </w:tc>
        <w:tc>
          <w:tcPr>
            <w:tcW w:w="8001" w:type="dxa"/>
            <w:hideMark/>
          </w:tcPr>
          <w:p w14:paraId="373164B7"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Katalog budownictwa, Karta KB 8-3.3 (5), listopad 1965.</w:t>
            </w:r>
          </w:p>
        </w:tc>
      </w:tr>
      <w:tr w:rsidR="004D7D23" w:rsidRPr="007B192E" w14:paraId="23BFF945" w14:textId="77777777" w:rsidTr="008F7A94">
        <w:tc>
          <w:tcPr>
            <w:tcW w:w="496" w:type="dxa"/>
            <w:hideMark/>
          </w:tcPr>
          <w:p w14:paraId="58BD6FDC"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49.</w:t>
            </w:r>
          </w:p>
        </w:tc>
        <w:tc>
          <w:tcPr>
            <w:tcW w:w="8001" w:type="dxa"/>
            <w:hideMark/>
          </w:tcPr>
          <w:p w14:paraId="76793A56"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Leszek Mikołajków, „Urządzenia bezpieczeństwa ruchu na obiektach mostowych”. Wydawnictwa Komunikacji i Łączności, Warszawa 1988.</w:t>
            </w:r>
          </w:p>
        </w:tc>
      </w:tr>
      <w:tr w:rsidR="004D7D23" w:rsidRPr="007B192E" w14:paraId="2A64E4F3" w14:textId="77777777" w:rsidTr="008F7A94">
        <w:tc>
          <w:tcPr>
            <w:tcW w:w="496" w:type="dxa"/>
            <w:hideMark/>
          </w:tcPr>
          <w:p w14:paraId="16CA81A5" w14:textId="77777777" w:rsidR="00F45500" w:rsidRPr="007B192E" w:rsidRDefault="00F45500" w:rsidP="008F7A94">
            <w:pPr>
              <w:pStyle w:val="StylIwony"/>
              <w:spacing w:before="0" w:after="0"/>
              <w:jc w:val="center"/>
              <w:rPr>
                <w:rFonts w:ascii="Arial" w:hAnsi="Arial" w:cs="Arial"/>
                <w:color w:val="000000" w:themeColor="text1"/>
                <w:sz w:val="18"/>
                <w:szCs w:val="18"/>
              </w:rPr>
            </w:pPr>
            <w:r w:rsidRPr="007B192E">
              <w:rPr>
                <w:rFonts w:ascii="Arial" w:hAnsi="Arial" w:cs="Arial"/>
                <w:color w:val="000000" w:themeColor="text1"/>
                <w:sz w:val="18"/>
                <w:szCs w:val="18"/>
              </w:rPr>
              <w:t>50.</w:t>
            </w:r>
          </w:p>
        </w:tc>
        <w:tc>
          <w:tcPr>
            <w:tcW w:w="8001" w:type="dxa"/>
            <w:hideMark/>
          </w:tcPr>
          <w:p w14:paraId="71DC458B" w14:textId="77777777" w:rsidR="00F45500" w:rsidRPr="007B192E" w:rsidRDefault="00F45500" w:rsidP="008F7A94">
            <w:pPr>
              <w:pStyle w:val="StylIwony"/>
              <w:spacing w:before="0" w:after="0"/>
              <w:rPr>
                <w:rFonts w:ascii="Arial" w:hAnsi="Arial" w:cs="Arial"/>
                <w:color w:val="000000" w:themeColor="text1"/>
                <w:sz w:val="18"/>
                <w:szCs w:val="18"/>
              </w:rPr>
            </w:pPr>
            <w:r w:rsidRPr="007B192E">
              <w:rPr>
                <w:rFonts w:ascii="Arial" w:hAnsi="Arial" w:cs="Arial"/>
                <w:color w:val="000000" w:themeColor="text1"/>
                <w:sz w:val="18"/>
                <w:szCs w:val="18"/>
              </w:rPr>
              <w:t>Instrukcja o znakach drogowych pionowych. Tom I - Zasady stosowania znaków i urządzeń bezpieczeństwa ruchu. Zał. nr 1 do zarządzenia Ministra Transportu i Gospodarki Morskiej z dnia 3 marca 1994 r. (Monitor Polski Nr 16, poz. 120).</w:t>
            </w:r>
          </w:p>
        </w:tc>
      </w:tr>
    </w:tbl>
    <w:p w14:paraId="7BB01710" w14:textId="77777777" w:rsidR="00F45500" w:rsidRPr="004D7D23" w:rsidRDefault="00F45500" w:rsidP="00F45500">
      <w:pPr>
        <w:rPr>
          <w:rFonts w:ascii="Arial" w:hAnsi="Arial" w:cs="Arial"/>
          <w:b/>
          <w:bCs/>
          <w:color w:val="FF0000"/>
          <w:sz w:val="18"/>
          <w:szCs w:val="18"/>
        </w:rPr>
      </w:pPr>
      <w:r w:rsidRPr="004D7D23">
        <w:rPr>
          <w:rFonts w:ascii="Arial" w:hAnsi="Arial" w:cs="Arial"/>
          <w:b/>
          <w:bCs/>
          <w:color w:val="FF0000"/>
          <w:sz w:val="18"/>
          <w:szCs w:val="18"/>
        </w:rPr>
        <w:br w:type="page"/>
      </w:r>
    </w:p>
    <w:p w14:paraId="2D71CA62" w14:textId="77777777" w:rsidR="00F45500" w:rsidRPr="007B192E" w:rsidRDefault="00E9570E" w:rsidP="00E9570E">
      <w:pPr>
        <w:pStyle w:val="Nagwek1"/>
        <w:jc w:val="center"/>
        <w:rPr>
          <w:color w:val="000000" w:themeColor="text1"/>
          <w:sz w:val="40"/>
        </w:rPr>
      </w:pPr>
      <w:bookmarkStart w:id="361" w:name="_Toc138757113"/>
      <w:bookmarkStart w:id="362" w:name="_Toc163481063"/>
      <w:r w:rsidRPr="007B192E">
        <w:rPr>
          <w:color w:val="000000" w:themeColor="text1"/>
          <w:sz w:val="40"/>
        </w:rPr>
        <w:lastRenderedPageBreak/>
        <w:t>D-08.00.00 ELEMENTY ULIC</w:t>
      </w:r>
      <w:bookmarkEnd w:id="361"/>
      <w:bookmarkEnd w:id="362"/>
    </w:p>
    <w:p w14:paraId="016DD7F7" w14:textId="77777777" w:rsidR="00F45500" w:rsidRPr="007B192E" w:rsidRDefault="00072856" w:rsidP="00E9570E">
      <w:pPr>
        <w:pStyle w:val="Nagwek1"/>
        <w:jc w:val="center"/>
        <w:rPr>
          <w:color w:val="000000" w:themeColor="text1"/>
          <w:sz w:val="40"/>
        </w:rPr>
      </w:pPr>
      <w:bookmarkStart w:id="363" w:name="_Toc163481064"/>
      <w:r w:rsidRPr="007B192E">
        <w:rPr>
          <w:color w:val="000000" w:themeColor="text1"/>
          <w:sz w:val="40"/>
        </w:rPr>
        <w:t>D-</w:t>
      </w:r>
      <w:r w:rsidR="00F45500" w:rsidRPr="007B192E">
        <w:rPr>
          <w:color w:val="000000" w:themeColor="text1"/>
          <w:sz w:val="40"/>
        </w:rPr>
        <w:t>08.01.01b</w:t>
      </w:r>
      <w:r w:rsidR="00E9570E" w:rsidRPr="007B192E">
        <w:rPr>
          <w:color w:val="000000" w:themeColor="text1"/>
          <w:sz w:val="40"/>
        </w:rPr>
        <w:t xml:space="preserve"> </w:t>
      </w:r>
      <w:r w:rsidR="00F45500" w:rsidRPr="007B192E">
        <w:rPr>
          <w:color w:val="000000" w:themeColor="text1"/>
          <w:sz w:val="40"/>
        </w:rPr>
        <w:t>USTA</w:t>
      </w:r>
      <w:r w:rsidR="00E9570E" w:rsidRPr="007B192E">
        <w:rPr>
          <w:color w:val="000000" w:themeColor="text1"/>
          <w:sz w:val="40"/>
        </w:rPr>
        <w:t>WIENIE  KRAWĘŻNIKÓW  BETONOWYCH</w:t>
      </w:r>
      <w:bookmarkEnd w:id="363"/>
    </w:p>
    <w:p w14:paraId="6E02C158" w14:textId="77777777" w:rsidR="00F45500" w:rsidRPr="007B192E" w:rsidRDefault="00F45500" w:rsidP="00E9570E">
      <w:pPr>
        <w:pStyle w:val="Nagwek2"/>
        <w:rPr>
          <w:i w:val="0"/>
          <w:color w:val="000000" w:themeColor="text1"/>
        </w:rPr>
      </w:pPr>
      <w:r w:rsidRPr="007B192E">
        <w:rPr>
          <w:i w:val="0"/>
          <w:color w:val="000000" w:themeColor="text1"/>
        </w:rPr>
        <w:t>1. WSTĘP</w:t>
      </w:r>
    </w:p>
    <w:p w14:paraId="7AC04A06"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3DE4B3B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Przedmiotem niniejszej specyfikacji technicznej (ST) są wymagania dotyczące wykonania i odbioru robót związanych z ustawieniem krawężników betonowych wraz z wykonaniem ław.</w:t>
      </w:r>
    </w:p>
    <w:p w14:paraId="09CECD0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5D9CF1DE" w14:textId="77777777" w:rsidR="00F45500" w:rsidRPr="007B192E" w:rsidRDefault="00F45500" w:rsidP="00F45500">
      <w:pPr>
        <w:pStyle w:val="Standard"/>
        <w:spacing w:line="216" w:lineRule="auto"/>
        <w:jc w:val="both"/>
        <w:rPr>
          <w:rFonts w:ascii="Arial" w:eastAsia="Times New Roman" w:hAnsi="Arial" w:cs="Arial"/>
          <w:color w:val="000000" w:themeColor="text1"/>
          <w:sz w:val="18"/>
          <w:szCs w:val="18"/>
        </w:rPr>
      </w:pPr>
      <w:r w:rsidRPr="007B192E">
        <w:rPr>
          <w:rFonts w:ascii="Arial" w:eastAsia="Times New Roman" w:hAnsi="Arial" w:cs="Arial"/>
          <w:color w:val="000000" w:themeColor="text1"/>
          <w:sz w:val="18"/>
          <w:szCs w:val="18"/>
        </w:rPr>
        <w:tab/>
        <w:t>Specyfikacja techniczna stanowi dokument przetargowy i kontraktowy stosowany przy zlecaniu i realizacji robót budowlanych wymienionych w punkcie 1.1.</w:t>
      </w:r>
    </w:p>
    <w:p w14:paraId="68F7A770"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1.3. Zakres robót objętych ST</w:t>
      </w:r>
    </w:p>
    <w:p w14:paraId="7FDF731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Ustalenia zawarte w niniejszej specyfikacji dotyczą zasad prowadzenia robót związanych z wykonaniem i odbiorem ustawienia krawężników betonowych typu ulicznego i typu drogowego (wtopionych) na ławach betonowych.</w:t>
      </w:r>
    </w:p>
    <w:p w14:paraId="3A4E24E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1.4. Określenia podstawowe</w:t>
      </w:r>
    </w:p>
    <w:p w14:paraId="62EB522A"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Krawężnik betonowy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p>
    <w:p w14:paraId="78BC0CB1"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Opornik betonowy – prefabrykat betonowy, przeznaczony do oddzielenia powierzchni znajdujących się na tym samym poziomie lub na różnych poziomach stosowany: a) w celu ograniczania lub wyznaczania granicy rzeczywistej lub wizualnej.</w:t>
      </w:r>
    </w:p>
    <w:p w14:paraId="613FD0A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1.4.3. </w:t>
      </w:r>
      <w:r w:rsidRPr="007B192E">
        <w:rPr>
          <w:rFonts w:ascii="Arial" w:hAnsi="Arial" w:cs="Arial"/>
          <w:color w:val="000000" w:themeColor="text1"/>
          <w:sz w:val="18"/>
          <w:szCs w:val="18"/>
        </w:rPr>
        <w:t>Wymiar nominalny – wymiar krawężnika określony w celu jego wykonania, któremu powinien odpowiadać wymiar rzeczywisty w określonych granicach dopuszczalnych odchyłek.</w:t>
      </w:r>
    </w:p>
    <w:p w14:paraId="68351F63"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1.4.4. </w:t>
      </w:r>
      <w:r w:rsidRPr="007B192E">
        <w:rPr>
          <w:rFonts w:ascii="Arial" w:hAnsi="Arial" w:cs="Arial"/>
          <w:color w:val="000000" w:themeColor="text1"/>
          <w:sz w:val="18"/>
          <w:szCs w:val="18"/>
        </w:rPr>
        <w:t xml:space="preserve">Pozostałe określenia podstawowe są zgodne z obowiązującymi, odpowiednimi polskimi normami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ogólne”[1] pkt 1.4.</w:t>
      </w:r>
    </w:p>
    <w:p w14:paraId="59020F0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1.5. Wymagania dotyczące robót</w:t>
      </w:r>
    </w:p>
    <w:p w14:paraId="3F0849C1"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1.5.</w:t>
      </w:r>
    </w:p>
    <w:p w14:paraId="3C023766" w14:textId="77777777" w:rsidR="00F45500" w:rsidRPr="007B192E" w:rsidRDefault="00F45500" w:rsidP="00277543">
      <w:pPr>
        <w:pStyle w:val="Nagwek2"/>
        <w:rPr>
          <w:i w:val="0"/>
          <w:color w:val="000000" w:themeColor="text1"/>
        </w:rPr>
      </w:pPr>
      <w:bookmarkStart w:id="364" w:name="_2._MATERIAŁY_1"/>
      <w:bookmarkStart w:id="365" w:name="__RefHeading__35986_108072716"/>
      <w:bookmarkEnd w:id="364"/>
      <w:r w:rsidRPr="007B192E">
        <w:rPr>
          <w:i w:val="0"/>
          <w:color w:val="000000" w:themeColor="text1"/>
        </w:rPr>
        <w:t>2. MATERIAŁY</w:t>
      </w:r>
      <w:bookmarkEnd w:id="365"/>
    </w:p>
    <w:p w14:paraId="3C140611"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2.1. Wymagania dotyczące materiałów</w:t>
      </w:r>
    </w:p>
    <w:p w14:paraId="673994F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2.</w:t>
      </w:r>
    </w:p>
    <w:p w14:paraId="27158D7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2.2. Materiały do wykonania robót</w:t>
      </w:r>
    </w:p>
    <w:p w14:paraId="00E01899"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Zgodność materiałów z dokumentacją projektową</w:t>
      </w:r>
    </w:p>
    <w:p w14:paraId="301C5251"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Materiały do wykonania robót powinny być zgodne z ustaleniami dokumentacji projektowej lub ST.</w:t>
      </w:r>
    </w:p>
    <w:p w14:paraId="498EB1C3"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2.2.2. </w:t>
      </w:r>
      <w:r w:rsidRPr="007B192E">
        <w:rPr>
          <w:rFonts w:ascii="Arial" w:hAnsi="Arial" w:cs="Arial"/>
          <w:color w:val="000000" w:themeColor="text1"/>
          <w:sz w:val="18"/>
          <w:szCs w:val="18"/>
        </w:rPr>
        <w:t>Stosowane materiały</w:t>
      </w:r>
    </w:p>
    <w:p w14:paraId="02465DF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Przy ustawianiu krawężników na ławach można stosować następujące materiały:</w:t>
      </w:r>
    </w:p>
    <w:p w14:paraId="6090BAD4" w14:textId="77777777" w:rsidR="00F45500" w:rsidRPr="007B192E" w:rsidRDefault="00F45500" w:rsidP="00F45500">
      <w:pPr>
        <w:pStyle w:val="Standard"/>
        <w:widowControl w:val="0"/>
        <w:numPr>
          <w:ilvl w:val="0"/>
          <w:numId w:val="10"/>
        </w:numPr>
        <w:tabs>
          <w:tab w:val="clear" w:pos="709"/>
        </w:tabs>
        <w:spacing w:line="216" w:lineRule="auto"/>
        <w:ind w:left="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krawężniki betonowe,</w:t>
      </w:r>
    </w:p>
    <w:p w14:paraId="2B5C43E4" w14:textId="77777777" w:rsidR="00F45500" w:rsidRPr="007B192E"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piasek na podsypkę i do zapraw,</w:t>
      </w:r>
    </w:p>
    <w:p w14:paraId="0DA54963" w14:textId="77777777" w:rsidR="00F45500" w:rsidRPr="007B192E"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cement do podsypki i do zapraw,</w:t>
      </w:r>
    </w:p>
    <w:p w14:paraId="18FD205A" w14:textId="77777777" w:rsidR="00F45500" w:rsidRPr="007B192E"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wodę,</w:t>
      </w:r>
    </w:p>
    <w:p w14:paraId="41CED7D0" w14:textId="77777777" w:rsidR="00F45500" w:rsidRPr="007B192E" w:rsidRDefault="00F45500" w:rsidP="00F45500">
      <w:pPr>
        <w:pStyle w:val="Standard"/>
        <w:widowControl w:val="0"/>
        <w:numPr>
          <w:ilvl w:val="0"/>
          <w:numId w:val="10"/>
        </w:numPr>
        <w:tabs>
          <w:tab w:val="clear" w:pos="709"/>
        </w:tabs>
        <w:spacing w:line="216" w:lineRule="auto"/>
        <w:ind w:left="0" w:firstLine="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materiały do wykonania ławy.</w:t>
      </w:r>
    </w:p>
    <w:p w14:paraId="373A2C77"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2.2.3. </w:t>
      </w:r>
      <w:r w:rsidRPr="007B192E">
        <w:rPr>
          <w:rFonts w:ascii="Arial" w:hAnsi="Arial" w:cs="Arial"/>
          <w:color w:val="000000" w:themeColor="text1"/>
          <w:sz w:val="18"/>
          <w:szCs w:val="18"/>
        </w:rPr>
        <w:t>Krawężniki betonowe</w:t>
      </w:r>
    </w:p>
    <w:p w14:paraId="4DC8AC45"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2.2.3.1. Wymagania ogólne wobec krawężników</w:t>
      </w:r>
    </w:p>
    <w:p w14:paraId="2685A125"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wykonania robót należy wykorzystać krawężniki z rozbiórki istniejącego obramowania nawierzchni. </w:t>
      </w:r>
    </w:p>
    <w:p w14:paraId="6F83C641"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2.2.3.3. Składowanie krawężników</w:t>
      </w:r>
    </w:p>
    <w:p w14:paraId="2D59A633"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Krawężniki betonowe mogą być przechowywane na składowiskach otwartych, posegregowane według typów, rodzajów, kształtów, cech fizycznych i mechanicznych, wielkości, wyglądu itp.</w:t>
      </w:r>
    </w:p>
    <w:p w14:paraId="6349AC4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Krawężniki betonowe należy układać z zastosowaniem podkładek i przekładek drewnianych o wymiarach: grubość 2,5 cm, szerokość 5 cm, długości min. 5 cm większej od szerokości krawężnika.</w:t>
      </w:r>
    </w:p>
    <w:p w14:paraId="1C63BB2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 xml:space="preserve">2.2.4. </w:t>
      </w:r>
      <w:r w:rsidRPr="007B192E">
        <w:rPr>
          <w:b w:val="0"/>
          <w:color w:val="000000" w:themeColor="text1"/>
          <w:sz w:val="18"/>
          <w:szCs w:val="18"/>
        </w:rPr>
        <w:t>Materiały na podsypkę i do zapraw</w:t>
      </w:r>
    </w:p>
    <w:p w14:paraId="39105F7A" w14:textId="77777777" w:rsidR="00F45500" w:rsidRPr="007B192E" w:rsidRDefault="00F45500" w:rsidP="00F45500">
      <w:pPr>
        <w:pStyle w:val="tekstost"/>
        <w:ind w:firstLine="360"/>
        <w:rPr>
          <w:rFonts w:ascii="Arial" w:hAnsi="Arial" w:cs="Arial"/>
          <w:color w:val="000000" w:themeColor="text1"/>
          <w:sz w:val="18"/>
          <w:szCs w:val="18"/>
        </w:rPr>
      </w:pPr>
      <w:r w:rsidRPr="007B192E">
        <w:rPr>
          <w:rFonts w:ascii="Arial" w:hAnsi="Arial" w:cs="Arial"/>
          <w:color w:val="000000" w:themeColor="text1"/>
          <w:sz w:val="18"/>
          <w:szCs w:val="18"/>
        </w:rPr>
        <w:tab/>
        <w:t>Na podsypkę cementowo – piaskową należy zastosować następujące materiały::</w:t>
      </w:r>
    </w:p>
    <w:p w14:paraId="442B92A7" w14:textId="77777777" w:rsidR="00F45500" w:rsidRPr="007B192E" w:rsidRDefault="00F45500" w:rsidP="00BA5651">
      <w:pPr>
        <w:widowControl/>
        <w:numPr>
          <w:ilvl w:val="0"/>
          <w:numId w:val="25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drobne 0/2, 0/4 lub 0/5 wg. normy PN-EN 13242 kategorii uziarnienia 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80, zawartości pyłów f</w:t>
      </w:r>
      <w:r w:rsidRPr="007B192E">
        <w:rPr>
          <w:rFonts w:ascii="Arial" w:hAnsi="Arial" w:cs="Arial"/>
          <w:color w:val="000000" w:themeColor="text1"/>
          <w:sz w:val="18"/>
          <w:szCs w:val="18"/>
          <w:vertAlign w:val="subscript"/>
        </w:rPr>
        <w:t>10</w:t>
      </w:r>
      <w:r w:rsidRPr="007B192E">
        <w:rPr>
          <w:rFonts w:ascii="Arial" w:hAnsi="Arial" w:cs="Arial"/>
          <w:color w:val="000000" w:themeColor="text1"/>
          <w:sz w:val="18"/>
          <w:szCs w:val="18"/>
        </w:rPr>
        <w:t>:</w:t>
      </w:r>
    </w:p>
    <w:p w14:paraId="56A5E782" w14:textId="77777777" w:rsidR="00F45500" w:rsidRPr="007B192E" w:rsidRDefault="00F45500" w:rsidP="00BA5651">
      <w:pPr>
        <w:widowControl/>
        <w:numPr>
          <w:ilvl w:val="0"/>
          <w:numId w:val="254"/>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1/4, 2/5 lub 2/8, wg. normy PN-EN 13242 kategorii uziarnienia 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 xml:space="preserve">80-20, zawartości pyłów </w:t>
      </w:r>
      <w:proofErr w:type="spellStart"/>
      <w:r w:rsidRPr="007B192E">
        <w:rPr>
          <w:rFonts w:ascii="Arial" w:hAnsi="Arial" w:cs="Arial"/>
          <w:color w:val="000000" w:themeColor="text1"/>
          <w:sz w:val="18"/>
          <w:szCs w:val="18"/>
        </w:rPr>
        <w:t>f</w:t>
      </w:r>
      <w:r w:rsidRPr="007B192E">
        <w:rPr>
          <w:rFonts w:ascii="Arial" w:hAnsi="Arial" w:cs="Arial"/>
          <w:color w:val="000000" w:themeColor="text1"/>
          <w:sz w:val="18"/>
          <w:szCs w:val="18"/>
          <w:vertAlign w:val="subscript"/>
        </w:rPr>
        <w:t>Deklarowana</w:t>
      </w:r>
      <w:proofErr w:type="spellEnd"/>
      <w:r w:rsidRPr="007B192E">
        <w:rPr>
          <w:rFonts w:ascii="Arial" w:hAnsi="Arial" w:cs="Arial"/>
          <w:color w:val="000000" w:themeColor="text1"/>
          <w:sz w:val="18"/>
          <w:szCs w:val="18"/>
          <w:vertAlign w:val="subscript"/>
        </w:rPr>
        <w:t> </w:t>
      </w:r>
      <w:r w:rsidRPr="007B192E">
        <w:rPr>
          <w:rFonts w:ascii="Arial" w:hAnsi="Arial" w:cs="Arial"/>
          <w:color w:val="000000" w:themeColor="text1"/>
          <w:sz w:val="18"/>
          <w:szCs w:val="18"/>
        </w:rPr>
        <w:t>(max. Do 10% pyłów)</w:t>
      </w:r>
    </w:p>
    <w:p w14:paraId="35AF5413" w14:textId="77777777" w:rsidR="00F45500" w:rsidRPr="007B192E" w:rsidRDefault="00F45500" w:rsidP="00F45500">
      <w:pPr>
        <w:ind w:left="720"/>
        <w:jc w:val="both"/>
        <w:rPr>
          <w:rFonts w:ascii="Arial" w:hAnsi="Arial" w:cs="Arial"/>
          <w:color w:val="000000" w:themeColor="text1"/>
          <w:sz w:val="18"/>
          <w:szCs w:val="18"/>
        </w:rPr>
      </w:pPr>
    </w:p>
    <w:p w14:paraId="22391B52" w14:textId="77777777" w:rsidR="00F45500" w:rsidRPr="007B192E" w:rsidRDefault="00F45500" w:rsidP="00F45500">
      <w:pPr>
        <w:spacing w:line="216" w:lineRule="auto"/>
        <w:ind w:firstLine="360"/>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Zalecane proporcje mieszanki cementu i kruszywa to 1:4 (w stosunku wagowym).</w:t>
      </w:r>
    </w:p>
    <w:p w14:paraId="03D9D808" w14:textId="77777777" w:rsidR="00F45500" w:rsidRPr="007B192E" w:rsidRDefault="00F45500" w:rsidP="00F45500">
      <w:pPr>
        <w:spacing w:line="216" w:lineRule="auto"/>
        <w:ind w:firstLine="360"/>
        <w:jc w:val="both"/>
        <w:rPr>
          <w:rFonts w:ascii="Arial" w:hAnsi="Arial" w:cs="Arial"/>
          <w:color w:val="000000" w:themeColor="text1"/>
          <w:sz w:val="18"/>
          <w:szCs w:val="18"/>
          <w:lang w:eastAsia="pl-PL"/>
        </w:rPr>
      </w:pPr>
      <w:r w:rsidRPr="007B192E">
        <w:rPr>
          <w:rFonts w:ascii="Arial" w:hAnsi="Arial" w:cs="Arial"/>
          <w:color w:val="000000" w:themeColor="text1"/>
          <w:sz w:val="18"/>
          <w:szCs w:val="18"/>
        </w:rPr>
        <w:t>Kruszywo nie może być zanieczyszczone ciałami obcymi takimi jak: trawa, szczątki korzeni, konarów, szkło, plastik, grudki gliny.</w:t>
      </w:r>
    </w:p>
    <w:p w14:paraId="57416A12" w14:textId="77777777" w:rsidR="00F45500" w:rsidRPr="007B192E" w:rsidRDefault="00F45500" w:rsidP="00F45500">
      <w:pPr>
        <w:pStyle w:val="Nagwek2"/>
        <w:numPr>
          <w:ilvl w:val="1"/>
          <w:numId w:val="30"/>
        </w:numPr>
        <w:overflowPunct/>
        <w:autoSpaceDE/>
        <w:spacing w:before="60" w:line="216" w:lineRule="auto"/>
        <w:jc w:val="both"/>
        <w:textAlignment w:val="auto"/>
        <w:rPr>
          <w:bCs w:val="0"/>
          <w:color w:val="000000" w:themeColor="text1"/>
          <w:sz w:val="18"/>
          <w:szCs w:val="18"/>
        </w:rPr>
      </w:pPr>
      <w:r w:rsidRPr="007B192E">
        <w:rPr>
          <w:color w:val="000000" w:themeColor="text1"/>
          <w:sz w:val="18"/>
          <w:szCs w:val="18"/>
        </w:rPr>
        <w:t xml:space="preserve">2.2.5.  </w:t>
      </w:r>
      <w:r w:rsidRPr="007B192E">
        <w:rPr>
          <w:b w:val="0"/>
          <w:color w:val="000000" w:themeColor="text1"/>
          <w:sz w:val="18"/>
          <w:szCs w:val="18"/>
        </w:rPr>
        <w:t>Materiały na ławy</w:t>
      </w:r>
    </w:p>
    <w:p w14:paraId="038F131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Do wykonania ław pod krawężnik należy stosować beton klasy C12/15 wg PN-EN 206-1 [4].</w:t>
      </w:r>
    </w:p>
    <w:p w14:paraId="22DC88C4"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0177832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Składniki betonu:</w:t>
      </w:r>
    </w:p>
    <w:p w14:paraId="60EF0844" w14:textId="77777777" w:rsidR="00F45500" w:rsidRPr="007B192E"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cement powszechnego użytku wg normy PN-EN-197-1;</w:t>
      </w:r>
    </w:p>
    <w:p w14:paraId="4D1D1323" w14:textId="77777777" w:rsidR="00F45500" w:rsidRPr="007B192E"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kruszywo grube zgodne z normą PN-EN 12620 o wymiarze ziaren do D=16 mm, kategorii uziarnienia 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90/15 lub 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85/20 i zawartość pyłów f</w:t>
      </w:r>
      <w:r w:rsidRPr="007B192E">
        <w:rPr>
          <w:rFonts w:ascii="Arial" w:hAnsi="Arial" w:cs="Arial"/>
          <w:color w:val="000000" w:themeColor="text1"/>
          <w:sz w:val="18"/>
          <w:szCs w:val="18"/>
          <w:vertAlign w:val="subscript"/>
        </w:rPr>
        <w:t>1,5</w:t>
      </w:r>
      <w:r w:rsidRPr="007B192E">
        <w:rPr>
          <w:rFonts w:ascii="Arial" w:hAnsi="Arial" w:cs="Arial"/>
          <w:color w:val="000000" w:themeColor="text1"/>
          <w:sz w:val="18"/>
          <w:szCs w:val="18"/>
        </w:rPr>
        <w:t>;</w:t>
      </w:r>
    </w:p>
    <w:p w14:paraId="6F74035F" w14:textId="77777777" w:rsidR="00F45500" w:rsidRPr="007B192E"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kruszywo drobne zgodne z norma PN-EN 12620 kategorii uziarnienia 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85 i zawartości pyłów f</w:t>
      </w:r>
      <w:r w:rsidRPr="007B192E">
        <w:rPr>
          <w:rFonts w:ascii="Arial" w:hAnsi="Arial" w:cs="Arial"/>
          <w:color w:val="000000" w:themeColor="text1"/>
          <w:sz w:val="18"/>
          <w:szCs w:val="18"/>
          <w:vertAlign w:val="subscript"/>
        </w:rPr>
        <w:t>3</w:t>
      </w:r>
      <w:r w:rsidRPr="007B192E">
        <w:rPr>
          <w:rFonts w:ascii="Arial" w:hAnsi="Arial" w:cs="Arial"/>
          <w:color w:val="000000" w:themeColor="text1"/>
          <w:sz w:val="18"/>
          <w:szCs w:val="18"/>
        </w:rPr>
        <w:t>;</w:t>
      </w:r>
    </w:p>
    <w:p w14:paraId="50B255A9" w14:textId="77777777" w:rsidR="00F45500" w:rsidRPr="007B192E" w:rsidRDefault="00F45500" w:rsidP="00BA5651">
      <w:pPr>
        <w:pStyle w:val="Standard"/>
        <w:widowControl w:val="0"/>
        <w:numPr>
          <w:ilvl w:val="0"/>
          <w:numId w:val="255"/>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woda – zaleca się stosować wodę pitną z wodociągu, która nie wymaga badań. W przypadku wody z innych źródeł, woda musi spełniać wymagania normy PN- EN 1008;</w:t>
      </w:r>
    </w:p>
    <w:p w14:paraId="648D21DD" w14:textId="77777777" w:rsidR="00F45500" w:rsidRPr="007B192E" w:rsidRDefault="00F45500" w:rsidP="00277543">
      <w:pPr>
        <w:pStyle w:val="Nagwek2"/>
        <w:rPr>
          <w:i w:val="0"/>
          <w:color w:val="000000" w:themeColor="text1"/>
        </w:rPr>
      </w:pPr>
      <w:bookmarkStart w:id="366" w:name="_3._SPRZĘT"/>
      <w:bookmarkStart w:id="367" w:name="__RefHeading__35988_108072716"/>
      <w:bookmarkEnd w:id="366"/>
      <w:r w:rsidRPr="007B192E">
        <w:rPr>
          <w:i w:val="0"/>
          <w:color w:val="000000" w:themeColor="text1"/>
        </w:rPr>
        <w:t>3. SPRZĘT</w:t>
      </w:r>
      <w:bookmarkEnd w:id="367"/>
    </w:p>
    <w:p w14:paraId="1559039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3.1. Wymagania dotyczące sprzętu</w:t>
      </w:r>
    </w:p>
    <w:p w14:paraId="12EB6557" w14:textId="77777777" w:rsidR="00F45500" w:rsidRPr="007B192E"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3.</w:t>
      </w:r>
    </w:p>
    <w:p w14:paraId="6B9B77E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3.2. Sprzęt do wykonania robót</w:t>
      </w:r>
    </w:p>
    <w:p w14:paraId="46537C5C" w14:textId="77777777" w:rsidR="00F45500" w:rsidRPr="007B192E"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color w:val="000000" w:themeColor="text1"/>
          <w:sz w:val="18"/>
          <w:szCs w:val="18"/>
        </w:rPr>
        <w:t>Roboty wykonuje się ręcznie przy zastosowaniu:</w:t>
      </w:r>
    </w:p>
    <w:p w14:paraId="0BD6AC1E" w14:textId="77777777" w:rsidR="00F45500" w:rsidRPr="007B192E" w:rsidRDefault="00F45500" w:rsidP="00F45500">
      <w:pPr>
        <w:pStyle w:val="Standard"/>
        <w:widowControl w:val="0"/>
        <w:numPr>
          <w:ilvl w:val="0"/>
          <w:numId w:val="99"/>
        </w:numPr>
        <w:tabs>
          <w:tab w:val="right" w:leader="dot" w:pos="-1985"/>
          <w:tab w:val="left" w:pos="426"/>
        </w:tabs>
        <w:spacing w:line="216" w:lineRule="auto"/>
        <w:ind w:left="283"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betoniarek do wytwarzania betonu i zapraw oraz przygotowania podsypki cementowo-piaskowej,</w:t>
      </w:r>
    </w:p>
    <w:p w14:paraId="4595B471" w14:textId="77777777" w:rsidR="00F45500" w:rsidRPr="007B192E" w:rsidRDefault="00F45500" w:rsidP="00F45500">
      <w:pPr>
        <w:pStyle w:val="Standard"/>
        <w:widowControl w:val="0"/>
        <w:numPr>
          <w:ilvl w:val="0"/>
          <w:numId w:val="99"/>
        </w:numPr>
        <w:tabs>
          <w:tab w:val="right" w:leader="dot" w:pos="-1985"/>
          <w:tab w:val="left" w:pos="426"/>
        </w:tabs>
        <w:spacing w:line="216" w:lineRule="auto"/>
        <w:ind w:left="283"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wibratorów płytowych, ubijaków ręcznych lub mechanicznych.</w:t>
      </w:r>
    </w:p>
    <w:p w14:paraId="1B384013" w14:textId="77777777" w:rsidR="00F45500" w:rsidRPr="007B192E" w:rsidRDefault="00F45500" w:rsidP="00277543">
      <w:pPr>
        <w:pStyle w:val="Nagwek2"/>
        <w:rPr>
          <w:i w:val="0"/>
          <w:color w:val="000000" w:themeColor="text1"/>
        </w:rPr>
      </w:pPr>
      <w:bookmarkStart w:id="368" w:name="_4._TRANSPORT"/>
      <w:bookmarkStart w:id="369" w:name="__RefHeading__35990_108072716"/>
      <w:bookmarkEnd w:id="368"/>
      <w:r w:rsidRPr="007B192E">
        <w:rPr>
          <w:i w:val="0"/>
          <w:color w:val="000000" w:themeColor="text1"/>
        </w:rPr>
        <w:t>4. TRANSPORT</w:t>
      </w:r>
      <w:bookmarkEnd w:id="369"/>
    </w:p>
    <w:p w14:paraId="57FED764"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4.1. Wymagania dotyczące transportu</w:t>
      </w:r>
    </w:p>
    <w:p w14:paraId="669A03E6" w14:textId="77777777" w:rsidR="00F45500" w:rsidRPr="007B192E"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 xml:space="preserve">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4.</w:t>
      </w:r>
    </w:p>
    <w:p w14:paraId="3D946FF6"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4.2. Transport krawężników</w:t>
      </w:r>
    </w:p>
    <w:p w14:paraId="02980F4E" w14:textId="77777777" w:rsidR="00F45500" w:rsidRPr="007B192E"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color w:val="000000" w:themeColor="text1"/>
          <w:sz w:val="18"/>
          <w:szCs w:val="18"/>
        </w:rPr>
        <w:t>Krawężniki betonowe mogą być przewożone dowolnymi środkami transportowymi.</w:t>
      </w:r>
    </w:p>
    <w:p w14:paraId="1E8FDC22" w14:textId="77777777" w:rsidR="00F45500" w:rsidRPr="007B192E"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Krawężniki betonowe układać należy na środkach transportowych w pozycji pionowej z nachyleniem w kierunku jazdy.</w:t>
      </w:r>
    </w:p>
    <w:p w14:paraId="0FFCD20F" w14:textId="77777777" w:rsidR="00F45500" w:rsidRPr="007B192E" w:rsidRDefault="00F45500" w:rsidP="00F45500">
      <w:pPr>
        <w:pStyle w:val="Standard"/>
        <w:tabs>
          <w:tab w:val="right" w:leader="dot" w:pos="-1985"/>
          <w:tab w:val="left" w:pos="284"/>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Krawężniki powinny być zabezpieczone przed przemieszczeniem się i uszkodzeniami w czasie transportu, a górna warstwa nie powinna wystawać poza ściany środka transportowego więcej niż 1/3 wysokości tej warstwy.</w:t>
      </w:r>
    </w:p>
    <w:p w14:paraId="71133B6C"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4.3. Transport pozostałych materiałów</w:t>
      </w:r>
    </w:p>
    <w:p w14:paraId="09DBA45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Transport cementu powinien się odbywać w warunkach zgodnych z BN-88/6731-08 [12].</w:t>
      </w:r>
    </w:p>
    <w:p w14:paraId="4A3D164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248D0FE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Masę zalewową należy pakować w bębny blaszane lub beczki. Transport powinien odbywać się w warunkach zabezpieczających przed uszkodzeniem bębnów i beczek.</w:t>
      </w:r>
    </w:p>
    <w:p w14:paraId="52A86796" w14:textId="77777777" w:rsidR="00F45500" w:rsidRPr="007B192E" w:rsidRDefault="00277543" w:rsidP="00277543">
      <w:pPr>
        <w:pStyle w:val="Nagwek2"/>
        <w:rPr>
          <w:i w:val="0"/>
          <w:color w:val="000000" w:themeColor="text1"/>
        </w:rPr>
      </w:pPr>
      <w:bookmarkStart w:id="370" w:name="__RefHeading__35992_108072716"/>
      <w:r w:rsidRPr="007B192E">
        <w:rPr>
          <w:i w:val="0"/>
          <w:color w:val="000000" w:themeColor="text1"/>
        </w:rPr>
        <w:t>5. WYKONANIE ROBÓT</w:t>
      </w:r>
      <w:bookmarkEnd w:id="370"/>
    </w:p>
    <w:p w14:paraId="219ACEB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5.1. Zasady wykonania robót</w:t>
      </w:r>
    </w:p>
    <w:p w14:paraId="4AF8370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5.</w:t>
      </w:r>
    </w:p>
    <w:p w14:paraId="2F645333"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5.2. Zasady wykonywania robót</w:t>
      </w:r>
    </w:p>
    <w:p w14:paraId="36D899D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  Sposób wykonania robót powinien być zgodny z dokumentacją projektową i ST. W przypadku braku wystarczających danych można korzystać z ustaleń podanych w niniejszej specyfikacji oraz z informacji podanych w załącznikach.</w:t>
      </w:r>
    </w:p>
    <w:p w14:paraId="2E922CB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Podstawowe czynności przy wykonywaniu robót obejmują:</w:t>
      </w:r>
    </w:p>
    <w:p w14:paraId="38CB1684" w14:textId="77777777" w:rsidR="00F45500" w:rsidRPr="007B192E" w:rsidRDefault="00F45500" w:rsidP="00F45500">
      <w:pPr>
        <w:pStyle w:val="Standard"/>
        <w:widowControl w:val="0"/>
        <w:numPr>
          <w:ilvl w:val="0"/>
          <w:numId w:val="181"/>
        </w:numPr>
        <w:spacing w:line="216" w:lineRule="auto"/>
        <w:ind w:left="720" w:hanging="36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przygotowawcze,</w:t>
      </w:r>
    </w:p>
    <w:p w14:paraId="622BA735"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ławy,</w:t>
      </w:r>
    </w:p>
    <w:p w14:paraId="3FBA939D"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ustawienie krawężników,</w:t>
      </w:r>
    </w:p>
    <w:p w14:paraId="73BDD56F"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wypełnienie spoin,</w:t>
      </w:r>
    </w:p>
    <w:p w14:paraId="54B1F6A3" w14:textId="77777777" w:rsidR="00F45500" w:rsidRPr="007B192E" w:rsidRDefault="00F45500" w:rsidP="00F45500">
      <w:pPr>
        <w:pStyle w:val="Standard"/>
        <w:widowControl w:val="0"/>
        <w:numPr>
          <w:ilvl w:val="0"/>
          <w:numId w:val="9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wykończeniowe.</w:t>
      </w:r>
    </w:p>
    <w:p w14:paraId="4A4FBA09"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5.3. Roboty przygotowawcze</w:t>
      </w:r>
    </w:p>
    <w:p w14:paraId="6FA0B78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należy, na podstawie dokumentacji projektowej,  ST lub wskazań Inżyniera:</w:t>
      </w:r>
    </w:p>
    <w:p w14:paraId="03AE4C41" w14:textId="77777777" w:rsidR="00F45500" w:rsidRPr="007B192E" w:rsidRDefault="00F45500" w:rsidP="00F45500">
      <w:pPr>
        <w:pStyle w:val="Standard"/>
        <w:widowControl w:val="0"/>
        <w:numPr>
          <w:ilvl w:val="0"/>
          <w:numId w:val="168"/>
        </w:numPr>
        <w:spacing w:line="216" w:lineRule="auto"/>
        <w:ind w:left="283"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ustalić lokalizację robót,</w:t>
      </w:r>
    </w:p>
    <w:p w14:paraId="50B01DB9"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ustalić dane niezbędne do szczegółowego wytyczenia robót oraz ustalenia danych wysokościowych,</w:t>
      </w:r>
    </w:p>
    <w:p w14:paraId="0F712052"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usunąć przeszkody, np. słupki, pachołki, elementy dróg, ogrodzeń itd.</w:t>
      </w:r>
    </w:p>
    <w:p w14:paraId="01F1A2AA"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ustalić materiały niezbędne do wykonania robót,</w:t>
      </w:r>
    </w:p>
    <w:p w14:paraId="2DFA0211" w14:textId="77777777" w:rsidR="00F45500" w:rsidRPr="007B192E" w:rsidRDefault="00F45500" w:rsidP="00F45500">
      <w:pPr>
        <w:pStyle w:val="Standard"/>
        <w:widowControl w:val="0"/>
        <w:numPr>
          <w:ilvl w:val="0"/>
          <w:numId w:val="41"/>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określić kolejność, sposób i termin wykonania robót.</w:t>
      </w:r>
    </w:p>
    <w:p w14:paraId="6B2E0364"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5.4. Wykonanie ławy</w:t>
      </w:r>
    </w:p>
    <w:p w14:paraId="5F451387"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5.4.1. </w:t>
      </w:r>
      <w:r w:rsidRPr="007B192E">
        <w:rPr>
          <w:rFonts w:ascii="Arial" w:hAnsi="Arial" w:cs="Arial"/>
          <w:color w:val="000000" w:themeColor="text1"/>
          <w:sz w:val="18"/>
          <w:szCs w:val="18"/>
        </w:rPr>
        <w:t>Koryto pod ławę</w:t>
      </w:r>
    </w:p>
    <w:p w14:paraId="780B1A2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Wymiary wykopu, stanowiącego koryto pod ławę, powinny odpowiadać wymiarom ławy w planie z uwzględnieniem w szerokości dna wykopu ew. konstrukcji szalunku.</w:t>
      </w:r>
    </w:p>
    <w:p w14:paraId="5CF72A8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Wskaźnik zagęszczenia dna wykonanego koryta pod ławę powinien wynosić co najmniej 0,97 według normalnej metody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w:t>
      </w:r>
    </w:p>
    <w:p w14:paraId="1127474D"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5.4.4. </w:t>
      </w:r>
      <w:r w:rsidRPr="007B192E">
        <w:rPr>
          <w:rFonts w:ascii="Arial" w:hAnsi="Arial" w:cs="Arial"/>
          <w:color w:val="000000" w:themeColor="text1"/>
          <w:sz w:val="18"/>
          <w:szCs w:val="18"/>
        </w:rPr>
        <w:t>Ława betonowa</w:t>
      </w:r>
    </w:p>
    <w:p w14:paraId="2AE708AD"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b/>
        <w:t>Ławę betonową zwykłą w gruntach spoistych wykonuje się bez szalowania, przy gruntach sypkich należy stosować szalowanie.</w:t>
      </w:r>
    </w:p>
    <w:p w14:paraId="7C44950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Ławę betonową z oporem wykonuje się w szalowaniu. Beton rozścielony w szalowaniu lub bezpośrednio w korycie powinien być wyrównywany warstwami. Betonowanie ław należy wykonywać zgodnie z wymaganiami PN-EN 13670 [7], przy czym należy stosować co 50 m szczeliny dylatacyjne wypełnione bitumiczną masą zalewową.</w:t>
      </w:r>
    </w:p>
    <w:p w14:paraId="6E1753D6"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Klasa konsystencji mieszanki betonowej powinna wynosić S1 lub S2 według metody opadu stożka.</w:t>
      </w:r>
    </w:p>
    <w:p w14:paraId="0FF82E7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Przykłady ław betonowych zwykłych i ław z oporem podaje załącznik 4.</w:t>
      </w:r>
    </w:p>
    <w:p w14:paraId="3F1AFFC4"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5.5. Ustawienie krawężników betonowych</w:t>
      </w:r>
    </w:p>
    <w:p w14:paraId="09D2E410"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5.5.1. </w:t>
      </w:r>
      <w:r w:rsidRPr="007B192E">
        <w:rPr>
          <w:rFonts w:ascii="Arial" w:hAnsi="Arial" w:cs="Arial"/>
          <w:color w:val="000000" w:themeColor="text1"/>
          <w:sz w:val="18"/>
          <w:szCs w:val="18"/>
        </w:rPr>
        <w:t>Zasady ustawiania krawężników</w:t>
      </w:r>
    </w:p>
    <w:p w14:paraId="7A83F5D4"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Światło (odległość górnej powierzchni krawężnika od jezdni) powinno być zgodne z ustaleniami dokumentacji projektowej.</w:t>
      </w:r>
    </w:p>
    <w:p w14:paraId="337AB2D0"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5.5.3. </w:t>
      </w:r>
      <w:r w:rsidRPr="007B192E">
        <w:rPr>
          <w:rFonts w:ascii="Arial" w:hAnsi="Arial" w:cs="Arial"/>
          <w:color w:val="000000" w:themeColor="text1"/>
          <w:sz w:val="18"/>
          <w:szCs w:val="18"/>
        </w:rPr>
        <w:t>Ustawienie krawężników na ławie betonowej</w:t>
      </w:r>
    </w:p>
    <w:p w14:paraId="052AA584"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Ustawianie krawężników na ławie betonowej wykonuje się  na podsypce z piasku lub na podsypce cementowo-piaskowej o grubości 3 do 5 cm po zagęszczeniu.</w:t>
      </w:r>
    </w:p>
    <w:p w14:paraId="501C6529"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5.5.4. </w:t>
      </w:r>
      <w:r w:rsidRPr="007B192E">
        <w:rPr>
          <w:rFonts w:ascii="Arial" w:hAnsi="Arial" w:cs="Arial"/>
          <w:color w:val="000000" w:themeColor="text1"/>
          <w:sz w:val="18"/>
          <w:szCs w:val="18"/>
        </w:rPr>
        <w:t>Wypełnianie spoin</w:t>
      </w:r>
    </w:p>
    <w:p w14:paraId="6C61B62D"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Spoiny krawężników nie powinny przekraczać szerokości 0,5 – 1,0 cm. Spoiny nie wymagają wypełnienia. W przypadku konieczności uszczelnienia połączeń między krawężnikami, spoina powinna być wypełniona masami elastycznymi przeznaczonymi do nawierzchni brukowych. Nie należy wypełniać spoin materiałami sztywnymi. Spoinowanie krawężników masami elastycznymi co najmniej na łukach, lub po ocenie indywidualnej projektu, jeszcze w innych wymagających tego miejscach. Wykonanie spoinowania przed ułożeniem warstw bitumicznych, tak aby zachować szczelność połączeń w miejscu spływu wód opadowych</w:t>
      </w:r>
    </w:p>
    <w:p w14:paraId="7B96C5D8"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5.6. Roboty wykończeniowe</w:t>
      </w:r>
    </w:p>
    <w:p w14:paraId="6230E61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Roboty wykończeniowe powinny być zgodne z dokumentacją projektową i ST. Do robót wykończeniowych należą prace związane z dostosowaniem wykonanych robót do istniejących warunków terenowych, takie jak:</w:t>
      </w:r>
    </w:p>
    <w:p w14:paraId="08F77BCA" w14:textId="77777777" w:rsidR="00F45500" w:rsidRPr="007B192E" w:rsidRDefault="00F45500" w:rsidP="00F45500">
      <w:pPr>
        <w:pStyle w:val="Standard"/>
        <w:widowControl w:val="0"/>
        <w:numPr>
          <w:ilvl w:val="0"/>
          <w:numId w:val="164"/>
        </w:numPr>
        <w:spacing w:line="216" w:lineRule="auto"/>
        <w:ind w:left="283"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odtworzenie elementów czasowo usuniętych,</w:t>
      </w:r>
    </w:p>
    <w:p w14:paraId="1954A4CA" w14:textId="77777777" w:rsidR="00F45500" w:rsidRPr="007B192E" w:rsidRDefault="00F45500" w:rsidP="00F45500">
      <w:pPr>
        <w:pStyle w:val="Standard"/>
        <w:widowControl w:val="0"/>
        <w:numPr>
          <w:ilvl w:val="0"/>
          <w:numId w:val="164"/>
        </w:numPr>
        <w:spacing w:line="216" w:lineRule="auto"/>
        <w:ind w:left="283"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porządkujące otoczenie terenu robót.</w:t>
      </w:r>
    </w:p>
    <w:p w14:paraId="5F4299E5" w14:textId="77777777" w:rsidR="00F45500" w:rsidRPr="007B192E" w:rsidRDefault="00F45500" w:rsidP="00277543">
      <w:pPr>
        <w:pStyle w:val="Nagwek2"/>
        <w:rPr>
          <w:i w:val="0"/>
          <w:color w:val="000000" w:themeColor="text1"/>
        </w:rPr>
      </w:pPr>
      <w:bookmarkStart w:id="371" w:name="__RefHeading__35994_108072716"/>
      <w:r w:rsidRPr="007B192E">
        <w:rPr>
          <w:i w:val="0"/>
          <w:color w:val="000000" w:themeColor="text1"/>
        </w:rPr>
        <w:t>6. KONTROLA JAKOŚCI ROBÓT</w:t>
      </w:r>
      <w:bookmarkEnd w:id="371"/>
    </w:p>
    <w:p w14:paraId="1916CF18"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6.1. Zasady kontroli jakości robót</w:t>
      </w:r>
    </w:p>
    <w:p w14:paraId="1B138A9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6.</w:t>
      </w:r>
    </w:p>
    <w:p w14:paraId="57B85F2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6.2. Badania przed przystąpieniem do robót</w:t>
      </w:r>
    </w:p>
    <w:p w14:paraId="5728348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w:t>
      </w:r>
    </w:p>
    <w:p w14:paraId="3C736666" w14:textId="77777777" w:rsidR="00F45500" w:rsidRPr="007B192E"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uzyskać wymagane dokumenty, dopuszczające wyroby budowlane do obrotu i powszechnego stosowania (certyfikaty zgodności, deklaracje zgodności, ew. badania materiałów wykonane przez dostawców itp.),</w:t>
      </w:r>
    </w:p>
    <w:p w14:paraId="322C249B" w14:textId="77777777" w:rsidR="00F45500" w:rsidRPr="007B192E"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ew. wykonać własne badania właściwości materiałów przeznaczonych do wykonania robót, określone w </w:t>
      </w:r>
      <w:proofErr w:type="spellStart"/>
      <w:r w:rsidRPr="007B192E">
        <w:rPr>
          <w:rFonts w:ascii="Arial" w:hAnsi="Arial" w:cs="Arial"/>
          <w:color w:val="000000" w:themeColor="text1"/>
          <w:sz w:val="18"/>
          <w:szCs w:val="18"/>
        </w:rPr>
        <w:t>pkcie</w:t>
      </w:r>
      <w:proofErr w:type="spellEnd"/>
      <w:r w:rsidRPr="007B192E">
        <w:rPr>
          <w:rFonts w:ascii="Arial" w:hAnsi="Arial" w:cs="Arial"/>
          <w:color w:val="000000" w:themeColor="text1"/>
          <w:sz w:val="18"/>
          <w:szCs w:val="18"/>
        </w:rPr>
        <w:t xml:space="preserve"> 2 (tablicy 1),</w:t>
      </w:r>
    </w:p>
    <w:p w14:paraId="62852812" w14:textId="77777777" w:rsidR="00F45500" w:rsidRPr="007B192E" w:rsidRDefault="00F45500" w:rsidP="00F45500">
      <w:pPr>
        <w:pStyle w:val="Standard"/>
        <w:widowControl w:val="0"/>
        <w:numPr>
          <w:ilvl w:val="0"/>
          <w:numId w:val="100"/>
        </w:numPr>
        <w:spacing w:line="216" w:lineRule="auto"/>
        <w:ind w:left="720" w:hanging="283"/>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sprawdzić cechy zewnętrzne krawężników.</w:t>
      </w:r>
    </w:p>
    <w:p w14:paraId="295F2B9C" w14:textId="77777777" w:rsidR="00F45500" w:rsidRPr="007B192E" w:rsidRDefault="00F45500" w:rsidP="00F45500">
      <w:pPr>
        <w:pStyle w:val="Standard"/>
        <w:spacing w:before="57"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Wszystkie dokumenty oraz wyniki badań Wykonawca przedstawia Inżynierowi do akceptacji.</w:t>
      </w:r>
    </w:p>
    <w:p w14:paraId="4318B6D2"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Sprawdzenie wyglądu zewnętrznego krawężników należy przeprowadzić na podstawie oględzin elementu przez pomiar i ocenę uszkodzeń występujących na powierzchniach i krawędziach elementu zgodnie z wymaganiami tablicy 1 i ustaleniami PN-EN 1340 [5].</w:t>
      </w:r>
    </w:p>
    <w:p w14:paraId="262A642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Badania pozostałych materiałów stosowanych przy ustawianiu krawężników betonowych powinny obejmować właściwości, określone w normach podanych dla odpowiednich materiałów w punkcie 2.</w:t>
      </w:r>
    </w:p>
    <w:p w14:paraId="4350885A"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6.3. Badania w czasie robót</w:t>
      </w:r>
    </w:p>
    <w:p w14:paraId="038BC548"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6.3.1. </w:t>
      </w:r>
      <w:r w:rsidRPr="007B192E">
        <w:rPr>
          <w:rFonts w:ascii="Arial" w:hAnsi="Arial" w:cs="Arial"/>
          <w:color w:val="000000" w:themeColor="text1"/>
          <w:sz w:val="18"/>
          <w:szCs w:val="18"/>
        </w:rPr>
        <w:t>Sprawdzenie koryta pod ławę</w:t>
      </w:r>
    </w:p>
    <w:p w14:paraId="241C13CE"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Należy sprawdzać wymiary koryta oraz zagęszczenie podłoża na dnie wykopu.</w:t>
      </w:r>
    </w:p>
    <w:p w14:paraId="64308599"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Tolerancja dla szerokości wykopu wynosi ± 2 cm. Zagęszczenie podłoża powinno być zgodne z pkt 5.4.1.</w:t>
      </w:r>
    </w:p>
    <w:p w14:paraId="34822E87"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6.3.2. </w:t>
      </w:r>
      <w:r w:rsidRPr="007B192E">
        <w:rPr>
          <w:rFonts w:ascii="Arial" w:hAnsi="Arial" w:cs="Arial"/>
          <w:color w:val="000000" w:themeColor="text1"/>
          <w:sz w:val="18"/>
          <w:szCs w:val="18"/>
        </w:rPr>
        <w:t>Sprawdzenie ław</w:t>
      </w:r>
    </w:p>
    <w:p w14:paraId="013FB2C2"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Przy wykonywaniu ław badaniu podlegają:</w:t>
      </w:r>
    </w:p>
    <w:p w14:paraId="03B97B6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   zgodność profilu podłużnego górnej powierzchni ław z dokumentacją projektową.</w:t>
      </w:r>
    </w:p>
    <w:p w14:paraId="7DC0818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Profil podłużny górnej powierzchni ławy powinien być zgodny z projektowaną niweletą. Dopuszczalne </w:t>
      </w:r>
      <w:r w:rsidRPr="007B192E">
        <w:rPr>
          <w:rFonts w:ascii="Arial" w:hAnsi="Arial" w:cs="Arial"/>
          <w:color w:val="000000" w:themeColor="text1"/>
          <w:sz w:val="18"/>
          <w:szCs w:val="18"/>
        </w:rPr>
        <w:tab/>
        <w:t>odchylenia mogą wynosić ± 1 cm na każde 100 m ławy,</w:t>
      </w:r>
    </w:p>
    <w:p w14:paraId="5D35EC38"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w:t>
      </w:r>
      <w:r w:rsidRPr="007B192E">
        <w:rPr>
          <w:rFonts w:ascii="Arial" w:hAnsi="Arial" w:cs="Arial"/>
          <w:color w:val="000000" w:themeColor="text1"/>
          <w:sz w:val="18"/>
          <w:szCs w:val="18"/>
        </w:rPr>
        <w:tab/>
        <w:t>wymiary ław.</w:t>
      </w:r>
    </w:p>
    <w:p w14:paraId="78B40891"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Wymiary ław należy sprawdzić w dwóch dowolnie wybranych punktach na każde 100 m ławy. Tolerancje </w:t>
      </w:r>
      <w:r w:rsidRPr="007B192E">
        <w:rPr>
          <w:rFonts w:ascii="Arial" w:hAnsi="Arial" w:cs="Arial"/>
          <w:color w:val="000000" w:themeColor="text1"/>
          <w:sz w:val="18"/>
          <w:szCs w:val="18"/>
        </w:rPr>
        <w:tab/>
        <w:t>wymiarów wynoszą:</w:t>
      </w:r>
    </w:p>
    <w:p w14:paraId="2DB995E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dla wysokości  ± 10% wysokości projektowanej,</w:t>
      </w:r>
    </w:p>
    <w:p w14:paraId="43B919E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dla szerokości  ± 10% szerokości projektowanej,</w:t>
      </w:r>
    </w:p>
    <w:p w14:paraId="2F24BD31"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w:t>
      </w:r>
      <w:r w:rsidRPr="007B192E">
        <w:rPr>
          <w:rFonts w:ascii="Arial" w:hAnsi="Arial" w:cs="Arial"/>
          <w:color w:val="000000" w:themeColor="text1"/>
          <w:sz w:val="18"/>
          <w:szCs w:val="18"/>
        </w:rPr>
        <w:tab/>
        <w:t>równość górnej powierzchni ław.</w:t>
      </w:r>
    </w:p>
    <w:p w14:paraId="2F7AD2B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Równość górnej powierzchni ławy sprawdza się przez przyłożenie w dwóch punktach, na każde 100 m ławy, </w:t>
      </w:r>
      <w:r w:rsidRPr="007B192E">
        <w:rPr>
          <w:rFonts w:ascii="Arial" w:hAnsi="Arial" w:cs="Arial"/>
          <w:color w:val="000000" w:themeColor="text1"/>
          <w:sz w:val="18"/>
          <w:szCs w:val="18"/>
        </w:rPr>
        <w:tab/>
        <w:t>trzymetrowej łaty. Prześwit pomiędzy górną powierzchnią ławy i przyłożoną łatą nie może przekraczać 1 cm,</w:t>
      </w:r>
    </w:p>
    <w:p w14:paraId="15F1E4F6"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w:t>
      </w:r>
      <w:r w:rsidRPr="007B192E">
        <w:rPr>
          <w:rFonts w:ascii="Arial" w:hAnsi="Arial" w:cs="Arial"/>
          <w:color w:val="000000" w:themeColor="text1"/>
          <w:sz w:val="18"/>
          <w:szCs w:val="18"/>
        </w:rPr>
        <w:tab/>
        <w:t>zagęszczenie ław z kruszyw.</w:t>
      </w:r>
    </w:p>
    <w:p w14:paraId="7BE9733A"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Zagęszczenie ław bada się w dwóch przekrojach na każde 100 m. Ławy ze żwiru lub piasku nie mogą </w:t>
      </w:r>
      <w:r w:rsidRPr="007B192E">
        <w:rPr>
          <w:rFonts w:ascii="Arial" w:hAnsi="Arial" w:cs="Arial"/>
          <w:color w:val="000000" w:themeColor="text1"/>
          <w:sz w:val="18"/>
          <w:szCs w:val="18"/>
        </w:rPr>
        <w:tab/>
        <w:t>wykazywać śladu urządzenia zagęszczającego.</w:t>
      </w:r>
    </w:p>
    <w:p w14:paraId="45F66B4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Ławy z tłucznia, badane próbą wyjęcia poszczególnych </w:t>
      </w:r>
      <w:proofErr w:type="spellStart"/>
      <w:r w:rsidRPr="007B192E">
        <w:rPr>
          <w:rFonts w:ascii="Arial" w:hAnsi="Arial" w:cs="Arial"/>
          <w:color w:val="000000" w:themeColor="text1"/>
          <w:sz w:val="18"/>
          <w:szCs w:val="18"/>
        </w:rPr>
        <w:t>ziarn</w:t>
      </w:r>
      <w:proofErr w:type="spellEnd"/>
      <w:r w:rsidRPr="007B192E">
        <w:rPr>
          <w:rFonts w:ascii="Arial" w:hAnsi="Arial" w:cs="Arial"/>
          <w:color w:val="000000" w:themeColor="text1"/>
          <w:sz w:val="18"/>
          <w:szCs w:val="18"/>
        </w:rPr>
        <w:t xml:space="preserve"> tłucznia, nie powinny pozwalać na wyjęcie ziarna z </w:t>
      </w:r>
      <w:r w:rsidRPr="007B192E">
        <w:rPr>
          <w:rFonts w:ascii="Arial" w:hAnsi="Arial" w:cs="Arial"/>
          <w:color w:val="000000" w:themeColor="text1"/>
          <w:sz w:val="18"/>
          <w:szCs w:val="18"/>
        </w:rPr>
        <w:tab/>
        <w:t>ławy,</w:t>
      </w:r>
    </w:p>
    <w:p w14:paraId="197F9DA1"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e)</w:t>
      </w:r>
      <w:r w:rsidRPr="007B192E">
        <w:rPr>
          <w:rFonts w:ascii="Arial" w:hAnsi="Arial" w:cs="Arial"/>
          <w:color w:val="000000" w:themeColor="text1"/>
          <w:sz w:val="18"/>
          <w:szCs w:val="18"/>
        </w:rPr>
        <w:tab/>
        <w:t>odchylenie linii ław od projektowanego kierunku.</w:t>
      </w:r>
    </w:p>
    <w:p w14:paraId="4FCEDA7E"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Dopuszczalne odchylenie linii ław od projektowanego kierunku nie może przekraczać  ± 2 cm na każde 100 m </w:t>
      </w:r>
      <w:r w:rsidRPr="007B192E">
        <w:rPr>
          <w:rFonts w:ascii="Arial" w:hAnsi="Arial" w:cs="Arial"/>
          <w:color w:val="000000" w:themeColor="text1"/>
          <w:sz w:val="18"/>
          <w:szCs w:val="18"/>
        </w:rPr>
        <w:tab/>
        <w:t>wykonanej ławy.</w:t>
      </w:r>
    </w:p>
    <w:p w14:paraId="4DA0E5AB"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lastRenderedPageBreak/>
        <w:t xml:space="preserve">6.3.3. </w:t>
      </w:r>
      <w:r w:rsidRPr="007B192E">
        <w:rPr>
          <w:rFonts w:ascii="Arial" w:hAnsi="Arial" w:cs="Arial"/>
          <w:color w:val="000000" w:themeColor="text1"/>
          <w:sz w:val="18"/>
          <w:szCs w:val="18"/>
        </w:rPr>
        <w:t>Sprawdzenie ustawienia krawężników</w:t>
      </w:r>
    </w:p>
    <w:p w14:paraId="3097BF6B"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Przy ustawianiu krawężników należy sprawdzać:</w:t>
      </w:r>
    </w:p>
    <w:p w14:paraId="48972DBC" w14:textId="77777777" w:rsidR="00F45500" w:rsidRPr="007B192E" w:rsidRDefault="00F45500" w:rsidP="00F45500">
      <w:pPr>
        <w:pStyle w:val="Standard"/>
        <w:widowControl w:val="0"/>
        <w:numPr>
          <w:ilvl w:val="0"/>
          <w:numId w:val="188"/>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dopuszczalne odchylenia linii krawężników w poziomie od linii projektowanej, które wynosi ± 1 cm na każde </w:t>
      </w:r>
      <w:r w:rsidRPr="007B192E">
        <w:rPr>
          <w:rFonts w:ascii="Arial" w:hAnsi="Arial" w:cs="Arial"/>
          <w:color w:val="000000" w:themeColor="text1"/>
          <w:sz w:val="18"/>
          <w:szCs w:val="18"/>
        </w:rPr>
        <w:tab/>
        <w:t>100 m ustawionego krawężnika,</w:t>
      </w:r>
    </w:p>
    <w:p w14:paraId="6AC2522C" w14:textId="77777777" w:rsidR="00F45500" w:rsidRPr="007B192E"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dopuszczalne odchylenie niwelety górnej płaszczyzny krawężnika od niwelety projektowanej, które wynosi ± 1 </w:t>
      </w:r>
      <w:r w:rsidRPr="007B192E">
        <w:rPr>
          <w:rFonts w:ascii="Arial" w:hAnsi="Arial" w:cs="Arial"/>
          <w:color w:val="000000" w:themeColor="text1"/>
          <w:sz w:val="18"/>
          <w:szCs w:val="18"/>
        </w:rPr>
        <w:tab/>
        <w:t>cm na każde 100 m ustawionego krawężnika,</w:t>
      </w:r>
    </w:p>
    <w:p w14:paraId="3BD749C3" w14:textId="77777777" w:rsidR="00F45500" w:rsidRPr="007B192E"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równość górnej powierzchni krawężników, sprawdzane przez przyłożenie w dwóch punktach na każde 100 m </w:t>
      </w:r>
      <w:r w:rsidRPr="007B192E">
        <w:rPr>
          <w:rFonts w:ascii="Arial" w:hAnsi="Arial" w:cs="Arial"/>
          <w:color w:val="000000" w:themeColor="text1"/>
          <w:sz w:val="18"/>
          <w:szCs w:val="18"/>
        </w:rPr>
        <w:tab/>
        <w:t xml:space="preserve">krawężnika, trzymetrowej łaty, przy czym prześwit pomiędzy górną powierzchnią krawężnika i przyłożoną łatą </w:t>
      </w:r>
      <w:r w:rsidRPr="007B192E">
        <w:rPr>
          <w:rFonts w:ascii="Arial" w:hAnsi="Arial" w:cs="Arial"/>
          <w:color w:val="000000" w:themeColor="text1"/>
          <w:sz w:val="18"/>
          <w:szCs w:val="18"/>
        </w:rPr>
        <w:tab/>
        <w:t>nie może przekraczać 1 cm,</w:t>
      </w:r>
    </w:p>
    <w:p w14:paraId="4D358745" w14:textId="77777777" w:rsidR="00F45500" w:rsidRPr="007B192E" w:rsidRDefault="00F45500" w:rsidP="00F45500">
      <w:pPr>
        <w:pStyle w:val="Standard"/>
        <w:widowControl w:val="0"/>
        <w:numPr>
          <w:ilvl w:val="0"/>
          <w:numId w:val="101"/>
        </w:numPr>
        <w:spacing w:line="216" w:lineRule="auto"/>
        <w:ind w:left="720" w:hanging="360"/>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dokładność wypełnienia spoin bada się co 10 metrów. Spoiny muszą być wypełnione całkowicie na pełną </w:t>
      </w:r>
      <w:r w:rsidRPr="007B192E">
        <w:rPr>
          <w:rFonts w:ascii="Arial" w:hAnsi="Arial" w:cs="Arial"/>
          <w:color w:val="000000" w:themeColor="text1"/>
          <w:sz w:val="18"/>
          <w:szCs w:val="18"/>
        </w:rPr>
        <w:tab/>
        <w:t>głębokość.</w:t>
      </w:r>
    </w:p>
    <w:p w14:paraId="19933C35" w14:textId="77777777" w:rsidR="00F45500" w:rsidRPr="007B192E" w:rsidRDefault="00F45500" w:rsidP="00277543">
      <w:pPr>
        <w:pStyle w:val="Nagwek2"/>
        <w:rPr>
          <w:i w:val="0"/>
          <w:color w:val="000000" w:themeColor="text1"/>
        </w:rPr>
      </w:pPr>
      <w:bookmarkStart w:id="372" w:name="_7._OBMIAR_ROBÓT"/>
      <w:bookmarkStart w:id="373" w:name="__RefHeading__35996_108072716"/>
      <w:bookmarkEnd w:id="372"/>
      <w:r w:rsidRPr="007B192E">
        <w:rPr>
          <w:i w:val="0"/>
          <w:color w:val="000000" w:themeColor="text1"/>
        </w:rPr>
        <w:t>7. OBMIAR ROBÓT</w:t>
      </w:r>
      <w:bookmarkEnd w:id="373"/>
    </w:p>
    <w:p w14:paraId="40798470"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7.1. Zasady obmiaru robót</w:t>
      </w:r>
    </w:p>
    <w:p w14:paraId="10DA8599"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7.</w:t>
      </w:r>
    </w:p>
    <w:p w14:paraId="2A43E7F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7.2. Jednostka obmiarowa</w:t>
      </w:r>
    </w:p>
    <w:p w14:paraId="0A25EC9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 (metr) ustawionego krawężnika.</w:t>
      </w:r>
    </w:p>
    <w:p w14:paraId="6BF1D669" w14:textId="77777777" w:rsidR="00F45500" w:rsidRPr="007B192E" w:rsidRDefault="00F45500" w:rsidP="00277543">
      <w:pPr>
        <w:pStyle w:val="Nagwek2"/>
        <w:rPr>
          <w:i w:val="0"/>
          <w:color w:val="000000" w:themeColor="text1"/>
        </w:rPr>
      </w:pPr>
      <w:bookmarkStart w:id="374" w:name="_8._ODBIÓR_ROBÓT"/>
      <w:bookmarkStart w:id="375" w:name="__RefHeading__35998_108072716"/>
      <w:bookmarkEnd w:id="374"/>
      <w:r w:rsidRPr="007B192E">
        <w:rPr>
          <w:i w:val="0"/>
          <w:color w:val="000000" w:themeColor="text1"/>
        </w:rPr>
        <w:t>8. ODBIÓR ROBÓT</w:t>
      </w:r>
      <w:bookmarkEnd w:id="375"/>
    </w:p>
    <w:p w14:paraId="37BB6285"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8.1. Zasady odbioru robót</w:t>
      </w:r>
    </w:p>
    <w:p w14:paraId="2ABF633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8.</w:t>
      </w:r>
    </w:p>
    <w:p w14:paraId="0B4DA865"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ST                    i wymaganiami Inżyniera, jeżeli wszystkie pomiary i badania z zachowaniem tolerancji wg pkt 6 dały wyniki pozytywne.</w:t>
      </w:r>
    </w:p>
    <w:p w14:paraId="3D41F0C0"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8.2. Odbiór robót zanikających i ulegających zakryciu</w:t>
      </w:r>
    </w:p>
    <w:p w14:paraId="25BDC939"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Odbiorowi robót zanikających i ulegających zakryciu podlegają:</w:t>
      </w:r>
    </w:p>
    <w:p w14:paraId="7CDD5084" w14:textId="77777777" w:rsidR="00F45500" w:rsidRPr="007B192E"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koryta pod ławę,</w:t>
      </w:r>
    </w:p>
    <w:p w14:paraId="5166DCBA" w14:textId="77777777" w:rsidR="00F45500" w:rsidRPr="007B192E"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ławy,</w:t>
      </w:r>
    </w:p>
    <w:p w14:paraId="722EA050" w14:textId="77777777" w:rsidR="00F45500" w:rsidRPr="007B192E" w:rsidRDefault="00F45500" w:rsidP="00F45500">
      <w:pPr>
        <w:pStyle w:val="Standard"/>
        <w:widowControl w:val="0"/>
        <w:numPr>
          <w:ilvl w:val="0"/>
          <w:numId w:val="102"/>
        </w:numPr>
        <w:spacing w:line="216" w:lineRule="auto"/>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podsypki.</w:t>
      </w:r>
    </w:p>
    <w:p w14:paraId="01C9079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Odbiór tych robót powinien być zgodny z wymaganiami </w:t>
      </w:r>
      <w:proofErr w:type="spellStart"/>
      <w:r w:rsidRPr="007B192E">
        <w:rPr>
          <w:rFonts w:ascii="Arial" w:hAnsi="Arial" w:cs="Arial"/>
          <w:color w:val="000000" w:themeColor="text1"/>
          <w:sz w:val="18"/>
          <w:szCs w:val="18"/>
        </w:rPr>
        <w:t>pktu</w:t>
      </w:r>
      <w:proofErr w:type="spellEnd"/>
      <w:r w:rsidRPr="007B192E">
        <w:rPr>
          <w:rFonts w:ascii="Arial" w:hAnsi="Arial" w:cs="Arial"/>
          <w:color w:val="000000" w:themeColor="text1"/>
          <w:sz w:val="18"/>
          <w:szCs w:val="18"/>
        </w:rPr>
        <w:t xml:space="preserve"> 8.2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oraz niniejszej ST.</w:t>
      </w:r>
    </w:p>
    <w:p w14:paraId="1835D0E7" w14:textId="77777777" w:rsidR="00F45500" w:rsidRPr="007B192E" w:rsidRDefault="00F45500" w:rsidP="00F45500">
      <w:pPr>
        <w:keepNext/>
        <w:spacing w:before="120" w:after="120" w:line="216" w:lineRule="auto"/>
        <w:jc w:val="both"/>
        <w:outlineLvl w:val="1"/>
        <w:rPr>
          <w:rFonts w:ascii="Arial" w:hAnsi="Arial" w:cs="Arial"/>
          <w:b/>
          <w:i/>
          <w:color w:val="000000" w:themeColor="text1"/>
          <w:sz w:val="18"/>
          <w:szCs w:val="18"/>
        </w:rPr>
      </w:pPr>
      <w:r w:rsidRPr="007B192E">
        <w:rPr>
          <w:rFonts w:ascii="Arial" w:hAnsi="Arial" w:cs="Arial"/>
          <w:b/>
          <w:color w:val="000000" w:themeColor="text1"/>
          <w:sz w:val="18"/>
          <w:szCs w:val="18"/>
        </w:rPr>
        <w:t>8.3. Badania odbiorcze krawężników</w:t>
      </w:r>
    </w:p>
    <w:p w14:paraId="639BF09B"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 xml:space="preserve">Badania odbiorcze krawężników oparto o normę PN-EN 1340 Załącznik B. </w:t>
      </w:r>
    </w:p>
    <w:p w14:paraId="706A4E1C"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Rozróżnia się dwa przypadki:</w:t>
      </w:r>
    </w:p>
    <w:p w14:paraId="39438647" w14:textId="77777777" w:rsidR="00F45500" w:rsidRPr="007B192E"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Przypadek I: Wyrób nie został poddany ocenie zgodności przez stronę trzecią;</w:t>
      </w:r>
    </w:p>
    <w:p w14:paraId="6E83203E" w14:textId="77777777" w:rsidR="00F45500" w:rsidRPr="007B192E"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Przypadek II: Wyrób został poddany ocenie zgodności przez stronę trzecią.</w:t>
      </w:r>
    </w:p>
    <w:p w14:paraId="3778CB2F"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 przypadku wątpliwości badać tylko sporne właściwości.</w:t>
      </w:r>
    </w:p>
    <w:p w14:paraId="301789D7"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Krawężniki do badań powinny być reprezentatywne dla dostawy i powinny być pobrane równomiernie z całej dostawy</w:t>
      </w:r>
    </w:p>
    <w:p w14:paraId="120FC6B0"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Liczba krawężników powinna być zgodna z Tablicą 2</w:t>
      </w:r>
    </w:p>
    <w:p w14:paraId="02460FA7" w14:textId="77777777" w:rsidR="00F45500" w:rsidRPr="007B192E" w:rsidRDefault="00F45500" w:rsidP="00F45500">
      <w:pPr>
        <w:jc w:val="both"/>
        <w:rPr>
          <w:rFonts w:ascii="Arial" w:hAnsi="Arial" w:cs="Arial"/>
          <w:color w:val="000000" w:themeColor="text1"/>
          <w:sz w:val="18"/>
          <w:szCs w:val="18"/>
        </w:rPr>
      </w:pPr>
    </w:p>
    <w:p w14:paraId="54D3389B" w14:textId="77777777" w:rsidR="00F45500" w:rsidRPr="007B192E" w:rsidRDefault="00F45500" w:rsidP="00F45500">
      <w:pPr>
        <w:jc w:val="both"/>
        <w:rPr>
          <w:rFonts w:ascii="Arial" w:hAnsi="Arial" w:cs="Arial"/>
          <w:b/>
          <w:color w:val="000000" w:themeColor="text1"/>
          <w:sz w:val="18"/>
          <w:szCs w:val="18"/>
        </w:rPr>
      </w:pPr>
      <w:r w:rsidRPr="007B192E">
        <w:rPr>
          <w:rFonts w:ascii="Arial" w:hAnsi="Arial" w:cs="Arial"/>
          <w:b/>
          <w:color w:val="000000" w:themeColor="text1"/>
          <w:sz w:val="18"/>
          <w:szCs w:val="18"/>
        </w:rPr>
        <w:t xml:space="preserve">Tablica 2 ST: Plan pobierania próbek do badań odbiorczych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1885"/>
        <w:gridCol w:w="2358"/>
        <w:gridCol w:w="2359"/>
      </w:tblGrid>
      <w:tr w:rsidR="004D7D23" w:rsidRPr="007B192E" w14:paraId="47CC1731" w14:textId="77777777" w:rsidTr="008F7A94">
        <w:tc>
          <w:tcPr>
            <w:tcW w:w="2943" w:type="dxa"/>
            <w:shd w:val="clear" w:color="auto" w:fill="auto"/>
          </w:tcPr>
          <w:p w14:paraId="462F8254"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Właściwość</w:t>
            </w:r>
          </w:p>
        </w:tc>
        <w:tc>
          <w:tcPr>
            <w:tcW w:w="1945" w:type="dxa"/>
            <w:shd w:val="clear" w:color="auto" w:fill="auto"/>
          </w:tcPr>
          <w:p w14:paraId="27A7B033"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Metoda badania</w:t>
            </w:r>
          </w:p>
        </w:tc>
        <w:tc>
          <w:tcPr>
            <w:tcW w:w="2444" w:type="dxa"/>
            <w:shd w:val="clear" w:color="auto" w:fill="auto"/>
          </w:tcPr>
          <w:p w14:paraId="671F6CA4"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Przypadek I</w:t>
            </w:r>
          </w:p>
        </w:tc>
        <w:tc>
          <w:tcPr>
            <w:tcW w:w="2445" w:type="dxa"/>
            <w:shd w:val="clear" w:color="auto" w:fill="auto"/>
          </w:tcPr>
          <w:p w14:paraId="3B97C0CC"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Przypadek II 3)</w:t>
            </w:r>
          </w:p>
        </w:tc>
      </w:tr>
      <w:tr w:rsidR="004D7D23" w:rsidRPr="007B192E" w14:paraId="012AB3E4" w14:textId="77777777" w:rsidTr="008F7A94">
        <w:tc>
          <w:tcPr>
            <w:tcW w:w="2943" w:type="dxa"/>
            <w:shd w:val="clear" w:color="auto" w:fill="auto"/>
          </w:tcPr>
          <w:p w14:paraId="7BA29EC5"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Wygląd</w:t>
            </w:r>
          </w:p>
        </w:tc>
        <w:tc>
          <w:tcPr>
            <w:tcW w:w="1945" w:type="dxa"/>
            <w:shd w:val="clear" w:color="auto" w:fill="auto"/>
          </w:tcPr>
          <w:p w14:paraId="28B1E1F4"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J</w:t>
            </w:r>
          </w:p>
        </w:tc>
        <w:tc>
          <w:tcPr>
            <w:tcW w:w="2444" w:type="dxa"/>
            <w:shd w:val="clear" w:color="auto" w:fill="auto"/>
          </w:tcPr>
          <w:p w14:paraId="4B36272E"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w:t>
            </w:r>
          </w:p>
        </w:tc>
        <w:tc>
          <w:tcPr>
            <w:tcW w:w="2445" w:type="dxa"/>
            <w:shd w:val="clear" w:color="auto" w:fill="auto"/>
          </w:tcPr>
          <w:p w14:paraId="7789EBDF"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 1)</w:t>
            </w:r>
          </w:p>
        </w:tc>
      </w:tr>
      <w:tr w:rsidR="004D7D23" w:rsidRPr="007B192E" w14:paraId="6E87CC71" w14:textId="77777777" w:rsidTr="008F7A94">
        <w:tc>
          <w:tcPr>
            <w:tcW w:w="2943" w:type="dxa"/>
            <w:shd w:val="clear" w:color="auto" w:fill="auto"/>
          </w:tcPr>
          <w:p w14:paraId="5E43D844"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Grubość warstwy ścieralnej </w:t>
            </w:r>
          </w:p>
        </w:tc>
        <w:tc>
          <w:tcPr>
            <w:tcW w:w="1945" w:type="dxa"/>
            <w:shd w:val="clear" w:color="auto" w:fill="auto"/>
          </w:tcPr>
          <w:p w14:paraId="6BCC8982"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C.6 2)</w:t>
            </w:r>
          </w:p>
        </w:tc>
        <w:tc>
          <w:tcPr>
            <w:tcW w:w="2444" w:type="dxa"/>
            <w:shd w:val="clear" w:color="auto" w:fill="auto"/>
          </w:tcPr>
          <w:p w14:paraId="20C43F9B"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w:t>
            </w:r>
          </w:p>
        </w:tc>
        <w:tc>
          <w:tcPr>
            <w:tcW w:w="2445" w:type="dxa"/>
            <w:shd w:val="clear" w:color="auto" w:fill="auto"/>
          </w:tcPr>
          <w:p w14:paraId="23C8EF0F"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w:t>
            </w:r>
          </w:p>
        </w:tc>
      </w:tr>
      <w:tr w:rsidR="004D7D23" w:rsidRPr="007B192E" w14:paraId="388B4A8E" w14:textId="77777777" w:rsidTr="008F7A94">
        <w:tc>
          <w:tcPr>
            <w:tcW w:w="2943" w:type="dxa"/>
            <w:shd w:val="clear" w:color="auto" w:fill="auto"/>
          </w:tcPr>
          <w:p w14:paraId="6ABAFB84"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Kształt i wymiary</w:t>
            </w:r>
          </w:p>
        </w:tc>
        <w:tc>
          <w:tcPr>
            <w:tcW w:w="1945" w:type="dxa"/>
            <w:shd w:val="clear" w:color="auto" w:fill="auto"/>
          </w:tcPr>
          <w:p w14:paraId="224FE985"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C</w:t>
            </w:r>
          </w:p>
        </w:tc>
        <w:tc>
          <w:tcPr>
            <w:tcW w:w="2444" w:type="dxa"/>
            <w:shd w:val="clear" w:color="auto" w:fill="auto"/>
          </w:tcPr>
          <w:p w14:paraId="6EBE62BD"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w:t>
            </w:r>
          </w:p>
        </w:tc>
        <w:tc>
          <w:tcPr>
            <w:tcW w:w="2445" w:type="dxa"/>
            <w:shd w:val="clear" w:color="auto" w:fill="auto"/>
          </w:tcPr>
          <w:p w14:paraId="18DEDB2F"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 1)</w:t>
            </w:r>
          </w:p>
        </w:tc>
      </w:tr>
      <w:tr w:rsidR="004D7D23" w:rsidRPr="007B192E" w14:paraId="3621D848" w14:textId="77777777" w:rsidTr="008F7A94">
        <w:tc>
          <w:tcPr>
            <w:tcW w:w="2943" w:type="dxa"/>
            <w:shd w:val="clear" w:color="auto" w:fill="auto"/>
          </w:tcPr>
          <w:p w14:paraId="52B7F111"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Wytrzymałość na zginanie</w:t>
            </w:r>
          </w:p>
        </w:tc>
        <w:tc>
          <w:tcPr>
            <w:tcW w:w="1945" w:type="dxa"/>
            <w:shd w:val="clear" w:color="auto" w:fill="auto"/>
          </w:tcPr>
          <w:p w14:paraId="75A7FDF4"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F</w:t>
            </w:r>
          </w:p>
        </w:tc>
        <w:tc>
          <w:tcPr>
            <w:tcW w:w="2444" w:type="dxa"/>
            <w:shd w:val="clear" w:color="auto" w:fill="auto"/>
          </w:tcPr>
          <w:p w14:paraId="48C65F3E"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w:t>
            </w:r>
          </w:p>
        </w:tc>
        <w:tc>
          <w:tcPr>
            <w:tcW w:w="2445" w:type="dxa"/>
            <w:shd w:val="clear" w:color="auto" w:fill="auto"/>
          </w:tcPr>
          <w:p w14:paraId="7D40B30C"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w:t>
            </w:r>
          </w:p>
        </w:tc>
      </w:tr>
      <w:tr w:rsidR="004D7D23" w:rsidRPr="007B192E" w14:paraId="0C56B72A" w14:textId="77777777" w:rsidTr="008F7A94">
        <w:tc>
          <w:tcPr>
            <w:tcW w:w="2943" w:type="dxa"/>
            <w:shd w:val="clear" w:color="auto" w:fill="auto"/>
          </w:tcPr>
          <w:p w14:paraId="4B7324FC"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Odporność na ścieranie 4)</w:t>
            </w:r>
          </w:p>
        </w:tc>
        <w:tc>
          <w:tcPr>
            <w:tcW w:w="1945" w:type="dxa"/>
            <w:shd w:val="clear" w:color="auto" w:fill="auto"/>
          </w:tcPr>
          <w:p w14:paraId="1B5EC7CB"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G lub H</w:t>
            </w:r>
          </w:p>
        </w:tc>
        <w:tc>
          <w:tcPr>
            <w:tcW w:w="2444" w:type="dxa"/>
            <w:shd w:val="clear" w:color="auto" w:fill="auto"/>
          </w:tcPr>
          <w:p w14:paraId="1E236DF8"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tc>
        <w:tc>
          <w:tcPr>
            <w:tcW w:w="2445" w:type="dxa"/>
            <w:shd w:val="clear" w:color="auto" w:fill="auto"/>
          </w:tcPr>
          <w:p w14:paraId="503E97E9"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tc>
      </w:tr>
      <w:tr w:rsidR="004D7D23" w:rsidRPr="007B192E" w14:paraId="1575C222" w14:textId="77777777" w:rsidTr="008F7A94">
        <w:tc>
          <w:tcPr>
            <w:tcW w:w="2943" w:type="dxa"/>
            <w:shd w:val="clear" w:color="auto" w:fill="auto"/>
          </w:tcPr>
          <w:p w14:paraId="75BD80D9"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Odporność na poślizg/poślizgnięcie 4)</w:t>
            </w:r>
          </w:p>
        </w:tc>
        <w:tc>
          <w:tcPr>
            <w:tcW w:w="1945" w:type="dxa"/>
            <w:shd w:val="clear" w:color="auto" w:fill="auto"/>
          </w:tcPr>
          <w:p w14:paraId="020506B0"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I</w:t>
            </w:r>
          </w:p>
        </w:tc>
        <w:tc>
          <w:tcPr>
            <w:tcW w:w="2444" w:type="dxa"/>
            <w:shd w:val="clear" w:color="auto" w:fill="auto"/>
          </w:tcPr>
          <w:p w14:paraId="15DE392D"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5</w:t>
            </w:r>
          </w:p>
        </w:tc>
        <w:tc>
          <w:tcPr>
            <w:tcW w:w="2445" w:type="dxa"/>
            <w:shd w:val="clear" w:color="auto" w:fill="auto"/>
          </w:tcPr>
          <w:p w14:paraId="09441F69"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5 1)</w:t>
            </w:r>
          </w:p>
        </w:tc>
      </w:tr>
      <w:tr w:rsidR="004D7D23" w:rsidRPr="007B192E" w14:paraId="3D450AD2" w14:textId="77777777" w:rsidTr="008F7A94">
        <w:tc>
          <w:tcPr>
            <w:tcW w:w="2943" w:type="dxa"/>
            <w:shd w:val="clear" w:color="auto" w:fill="auto"/>
          </w:tcPr>
          <w:p w14:paraId="61A554A9"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Odporność na warunki atmosferyczne</w:t>
            </w:r>
          </w:p>
          <w:p w14:paraId="1EADCE15"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Nasiąkliwość</w:t>
            </w:r>
          </w:p>
          <w:p w14:paraId="0CC7CAAF"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Odporność na zamrażanie/rozmrażanie z udziałem soli odladzającej 4)</w:t>
            </w:r>
          </w:p>
        </w:tc>
        <w:tc>
          <w:tcPr>
            <w:tcW w:w="1945" w:type="dxa"/>
            <w:shd w:val="clear" w:color="auto" w:fill="auto"/>
          </w:tcPr>
          <w:p w14:paraId="67B740E3" w14:textId="77777777" w:rsidR="00F45500" w:rsidRPr="007B192E" w:rsidRDefault="00F45500" w:rsidP="008F7A94">
            <w:pPr>
              <w:jc w:val="center"/>
              <w:rPr>
                <w:rFonts w:ascii="Arial" w:hAnsi="Arial" w:cs="Arial"/>
                <w:color w:val="000000" w:themeColor="text1"/>
                <w:sz w:val="18"/>
                <w:szCs w:val="18"/>
                <w:lang w:eastAsia="pl-PL"/>
              </w:rPr>
            </w:pPr>
          </w:p>
          <w:p w14:paraId="7C412FD5" w14:textId="77777777" w:rsidR="00F45500" w:rsidRPr="007B192E" w:rsidRDefault="00F45500" w:rsidP="008F7A94">
            <w:pPr>
              <w:jc w:val="center"/>
              <w:rPr>
                <w:rFonts w:ascii="Arial" w:hAnsi="Arial" w:cs="Arial"/>
                <w:color w:val="000000" w:themeColor="text1"/>
                <w:sz w:val="18"/>
                <w:szCs w:val="18"/>
                <w:lang w:eastAsia="pl-PL"/>
              </w:rPr>
            </w:pPr>
          </w:p>
          <w:p w14:paraId="6BD509BE"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E</w:t>
            </w:r>
          </w:p>
          <w:p w14:paraId="66E3B887"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D</w:t>
            </w:r>
          </w:p>
          <w:p w14:paraId="492B12A5" w14:textId="77777777" w:rsidR="00F45500" w:rsidRPr="007B192E" w:rsidRDefault="00F45500" w:rsidP="008F7A94">
            <w:pPr>
              <w:jc w:val="center"/>
              <w:rPr>
                <w:rFonts w:ascii="Arial" w:hAnsi="Arial" w:cs="Arial"/>
                <w:color w:val="000000" w:themeColor="text1"/>
                <w:sz w:val="18"/>
                <w:szCs w:val="18"/>
                <w:lang w:eastAsia="pl-PL"/>
              </w:rPr>
            </w:pPr>
          </w:p>
        </w:tc>
        <w:tc>
          <w:tcPr>
            <w:tcW w:w="2444" w:type="dxa"/>
            <w:shd w:val="clear" w:color="auto" w:fill="auto"/>
          </w:tcPr>
          <w:p w14:paraId="14772A99" w14:textId="77777777" w:rsidR="00F45500" w:rsidRPr="007B192E" w:rsidRDefault="00F45500" w:rsidP="008F7A94">
            <w:pPr>
              <w:jc w:val="center"/>
              <w:rPr>
                <w:rFonts w:ascii="Arial" w:hAnsi="Arial" w:cs="Arial"/>
                <w:color w:val="000000" w:themeColor="text1"/>
                <w:sz w:val="18"/>
                <w:szCs w:val="18"/>
                <w:lang w:eastAsia="pl-PL"/>
              </w:rPr>
            </w:pPr>
          </w:p>
          <w:p w14:paraId="3AA9DD37" w14:textId="77777777" w:rsidR="00F45500" w:rsidRPr="007B192E" w:rsidRDefault="00F45500" w:rsidP="008F7A94">
            <w:pPr>
              <w:jc w:val="center"/>
              <w:rPr>
                <w:rFonts w:ascii="Arial" w:hAnsi="Arial" w:cs="Arial"/>
                <w:color w:val="000000" w:themeColor="text1"/>
                <w:sz w:val="18"/>
                <w:szCs w:val="18"/>
                <w:lang w:eastAsia="pl-PL"/>
              </w:rPr>
            </w:pPr>
          </w:p>
          <w:p w14:paraId="21985236"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p w14:paraId="6B96A32D"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3 5)</w:t>
            </w:r>
          </w:p>
          <w:p w14:paraId="0CFEF315" w14:textId="77777777" w:rsidR="00F45500" w:rsidRPr="007B192E" w:rsidRDefault="00F45500" w:rsidP="008F7A94">
            <w:pPr>
              <w:jc w:val="center"/>
              <w:rPr>
                <w:rFonts w:ascii="Arial" w:hAnsi="Arial" w:cs="Arial"/>
                <w:color w:val="000000" w:themeColor="text1"/>
                <w:sz w:val="18"/>
                <w:szCs w:val="18"/>
                <w:lang w:eastAsia="pl-PL"/>
              </w:rPr>
            </w:pPr>
          </w:p>
        </w:tc>
        <w:tc>
          <w:tcPr>
            <w:tcW w:w="2445" w:type="dxa"/>
            <w:shd w:val="clear" w:color="auto" w:fill="auto"/>
          </w:tcPr>
          <w:p w14:paraId="2BC01850" w14:textId="77777777" w:rsidR="00F45500" w:rsidRPr="007B192E" w:rsidRDefault="00F45500" w:rsidP="008F7A94">
            <w:pPr>
              <w:jc w:val="center"/>
              <w:rPr>
                <w:rFonts w:ascii="Arial" w:hAnsi="Arial" w:cs="Arial"/>
                <w:color w:val="000000" w:themeColor="text1"/>
                <w:sz w:val="18"/>
                <w:szCs w:val="18"/>
                <w:lang w:eastAsia="pl-PL"/>
              </w:rPr>
            </w:pPr>
          </w:p>
          <w:p w14:paraId="03718AEF" w14:textId="77777777" w:rsidR="00F45500" w:rsidRPr="007B192E" w:rsidRDefault="00F45500" w:rsidP="008F7A94">
            <w:pPr>
              <w:jc w:val="center"/>
              <w:rPr>
                <w:rFonts w:ascii="Arial" w:hAnsi="Arial" w:cs="Arial"/>
                <w:color w:val="000000" w:themeColor="text1"/>
                <w:sz w:val="18"/>
                <w:szCs w:val="18"/>
                <w:lang w:eastAsia="pl-PL"/>
              </w:rPr>
            </w:pPr>
          </w:p>
          <w:p w14:paraId="35EBAC72"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p w14:paraId="2D435F0B"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3 5)</w:t>
            </w:r>
          </w:p>
          <w:p w14:paraId="0CA1E35E" w14:textId="77777777" w:rsidR="00F45500" w:rsidRPr="007B192E" w:rsidRDefault="00F45500" w:rsidP="008F7A94">
            <w:pPr>
              <w:jc w:val="center"/>
              <w:rPr>
                <w:rFonts w:ascii="Arial" w:hAnsi="Arial" w:cs="Arial"/>
                <w:color w:val="000000" w:themeColor="text1"/>
                <w:sz w:val="18"/>
                <w:szCs w:val="18"/>
                <w:lang w:eastAsia="pl-PL"/>
              </w:rPr>
            </w:pPr>
          </w:p>
          <w:p w14:paraId="399C53BB" w14:textId="77777777" w:rsidR="00F45500" w:rsidRPr="007B192E" w:rsidRDefault="00F45500" w:rsidP="008F7A94">
            <w:pPr>
              <w:jc w:val="center"/>
              <w:rPr>
                <w:rFonts w:ascii="Arial" w:hAnsi="Arial" w:cs="Arial"/>
                <w:color w:val="000000" w:themeColor="text1"/>
                <w:sz w:val="18"/>
                <w:szCs w:val="18"/>
                <w:lang w:eastAsia="pl-PL"/>
              </w:rPr>
            </w:pPr>
          </w:p>
        </w:tc>
      </w:tr>
      <w:tr w:rsidR="004D7D23" w:rsidRPr="007B192E" w14:paraId="005019ED" w14:textId="77777777" w:rsidTr="008F7A9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14:paraId="1CBCE49F" w14:textId="77777777" w:rsidR="00F45500" w:rsidRPr="007B192E"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Te krawężniki mogą być użyte do dalszych badań</w:t>
            </w:r>
          </w:p>
          <w:p w14:paraId="159B626F" w14:textId="77777777" w:rsidR="00F45500" w:rsidRPr="007B192E"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Punkt C.6 2) stosuje się tylko do krawężników z warstwą ścieralną</w:t>
            </w:r>
          </w:p>
          <w:p w14:paraId="051BF86C" w14:textId="77777777" w:rsidR="00F45500" w:rsidRPr="007B192E"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Liczba w nawiasie odpowiada liczbie, która powinna być pobrana z partii w celu uniknięcia powtórnego pobierania próbek w przypadku gdy według kryteriów zgodności należy zbadać dodatkowe krawężniki w celu dokonania oceny zgodności</w:t>
            </w:r>
          </w:p>
          <w:p w14:paraId="1D15EE46" w14:textId="77777777" w:rsidR="00F45500" w:rsidRPr="007B192E"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Badanie wymagane w przypadku wątpliwości lub sytuacji spornej</w:t>
            </w:r>
          </w:p>
          <w:p w14:paraId="6D62BF41" w14:textId="77777777" w:rsidR="00F45500" w:rsidRPr="007B192E" w:rsidRDefault="00F45500" w:rsidP="00BA5651">
            <w:pPr>
              <w:widowControl/>
              <w:numPr>
                <w:ilvl w:val="0"/>
                <w:numId w:val="256"/>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 przypadku krawężników dwuwarstwowych badaniu należy poddać po 3 próbki dla warstwy fakturowej i konstrukcyjnej</w:t>
            </w:r>
          </w:p>
        </w:tc>
      </w:tr>
    </w:tbl>
    <w:p w14:paraId="1BFF4F93" w14:textId="77777777" w:rsidR="00F45500" w:rsidRPr="007B192E" w:rsidRDefault="00F45500" w:rsidP="00277543">
      <w:pPr>
        <w:pStyle w:val="Nagwek2"/>
        <w:rPr>
          <w:i w:val="0"/>
          <w:color w:val="000000" w:themeColor="text1"/>
        </w:rPr>
      </w:pPr>
      <w:bookmarkStart w:id="376" w:name="_9._PODSTAWA_PŁATNOŚCI"/>
      <w:bookmarkStart w:id="377" w:name="__RefHeading__36000_108072716"/>
      <w:bookmarkEnd w:id="376"/>
      <w:r w:rsidRPr="007B192E">
        <w:rPr>
          <w:i w:val="0"/>
          <w:color w:val="000000" w:themeColor="text1"/>
        </w:rPr>
        <w:lastRenderedPageBreak/>
        <w:t>9. PODSTAWA PŁATNOŚCI</w:t>
      </w:r>
      <w:bookmarkEnd w:id="377"/>
    </w:p>
    <w:p w14:paraId="2C9C6FE7"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9.1. Ustalenia dotyczące podstawy płatności</w:t>
      </w:r>
    </w:p>
    <w:p w14:paraId="087DCD4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[1] pkt 9.</w:t>
      </w:r>
    </w:p>
    <w:p w14:paraId="5D3A01C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jednostki obmiarowej</w:t>
      </w:r>
    </w:p>
    <w:p w14:paraId="1562097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ustawienia 1 m krawężnika obejmuje:</w:t>
      </w:r>
    </w:p>
    <w:p w14:paraId="6D126848" w14:textId="77777777" w:rsidR="00F45500" w:rsidRPr="007B192E" w:rsidRDefault="00F45500" w:rsidP="00F45500">
      <w:pPr>
        <w:pStyle w:val="Standard"/>
        <w:widowControl w:val="0"/>
        <w:numPr>
          <w:ilvl w:val="0"/>
          <w:numId w:val="185"/>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76377FA0"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oznakowanie robót,</w:t>
      </w:r>
    </w:p>
    <w:p w14:paraId="4A280580"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przygotowanie podłoża,</w:t>
      </w:r>
    </w:p>
    <w:p w14:paraId="7C67DA62"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dostarczenie materiałów i sprzętu,</w:t>
      </w:r>
    </w:p>
    <w:p w14:paraId="3731EE78"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koryta pod ławę,</w:t>
      </w:r>
    </w:p>
    <w:p w14:paraId="119637A8"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ławy z ewentualnym wykonaniem szalunku i zalaniem szczelin dylatacyjnych,</w:t>
      </w:r>
    </w:p>
    <w:p w14:paraId="4AE1D523"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podsypki,</w:t>
      </w:r>
    </w:p>
    <w:p w14:paraId="54BA86E4"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ustawienie krawężników z wypełnieniem spoin i zalaniem szczelin według wymagań dokumentacji projektowej, ST i specyfikacji technicznej,</w:t>
      </w:r>
    </w:p>
    <w:p w14:paraId="12D5B73E"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przeprowadzenie pomiarów i badań wymaganych w specyfikacji technicznej,</w:t>
      </w:r>
    </w:p>
    <w:p w14:paraId="2BE373E8" w14:textId="77777777" w:rsidR="00F45500" w:rsidRPr="007B192E" w:rsidRDefault="00F45500" w:rsidP="00F45500">
      <w:pPr>
        <w:pStyle w:val="Standard"/>
        <w:widowControl w:val="0"/>
        <w:numPr>
          <w:ilvl w:val="0"/>
          <w:numId w:val="66"/>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odwiezienie sprzętu.</w:t>
      </w:r>
    </w:p>
    <w:p w14:paraId="4FE24F7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9.3. Sposób rozliczenia robót tymczasowych i prac towarzyszących</w:t>
      </w:r>
    </w:p>
    <w:p w14:paraId="380F6D4F"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robót określonych niniejszą ST obejmuje:</w:t>
      </w:r>
    </w:p>
    <w:p w14:paraId="42E14AD0" w14:textId="77777777" w:rsidR="00F45500" w:rsidRPr="007B192E" w:rsidRDefault="00F45500" w:rsidP="00F45500">
      <w:pPr>
        <w:pStyle w:val="Standard"/>
        <w:widowControl w:val="0"/>
        <w:numPr>
          <w:ilvl w:val="0"/>
          <w:numId w:val="18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roboty tymczasowe, które są potrzebne do wykonania robót podstawowych, ale nie są przekazywane Zamawiającemu i są usuwane po wykonaniu robót podstawowych,</w:t>
      </w:r>
    </w:p>
    <w:p w14:paraId="57FFE29B" w14:textId="77777777" w:rsidR="00F45500" w:rsidRPr="007B192E" w:rsidRDefault="00F45500" w:rsidP="00F45500">
      <w:pPr>
        <w:pStyle w:val="Standard"/>
        <w:widowControl w:val="0"/>
        <w:numPr>
          <w:ilvl w:val="0"/>
          <w:numId w:val="189"/>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towarzyszące, które są niezbędne do wykonania robót podstawowych, niezaliczane do robót tymczasowych, jak geodezyjne wytyczenie robót itd.</w:t>
      </w:r>
    </w:p>
    <w:p w14:paraId="0EA5345F" w14:textId="77777777" w:rsidR="00F45500" w:rsidRPr="007B192E" w:rsidRDefault="00277543" w:rsidP="00277543">
      <w:pPr>
        <w:pStyle w:val="Nagwek2"/>
        <w:rPr>
          <w:i w:val="0"/>
          <w:color w:val="000000" w:themeColor="text1"/>
        </w:rPr>
      </w:pPr>
      <w:bookmarkStart w:id="378" w:name="__RefHeading__36002_108072716"/>
      <w:r w:rsidRPr="007B192E">
        <w:rPr>
          <w:i w:val="0"/>
          <w:color w:val="000000" w:themeColor="text1"/>
        </w:rPr>
        <w:t>10. PRZEPISY ZWIĄZANE</w:t>
      </w:r>
      <w:bookmarkEnd w:id="378"/>
    </w:p>
    <w:p w14:paraId="72D6CEB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10.1. specyfikacje techniczne (ST)</w:t>
      </w:r>
    </w:p>
    <w:tbl>
      <w:tblPr>
        <w:tblW w:w="7444" w:type="dxa"/>
        <w:tblLayout w:type="fixed"/>
        <w:tblCellMar>
          <w:left w:w="10" w:type="dxa"/>
          <w:right w:w="10" w:type="dxa"/>
        </w:tblCellMar>
        <w:tblLook w:val="0000" w:firstRow="0" w:lastRow="0" w:firstColumn="0" w:lastColumn="0" w:noHBand="0" w:noVBand="0"/>
      </w:tblPr>
      <w:tblGrid>
        <w:gridCol w:w="637"/>
        <w:gridCol w:w="2128"/>
        <w:gridCol w:w="4679"/>
      </w:tblGrid>
      <w:tr w:rsidR="004D7D23" w:rsidRPr="007B192E" w14:paraId="3727476B" w14:textId="77777777" w:rsidTr="008F7A94">
        <w:tc>
          <w:tcPr>
            <w:tcW w:w="637" w:type="dxa"/>
            <w:tcMar>
              <w:top w:w="0" w:type="dxa"/>
              <w:left w:w="70" w:type="dxa"/>
              <w:bottom w:w="0" w:type="dxa"/>
              <w:right w:w="70" w:type="dxa"/>
            </w:tcMar>
          </w:tcPr>
          <w:p w14:paraId="35C62BA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2128" w:type="dxa"/>
            <w:tcMar>
              <w:top w:w="0" w:type="dxa"/>
              <w:left w:w="70" w:type="dxa"/>
              <w:bottom w:w="0" w:type="dxa"/>
              <w:right w:w="70" w:type="dxa"/>
            </w:tcMar>
          </w:tcPr>
          <w:p w14:paraId="0E84D32D" w14:textId="77777777" w:rsidR="00F45500" w:rsidRPr="007B192E" w:rsidRDefault="00072856"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w:t>
            </w:r>
            <w:r w:rsidR="00F45500" w:rsidRPr="007B192E">
              <w:rPr>
                <w:rFonts w:ascii="Arial" w:hAnsi="Arial" w:cs="Arial"/>
                <w:color w:val="000000" w:themeColor="text1"/>
                <w:sz w:val="18"/>
                <w:szCs w:val="18"/>
              </w:rPr>
              <w:t>00.00.00</w:t>
            </w:r>
          </w:p>
        </w:tc>
        <w:tc>
          <w:tcPr>
            <w:tcW w:w="4679" w:type="dxa"/>
            <w:tcMar>
              <w:top w:w="0" w:type="dxa"/>
              <w:left w:w="70" w:type="dxa"/>
              <w:bottom w:w="0" w:type="dxa"/>
              <w:right w:w="70" w:type="dxa"/>
            </w:tcMar>
          </w:tcPr>
          <w:p w14:paraId="18A6195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Wymagania ogólne</w:t>
            </w:r>
          </w:p>
        </w:tc>
      </w:tr>
      <w:tr w:rsidR="004D7D23" w:rsidRPr="007B192E" w14:paraId="16949890" w14:textId="77777777" w:rsidTr="008F7A94">
        <w:tc>
          <w:tcPr>
            <w:tcW w:w="637" w:type="dxa"/>
            <w:tcMar>
              <w:top w:w="0" w:type="dxa"/>
              <w:left w:w="70" w:type="dxa"/>
              <w:bottom w:w="0" w:type="dxa"/>
              <w:right w:w="70" w:type="dxa"/>
            </w:tcMar>
          </w:tcPr>
          <w:p w14:paraId="78EBB6C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2128" w:type="dxa"/>
            <w:tcMar>
              <w:top w:w="0" w:type="dxa"/>
              <w:left w:w="70" w:type="dxa"/>
              <w:bottom w:w="0" w:type="dxa"/>
              <w:right w:w="70" w:type="dxa"/>
            </w:tcMar>
          </w:tcPr>
          <w:p w14:paraId="05CFC125"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D-05.03.04a</w:t>
            </w:r>
          </w:p>
        </w:tc>
        <w:tc>
          <w:tcPr>
            <w:tcW w:w="4679" w:type="dxa"/>
            <w:tcMar>
              <w:top w:w="0" w:type="dxa"/>
              <w:left w:w="70" w:type="dxa"/>
              <w:bottom w:w="0" w:type="dxa"/>
              <w:right w:w="70" w:type="dxa"/>
            </w:tcMar>
          </w:tcPr>
          <w:p w14:paraId="0E315B9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Wypełnianie szczelin w nawierzchni z betonu cementowego</w:t>
            </w:r>
          </w:p>
        </w:tc>
      </w:tr>
    </w:tbl>
    <w:p w14:paraId="5DAD8FD2"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10.2. Normy</w:t>
      </w:r>
    </w:p>
    <w:tbl>
      <w:tblPr>
        <w:tblW w:w="7478" w:type="dxa"/>
        <w:tblLayout w:type="fixed"/>
        <w:tblCellMar>
          <w:left w:w="10" w:type="dxa"/>
          <w:right w:w="10" w:type="dxa"/>
        </w:tblCellMar>
        <w:tblLook w:val="0000" w:firstRow="0" w:lastRow="0" w:firstColumn="0" w:lastColumn="0" w:noHBand="0" w:noVBand="0"/>
      </w:tblPr>
      <w:tblGrid>
        <w:gridCol w:w="674"/>
        <w:gridCol w:w="2269"/>
        <w:gridCol w:w="4535"/>
      </w:tblGrid>
      <w:tr w:rsidR="004D7D23" w:rsidRPr="007B192E" w14:paraId="4217F1BA" w14:textId="77777777" w:rsidTr="008F7A94">
        <w:tc>
          <w:tcPr>
            <w:tcW w:w="674" w:type="dxa"/>
            <w:tcMar>
              <w:top w:w="0" w:type="dxa"/>
              <w:left w:w="108" w:type="dxa"/>
              <w:bottom w:w="0" w:type="dxa"/>
              <w:right w:w="108" w:type="dxa"/>
            </w:tcMar>
          </w:tcPr>
          <w:p w14:paraId="66735E6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2269" w:type="dxa"/>
            <w:tcMar>
              <w:top w:w="0" w:type="dxa"/>
              <w:left w:w="108" w:type="dxa"/>
              <w:bottom w:w="0" w:type="dxa"/>
              <w:right w:w="108" w:type="dxa"/>
            </w:tcMar>
          </w:tcPr>
          <w:p w14:paraId="72F88913"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197-1:2002</w:t>
            </w:r>
          </w:p>
        </w:tc>
        <w:tc>
          <w:tcPr>
            <w:tcW w:w="4535" w:type="dxa"/>
            <w:tcMar>
              <w:top w:w="0" w:type="dxa"/>
              <w:left w:w="108" w:type="dxa"/>
              <w:bottom w:w="0" w:type="dxa"/>
              <w:right w:w="108" w:type="dxa"/>
            </w:tcMar>
          </w:tcPr>
          <w:p w14:paraId="43AF95F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Cement. Część 1: Skład, wymagania i kryteria zgodności dotyczące cementu powszechnego użytku</w:t>
            </w:r>
          </w:p>
        </w:tc>
      </w:tr>
      <w:tr w:rsidR="004D7D23" w:rsidRPr="007B192E" w14:paraId="0A1E59F1" w14:textId="77777777" w:rsidTr="008F7A94">
        <w:tc>
          <w:tcPr>
            <w:tcW w:w="674" w:type="dxa"/>
            <w:tcMar>
              <w:top w:w="0" w:type="dxa"/>
              <w:left w:w="108" w:type="dxa"/>
              <w:bottom w:w="0" w:type="dxa"/>
              <w:right w:w="108" w:type="dxa"/>
            </w:tcMar>
          </w:tcPr>
          <w:p w14:paraId="2BA148BC"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2269" w:type="dxa"/>
            <w:tcMar>
              <w:top w:w="0" w:type="dxa"/>
              <w:left w:w="108" w:type="dxa"/>
              <w:bottom w:w="0" w:type="dxa"/>
              <w:right w:w="108" w:type="dxa"/>
            </w:tcMar>
          </w:tcPr>
          <w:p w14:paraId="657017CE"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206-1:2003</w:t>
            </w:r>
          </w:p>
        </w:tc>
        <w:tc>
          <w:tcPr>
            <w:tcW w:w="4535" w:type="dxa"/>
            <w:tcMar>
              <w:top w:w="0" w:type="dxa"/>
              <w:left w:w="108" w:type="dxa"/>
              <w:bottom w:w="0" w:type="dxa"/>
              <w:right w:w="108" w:type="dxa"/>
            </w:tcMar>
          </w:tcPr>
          <w:p w14:paraId="184E2CEE"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Beton. Część 1: Wymagania, właściwości, produkcja i zgodność</w:t>
            </w:r>
          </w:p>
        </w:tc>
      </w:tr>
      <w:tr w:rsidR="004D7D23" w:rsidRPr="007B192E" w14:paraId="4F4B4BA2" w14:textId="77777777" w:rsidTr="008F7A94">
        <w:tc>
          <w:tcPr>
            <w:tcW w:w="674" w:type="dxa"/>
            <w:tcMar>
              <w:top w:w="0" w:type="dxa"/>
              <w:left w:w="108" w:type="dxa"/>
              <w:bottom w:w="0" w:type="dxa"/>
              <w:right w:w="108" w:type="dxa"/>
            </w:tcMar>
          </w:tcPr>
          <w:p w14:paraId="496D1DDC"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2269" w:type="dxa"/>
            <w:tcMar>
              <w:top w:w="0" w:type="dxa"/>
              <w:left w:w="108" w:type="dxa"/>
              <w:bottom w:w="0" w:type="dxa"/>
              <w:right w:w="108" w:type="dxa"/>
            </w:tcMar>
          </w:tcPr>
          <w:p w14:paraId="7A1F5A4F" w14:textId="77777777" w:rsidR="00F45500" w:rsidRPr="007B192E" w:rsidRDefault="00F45500" w:rsidP="008F7A94">
            <w:pPr>
              <w:spacing w:line="216" w:lineRule="auto"/>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 xml:space="preserve">PN-EN 1340:2004  </w:t>
            </w:r>
            <w:proofErr w:type="spellStart"/>
            <w:r w:rsidRPr="007B192E">
              <w:rPr>
                <w:rFonts w:ascii="Arial" w:hAnsi="Arial" w:cs="Arial"/>
                <w:color w:val="000000" w:themeColor="text1"/>
                <w:sz w:val="18"/>
                <w:szCs w:val="18"/>
                <w:lang w:val="en-US"/>
              </w:rPr>
              <w:t>i</w:t>
            </w:r>
            <w:proofErr w:type="spellEnd"/>
            <w:r w:rsidRPr="007B192E">
              <w:rPr>
                <w:rFonts w:ascii="Arial" w:hAnsi="Arial" w:cs="Arial"/>
                <w:color w:val="000000" w:themeColor="text1"/>
                <w:sz w:val="18"/>
                <w:szCs w:val="18"/>
                <w:lang w:val="en-US"/>
              </w:rPr>
              <w:t xml:space="preserve"> PN-EN 1340:2004/AC</w:t>
            </w:r>
          </w:p>
        </w:tc>
        <w:tc>
          <w:tcPr>
            <w:tcW w:w="4535" w:type="dxa"/>
            <w:tcMar>
              <w:top w:w="0" w:type="dxa"/>
              <w:left w:w="108" w:type="dxa"/>
              <w:bottom w:w="0" w:type="dxa"/>
              <w:right w:w="108" w:type="dxa"/>
            </w:tcMar>
          </w:tcPr>
          <w:p w14:paraId="1FD87D4A"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Krawężniki betonowe. Wymagania i metody badań</w:t>
            </w:r>
          </w:p>
        </w:tc>
      </w:tr>
      <w:tr w:rsidR="004D7D23" w:rsidRPr="007B192E" w14:paraId="3B73D45D" w14:textId="77777777" w:rsidTr="008F7A94">
        <w:tc>
          <w:tcPr>
            <w:tcW w:w="674" w:type="dxa"/>
            <w:tcMar>
              <w:top w:w="0" w:type="dxa"/>
              <w:left w:w="108" w:type="dxa"/>
              <w:bottom w:w="0" w:type="dxa"/>
              <w:right w:w="108" w:type="dxa"/>
            </w:tcMar>
          </w:tcPr>
          <w:p w14:paraId="16A17832"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2269" w:type="dxa"/>
            <w:tcMar>
              <w:top w:w="0" w:type="dxa"/>
              <w:left w:w="108" w:type="dxa"/>
              <w:bottom w:w="0" w:type="dxa"/>
              <w:right w:w="108" w:type="dxa"/>
            </w:tcMar>
          </w:tcPr>
          <w:p w14:paraId="4B8CD0AF"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PN-88/B-06250</w:t>
            </w:r>
          </w:p>
        </w:tc>
        <w:tc>
          <w:tcPr>
            <w:tcW w:w="4535" w:type="dxa"/>
            <w:tcMar>
              <w:top w:w="0" w:type="dxa"/>
              <w:left w:w="108" w:type="dxa"/>
              <w:bottom w:w="0" w:type="dxa"/>
              <w:right w:w="108" w:type="dxa"/>
            </w:tcMar>
          </w:tcPr>
          <w:p w14:paraId="742E9E17"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Beton zwykły</w:t>
            </w:r>
          </w:p>
        </w:tc>
      </w:tr>
      <w:tr w:rsidR="004D7D23" w:rsidRPr="007B192E" w14:paraId="1786D7FC" w14:textId="77777777" w:rsidTr="008F7A94">
        <w:tc>
          <w:tcPr>
            <w:tcW w:w="674" w:type="dxa"/>
            <w:tcMar>
              <w:top w:w="0" w:type="dxa"/>
              <w:left w:w="108" w:type="dxa"/>
              <w:bottom w:w="0" w:type="dxa"/>
              <w:right w:w="108" w:type="dxa"/>
            </w:tcMar>
          </w:tcPr>
          <w:p w14:paraId="65A6BEF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2269" w:type="dxa"/>
            <w:tcMar>
              <w:top w:w="0" w:type="dxa"/>
              <w:left w:w="108" w:type="dxa"/>
              <w:bottom w:w="0" w:type="dxa"/>
              <w:right w:w="108" w:type="dxa"/>
            </w:tcMar>
          </w:tcPr>
          <w:p w14:paraId="48F7DE25"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13670:2011</w:t>
            </w:r>
          </w:p>
        </w:tc>
        <w:tc>
          <w:tcPr>
            <w:tcW w:w="4535" w:type="dxa"/>
            <w:tcMar>
              <w:top w:w="0" w:type="dxa"/>
              <w:left w:w="108" w:type="dxa"/>
              <w:bottom w:w="0" w:type="dxa"/>
              <w:right w:w="108" w:type="dxa"/>
            </w:tcMar>
          </w:tcPr>
          <w:p w14:paraId="68120CED"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Wykonywanie konstrukcji z betonu</w:t>
            </w:r>
          </w:p>
        </w:tc>
      </w:tr>
      <w:tr w:rsidR="004D7D23" w:rsidRPr="007B192E" w14:paraId="221306AE" w14:textId="77777777" w:rsidTr="008F7A94">
        <w:tc>
          <w:tcPr>
            <w:tcW w:w="674" w:type="dxa"/>
            <w:tcMar>
              <w:top w:w="0" w:type="dxa"/>
              <w:left w:w="108" w:type="dxa"/>
              <w:bottom w:w="0" w:type="dxa"/>
              <w:right w:w="108" w:type="dxa"/>
            </w:tcMar>
          </w:tcPr>
          <w:p w14:paraId="2B18AA0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2269" w:type="dxa"/>
            <w:tcMar>
              <w:top w:w="0" w:type="dxa"/>
              <w:left w:w="108" w:type="dxa"/>
              <w:bottom w:w="0" w:type="dxa"/>
              <w:right w:w="108" w:type="dxa"/>
            </w:tcMar>
          </w:tcPr>
          <w:p w14:paraId="6C3E9877"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13242+A1:2010</w:t>
            </w:r>
          </w:p>
        </w:tc>
        <w:tc>
          <w:tcPr>
            <w:tcW w:w="4535" w:type="dxa"/>
            <w:tcMar>
              <w:top w:w="0" w:type="dxa"/>
              <w:left w:w="108" w:type="dxa"/>
              <w:bottom w:w="0" w:type="dxa"/>
              <w:right w:w="108" w:type="dxa"/>
            </w:tcMar>
          </w:tcPr>
          <w:p w14:paraId="386BFE99"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Kruszywa do niezwiązanych i związanych hydraulicznie materiałów stosowanych w obiektach budowlanych i budownictwie drogowym</w:t>
            </w:r>
          </w:p>
        </w:tc>
      </w:tr>
      <w:tr w:rsidR="004D7D23" w:rsidRPr="007B192E" w14:paraId="4B3D00A9" w14:textId="77777777" w:rsidTr="008F7A94">
        <w:tc>
          <w:tcPr>
            <w:tcW w:w="674" w:type="dxa"/>
            <w:tcMar>
              <w:top w:w="0" w:type="dxa"/>
              <w:left w:w="108" w:type="dxa"/>
              <w:bottom w:w="0" w:type="dxa"/>
              <w:right w:w="108" w:type="dxa"/>
            </w:tcMar>
          </w:tcPr>
          <w:p w14:paraId="4EF4058C"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2269" w:type="dxa"/>
            <w:tcMar>
              <w:top w:w="0" w:type="dxa"/>
              <w:left w:w="108" w:type="dxa"/>
              <w:bottom w:w="0" w:type="dxa"/>
              <w:right w:w="108" w:type="dxa"/>
            </w:tcMar>
          </w:tcPr>
          <w:p w14:paraId="02859884"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12620+A1:2010</w:t>
            </w:r>
          </w:p>
        </w:tc>
        <w:tc>
          <w:tcPr>
            <w:tcW w:w="4535" w:type="dxa"/>
            <w:tcMar>
              <w:top w:w="0" w:type="dxa"/>
              <w:left w:w="108" w:type="dxa"/>
              <w:bottom w:w="0" w:type="dxa"/>
              <w:right w:w="108" w:type="dxa"/>
            </w:tcMar>
          </w:tcPr>
          <w:p w14:paraId="5A38AC76"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Kruszywo do betonu</w:t>
            </w:r>
          </w:p>
        </w:tc>
      </w:tr>
      <w:tr w:rsidR="004D7D23" w:rsidRPr="007B192E" w14:paraId="11C67989" w14:textId="77777777" w:rsidTr="008F7A94">
        <w:tc>
          <w:tcPr>
            <w:tcW w:w="674" w:type="dxa"/>
            <w:tcMar>
              <w:top w:w="0" w:type="dxa"/>
              <w:left w:w="108" w:type="dxa"/>
              <w:bottom w:w="0" w:type="dxa"/>
              <w:right w:w="108" w:type="dxa"/>
            </w:tcMar>
          </w:tcPr>
          <w:p w14:paraId="7E4F4369"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2269" w:type="dxa"/>
            <w:tcMar>
              <w:top w:w="0" w:type="dxa"/>
              <w:left w:w="108" w:type="dxa"/>
              <w:bottom w:w="0" w:type="dxa"/>
              <w:right w:w="108" w:type="dxa"/>
            </w:tcMar>
          </w:tcPr>
          <w:p w14:paraId="41DA023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934-2+A1:2014</w:t>
            </w:r>
          </w:p>
        </w:tc>
        <w:tc>
          <w:tcPr>
            <w:tcW w:w="4535" w:type="dxa"/>
            <w:tcMar>
              <w:top w:w="0" w:type="dxa"/>
              <w:left w:w="108" w:type="dxa"/>
              <w:bottom w:w="0" w:type="dxa"/>
              <w:right w:w="108" w:type="dxa"/>
            </w:tcMar>
          </w:tcPr>
          <w:p w14:paraId="6392CCC4"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Domieszki do betonu, zaprawy i zaczynu – Części 2: Domieszki do betonu – Definicje, wymagania, zgodność, oznakowanie i etykietowanie.</w:t>
            </w:r>
          </w:p>
        </w:tc>
      </w:tr>
      <w:tr w:rsidR="004D7D23" w:rsidRPr="007B192E" w14:paraId="3A50DE61" w14:textId="77777777" w:rsidTr="008F7A94">
        <w:tc>
          <w:tcPr>
            <w:tcW w:w="674" w:type="dxa"/>
            <w:tcMar>
              <w:top w:w="0" w:type="dxa"/>
              <w:left w:w="108" w:type="dxa"/>
              <w:bottom w:w="0" w:type="dxa"/>
              <w:right w:w="108" w:type="dxa"/>
            </w:tcMar>
          </w:tcPr>
          <w:p w14:paraId="063139B1"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2269" w:type="dxa"/>
            <w:tcMar>
              <w:top w:w="0" w:type="dxa"/>
              <w:left w:w="108" w:type="dxa"/>
              <w:bottom w:w="0" w:type="dxa"/>
              <w:right w:w="108" w:type="dxa"/>
            </w:tcMar>
          </w:tcPr>
          <w:p w14:paraId="297EE244"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1008:2004</w:t>
            </w:r>
          </w:p>
        </w:tc>
        <w:tc>
          <w:tcPr>
            <w:tcW w:w="4535" w:type="dxa"/>
            <w:tcMar>
              <w:top w:w="0" w:type="dxa"/>
              <w:left w:w="108" w:type="dxa"/>
              <w:bottom w:w="0" w:type="dxa"/>
              <w:right w:w="108" w:type="dxa"/>
            </w:tcMar>
          </w:tcPr>
          <w:p w14:paraId="03BB0F91"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Woda zarobowa do betonu – Specyfikacja pobierania próbek, badanie i ocena przydatności wody zarobowej do betonu, w tym wody odzyskanej w z procesów produkcji betonu</w:t>
            </w:r>
          </w:p>
        </w:tc>
      </w:tr>
      <w:tr w:rsidR="004D7D23" w:rsidRPr="007B192E" w14:paraId="1149B074" w14:textId="77777777" w:rsidTr="008F7A94">
        <w:tc>
          <w:tcPr>
            <w:tcW w:w="674" w:type="dxa"/>
            <w:tcMar>
              <w:top w:w="0" w:type="dxa"/>
              <w:left w:w="108" w:type="dxa"/>
              <w:bottom w:w="0" w:type="dxa"/>
              <w:right w:w="108" w:type="dxa"/>
            </w:tcMar>
          </w:tcPr>
          <w:p w14:paraId="4B700BA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12.</w:t>
            </w:r>
          </w:p>
          <w:p w14:paraId="247AD18B" w14:textId="77777777" w:rsidR="00F45500" w:rsidRPr="007B192E" w:rsidRDefault="00F45500" w:rsidP="008F7A94">
            <w:pPr>
              <w:spacing w:line="216" w:lineRule="auto"/>
              <w:jc w:val="both"/>
              <w:rPr>
                <w:rFonts w:ascii="Arial" w:hAnsi="Arial" w:cs="Arial"/>
                <w:color w:val="000000" w:themeColor="text1"/>
                <w:sz w:val="18"/>
                <w:szCs w:val="18"/>
              </w:rPr>
            </w:pPr>
          </w:p>
        </w:tc>
        <w:tc>
          <w:tcPr>
            <w:tcW w:w="2269" w:type="dxa"/>
            <w:tcMar>
              <w:top w:w="0" w:type="dxa"/>
              <w:left w:w="108" w:type="dxa"/>
              <w:bottom w:w="0" w:type="dxa"/>
              <w:right w:w="108" w:type="dxa"/>
            </w:tcMar>
          </w:tcPr>
          <w:p w14:paraId="16C581DD"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BN-88/6731-08</w:t>
            </w:r>
          </w:p>
          <w:p w14:paraId="3213AFE3" w14:textId="77777777" w:rsidR="00F45500" w:rsidRPr="007B192E" w:rsidRDefault="00F45500" w:rsidP="008F7A94">
            <w:pPr>
              <w:spacing w:line="216" w:lineRule="auto"/>
              <w:jc w:val="both"/>
              <w:rPr>
                <w:rFonts w:ascii="Arial" w:hAnsi="Arial" w:cs="Arial"/>
                <w:color w:val="000000" w:themeColor="text1"/>
                <w:sz w:val="18"/>
                <w:szCs w:val="18"/>
              </w:rPr>
            </w:pPr>
          </w:p>
        </w:tc>
        <w:tc>
          <w:tcPr>
            <w:tcW w:w="4535" w:type="dxa"/>
            <w:tcMar>
              <w:top w:w="0" w:type="dxa"/>
              <w:left w:w="108" w:type="dxa"/>
              <w:bottom w:w="0" w:type="dxa"/>
              <w:right w:w="108" w:type="dxa"/>
            </w:tcMar>
          </w:tcPr>
          <w:p w14:paraId="384F5E93"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Cement. Transport i przechowywanie</w:t>
            </w:r>
          </w:p>
          <w:p w14:paraId="57EBEF57" w14:textId="77777777" w:rsidR="00F45500" w:rsidRPr="007B192E" w:rsidRDefault="00F45500" w:rsidP="008F7A94">
            <w:pPr>
              <w:spacing w:line="216" w:lineRule="auto"/>
              <w:jc w:val="both"/>
              <w:rPr>
                <w:rFonts w:ascii="Arial" w:hAnsi="Arial" w:cs="Arial"/>
                <w:color w:val="000000" w:themeColor="text1"/>
                <w:sz w:val="18"/>
                <w:szCs w:val="18"/>
              </w:rPr>
            </w:pPr>
          </w:p>
        </w:tc>
      </w:tr>
    </w:tbl>
    <w:p w14:paraId="53030F6E" w14:textId="77777777" w:rsidR="00F45500" w:rsidRPr="007B192E" w:rsidRDefault="00F45500" w:rsidP="00F45500">
      <w:pPr>
        <w:keepNext/>
        <w:spacing w:before="120" w:after="120" w:line="216" w:lineRule="auto"/>
        <w:jc w:val="both"/>
        <w:outlineLvl w:val="1"/>
        <w:rPr>
          <w:rFonts w:ascii="Arial" w:hAnsi="Arial" w:cs="Arial"/>
          <w:b/>
          <w:i/>
          <w:color w:val="000000" w:themeColor="text1"/>
          <w:sz w:val="18"/>
          <w:szCs w:val="18"/>
        </w:rPr>
      </w:pPr>
      <w:r w:rsidRPr="007B192E">
        <w:rPr>
          <w:rFonts w:ascii="Arial" w:hAnsi="Arial" w:cs="Arial"/>
          <w:b/>
          <w:color w:val="000000" w:themeColor="text1"/>
          <w:sz w:val="18"/>
          <w:szCs w:val="18"/>
        </w:rPr>
        <w:t>10.3. Inne dokumenty</w:t>
      </w:r>
    </w:p>
    <w:tbl>
      <w:tblPr>
        <w:tblW w:w="7478" w:type="dxa"/>
        <w:tblLayout w:type="fixed"/>
        <w:tblCellMar>
          <w:left w:w="10" w:type="dxa"/>
          <w:right w:w="10" w:type="dxa"/>
        </w:tblCellMar>
        <w:tblLook w:val="0000" w:firstRow="0" w:lastRow="0" w:firstColumn="0" w:lastColumn="0" w:noHBand="0" w:noVBand="0"/>
      </w:tblPr>
      <w:tblGrid>
        <w:gridCol w:w="674"/>
        <w:gridCol w:w="6804"/>
      </w:tblGrid>
      <w:tr w:rsidR="004D7D23" w:rsidRPr="007B192E" w14:paraId="541CAC1A" w14:textId="77777777" w:rsidTr="008F7A94">
        <w:tc>
          <w:tcPr>
            <w:tcW w:w="674" w:type="dxa"/>
            <w:tcMar>
              <w:top w:w="0" w:type="dxa"/>
              <w:left w:w="108" w:type="dxa"/>
              <w:bottom w:w="0" w:type="dxa"/>
              <w:right w:w="108" w:type="dxa"/>
            </w:tcMar>
          </w:tcPr>
          <w:p w14:paraId="3773DF21"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6804" w:type="dxa"/>
            <w:tcMar>
              <w:top w:w="0" w:type="dxa"/>
              <w:left w:w="108" w:type="dxa"/>
              <w:bottom w:w="0" w:type="dxa"/>
              <w:right w:w="108" w:type="dxa"/>
            </w:tcMar>
          </w:tcPr>
          <w:p w14:paraId="7343CB9A"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Katalog szczegółów drogowych ulic, placów i parków miejskich, Centrum Techniki Budownictwa Komunalnego, Warszawa 1987</w:t>
            </w:r>
          </w:p>
          <w:p w14:paraId="0AE6D241" w14:textId="77777777" w:rsidR="00F45500" w:rsidRPr="007B192E" w:rsidRDefault="00F45500" w:rsidP="008F7A94">
            <w:pPr>
              <w:spacing w:line="216" w:lineRule="auto"/>
              <w:jc w:val="both"/>
              <w:rPr>
                <w:rFonts w:ascii="Arial" w:hAnsi="Arial" w:cs="Arial"/>
                <w:color w:val="000000" w:themeColor="text1"/>
                <w:sz w:val="18"/>
                <w:szCs w:val="18"/>
              </w:rPr>
            </w:pPr>
          </w:p>
        </w:tc>
      </w:tr>
    </w:tbl>
    <w:p w14:paraId="6B034CE4" w14:textId="77777777" w:rsidR="00277543" w:rsidRPr="007B192E" w:rsidRDefault="00277543" w:rsidP="00277543">
      <w:pPr>
        <w:pStyle w:val="Nagwek2"/>
        <w:rPr>
          <w:i w:val="0"/>
          <w:color w:val="000000" w:themeColor="text1"/>
        </w:rPr>
      </w:pPr>
      <w:r w:rsidRPr="007B192E">
        <w:rPr>
          <w:i w:val="0"/>
          <w:color w:val="000000" w:themeColor="text1"/>
        </w:rPr>
        <w:t>11. ZAŁĄCZNIKI</w:t>
      </w:r>
    </w:p>
    <w:p w14:paraId="78A9B2CC" w14:textId="77777777" w:rsidR="00F45500" w:rsidRPr="007B192E" w:rsidRDefault="00F45500" w:rsidP="00F45500">
      <w:pPr>
        <w:pStyle w:val="Standard"/>
        <w:spacing w:before="120" w:after="120" w:line="216" w:lineRule="auto"/>
        <w:jc w:val="right"/>
        <w:rPr>
          <w:rFonts w:ascii="Arial" w:hAnsi="Arial" w:cs="Arial"/>
          <w:b/>
          <w:color w:val="000000" w:themeColor="text1"/>
          <w:sz w:val="18"/>
          <w:szCs w:val="18"/>
        </w:rPr>
      </w:pPr>
    </w:p>
    <w:p w14:paraId="213D3293" w14:textId="77777777" w:rsidR="00F45500" w:rsidRPr="007B192E" w:rsidRDefault="00F45500" w:rsidP="00F45500">
      <w:pPr>
        <w:pStyle w:val="Standard"/>
        <w:pageBreakBefore/>
        <w:spacing w:before="120" w:after="120" w:line="216" w:lineRule="auto"/>
        <w:jc w:val="right"/>
        <w:rPr>
          <w:rFonts w:ascii="Arial" w:hAnsi="Arial" w:cs="Arial"/>
          <w:b/>
          <w:color w:val="000000" w:themeColor="text1"/>
          <w:sz w:val="18"/>
          <w:szCs w:val="18"/>
        </w:rPr>
      </w:pPr>
      <w:r w:rsidRPr="007B192E">
        <w:rPr>
          <w:rFonts w:ascii="Arial" w:hAnsi="Arial" w:cs="Arial"/>
          <w:b/>
          <w:color w:val="000000" w:themeColor="text1"/>
          <w:sz w:val="18"/>
          <w:szCs w:val="18"/>
        </w:rPr>
        <w:lastRenderedPageBreak/>
        <w:t>ZAŁĄCZNIK 1</w:t>
      </w:r>
    </w:p>
    <w:p w14:paraId="43C9EB9F"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GEOMETRIA   KRAWĘŻNIKÓW (wg [5])</w:t>
      </w:r>
    </w:p>
    <w:p w14:paraId="346111C6" w14:textId="77777777" w:rsidR="00F45500" w:rsidRPr="007B192E" w:rsidRDefault="00F45500" w:rsidP="00F45500">
      <w:pPr>
        <w:pStyle w:val="Standard"/>
        <w:spacing w:before="120"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1.1. Przykład kształtu krawężnika przeznaczonego do ryglowania</w:t>
      </w:r>
    </w:p>
    <w:p w14:paraId="0AF398B2"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3E35AE3E" w14:textId="77777777" w:rsidR="00F45500" w:rsidRPr="007B192E" w:rsidRDefault="00F45500" w:rsidP="00F45500">
      <w:pPr>
        <w:pStyle w:val="Standard"/>
        <w:spacing w:line="216" w:lineRule="auto"/>
        <w:jc w:val="center"/>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575C1DDA" wp14:editId="03F2202C">
            <wp:extent cx="3936960" cy="1686599"/>
            <wp:effectExtent l="0" t="0" r="6390" b="8851"/>
            <wp:docPr id="4" name="grafika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lum/>
                      <a:alphaModFix/>
                    </a:blip>
                    <a:srcRect/>
                    <a:stretch>
                      <a:fillRect/>
                    </a:stretch>
                  </pic:blipFill>
                  <pic:spPr>
                    <a:xfrm>
                      <a:off x="0" y="0"/>
                      <a:ext cx="3936960" cy="1686599"/>
                    </a:xfrm>
                    <a:prstGeom prst="rect">
                      <a:avLst/>
                    </a:prstGeom>
                    <a:ln>
                      <a:noFill/>
                      <a:prstDash/>
                    </a:ln>
                  </pic:spPr>
                </pic:pic>
              </a:graphicData>
            </a:graphic>
          </wp:inline>
        </w:drawing>
      </w:r>
    </w:p>
    <w:p w14:paraId="2C6A689A"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093B9AE4"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4EB1C01E"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Oznaczenia: Y ≤ X – 3 mm i Z</w:t>
      </w:r>
      <w:r w:rsidRPr="007B192E">
        <w:rPr>
          <w:rFonts w:ascii="Arial" w:hAnsi="Arial" w:cs="Arial"/>
          <w:color w:val="000000" w:themeColor="text1"/>
          <w:sz w:val="18"/>
          <w:szCs w:val="18"/>
          <w:vertAlign w:val="subscript"/>
        </w:rPr>
        <w:t>Y</w:t>
      </w:r>
      <w:r w:rsidRPr="007B192E">
        <w:rPr>
          <w:rFonts w:ascii="Arial" w:hAnsi="Arial" w:cs="Arial"/>
          <w:color w:val="000000" w:themeColor="text1"/>
          <w:sz w:val="18"/>
          <w:szCs w:val="18"/>
        </w:rPr>
        <w:t xml:space="preserve"> ≤ Z</w:t>
      </w:r>
      <w:r w:rsidRPr="007B192E">
        <w:rPr>
          <w:rFonts w:ascii="Arial" w:hAnsi="Arial" w:cs="Arial"/>
          <w:color w:val="000000" w:themeColor="text1"/>
          <w:sz w:val="18"/>
          <w:szCs w:val="18"/>
          <w:vertAlign w:val="subscript"/>
        </w:rPr>
        <w:t>X</w:t>
      </w:r>
      <w:r w:rsidRPr="007B192E">
        <w:rPr>
          <w:rFonts w:ascii="Arial" w:hAnsi="Arial" w:cs="Arial"/>
          <w:color w:val="000000" w:themeColor="text1"/>
          <w:sz w:val="18"/>
          <w:szCs w:val="18"/>
        </w:rPr>
        <w:t xml:space="preserve"> – 3 mm,  X minimum: ≥ 1/5 </w:t>
      </w:r>
      <w:r w:rsidRPr="007B192E">
        <w:rPr>
          <w:rFonts w:ascii="Arial" w:hAnsi="Arial" w:cs="Arial"/>
          <w:i/>
          <w:color w:val="000000" w:themeColor="text1"/>
          <w:sz w:val="18"/>
          <w:szCs w:val="18"/>
        </w:rPr>
        <w:t>b</w:t>
      </w:r>
      <w:r w:rsidRPr="007B192E">
        <w:rPr>
          <w:rFonts w:ascii="Arial" w:hAnsi="Arial" w:cs="Arial"/>
          <w:color w:val="000000" w:themeColor="text1"/>
          <w:sz w:val="18"/>
          <w:szCs w:val="18"/>
        </w:rPr>
        <w:t xml:space="preserve"> i ≥ 20 mm,</w:t>
      </w:r>
      <w:r w:rsidRPr="007B192E">
        <w:rPr>
          <w:rFonts w:ascii="Arial" w:hAnsi="Arial" w:cs="Arial"/>
          <w:color w:val="000000" w:themeColor="text1"/>
          <w:sz w:val="18"/>
          <w:szCs w:val="18"/>
        </w:rPr>
        <w:br/>
        <w:t xml:space="preserve">X maximum: ≤ 1/3 </w:t>
      </w:r>
      <w:r w:rsidRPr="007B192E">
        <w:rPr>
          <w:rFonts w:ascii="Arial" w:hAnsi="Arial" w:cs="Arial"/>
          <w:i/>
          <w:color w:val="000000" w:themeColor="text1"/>
          <w:sz w:val="18"/>
          <w:szCs w:val="18"/>
        </w:rPr>
        <w:t>b</w:t>
      </w:r>
      <w:r w:rsidRPr="007B192E">
        <w:rPr>
          <w:rFonts w:ascii="Arial" w:hAnsi="Arial" w:cs="Arial"/>
          <w:color w:val="000000" w:themeColor="text1"/>
          <w:sz w:val="18"/>
          <w:szCs w:val="18"/>
        </w:rPr>
        <w:t xml:space="preserve"> i  ≤ 70 mm,  Z</w:t>
      </w:r>
      <w:r w:rsidRPr="007B192E">
        <w:rPr>
          <w:rFonts w:ascii="Arial" w:hAnsi="Arial" w:cs="Arial"/>
          <w:color w:val="000000" w:themeColor="text1"/>
          <w:sz w:val="18"/>
          <w:szCs w:val="18"/>
          <w:vertAlign w:val="subscript"/>
        </w:rPr>
        <w:t>Y</w:t>
      </w:r>
      <w:r w:rsidRPr="007B192E">
        <w:rPr>
          <w:rFonts w:ascii="Arial" w:hAnsi="Arial" w:cs="Arial"/>
          <w:color w:val="000000" w:themeColor="text1"/>
          <w:sz w:val="18"/>
          <w:szCs w:val="18"/>
        </w:rPr>
        <w:t xml:space="preserve"> maximum: Y/2, Tolerancja dla X i Z</w:t>
      </w:r>
      <w:r w:rsidRPr="007B192E">
        <w:rPr>
          <w:rFonts w:ascii="Arial" w:hAnsi="Arial" w:cs="Arial"/>
          <w:color w:val="000000" w:themeColor="text1"/>
          <w:sz w:val="18"/>
          <w:szCs w:val="18"/>
          <w:vertAlign w:val="subscript"/>
        </w:rPr>
        <w:t>X</w:t>
      </w:r>
      <w:r w:rsidRPr="007B192E">
        <w:rPr>
          <w:rFonts w:ascii="Arial" w:hAnsi="Arial" w:cs="Arial"/>
          <w:color w:val="000000" w:themeColor="text1"/>
          <w:sz w:val="18"/>
          <w:szCs w:val="18"/>
        </w:rPr>
        <w:t xml:space="preserve">   -1, +2 mm,  Tolerancja dla Y i Z</w:t>
      </w:r>
      <w:r w:rsidRPr="007B192E">
        <w:rPr>
          <w:rFonts w:ascii="Arial" w:hAnsi="Arial" w:cs="Arial"/>
          <w:color w:val="000000" w:themeColor="text1"/>
          <w:sz w:val="18"/>
          <w:szCs w:val="18"/>
          <w:vertAlign w:val="subscript"/>
        </w:rPr>
        <w:t>Y</w:t>
      </w:r>
      <w:r w:rsidRPr="007B192E">
        <w:rPr>
          <w:rFonts w:ascii="Arial" w:hAnsi="Arial" w:cs="Arial"/>
          <w:color w:val="000000" w:themeColor="text1"/>
          <w:sz w:val="18"/>
          <w:szCs w:val="18"/>
        </w:rPr>
        <w:t xml:space="preserve"> – 2, +1 mm,  L – Długość elementu krawężnika,  W</w:t>
      </w:r>
      <w:r w:rsidRPr="007B192E">
        <w:rPr>
          <w:rFonts w:ascii="Arial" w:hAnsi="Arial" w:cs="Arial"/>
          <w:i/>
          <w:color w:val="000000" w:themeColor="text1"/>
          <w:sz w:val="18"/>
          <w:szCs w:val="18"/>
        </w:rPr>
        <w:t xml:space="preserve"> –</w:t>
      </w:r>
      <w:r w:rsidRPr="007B192E">
        <w:rPr>
          <w:rFonts w:ascii="Arial" w:hAnsi="Arial" w:cs="Arial"/>
          <w:color w:val="000000" w:themeColor="text1"/>
          <w:sz w:val="18"/>
          <w:szCs w:val="18"/>
        </w:rPr>
        <w:t xml:space="preserve"> Szerokość elementu krawężnika</w:t>
      </w:r>
    </w:p>
    <w:p w14:paraId="14242DF2"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4B0357BC"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1.2. Przykład wgłębienia lub wcięcia powierzchni czołowej w dolnej części krawężnika</w:t>
      </w:r>
    </w:p>
    <w:p w14:paraId="5A499153"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535908AC" w14:textId="77777777" w:rsidR="00F45500" w:rsidRPr="007B192E" w:rsidRDefault="00F45500" w:rsidP="00F45500">
      <w:pPr>
        <w:pStyle w:val="Standard"/>
        <w:spacing w:line="216" w:lineRule="auto"/>
        <w:jc w:val="center"/>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7AC8E1A4" wp14:editId="0785507C">
            <wp:extent cx="2056680" cy="2077560"/>
            <wp:effectExtent l="0" t="0" r="720" b="0"/>
            <wp:docPr id="5" name="grafika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lum/>
                      <a:alphaModFix/>
                    </a:blip>
                    <a:srcRect/>
                    <a:stretch>
                      <a:fillRect/>
                    </a:stretch>
                  </pic:blipFill>
                  <pic:spPr>
                    <a:xfrm>
                      <a:off x="0" y="0"/>
                      <a:ext cx="2056680" cy="2077560"/>
                    </a:xfrm>
                    <a:prstGeom prst="rect">
                      <a:avLst/>
                    </a:prstGeom>
                    <a:ln>
                      <a:noFill/>
                      <a:prstDash/>
                    </a:ln>
                  </pic:spPr>
                </pic:pic>
              </a:graphicData>
            </a:graphic>
          </wp:inline>
        </w:drawing>
      </w:r>
    </w:p>
    <w:p w14:paraId="19AEA16D"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Oznaczenia:   H – Wysokość elementu krawężnika, h – wysokość wgłębienia lub wcięcia,       W – szerokość elementu krawężnika, L – długość elementu krawężnika,              l – długość wgłębienia lub wcięcia</w:t>
      </w:r>
    </w:p>
    <w:p w14:paraId="5B739E80" w14:textId="77777777" w:rsidR="00F45500" w:rsidRPr="007B192E" w:rsidRDefault="00F45500" w:rsidP="00F45500">
      <w:pPr>
        <w:pStyle w:val="Standard"/>
        <w:spacing w:line="216" w:lineRule="auto"/>
        <w:jc w:val="both"/>
        <w:rPr>
          <w:rFonts w:ascii="Arial" w:hAnsi="Arial" w:cs="Arial"/>
          <w:b/>
          <w:color w:val="000000" w:themeColor="text1"/>
          <w:sz w:val="18"/>
          <w:szCs w:val="18"/>
        </w:rPr>
      </w:pPr>
    </w:p>
    <w:p w14:paraId="7D946E69" w14:textId="77777777" w:rsidR="00F45500" w:rsidRPr="007B192E" w:rsidRDefault="00F45500" w:rsidP="00F45500">
      <w:pPr>
        <w:pStyle w:val="Standard"/>
        <w:spacing w:line="216" w:lineRule="auto"/>
        <w:jc w:val="right"/>
        <w:rPr>
          <w:rFonts w:ascii="Arial" w:hAnsi="Arial" w:cs="Arial"/>
          <w:b/>
          <w:color w:val="000000" w:themeColor="text1"/>
          <w:sz w:val="18"/>
          <w:szCs w:val="18"/>
        </w:rPr>
      </w:pPr>
    </w:p>
    <w:p w14:paraId="425CB126" w14:textId="77777777" w:rsidR="00F45500" w:rsidRPr="007B192E" w:rsidRDefault="00F45500" w:rsidP="00F45500">
      <w:pPr>
        <w:pStyle w:val="Standard"/>
        <w:spacing w:line="216" w:lineRule="auto"/>
        <w:jc w:val="right"/>
        <w:rPr>
          <w:rFonts w:ascii="Arial" w:hAnsi="Arial" w:cs="Arial"/>
          <w:b/>
          <w:color w:val="000000" w:themeColor="text1"/>
          <w:sz w:val="18"/>
          <w:szCs w:val="18"/>
        </w:rPr>
      </w:pPr>
      <w:r w:rsidRPr="007B192E">
        <w:rPr>
          <w:rFonts w:ascii="Arial" w:hAnsi="Arial" w:cs="Arial"/>
          <w:b/>
          <w:color w:val="000000" w:themeColor="text1"/>
          <w:sz w:val="18"/>
          <w:szCs w:val="18"/>
        </w:rPr>
        <w:t>ZAŁĄCZNIK 2</w:t>
      </w:r>
    </w:p>
    <w:p w14:paraId="7904D425" w14:textId="77777777" w:rsidR="00F45500" w:rsidRPr="007B192E" w:rsidRDefault="00F45500" w:rsidP="00F45500">
      <w:pPr>
        <w:pStyle w:val="Standard"/>
        <w:spacing w:line="216" w:lineRule="auto"/>
        <w:jc w:val="both"/>
        <w:rPr>
          <w:rFonts w:ascii="Arial" w:hAnsi="Arial" w:cs="Arial"/>
          <w:b/>
          <w:color w:val="000000" w:themeColor="text1"/>
          <w:sz w:val="18"/>
          <w:szCs w:val="18"/>
        </w:rPr>
      </w:pPr>
    </w:p>
    <w:p w14:paraId="494B8B5F"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PRZYKŁADY  KRAWĘŻNIKÓW  ŁUKOWYCH (wg [5])</w:t>
      </w:r>
    </w:p>
    <w:p w14:paraId="722EA622"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02A85267" w14:textId="77777777" w:rsidR="00F45500" w:rsidRPr="007B192E" w:rsidRDefault="00F45500" w:rsidP="00F45500">
      <w:pPr>
        <w:pStyle w:val="Standard"/>
        <w:spacing w:line="216" w:lineRule="auto"/>
        <w:jc w:val="center"/>
        <w:rPr>
          <w:rFonts w:ascii="Arial" w:hAnsi="Arial" w:cs="Arial"/>
          <w:color w:val="000000" w:themeColor="text1"/>
          <w:sz w:val="18"/>
          <w:szCs w:val="18"/>
        </w:rPr>
      </w:pPr>
      <w:r w:rsidRPr="007B192E">
        <w:rPr>
          <w:rFonts w:ascii="Arial" w:hAnsi="Arial" w:cs="Arial"/>
          <w:color w:val="000000" w:themeColor="text1"/>
          <w:sz w:val="18"/>
          <w:szCs w:val="18"/>
        </w:rPr>
        <w:t>a) wklęsłego</w:t>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r>
      <w:r w:rsidRPr="007B192E">
        <w:rPr>
          <w:rFonts w:ascii="Arial" w:hAnsi="Arial" w:cs="Arial"/>
          <w:color w:val="000000" w:themeColor="text1"/>
          <w:sz w:val="18"/>
          <w:szCs w:val="18"/>
        </w:rPr>
        <w:tab/>
        <w:t>b) wypukłego</w:t>
      </w:r>
    </w:p>
    <w:p w14:paraId="0E6DEA33"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29BE6386" w14:textId="77777777" w:rsidR="00F45500" w:rsidRPr="007B192E" w:rsidRDefault="00F45500" w:rsidP="00F45500">
      <w:pPr>
        <w:pStyle w:val="Standard"/>
        <w:spacing w:line="216" w:lineRule="auto"/>
        <w:jc w:val="center"/>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206D5AEC" wp14:editId="1E45DA37">
            <wp:extent cx="4596840" cy="1789560"/>
            <wp:effectExtent l="0" t="0" r="0" b="1140"/>
            <wp:docPr id="6" name="grafika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lum/>
                      <a:alphaModFix/>
                    </a:blip>
                    <a:srcRect/>
                    <a:stretch>
                      <a:fillRect/>
                    </a:stretch>
                  </pic:blipFill>
                  <pic:spPr>
                    <a:xfrm>
                      <a:off x="0" y="0"/>
                      <a:ext cx="4596840" cy="1789560"/>
                    </a:xfrm>
                    <a:prstGeom prst="rect">
                      <a:avLst/>
                    </a:prstGeom>
                    <a:ln>
                      <a:noFill/>
                      <a:prstDash/>
                    </a:ln>
                  </pic:spPr>
                </pic:pic>
              </a:graphicData>
            </a:graphic>
          </wp:inline>
        </w:drawing>
      </w:r>
    </w:p>
    <w:p w14:paraId="07FCD09E"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08DBF513"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Oznaczenia: 1 – Krawężnik, 2 – Jezdnia, 3 – Długość, 4 – Promień, 5 – Kanał odpływowy</w:t>
      </w:r>
    </w:p>
    <w:p w14:paraId="79558BCD"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61E136A0" w14:textId="77777777" w:rsidR="00F45500" w:rsidRPr="007B192E" w:rsidRDefault="00F45500" w:rsidP="00F45500">
      <w:pPr>
        <w:pStyle w:val="Standard"/>
        <w:spacing w:line="216" w:lineRule="auto"/>
        <w:jc w:val="right"/>
        <w:rPr>
          <w:rFonts w:ascii="Arial" w:hAnsi="Arial" w:cs="Arial"/>
          <w:b/>
          <w:color w:val="000000" w:themeColor="text1"/>
          <w:sz w:val="18"/>
          <w:szCs w:val="18"/>
        </w:rPr>
      </w:pPr>
      <w:r w:rsidRPr="007B192E">
        <w:rPr>
          <w:rFonts w:ascii="Arial" w:hAnsi="Arial" w:cs="Arial"/>
          <w:b/>
          <w:color w:val="000000" w:themeColor="text1"/>
          <w:sz w:val="18"/>
          <w:szCs w:val="18"/>
        </w:rPr>
        <w:t>ZAŁĄCZNIK 3</w:t>
      </w:r>
    </w:p>
    <w:p w14:paraId="17F97B68" w14:textId="77777777" w:rsidR="00F45500" w:rsidRPr="007B192E" w:rsidRDefault="00F45500" w:rsidP="00F45500">
      <w:pPr>
        <w:pStyle w:val="Standard"/>
        <w:spacing w:line="216" w:lineRule="auto"/>
        <w:jc w:val="both"/>
        <w:rPr>
          <w:rFonts w:ascii="Arial" w:hAnsi="Arial" w:cs="Arial"/>
          <w:b/>
          <w:color w:val="000000" w:themeColor="text1"/>
          <w:sz w:val="18"/>
          <w:szCs w:val="18"/>
        </w:rPr>
      </w:pPr>
    </w:p>
    <w:p w14:paraId="5900121B"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PRZYKŁADY  KRAWĘŻNIKÓW  TYPU  ULICZNEGO  I  DROGOWEGO</w:t>
      </w:r>
    </w:p>
    <w:p w14:paraId="72C38107"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(wg BN-80/6775-03/04 Prefabrykaty budowlane z betonu. Elementy nawierzchni dróg, ulic, parkingów i torowisk tramwajowych. Krawężniki i obrzeża chodnikowe)</w:t>
      </w:r>
    </w:p>
    <w:p w14:paraId="5139E6F9" w14:textId="77777777" w:rsidR="00F45500" w:rsidRPr="007B192E" w:rsidRDefault="00F45500" w:rsidP="00F45500">
      <w:pPr>
        <w:pStyle w:val="Standard"/>
        <w:spacing w:line="216" w:lineRule="auto"/>
        <w:jc w:val="both"/>
        <w:rPr>
          <w:rFonts w:ascii="Arial" w:hAnsi="Arial" w:cs="Arial"/>
          <w:color w:val="000000" w:themeColor="text1"/>
          <w:sz w:val="18"/>
          <w:szCs w:val="18"/>
        </w:rPr>
      </w:pPr>
    </w:p>
    <w:tbl>
      <w:tblPr>
        <w:tblW w:w="7512" w:type="dxa"/>
        <w:jc w:val="center"/>
        <w:tblLayout w:type="fixed"/>
        <w:tblCellMar>
          <w:left w:w="10" w:type="dxa"/>
          <w:right w:w="10" w:type="dxa"/>
        </w:tblCellMar>
        <w:tblLook w:val="0000" w:firstRow="0" w:lastRow="0" w:firstColumn="0" w:lastColumn="0" w:noHBand="0" w:noVBand="0"/>
      </w:tblPr>
      <w:tblGrid>
        <w:gridCol w:w="3755"/>
        <w:gridCol w:w="3757"/>
      </w:tblGrid>
      <w:tr w:rsidR="00F45500" w:rsidRPr="007B192E" w14:paraId="7637CD3A" w14:textId="77777777" w:rsidTr="008F7A94">
        <w:trPr>
          <w:jc w:val="center"/>
        </w:trPr>
        <w:tc>
          <w:tcPr>
            <w:tcW w:w="3755" w:type="dxa"/>
            <w:tcMar>
              <w:top w:w="0" w:type="dxa"/>
              <w:left w:w="108" w:type="dxa"/>
              <w:bottom w:w="0" w:type="dxa"/>
              <w:right w:w="108" w:type="dxa"/>
            </w:tcMar>
          </w:tcPr>
          <w:p w14:paraId="355EBAF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a) Krawężnik typu ulicznego</w:t>
            </w:r>
          </w:p>
          <w:p w14:paraId="0E3888A1"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78D13895" wp14:editId="0D74ACB6">
                  <wp:extent cx="2157120" cy="944280"/>
                  <wp:effectExtent l="0" t="0" r="0" b="8220"/>
                  <wp:docPr id="7" name="grafika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lum/>
                            <a:alphaModFix/>
                          </a:blip>
                          <a:srcRect/>
                          <a:stretch>
                            <a:fillRect/>
                          </a:stretch>
                        </pic:blipFill>
                        <pic:spPr>
                          <a:xfrm>
                            <a:off x="0" y="0"/>
                            <a:ext cx="2157120" cy="944280"/>
                          </a:xfrm>
                          <a:prstGeom prst="rect">
                            <a:avLst/>
                          </a:prstGeom>
                          <a:ln>
                            <a:noFill/>
                            <a:prstDash/>
                          </a:ln>
                        </pic:spPr>
                      </pic:pic>
                    </a:graphicData>
                  </a:graphic>
                </wp:inline>
              </w:drawing>
            </w:r>
          </w:p>
          <w:p w14:paraId="29DE409C" w14:textId="77777777" w:rsidR="00F45500" w:rsidRPr="007B192E" w:rsidRDefault="00F45500" w:rsidP="008F7A94">
            <w:pPr>
              <w:pStyle w:val="Standard"/>
              <w:spacing w:line="216" w:lineRule="auto"/>
              <w:jc w:val="both"/>
              <w:rPr>
                <w:rFonts w:ascii="Arial" w:hAnsi="Arial" w:cs="Arial"/>
                <w:color w:val="000000" w:themeColor="text1"/>
                <w:sz w:val="18"/>
                <w:szCs w:val="18"/>
              </w:rPr>
            </w:pPr>
          </w:p>
        </w:tc>
        <w:tc>
          <w:tcPr>
            <w:tcW w:w="3757" w:type="dxa"/>
            <w:tcMar>
              <w:top w:w="0" w:type="dxa"/>
              <w:left w:w="108" w:type="dxa"/>
              <w:bottom w:w="0" w:type="dxa"/>
              <w:right w:w="108" w:type="dxa"/>
            </w:tcMar>
          </w:tcPr>
          <w:p w14:paraId="4E617C62"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 Krawężnik typu drogowego</w:t>
            </w:r>
          </w:p>
          <w:p w14:paraId="0CEDA208" w14:textId="77777777" w:rsidR="00F45500" w:rsidRPr="007B192E" w:rsidRDefault="00F45500" w:rsidP="008F7A94">
            <w:pPr>
              <w:pStyle w:val="Standard"/>
              <w:spacing w:line="216" w:lineRule="auto"/>
              <w:jc w:val="center"/>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501269E7" wp14:editId="6D75AE10">
                  <wp:extent cx="2060639" cy="969480"/>
                  <wp:effectExtent l="0" t="0" r="0" b="2070"/>
                  <wp:docPr id="8" name="grafika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lum/>
                            <a:alphaModFix/>
                          </a:blip>
                          <a:srcRect/>
                          <a:stretch>
                            <a:fillRect/>
                          </a:stretch>
                        </pic:blipFill>
                        <pic:spPr>
                          <a:xfrm>
                            <a:off x="0" y="0"/>
                            <a:ext cx="2060639" cy="969480"/>
                          </a:xfrm>
                          <a:prstGeom prst="rect">
                            <a:avLst/>
                          </a:prstGeom>
                          <a:ln>
                            <a:noFill/>
                            <a:prstDash/>
                          </a:ln>
                        </pic:spPr>
                      </pic:pic>
                    </a:graphicData>
                  </a:graphic>
                </wp:inline>
              </w:drawing>
            </w:r>
          </w:p>
          <w:p w14:paraId="136DCC00" w14:textId="77777777" w:rsidR="00F45500" w:rsidRPr="007B192E" w:rsidRDefault="00F45500" w:rsidP="008F7A94">
            <w:pPr>
              <w:pStyle w:val="Standard"/>
              <w:spacing w:line="216" w:lineRule="auto"/>
              <w:jc w:val="both"/>
              <w:rPr>
                <w:rFonts w:ascii="Arial" w:hAnsi="Arial" w:cs="Arial"/>
                <w:color w:val="000000" w:themeColor="text1"/>
                <w:sz w:val="18"/>
                <w:szCs w:val="18"/>
              </w:rPr>
            </w:pPr>
          </w:p>
        </w:tc>
      </w:tr>
    </w:tbl>
    <w:p w14:paraId="55C910DF" w14:textId="77777777" w:rsidR="00F45500" w:rsidRPr="007B192E" w:rsidRDefault="00F45500" w:rsidP="00F45500">
      <w:pPr>
        <w:pStyle w:val="Standard"/>
        <w:spacing w:line="216" w:lineRule="auto"/>
        <w:jc w:val="both"/>
        <w:rPr>
          <w:rFonts w:ascii="Arial" w:hAnsi="Arial" w:cs="Arial"/>
          <w:color w:val="000000" w:themeColor="text1"/>
          <w:sz w:val="18"/>
          <w:szCs w:val="18"/>
        </w:rPr>
      </w:pPr>
    </w:p>
    <w:p w14:paraId="1D991CF2"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Przykładowe wymiary krawężników</w:t>
      </w:r>
    </w:p>
    <w:tbl>
      <w:tblPr>
        <w:tblW w:w="7098" w:type="dxa"/>
        <w:jc w:val="center"/>
        <w:tblLayout w:type="fixed"/>
        <w:tblCellMar>
          <w:left w:w="10" w:type="dxa"/>
          <w:right w:w="10" w:type="dxa"/>
        </w:tblCellMar>
        <w:tblLook w:val="0000" w:firstRow="0" w:lastRow="0" w:firstColumn="0" w:lastColumn="0" w:noHBand="0" w:noVBand="0"/>
      </w:tblPr>
      <w:tblGrid>
        <w:gridCol w:w="1276"/>
        <w:gridCol w:w="709"/>
        <w:gridCol w:w="850"/>
        <w:gridCol w:w="851"/>
        <w:gridCol w:w="1134"/>
        <w:gridCol w:w="1134"/>
        <w:gridCol w:w="1144"/>
      </w:tblGrid>
      <w:tr w:rsidR="004D7D23" w:rsidRPr="007B192E" w14:paraId="4E54C9C2" w14:textId="77777777" w:rsidTr="008F7A94">
        <w:trPr>
          <w:jc w:val="center"/>
        </w:trPr>
        <w:tc>
          <w:tcPr>
            <w:tcW w:w="1276" w:type="dxa"/>
            <w:tcBorders>
              <w:top w:val="single" w:sz="4" w:space="0" w:color="000000"/>
              <w:left w:val="single" w:sz="4" w:space="0" w:color="000000"/>
            </w:tcBorders>
            <w:tcMar>
              <w:top w:w="0" w:type="dxa"/>
              <w:left w:w="108" w:type="dxa"/>
              <w:bottom w:w="0" w:type="dxa"/>
              <w:right w:w="108" w:type="dxa"/>
            </w:tcMar>
          </w:tcPr>
          <w:p w14:paraId="15F832E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Typ</w:t>
            </w:r>
          </w:p>
        </w:tc>
        <w:tc>
          <w:tcPr>
            <w:tcW w:w="5822" w:type="dxa"/>
            <w:gridSpan w:val="6"/>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C58A3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Wymiary krawężników, cm</w:t>
            </w:r>
          </w:p>
        </w:tc>
      </w:tr>
      <w:tr w:rsidR="004D7D23" w:rsidRPr="007B192E" w14:paraId="1AE6B320" w14:textId="77777777" w:rsidTr="008F7A94">
        <w:trPr>
          <w:jc w:val="center"/>
        </w:trPr>
        <w:tc>
          <w:tcPr>
            <w:tcW w:w="1276" w:type="dxa"/>
            <w:tcBorders>
              <w:left w:val="single" w:sz="4" w:space="0" w:color="000000"/>
              <w:bottom w:val="double" w:sz="2" w:space="0" w:color="000000"/>
            </w:tcBorders>
            <w:tcMar>
              <w:top w:w="0" w:type="dxa"/>
              <w:left w:w="108" w:type="dxa"/>
              <w:bottom w:w="0" w:type="dxa"/>
              <w:right w:w="108" w:type="dxa"/>
            </w:tcMar>
          </w:tcPr>
          <w:p w14:paraId="25CCE68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krawężnika</w:t>
            </w:r>
          </w:p>
        </w:tc>
        <w:tc>
          <w:tcPr>
            <w:tcW w:w="709" w:type="dxa"/>
            <w:tcBorders>
              <w:top w:val="single" w:sz="4" w:space="0" w:color="000000"/>
              <w:left w:val="single" w:sz="4" w:space="0" w:color="000000"/>
              <w:bottom w:val="double" w:sz="2" w:space="0" w:color="000000"/>
            </w:tcBorders>
            <w:tcMar>
              <w:top w:w="0" w:type="dxa"/>
              <w:left w:w="108" w:type="dxa"/>
              <w:bottom w:w="0" w:type="dxa"/>
              <w:right w:w="108" w:type="dxa"/>
            </w:tcMar>
          </w:tcPr>
          <w:p w14:paraId="40B494B9"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l</w:t>
            </w:r>
          </w:p>
        </w:tc>
        <w:tc>
          <w:tcPr>
            <w:tcW w:w="850" w:type="dxa"/>
            <w:tcBorders>
              <w:top w:val="single" w:sz="4" w:space="0" w:color="000000"/>
              <w:left w:val="single" w:sz="4" w:space="0" w:color="000000"/>
              <w:bottom w:val="double" w:sz="2" w:space="0" w:color="000000"/>
            </w:tcBorders>
            <w:tcMar>
              <w:top w:w="0" w:type="dxa"/>
              <w:left w:w="108" w:type="dxa"/>
              <w:bottom w:w="0" w:type="dxa"/>
              <w:right w:w="108" w:type="dxa"/>
            </w:tcMar>
          </w:tcPr>
          <w:p w14:paraId="6ABA423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w:t>
            </w:r>
          </w:p>
        </w:tc>
        <w:tc>
          <w:tcPr>
            <w:tcW w:w="851" w:type="dxa"/>
            <w:tcBorders>
              <w:top w:val="single" w:sz="4" w:space="0" w:color="000000"/>
              <w:left w:val="single" w:sz="4" w:space="0" w:color="000000"/>
              <w:bottom w:val="double" w:sz="2" w:space="0" w:color="000000"/>
            </w:tcBorders>
            <w:tcMar>
              <w:top w:w="0" w:type="dxa"/>
              <w:left w:w="108" w:type="dxa"/>
              <w:bottom w:w="0" w:type="dxa"/>
              <w:right w:w="108" w:type="dxa"/>
            </w:tcMar>
          </w:tcPr>
          <w:p w14:paraId="068B1CF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h</w:t>
            </w:r>
          </w:p>
        </w:tc>
        <w:tc>
          <w:tcPr>
            <w:tcW w:w="1134" w:type="dxa"/>
            <w:tcBorders>
              <w:top w:val="single" w:sz="4" w:space="0" w:color="000000"/>
              <w:left w:val="single" w:sz="4" w:space="0" w:color="000000"/>
              <w:bottom w:val="double" w:sz="2" w:space="0" w:color="000000"/>
            </w:tcBorders>
            <w:tcMar>
              <w:top w:w="0" w:type="dxa"/>
              <w:left w:w="108" w:type="dxa"/>
              <w:bottom w:w="0" w:type="dxa"/>
              <w:right w:w="108" w:type="dxa"/>
            </w:tcMar>
          </w:tcPr>
          <w:p w14:paraId="21E3C3B2"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w:t>
            </w:r>
          </w:p>
        </w:tc>
        <w:tc>
          <w:tcPr>
            <w:tcW w:w="1134" w:type="dxa"/>
            <w:tcBorders>
              <w:top w:val="single" w:sz="4" w:space="0" w:color="000000"/>
              <w:left w:val="single" w:sz="4" w:space="0" w:color="000000"/>
              <w:bottom w:val="double" w:sz="2" w:space="0" w:color="000000"/>
            </w:tcBorders>
            <w:tcMar>
              <w:top w:w="0" w:type="dxa"/>
              <w:left w:w="108" w:type="dxa"/>
              <w:bottom w:w="0" w:type="dxa"/>
              <w:right w:w="108" w:type="dxa"/>
            </w:tcMar>
          </w:tcPr>
          <w:p w14:paraId="39D7367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w:t>
            </w:r>
          </w:p>
        </w:tc>
        <w:tc>
          <w:tcPr>
            <w:tcW w:w="1144" w:type="dxa"/>
            <w:tcBorders>
              <w:top w:val="single" w:sz="4" w:space="0" w:color="000000"/>
              <w:left w:val="single" w:sz="4" w:space="0" w:color="000000"/>
              <w:bottom w:val="double" w:sz="2" w:space="0" w:color="000000"/>
              <w:right w:val="single" w:sz="4" w:space="0" w:color="000000"/>
            </w:tcBorders>
            <w:tcMar>
              <w:top w:w="0" w:type="dxa"/>
              <w:left w:w="108" w:type="dxa"/>
              <w:bottom w:w="0" w:type="dxa"/>
              <w:right w:w="108" w:type="dxa"/>
            </w:tcMar>
          </w:tcPr>
          <w:p w14:paraId="105152E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r</w:t>
            </w:r>
          </w:p>
        </w:tc>
      </w:tr>
      <w:tr w:rsidR="004D7D23" w:rsidRPr="007B192E" w14:paraId="73EE5349" w14:textId="77777777" w:rsidTr="008F7A94">
        <w:trPr>
          <w:jc w:val="center"/>
        </w:trPr>
        <w:tc>
          <w:tcPr>
            <w:tcW w:w="1276" w:type="dxa"/>
            <w:tcBorders>
              <w:top w:val="double" w:sz="2" w:space="0" w:color="000000"/>
              <w:left w:val="single" w:sz="4" w:space="0" w:color="000000"/>
              <w:bottom w:val="single" w:sz="4" w:space="0" w:color="000000"/>
            </w:tcBorders>
            <w:tcMar>
              <w:top w:w="0" w:type="dxa"/>
              <w:left w:w="108" w:type="dxa"/>
              <w:bottom w:w="0" w:type="dxa"/>
              <w:right w:w="108" w:type="dxa"/>
            </w:tcMar>
          </w:tcPr>
          <w:p w14:paraId="1F729D7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Uliczny</w:t>
            </w:r>
          </w:p>
        </w:tc>
        <w:tc>
          <w:tcPr>
            <w:tcW w:w="709" w:type="dxa"/>
            <w:tcBorders>
              <w:top w:val="double" w:sz="2" w:space="0" w:color="000000"/>
              <w:left w:val="single" w:sz="4" w:space="0" w:color="000000"/>
              <w:bottom w:val="single" w:sz="4" w:space="0" w:color="000000"/>
            </w:tcBorders>
            <w:tcMar>
              <w:top w:w="0" w:type="dxa"/>
              <w:left w:w="108" w:type="dxa"/>
              <w:bottom w:w="0" w:type="dxa"/>
              <w:right w:w="108" w:type="dxa"/>
            </w:tcMar>
          </w:tcPr>
          <w:p w14:paraId="0B103CC5"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850" w:type="dxa"/>
            <w:tcBorders>
              <w:top w:val="double" w:sz="2" w:space="0" w:color="000000"/>
              <w:left w:val="single" w:sz="4" w:space="0" w:color="000000"/>
              <w:bottom w:val="single" w:sz="4" w:space="0" w:color="000000"/>
            </w:tcBorders>
            <w:tcMar>
              <w:top w:w="0" w:type="dxa"/>
              <w:left w:w="108" w:type="dxa"/>
              <w:bottom w:w="0" w:type="dxa"/>
              <w:right w:w="108" w:type="dxa"/>
            </w:tcMar>
          </w:tcPr>
          <w:p w14:paraId="08F8172E"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20</w:t>
            </w:r>
          </w:p>
          <w:p w14:paraId="309DE95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851" w:type="dxa"/>
            <w:tcBorders>
              <w:top w:val="double" w:sz="2" w:space="0" w:color="000000"/>
              <w:left w:val="single" w:sz="4" w:space="0" w:color="000000"/>
              <w:bottom w:val="single" w:sz="4" w:space="0" w:color="000000"/>
            </w:tcBorders>
            <w:tcMar>
              <w:top w:w="0" w:type="dxa"/>
              <w:left w:w="108" w:type="dxa"/>
              <w:bottom w:w="0" w:type="dxa"/>
              <w:right w:w="108" w:type="dxa"/>
            </w:tcMar>
          </w:tcPr>
          <w:p w14:paraId="350EBB0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30</w:t>
            </w:r>
          </w:p>
        </w:tc>
        <w:tc>
          <w:tcPr>
            <w:tcW w:w="1134" w:type="dxa"/>
            <w:tcBorders>
              <w:top w:val="double" w:sz="2" w:space="0" w:color="000000"/>
              <w:left w:val="single" w:sz="4" w:space="0" w:color="000000"/>
              <w:bottom w:val="single" w:sz="4" w:space="0" w:color="000000"/>
            </w:tcBorders>
            <w:tcMar>
              <w:top w:w="0" w:type="dxa"/>
              <w:left w:w="108" w:type="dxa"/>
              <w:bottom w:w="0" w:type="dxa"/>
              <w:right w:w="108" w:type="dxa"/>
            </w:tcMar>
          </w:tcPr>
          <w:p w14:paraId="112ABDE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min. 3</w:t>
            </w:r>
          </w:p>
          <w:p w14:paraId="2FC370F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max. 7</w:t>
            </w:r>
          </w:p>
        </w:tc>
        <w:tc>
          <w:tcPr>
            <w:tcW w:w="1134" w:type="dxa"/>
            <w:tcBorders>
              <w:top w:val="double" w:sz="2" w:space="0" w:color="000000"/>
              <w:left w:val="single" w:sz="4" w:space="0" w:color="000000"/>
              <w:bottom w:val="single" w:sz="4" w:space="0" w:color="000000"/>
            </w:tcBorders>
            <w:tcMar>
              <w:top w:w="0" w:type="dxa"/>
              <w:left w:w="108" w:type="dxa"/>
              <w:bottom w:w="0" w:type="dxa"/>
              <w:right w:w="108" w:type="dxa"/>
            </w:tcMar>
          </w:tcPr>
          <w:p w14:paraId="77D1F38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min. 12</w:t>
            </w:r>
          </w:p>
          <w:p w14:paraId="4C791BB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max. 15</w:t>
            </w:r>
          </w:p>
        </w:tc>
        <w:tc>
          <w:tcPr>
            <w:tcW w:w="1144" w:type="dxa"/>
            <w:tcBorders>
              <w:top w:val="double" w:sz="2"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D2873C6" w14:textId="77777777" w:rsidR="00F45500" w:rsidRPr="007B192E" w:rsidRDefault="00F45500" w:rsidP="008F7A94">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w:t>
            </w:r>
          </w:p>
        </w:tc>
      </w:tr>
      <w:tr w:rsidR="00F45500" w:rsidRPr="007B192E" w14:paraId="0D00222F" w14:textId="77777777" w:rsidTr="008F7A94">
        <w:trPr>
          <w:jc w:val="center"/>
        </w:trPr>
        <w:tc>
          <w:tcPr>
            <w:tcW w:w="1276" w:type="dxa"/>
            <w:tcBorders>
              <w:top w:val="single" w:sz="4" w:space="0" w:color="000000"/>
              <w:left w:val="single" w:sz="4" w:space="0" w:color="000000"/>
              <w:bottom w:val="single" w:sz="4" w:space="0" w:color="000000"/>
            </w:tcBorders>
            <w:tcMar>
              <w:top w:w="0" w:type="dxa"/>
              <w:left w:w="108" w:type="dxa"/>
              <w:bottom w:w="0" w:type="dxa"/>
              <w:right w:w="108" w:type="dxa"/>
            </w:tcMar>
          </w:tcPr>
          <w:p w14:paraId="18FE07FD" w14:textId="77777777" w:rsidR="00F45500" w:rsidRPr="007B192E" w:rsidRDefault="00F45500" w:rsidP="008F7A94">
            <w:pPr>
              <w:pStyle w:val="Standard"/>
              <w:snapToGrid w:val="0"/>
              <w:spacing w:line="216" w:lineRule="auto"/>
              <w:jc w:val="both"/>
              <w:rPr>
                <w:rFonts w:ascii="Arial" w:hAnsi="Arial" w:cs="Arial"/>
                <w:color w:val="000000" w:themeColor="text1"/>
                <w:sz w:val="18"/>
                <w:szCs w:val="18"/>
              </w:rPr>
            </w:pPr>
          </w:p>
          <w:p w14:paraId="6485411C"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Drogowy</w:t>
            </w:r>
          </w:p>
        </w:tc>
        <w:tc>
          <w:tcPr>
            <w:tcW w:w="709" w:type="dxa"/>
            <w:tcBorders>
              <w:top w:val="single" w:sz="4" w:space="0" w:color="000000"/>
              <w:left w:val="single" w:sz="4" w:space="0" w:color="000000"/>
              <w:bottom w:val="single" w:sz="4" w:space="0" w:color="000000"/>
            </w:tcBorders>
            <w:tcMar>
              <w:top w:w="0" w:type="dxa"/>
              <w:left w:w="108" w:type="dxa"/>
              <w:bottom w:w="0" w:type="dxa"/>
              <w:right w:w="108" w:type="dxa"/>
            </w:tcMar>
          </w:tcPr>
          <w:p w14:paraId="671FC4F5" w14:textId="77777777" w:rsidR="00F45500" w:rsidRPr="007B192E" w:rsidRDefault="00F45500" w:rsidP="008F7A94">
            <w:pPr>
              <w:pStyle w:val="Standard"/>
              <w:snapToGrid w:val="0"/>
              <w:spacing w:line="216" w:lineRule="auto"/>
              <w:jc w:val="both"/>
              <w:rPr>
                <w:rFonts w:ascii="Arial" w:hAnsi="Arial" w:cs="Arial"/>
                <w:color w:val="000000" w:themeColor="text1"/>
                <w:sz w:val="18"/>
                <w:szCs w:val="18"/>
              </w:rPr>
            </w:pPr>
          </w:p>
          <w:p w14:paraId="48D3D98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100</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14:paraId="024CC07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15</w:t>
            </w:r>
          </w:p>
          <w:p w14:paraId="557FBC4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12</w:t>
            </w:r>
          </w:p>
          <w:p w14:paraId="20674BC9"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851" w:type="dxa"/>
            <w:tcBorders>
              <w:top w:val="single" w:sz="4" w:space="0" w:color="000000"/>
              <w:left w:val="single" w:sz="4" w:space="0" w:color="000000"/>
              <w:bottom w:val="single" w:sz="4" w:space="0" w:color="000000"/>
            </w:tcBorders>
            <w:tcMar>
              <w:top w:w="0" w:type="dxa"/>
              <w:left w:w="108" w:type="dxa"/>
              <w:bottom w:w="0" w:type="dxa"/>
              <w:right w:w="108" w:type="dxa"/>
            </w:tcMar>
          </w:tcPr>
          <w:p w14:paraId="35D333E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20</w:t>
            </w:r>
          </w:p>
          <w:p w14:paraId="027A6B74"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25</w:t>
            </w:r>
          </w:p>
          <w:p w14:paraId="2D78E868"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1134" w:type="dxa"/>
            <w:tcBorders>
              <w:top w:val="single" w:sz="4" w:space="0" w:color="000000"/>
              <w:left w:val="single" w:sz="4" w:space="0" w:color="000000"/>
              <w:bottom w:val="single" w:sz="4" w:space="0" w:color="000000"/>
            </w:tcBorders>
            <w:tcMar>
              <w:top w:w="0" w:type="dxa"/>
              <w:left w:w="108" w:type="dxa"/>
              <w:bottom w:w="0" w:type="dxa"/>
              <w:right w:w="108" w:type="dxa"/>
            </w:tcMar>
          </w:tcPr>
          <w:p w14:paraId="12789828" w14:textId="77777777" w:rsidR="00F45500" w:rsidRPr="007B192E" w:rsidRDefault="00F45500" w:rsidP="008F7A94">
            <w:pPr>
              <w:pStyle w:val="Standard"/>
              <w:snapToGrid w:val="0"/>
              <w:spacing w:line="216" w:lineRule="auto"/>
              <w:jc w:val="both"/>
              <w:rPr>
                <w:rFonts w:ascii="Arial" w:hAnsi="Arial" w:cs="Arial"/>
                <w:color w:val="000000" w:themeColor="text1"/>
                <w:sz w:val="18"/>
                <w:szCs w:val="18"/>
              </w:rPr>
            </w:pPr>
          </w:p>
          <w:p w14:paraId="3771EDC1"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1134" w:type="dxa"/>
            <w:tcBorders>
              <w:top w:val="single" w:sz="4" w:space="0" w:color="000000"/>
              <w:left w:val="single" w:sz="4" w:space="0" w:color="000000"/>
              <w:bottom w:val="single" w:sz="4" w:space="0" w:color="000000"/>
            </w:tcBorders>
            <w:tcMar>
              <w:top w:w="0" w:type="dxa"/>
              <w:left w:w="108" w:type="dxa"/>
              <w:bottom w:w="0" w:type="dxa"/>
              <w:right w:w="108" w:type="dxa"/>
            </w:tcMar>
          </w:tcPr>
          <w:p w14:paraId="28BAD9EF" w14:textId="77777777" w:rsidR="00F45500" w:rsidRPr="007B192E" w:rsidRDefault="00F45500" w:rsidP="008F7A94">
            <w:pPr>
              <w:pStyle w:val="Standard"/>
              <w:snapToGrid w:val="0"/>
              <w:spacing w:line="216" w:lineRule="auto"/>
              <w:jc w:val="both"/>
              <w:rPr>
                <w:rFonts w:ascii="Arial" w:hAnsi="Arial" w:cs="Arial"/>
                <w:color w:val="000000" w:themeColor="text1"/>
                <w:sz w:val="18"/>
                <w:szCs w:val="18"/>
              </w:rPr>
            </w:pPr>
          </w:p>
          <w:p w14:paraId="234770F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t>
            </w:r>
          </w:p>
        </w:tc>
        <w:tc>
          <w:tcPr>
            <w:tcW w:w="11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6C607C8" w14:textId="77777777" w:rsidR="00F45500" w:rsidRPr="007B192E" w:rsidRDefault="00F45500" w:rsidP="008F7A94">
            <w:pPr>
              <w:pStyle w:val="Standard"/>
              <w:snapToGrid w:val="0"/>
              <w:spacing w:line="216" w:lineRule="auto"/>
              <w:jc w:val="both"/>
              <w:rPr>
                <w:rFonts w:ascii="Arial" w:hAnsi="Arial" w:cs="Arial"/>
                <w:color w:val="000000" w:themeColor="text1"/>
                <w:sz w:val="18"/>
                <w:szCs w:val="18"/>
              </w:rPr>
            </w:pPr>
          </w:p>
          <w:p w14:paraId="762538C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w:t>
            </w:r>
          </w:p>
        </w:tc>
      </w:tr>
    </w:tbl>
    <w:p w14:paraId="592C0A2A" w14:textId="77777777" w:rsidR="00F45500" w:rsidRPr="007B192E" w:rsidRDefault="00F45500" w:rsidP="00F45500">
      <w:pPr>
        <w:pStyle w:val="Standard"/>
        <w:spacing w:line="216" w:lineRule="auto"/>
        <w:jc w:val="both"/>
        <w:rPr>
          <w:rFonts w:ascii="Arial" w:hAnsi="Arial" w:cs="Arial"/>
          <w:b/>
          <w:color w:val="000000" w:themeColor="text1"/>
          <w:sz w:val="18"/>
          <w:szCs w:val="18"/>
        </w:rPr>
      </w:pPr>
    </w:p>
    <w:p w14:paraId="098EC3BB" w14:textId="77777777" w:rsidR="00F45500" w:rsidRPr="007B192E" w:rsidRDefault="00F45500" w:rsidP="00F45500">
      <w:pPr>
        <w:pStyle w:val="Standard"/>
        <w:spacing w:line="216" w:lineRule="auto"/>
        <w:jc w:val="right"/>
        <w:rPr>
          <w:rFonts w:ascii="Arial" w:hAnsi="Arial" w:cs="Arial"/>
          <w:b/>
          <w:color w:val="000000" w:themeColor="text1"/>
          <w:sz w:val="18"/>
          <w:szCs w:val="18"/>
        </w:rPr>
      </w:pPr>
    </w:p>
    <w:p w14:paraId="44F78193" w14:textId="77777777" w:rsidR="00F45500" w:rsidRPr="007B192E" w:rsidRDefault="00F45500" w:rsidP="00F45500">
      <w:pPr>
        <w:pStyle w:val="Standard"/>
        <w:spacing w:line="216" w:lineRule="auto"/>
        <w:jc w:val="right"/>
        <w:rPr>
          <w:rFonts w:ascii="Arial" w:hAnsi="Arial" w:cs="Arial"/>
          <w:b/>
          <w:color w:val="000000" w:themeColor="text1"/>
          <w:sz w:val="18"/>
          <w:szCs w:val="18"/>
        </w:rPr>
      </w:pPr>
      <w:r w:rsidRPr="007B192E">
        <w:rPr>
          <w:rFonts w:ascii="Arial" w:hAnsi="Arial" w:cs="Arial"/>
          <w:b/>
          <w:color w:val="000000" w:themeColor="text1"/>
          <w:sz w:val="18"/>
          <w:szCs w:val="18"/>
        </w:rPr>
        <w:t>ZAŁĄCZNIK 4</w:t>
      </w:r>
    </w:p>
    <w:p w14:paraId="6632B76C" w14:textId="77777777" w:rsidR="00F45500" w:rsidRPr="007B192E" w:rsidRDefault="00F45500" w:rsidP="00F45500">
      <w:pPr>
        <w:pStyle w:val="Standard"/>
        <w:spacing w:line="216" w:lineRule="auto"/>
        <w:jc w:val="both"/>
        <w:rPr>
          <w:rFonts w:ascii="Arial" w:hAnsi="Arial" w:cs="Arial"/>
          <w:b/>
          <w:color w:val="000000" w:themeColor="text1"/>
          <w:sz w:val="18"/>
          <w:szCs w:val="18"/>
        </w:rPr>
      </w:pPr>
    </w:p>
    <w:p w14:paraId="42B38DF7" w14:textId="77777777" w:rsidR="00F45500" w:rsidRPr="007B192E" w:rsidRDefault="00F45500" w:rsidP="00F45500">
      <w:pPr>
        <w:pStyle w:val="Standard"/>
        <w:spacing w:after="120" w:line="216" w:lineRule="auto"/>
        <w:jc w:val="both"/>
        <w:rPr>
          <w:rFonts w:ascii="Arial" w:hAnsi="Arial" w:cs="Arial"/>
          <w:color w:val="000000" w:themeColor="text1"/>
          <w:spacing w:val="-8"/>
          <w:sz w:val="18"/>
          <w:szCs w:val="18"/>
        </w:rPr>
      </w:pPr>
      <w:r w:rsidRPr="007B192E">
        <w:rPr>
          <w:rFonts w:ascii="Arial" w:hAnsi="Arial" w:cs="Arial"/>
          <w:color w:val="000000" w:themeColor="text1"/>
          <w:spacing w:val="-8"/>
          <w:sz w:val="18"/>
          <w:szCs w:val="18"/>
        </w:rPr>
        <w:t>PRZYKŁADY  USTAWIENIA  KRAWĘŻNIKÓW  BETONOWYCH  NA  ŁAWACH (wg [13])</w:t>
      </w:r>
    </w:p>
    <w:tbl>
      <w:tblPr>
        <w:tblW w:w="5000" w:type="pct"/>
        <w:jc w:val="center"/>
        <w:tblLayout w:type="fixed"/>
        <w:tblCellMar>
          <w:left w:w="10" w:type="dxa"/>
          <w:right w:w="10" w:type="dxa"/>
        </w:tblCellMar>
        <w:tblLook w:val="0000" w:firstRow="0" w:lastRow="0" w:firstColumn="0" w:lastColumn="0" w:noHBand="0" w:noVBand="0"/>
      </w:tblPr>
      <w:tblGrid>
        <w:gridCol w:w="4711"/>
        <w:gridCol w:w="4803"/>
      </w:tblGrid>
      <w:tr w:rsidR="004D7D23" w:rsidRPr="007B192E" w14:paraId="52DFE315" w14:textId="77777777" w:rsidTr="008F7A94">
        <w:trPr>
          <w:trHeight w:val="4776"/>
          <w:jc w:val="center"/>
        </w:trPr>
        <w:tc>
          <w:tcPr>
            <w:tcW w:w="4772" w:type="dxa"/>
            <w:tcMar>
              <w:top w:w="0" w:type="dxa"/>
              <w:left w:w="108" w:type="dxa"/>
              <w:bottom w:w="0" w:type="dxa"/>
              <w:right w:w="108" w:type="dxa"/>
            </w:tcMar>
          </w:tcPr>
          <w:p w14:paraId="7D5A0D80"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 Krawężnik typu ulicznego 20 x 30 cm</w:t>
            </w:r>
          </w:p>
          <w:p w14:paraId="02C4E05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     na ławie betonowej z oporem</w:t>
            </w:r>
          </w:p>
          <w:p w14:paraId="55E002C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56A39246" wp14:editId="5C2F6803">
                  <wp:extent cx="1978560" cy="2299320"/>
                  <wp:effectExtent l="0" t="0" r="2640" b="5730"/>
                  <wp:docPr id="9" name="grafika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lum/>
                            <a:alphaModFix/>
                          </a:blip>
                          <a:srcRect/>
                          <a:stretch>
                            <a:fillRect/>
                          </a:stretch>
                        </pic:blipFill>
                        <pic:spPr>
                          <a:xfrm>
                            <a:off x="0" y="0"/>
                            <a:ext cx="1978560" cy="2299320"/>
                          </a:xfrm>
                          <a:prstGeom prst="rect">
                            <a:avLst/>
                          </a:prstGeom>
                          <a:ln>
                            <a:noFill/>
                            <a:prstDash/>
                          </a:ln>
                        </pic:spPr>
                      </pic:pic>
                    </a:graphicData>
                  </a:graphic>
                </wp:inline>
              </w:drawing>
            </w:r>
          </w:p>
          <w:p w14:paraId="0DD8B3C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ciężki 20x30x100 cm</w:t>
            </w:r>
          </w:p>
          <w:p w14:paraId="4D762F2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podsypka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49FB3AF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z betonu B10</w:t>
            </w:r>
          </w:p>
          <w:p w14:paraId="4612DD9E" w14:textId="77777777" w:rsidR="00F45500" w:rsidRPr="007B192E" w:rsidRDefault="00F45500" w:rsidP="008F7A94">
            <w:pPr>
              <w:pStyle w:val="Standard"/>
              <w:spacing w:line="216" w:lineRule="auto"/>
              <w:jc w:val="both"/>
              <w:rPr>
                <w:rFonts w:ascii="Arial" w:hAnsi="Arial" w:cs="Arial"/>
                <w:color w:val="000000" w:themeColor="text1"/>
                <w:sz w:val="18"/>
                <w:szCs w:val="18"/>
              </w:rPr>
            </w:pPr>
          </w:p>
        </w:tc>
        <w:tc>
          <w:tcPr>
            <w:tcW w:w="4865" w:type="dxa"/>
            <w:tcMar>
              <w:top w:w="0" w:type="dxa"/>
              <w:left w:w="108" w:type="dxa"/>
              <w:bottom w:w="0" w:type="dxa"/>
              <w:right w:w="108" w:type="dxa"/>
            </w:tcMar>
          </w:tcPr>
          <w:p w14:paraId="5CCCCAD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 Krawężnik typu ulicznego 15 x 30 cm</w:t>
            </w:r>
          </w:p>
          <w:p w14:paraId="378E8F25"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     na ławie betonowej zwykłej</w:t>
            </w:r>
          </w:p>
          <w:p w14:paraId="73164DA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21B61A1A" wp14:editId="62141735">
                  <wp:extent cx="1857240" cy="2301120"/>
                  <wp:effectExtent l="0" t="0" r="0" b="3930"/>
                  <wp:docPr id="10" name="grafika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lum/>
                            <a:alphaModFix/>
                          </a:blip>
                          <a:srcRect/>
                          <a:stretch>
                            <a:fillRect/>
                          </a:stretch>
                        </pic:blipFill>
                        <pic:spPr>
                          <a:xfrm>
                            <a:off x="0" y="0"/>
                            <a:ext cx="1857240" cy="2301120"/>
                          </a:xfrm>
                          <a:prstGeom prst="rect">
                            <a:avLst/>
                          </a:prstGeom>
                          <a:ln>
                            <a:noFill/>
                            <a:prstDash/>
                          </a:ln>
                        </pic:spPr>
                      </pic:pic>
                    </a:graphicData>
                  </a:graphic>
                </wp:inline>
              </w:drawing>
            </w:r>
          </w:p>
          <w:p w14:paraId="39AD6631"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uliczny 15x30x100 cm</w:t>
            </w:r>
          </w:p>
          <w:p w14:paraId="4C3648EE"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podsypka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5998B83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z betonu B10</w:t>
            </w:r>
          </w:p>
        </w:tc>
      </w:tr>
      <w:tr w:rsidR="004D7D23" w:rsidRPr="007B192E" w14:paraId="647912A8" w14:textId="77777777" w:rsidTr="008F7A94">
        <w:trPr>
          <w:jc w:val="center"/>
        </w:trPr>
        <w:tc>
          <w:tcPr>
            <w:tcW w:w="4772" w:type="dxa"/>
            <w:tcMar>
              <w:top w:w="0" w:type="dxa"/>
              <w:left w:w="108" w:type="dxa"/>
              <w:bottom w:w="0" w:type="dxa"/>
              <w:right w:w="108" w:type="dxa"/>
            </w:tcMar>
          </w:tcPr>
          <w:p w14:paraId="721772F2"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  Krawężnik typu ulicznego 15 x 30 cm na ławie żwirowej</w:t>
            </w:r>
          </w:p>
          <w:p w14:paraId="08A19159"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37CB3C33" wp14:editId="0AD1323E">
                  <wp:extent cx="2020679" cy="2325960"/>
                  <wp:effectExtent l="0" t="0" r="0" b="0"/>
                  <wp:docPr id="11" name="grafika1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lum/>
                            <a:alphaModFix/>
                          </a:blip>
                          <a:srcRect/>
                          <a:stretch>
                            <a:fillRect/>
                          </a:stretch>
                        </pic:blipFill>
                        <pic:spPr>
                          <a:xfrm>
                            <a:off x="0" y="0"/>
                            <a:ext cx="2020679" cy="2325960"/>
                          </a:xfrm>
                          <a:prstGeom prst="rect">
                            <a:avLst/>
                          </a:prstGeom>
                          <a:ln>
                            <a:noFill/>
                            <a:prstDash/>
                          </a:ln>
                        </pic:spPr>
                      </pic:pic>
                    </a:graphicData>
                  </a:graphic>
                </wp:inline>
              </w:drawing>
            </w:r>
          </w:p>
          <w:p w14:paraId="3951B84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uliczny 15x30x100 cm</w:t>
            </w:r>
          </w:p>
          <w:p w14:paraId="0F18724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podsypka piaskowa lub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37E52E3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żwirowa</w:t>
            </w:r>
          </w:p>
        </w:tc>
        <w:tc>
          <w:tcPr>
            <w:tcW w:w="4865" w:type="dxa"/>
            <w:tcMar>
              <w:top w:w="0" w:type="dxa"/>
              <w:left w:w="108" w:type="dxa"/>
              <w:bottom w:w="0" w:type="dxa"/>
              <w:right w:w="108" w:type="dxa"/>
            </w:tcMar>
          </w:tcPr>
          <w:p w14:paraId="6E2AC9B2"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d) Krawężnik typu ulicznego 15 x 30 cm</w:t>
            </w:r>
            <w:r w:rsidRPr="007B192E">
              <w:rPr>
                <w:rFonts w:ascii="Arial" w:hAnsi="Arial" w:cs="Arial"/>
                <w:color w:val="000000" w:themeColor="text1"/>
                <w:sz w:val="18"/>
                <w:szCs w:val="18"/>
              </w:rPr>
              <w:br/>
              <w:t>na ławie tłuczniowej</w:t>
            </w:r>
          </w:p>
          <w:p w14:paraId="7A88AA12"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16813377" wp14:editId="75A025E2">
                  <wp:extent cx="2064960" cy="2326680"/>
                  <wp:effectExtent l="0" t="0" r="0" b="0"/>
                  <wp:docPr id="12" name="grafika1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lum/>
                            <a:alphaModFix/>
                          </a:blip>
                          <a:srcRect/>
                          <a:stretch>
                            <a:fillRect/>
                          </a:stretch>
                        </pic:blipFill>
                        <pic:spPr>
                          <a:xfrm>
                            <a:off x="0" y="0"/>
                            <a:ext cx="2064960" cy="2326680"/>
                          </a:xfrm>
                          <a:prstGeom prst="rect">
                            <a:avLst/>
                          </a:prstGeom>
                          <a:ln>
                            <a:noFill/>
                            <a:prstDash/>
                          </a:ln>
                        </pic:spPr>
                      </pic:pic>
                    </a:graphicData>
                  </a:graphic>
                </wp:inline>
              </w:drawing>
            </w:r>
          </w:p>
          <w:p w14:paraId="67F170D8"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uliczny 15x30x100 cm</w:t>
            </w:r>
          </w:p>
          <w:p w14:paraId="3482F57F"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podsypka piaskowa lub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1F10D99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tłuczniowa</w:t>
            </w:r>
          </w:p>
        </w:tc>
      </w:tr>
      <w:tr w:rsidR="004D7D23" w:rsidRPr="007B192E" w14:paraId="0140D1AF" w14:textId="77777777" w:rsidTr="008F7A94">
        <w:trPr>
          <w:jc w:val="center"/>
        </w:trPr>
        <w:tc>
          <w:tcPr>
            <w:tcW w:w="4772" w:type="dxa"/>
            <w:tcMar>
              <w:top w:w="0" w:type="dxa"/>
              <w:left w:w="108" w:type="dxa"/>
              <w:bottom w:w="0" w:type="dxa"/>
              <w:right w:w="108" w:type="dxa"/>
            </w:tcMar>
          </w:tcPr>
          <w:p w14:paraId="13CDA0D5"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e)  Krawężnik typu drogowego 12 x 25 cm na ławie żwirowej lub tłuczniowej</w:t>
            </w:r>
          </w:p>
          <w:p w14:paraId="529FD12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lastRenderedPageBreak/>
              <w:drawing>
                <wp:inline distT="0" distB="0" distL="0" distR="0" wp14:anchorId="1BDA3E26" wp14:editId="1E8EF2C7">
                  <wp:extent cx="2019960" cy="2271960"/>
                  <wp:effectExtent l="0" t="0" r="0" b="0"/>
                  <wp:docPr id="13" name="grafika1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lum/>
                            <a:alphaModFix/>
                          </a:blip>
                          <a:srcRect/>
                          <a:stretch>
                            <a:fillRect/>
                          </a:stretch>
                        </pic:blipFill>
                        <pic:spPr>
                          <a:xfrm>
                            <a:off x="0" y="0"/>
                            <a:ext cx="2019960" cy="2271960"/>
                          </a:xfrm>
                          <a:prstGeom prst="rect">
                            <a:avLst/>
                          </a:prstGeom>
                          <a:ln>
                            <a:noFill/>
                            <a:prstDash/>
                          </a:ln>
                        </pic:spPr>
                      </pic:pic>
                    </a:graphicData>
                  </a:graphic>
                </wp:inline>
              </w:drawing>
            </w:r>
          </w:p>
          <w:p w14:paraId="582709AC"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drogowy 12x25x100 cm</w:t>
            </w:r>
          </w:p>
          <w:p w14:paraId="6CAB0324"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 podsypka z piasku</w:t>
            </w:r>
          </w:p>
          <w:p w14:paraId="77A47F59"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żwirowa lub tłuczniowa</w:t>
            </w:r>
          </w:p>
          <w:p w14:paraId="7CB68286" w14:textId="77777777" w:rsidR="00F45500" w:rsidRPr="007B192E" w:rsidRDefault="00F45500" w:rsidP="008F7A94">
            <w:pPr>
              <w:pStyle w:val="Standard"/>
              <w:spacing w:line="216" w:lineRule="auto"/>
              <w:jc w:val="both"/>
              <w:rPr>
                <w:rFonts w:ascii="Arial" w:hAnsi="Arial" w:cs="Arial"/>
                <w:color w:val="000000" w:themeColor="text1"/>
                <w:sz w:val="18"/>
                <w:szCs w:val="18"/>
              </w:rPr>
            </w:pPr>
          </w:p>
        </w:tc>
        <w:tc>
          <w:tcPr>
            <w:tcW w:w="4865" w:type="dxa"/>
            <w:tcMar>
              <w:top w:w="0" w:type="dxa"/>
              <w:left w:w="108" w:type="dxa"/>
              <w:bottom w:w="0" w:type="dxa"/>
              <w:right w:w="108" w:type="dxa"/>
            </w:tcMar>
          </w:tcPr>
          <w:p w14:paraId="00BA3F00"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f) Krawężnik typu drogowego 15 x 30 cm na ławie betonowej</w:t>
            </w:r>
          </w:p>
          <w:p w14:paraId="040FA145"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lastRenderedPageBreak/>
              <w:drawing>
                <wp:inline distT="0" distB="0" distL="0" distR="0" wp14:anchorId="6D046DE5" wp14:editId="5DF8CD78">
                  <wp:extent cx="2190600" cy="2268720"/>
                  <wp:effectExtent l="0" t="0" r="150" b="0"/>
                  <wp:docPr id="14" name="grafika1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lum/>
                            <a:alphaModFix/>
                          </a:blip>
                          <a:srcRect/>
                          <a:stretch>
                            <a:fillRect/>
                          </a:stretch>
                        </pic:blipFill>
                        <pic:spPr>
                          <a:xfrm>
                            <a:off x="0" y="0"/>
                            <a:ext cx="2190600" cy="2268720"/>
                          </a:xfrm>
                          <a:prstGeom prst="rect">
                            <a:avLst/>
                          </a:prstGeom>
                          <a:ln>
                            <a:noFill/>
                            <a:prstDash/>
                          </a:ln>
                        </pic:spPr>
                      </pic:pic>
                    </a:graphicData>
                  </a:graphic>
                </wp:inline>
              </w:drawing>
            </w:r>
          </w:p>
          <w:p w14:paraId="66AA855E"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drogowy 15x30x100 cm</w:t>
            </w:r>
          </w:p>
          <w:p w14:paraId="36CB606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podsypka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333EA75D"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z betonu B10</w:t>
            </w:r>
          </w:p>
          <w:p w14:paraId="05A760FF" w14:textId="77777777" w:rsidR="00F45500" w:rsidRPr="007B192E" w:rsidRDefault="00F45500" w:rsidP="008F7A94">
            <w:pPr>
              <w:pStyle w:val="Standard"/>
              <w:spacing w:line="216" w:lineRule="auto"/>
              <w:jc w:val="both"/>
              <w:rPr>
                <w:rFonts w:ascii="Arial" w:hAnsi="Arial" w:cs="Arial"/>
                <w:color w:val="000000" w:themeColor="text1"/>
                <w:sz w:val="18"/>
                <w:szCs w:val="18"/>
              </w:rPr>
            </w:pPr>
          </w:p>
        </w:tc>
      </w:tr>
      <w:tr w:rsidR="00F45500" w:rsidRPr="007B192E" w14:paraId="750E97F1" w14:textId="77777777" w:rsidTr="008F7A94">
        <w:trPr>
          <w:jc w:val="center"/>
        </w:trPr>
        <w:tc>
          <w:tcPr>
            <w:tcW w:w="4772" w:type="dxa"/>
            <w:tcMar>
              <w:top w:w="0" w:type="dxa"/>
              <w:left w:w="108" w:type="dxa"/>
              <w:bottom w:w="0" w:type="dxa"/>
              <w:right w:w="108" w:type="dxa"/>
            </w:tcMar>
          </w:tcPr>
          <w:p w14:paraId="2EB8DF25"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lastRenderedPageBreak/>
              <w:t>g)  Krawężnik typu ulicznego 20 x 30 cm ułożony na płask (np. przy wjeździe na chodnik, do bramy)</w:t>
            </w:r>
          </w:p>
          <w:p w14:paraId="05556D9B"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2CEF685C" wp14:editId="77835D3F">
                  <wp:extent cx="1931039" cy="1741680"/>
                  <wp:effectExtent l="0" t="0" r="0" b="0"/>
                  <wp:docPr id="15" name="grafika1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lum/>
                            <a:alphaModFix/>
                          </a:blip>
                          <a:srcRect/>
                          <a:stretch>
                            <a:fillRect/>
                          </a:stretch>
                        </pic:blipFill>
                        <pic:spPr>
                          <a:xfrm>
                            <a:off x="0" y="0"/>
                            <a:ext cx="1931039" cy="1741680"/>
                          </a:xfrm>
                          <a:prstGeom prst="rect">
                            <a:avLst/>
                          </a:prstGeom>
                          <a:ln>
                            <a:noFill/>
                            <a:prstDash/>
                          </a:ln>
                        </pic:spPr>
                      </pic:pic>
                    </a:graphicData>
                  </a:graphic>
                </wp:inline>
              </w:drawing>
            </w:r>
          </w:p>
          <w:p w14:paraId="395A862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20x30x100 cm</w:t>
            </w:r>
          </w:p>
          <w:p w14:paraId="60D92FCA"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2. podsypka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070B4196"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3. ława z betonu B10</w:t>
            </w:r>
          </w:p>
        </w:tc>
        <w:tc>
          <w:tcPr>
            <w:tcW w:w="4865" w:type="dxa"/>
            <w:tcMar>
              <w:top w:w="0" w:type="dxa"/>
              <w:left w:w="108" w:type="dxa"/>
              <w:bottom w:w="0" w:type="dxa"/>
              <w:right w:w="108" w:type="dxa"/>
            </w:tcMar>
          </w:tcPr>
          <w:p w14:paraId="55DFCBDE"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h) Krawężnik typu ulicznego, ze ściekiem betonowym, na ławie betonowej</w:t>
            </w:r>
          </w:p>
          <w:p w14:paraId="059CDC38" w14:textId="77777777" w:rsidR="00F45500" w:rsidRPr="007B192E" w:rsidRDefault="00F45500" w:rsidP="008F7A94">
            <w:pPr>
              <w:pStyle w:val="Standard"/>
              <w:spacing w:line="216" w:lineRule="auto"/>
              <w:jc w:val="both"/>
              <w:rPr>
                <w:rFonts w:ascii="Arial" w:hAnsi="Arial" w:cs="Arial"/>
                <w:color w:val="000000" w:themeColor="text1"/>
                <w:sz w:val="18"/>
                <w:szCs w:val="18"/>
              </w:rPr>
            </w:pPr>
          </w:p>
          <w:p w14:paraId="6DB8F847"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noProof/>
                <w:color w:val="000000" w:themeColor="text1"/>
                <w:sz w:val="18"/>
                <w:szCs w:val="18"/>
              </w:rPr>
              <w:drawing>
                <wp:inline distT="0" distB="0" distL="0" distR="0" wp14:anchorId="059D3333" wp14:editId="7AC1E1FF">
                  <wp:extent cx="2292480" cy="1694880"/>
                  <wp:effectExtent l="0" t="0" r="0" b="570"/>
                  <wp:docPr id="16" name="grafika1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lum/>
                            <a:alphaModFix/>
                          </a:blip>
                          <a:srcRect/>
                          <a:stretch>
                            <a:fillRect/>
                          </a:stretch>
                        </pic:blipFill>
                        <pic:spPr>
                          <a:xfrm>
                            <a:off x="0" y="0"/>
                            <a:ext cx="2292480" cy="1694880"/>
                          </a:xfrm>
                          <a:prstGeom prst="rect">
                            <a:avLst/>
                          </a:prstGeom>
                          <a:ln>
                            <a:noFill/>
                            <a:prstDash/>
                          </a:ln>
                        </pic:spPr>
                      </pic:pic>
                    </a:graphicData>
                  </a:graphic>
                </wp:inline>
              </w:drawing>
            </w:r>
          </w:p>
          <w:p w14:paraId="6C19B4E0"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WYMIARY  UZUPEŁNIAJĄCE (alternatywne)</w:t>
            </w:r>
          </w:p>
          <w:tbl>
            <w:tblPr>
              <w:tblW w:w="3079" w:type="dxa"/>
              <w:jc w:val="center"/>
              <w:tblLayout w:type="fixed"/>
              <w:tblCellMar>
                <w:left w:w="10" w:type="dxa"/>
                <w:right w:w="10" w:type="dxa"/>
              </w:tblCellMar>
              <w:tblLook w:val="0000" w:firstRow="0" w:lastRow="0" w:firstColumn="0" w:lastColumn="0" w:noHBand="0" w:noVBand="0"/>
            </w:tblPr>
            <w:tblGrid>
              <w:gridCol w:w="851"/>
              <w:gridCol w:w="850"/>
              <w:gridCol w:w="456"/>
              <w:gridCol w:w="456"/>
              <w:gridCol w:w="466"/>
            </w:tblGrid>
            <w:tr w:rsidR="004D7D23" w:rsidRPr="007B192E" w14:paraId="02E9C02C" w14:textId="77777777" w:rsidTr="008F7A94">
              <w:trPr>
                <w:jc w:val="center"/>
              </w:trPr>
              <w:tc>
                <w:tcPr>
                  <w:tcW w:w="1701" w:type="dxa"/>
                  <w:gridSpan w:val="2"/>
                  <w:tcBorders>
                    <w:top w:val="single" w:sz="4" w:space="0" w:color="000000"/>
                    <w:left w:val="single" w:sz="4" w:space="0" w:color="000000"/>
                    <w:bottom w:val="single" w:sz="4" w:space="0" w:color="000000"/>
                  </w:tcBorders>
                  <w:tcMar>
                    <w:top w:w="0" w:type="dxa"/>
                    <w:left w:w="108" w:type="dxa"/>
                    <w:bottom w:w="0" w:type="dxa"/>
                    <w:right w:w="108" w:type="dxa"/>
                  </w:tcMar>
                </w:tcPr>
                <w:p w14:paraId="313CE399"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krawężnik</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07F41F8E"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3B6B3C30"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BF0E0B8"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w:t>
                  </w:r>
                </w:p>
              </w:tc>
            </w:tr>
            <w:tr w:rsidR="004D7D23" w:rsidRPr="007B192E" w14:paraId="5FDC09CA" w14:textId="77777777" w:rsidTr="008F7A94">
              <w:trPr>
                <w:jc w:val="center"/>
              </w:trPr>
              <w:tc>
                <w:tcPr>
                  <w:tcW w:w="851" w:type="dxa"/>
                  <w:tcBorders>
                    <w:top w:val="single" w:sz="4" w:space="0" w:color="000000"/>
                    <w:left w:val="single" w:sz="4" w:space="0" w:color="000000"/>
                  </w:tcBorders>
                  <w:tcMar>
                    <w:top w:w="0" w:type="dxa"/>
                    <w:left w:w="108" w:type="dxa"/>
                    <w:bottom w:w="0" w:type="dxa"/>
                    <w:right w:w="108" w:type="dxa"/>
                  </w:tcMar>
                </w:tcPr>
                <w:p w14:paraId="5C7E1CD8"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betonowy</w:t>
                  </w: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14:paraId="6D256189"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20 x 30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4E1BB829"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25</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1874CC3F"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CC4E13"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15</w:t>
                  </w:r>
                </w:p>
              </w:tc>
            </w:tr>
            <w:tr w:rsidR="00F45500" w:rsidRPr="007B192E" w14:paraId="7D42C4F6" w14:textId="77777777" w:rsidTr="008F7A94">
              <w:trPr>
                <w:jc w:val="center"/>
              </w:trPr>
              <w:tc>
                <w:tcPr>
                  <w:tcW w:w="851" w:type="dxa"/>
                  <w:tcBorders>
                    <w:left w:val="single" w:sz="4" w:space="0" w:color="000000"/>
                    <w:bottom w:val="single" w:sz="4" w:space="0" w:color="000000"/>
                  </w:tcBorders>
                  <w:tcMar>
                    <w:top w:w="0" w:type="dxa"/>
                    <w:left w:w="108" w:type="dxa"/>
                    <w:bottom w:w="0" w:type="dxa"/>
                    <w:right w:w="108" w:type="dxa"/>
                  </w:tcMar>
                </w:tcPr>
                <w:p w14:paraId="177070E3" w14:textId="77777777" w:rsidR="00F45500" w:rsidRPr="007B192E" w:rsidRDefault="00F45500" w:rsidP="008F7A94">
                  <w:pPr>
                    <w:pStyle w:val="Standard"/>
                    <w:tabs>
                      <w:tab w:val="left" w:pos="3261"/>
                      <w:tab w:val="left" w:pos="3544"/>
                      <w:tab w:val="left" w:pos="3969"/>
                    </w:tabs>
                    <w:snapToGrid w:val="0"/>
                    <w:spacing w:line="216" w:lineRule="auto"/>
                    <w:jc w:val="both"/>
                    <w:rPr>
                      <w:rFonts w:ascii="Arial" w:hAnsi="Arial" w:cs="Arial"/>
                      <w:color w:val="000000" w:themeColor="text1"/>
                      <w:sz w:val="18"/>
                      <w:szCs w:val="18"/>
                    </w:rPr>
                  </w:pPr>
                </w:p>
              </w:tc>
              <w:tc>
                <w:tcPr>
                  <w:tcW w:w="850" w:type="dxa"/>
                  <w:tcBorders>
                    <w:top w:val="single" w:sz="4" w:space="0" w:color="000000"/>
                    <w:left w:val="single" w:sz="4" w:space="0" w:color="000000"/>
                    <w:bottom w:val="single" w:sz="4" w:space="0" w:color="000000"/>
                  </w:tcBorders>
                  <w:tcMar>
                    <w:top w:w="0" w:type="dxa"/>
                    <w:left w:w="108" w:type="dxa"/>
                    <w:bottom w:w="0" w:type="dxa"/>
                    <w:right w:w="108" w:type="dxa"/>
                  </w:tcMar>
                </w:tcPr>
                <w:p w14:paraId="4FA77A86"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15 x 30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67143A26"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20</w:t>
                  </w:r>
                </w:p>
              </w:tc>
              <w:tc>
                <w:tcPr>
                  <w:tcW w:w="456" w:type="dxa"/>
                  <w:tcBorders>
                    <w:top w:val="single" w:sz="4" w:space="0" w:color="000000"/>
                    <w:left w:val="single" w:sz="4" w:space="0" w:color="000000"/>
                    <w:bottom w:val="single" w:sz="4" w:space="0" w:color="000000"/>
                  </w:tcBorders>
                  <w:tcMar>
                    <w:top w:w="0" w:type="dxa"/>
                    <w:left w:w="108" w:type="dxa"/>
                    <w:bottom w:w="0" w:type="dxa"/>
                    <w:right w:w="108" w:type="dxa"/>
                  </w:tcMar>
                </w:tcPr>
                <w:p w14:paraId="0E07AAFC"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15</w:t>
                  </w:r>
                </w:p>
              </w:tc>
              <w:tc>
                <w:tcPr>
                  <w:tcW w:w="4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7373D98" w14:textId="77777777" w:rsidR="00F45500" w:rsidRPr="007B192E" w:rsidRDefault="00F45500" w:rsidP="008F7A94">
                  <w:pPr>
                    <w:pStyle w:val="Standard"/>
                    <w:tabs>
                      <w:tab w:val="left" w:pos="3261"/>
                      <w:tab w:val="left" w:pos="3544"/>
                      <w:tab w:val="left" w:pos="3969"/>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10</w:t>
                  </w:r>
                </w:p>
              </w:tc>
            </w:tr>
          </w:tbl>
          <w:p w14:paraId="058AFBEB" w14:textId="77777777" w:rsidR="00F45500" w:rsidRPr="007B192E" w:rsidRDefault="00F45500" w:rsidP="008F7A94">
            <w:pPr>
              <w:pStyle w:val="Standard"/>
              <w:spacing w:line="216" w:lineRule="auto"/>
              <w:jc w:val="both"/>
              <w:rPr>
                <w:rFonts w:ascii="Arial" w:hAnsi="Arial" w:cs="Arial"/>
                <w:color w:val="000000" w:themeColor="text1"/>
                <w:sz w:val="18"/>
                <w:szCs w:val="18"/>
              </w:rPr>
            </w:pPr>
          </w:p>
          <w:p w14:paraId="3FEF253C"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1. krawężnik, typ uliczny 15(20)x30x100 cm</w:t>
            </w:r>
          </w:p>
          <w:p w14:paraId="547457D8"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 ściek betonowy</w:t>
            </w:r>
          </w:p>
          <w:p w14:paraId="0E5AECA3"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3. podsypka </w:t>
            </w:r>
            <w:proofErr w:type="spellStart"/>
            <w:r w:rsidRPr="007B192E">
              <w:rPr>
                <w:rFonts w:ascii="Arial" w:hAnsi="Arial" w:cs="Arial"/>
                <w:color w:val="000000" w:themeColor="text1"/>
                <w:sz w:val="18"/>
                <w:szCs w:val="18"/>
              </w:rPr>
              <w:t>cem</w:t>
            </w:r>
            <w:proofErr w:type="spellEnd"/>
            <w:r w:rsidRPr="007B192E">
              <w:rPr>
                <w:rFonts w:ascii="Arial" w:hAnsi="Arial" w:cs="Arial"/>
                <w:color w:val="000000" w:themeColor="text1"/>
                <w:sz w:val="18"/>
                <w:szCs w:val="18"/>
              </w:rPr>
              <w:t>.-piaskowa 1:4</w:t>
            </w:r>
          </w:p>
          <w:p w14:paraId="5134E3A8" w14:textId="77777777" w:rsidR="00F45500" w:rsidRPr="007B192E" w:rsidRDefault="00F45500" w:rsidP="008F7A94">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4. ława z betonu B10</w:t>
            </w:r>
          </w:p>
        </w:tc>
      </w:tr>
    </w:tbl>
    <w:p w14:paraId="4BE7F8AE" w14:textId="77777777" w:rsidR="00F45500" w:rsidRPr="007B192E" w:rsidRDefault="00F45500" w:rsidP="00F45500">
      <w:pPr>
        <w:pStyle w:val="Standard"/>
        <w:tabs>
          <w:tab w:val="left" w:pos="142"/>
        </w:tabs>
        <w:spacing w:line="216" w:lineRule="auto"/>
        <w:jc w:val="center"/>
        <w:rPr>
          <w:rFonts w:ascii="Arial" w:hAnsi="Arial" w:cs="Arial"/>
          <w:b/>
          <w:bCs/>
          <w:color w:val="000000" w:themeColor="text1"/>
          <w:sz w:val="18"/>
          <w:szCs w:val="18"/>
        </w:rPr>
      </w:pPr>
    </w:p>
    <w:p w14:paraId="1D3BF611" w14:textId="77777777" w:rsidR="00F45500" w:rsidRPr="007B192E" w:rsidRDefault="00F45500" w:rsidP="00F45500">
      <w:pPr>
        <w:rPr>
          <w:rFonts w:ascii="Arial" w:hAnsi="Arial" w:cs="Arial"/>
          <w:b/>
          <w:bCs/>
          <w:color w:val="000000" w:themeColor="text1"/>
          <w:sz w:val="18"/>
          <w:szCs w:val="18"/>
        </w:rPr>
      </w:pPr>
      <w:r w:rsidRPr="007B192E">
        <w:rPr>
          <w:rFonts w:ascii="Arial" w:hAnsi="Arial" w:cs="Arial"/>
          <w:b/>
          <w:bCs/>
          <w:color w:val="000000" w:themeColor="text1"/>
          <w:sz w:val="18"/>
          <w:szCs w:val="18"/>
        </w:rPr>
        <w:br w:type="page"/>
      </w:r>
    </w:p>
    <w:p w14:paraId="205BAF43" w14:textId="77777777" w:rsidR="00F45500" w:rsidRPr="007B192E" w:rsidRDefault="001578BC" w:rsidP="001578BC">
      <w:pPr>
        <w:pStyle w:val="Nagwek1"/>
        <w:jc w:val="center"/>
        <w:rPr>
          <w:color w:val="000000" w:themeColor="text1"/>
          <w:sz w:val="40"/>
          <w:szCs w:val="32"/>
        </w:rPr>
      </w:pPr>
      <w:bookmarkStart w:id="379" w:name="_Toc138757116"/>
      <w:bookmarkStart w:id="380" w:name="_Toc163481065"/>
      <w:r w:rsidRPr="007B192E">
        <w:rPr>
          <w:color w:val="000000" w:themeColor="text1"/>
          <w:sz w:val="40"/>
          <w:szCs w:val="32"/>
        </w:rPr>
        <w:lastRenderedPageBreak/>
        <w:t xml:space="preserve">D-08.02.01 </w:t>
      </w:r>
      <w:r w:rsidR="00F45500" w:rsidRPr="007B192E">
        <w:rPr>
          <w:color w:val="000000" w:themeColor="text1"/>
          <w:sz w:val="40"/>
          <w:szCs w:val="32"/>
        </w:rPr>
        <w:t>CHODNIK Z PŁYT</w:t>
      </w:r>
      <w:r w:rsidRPr="007B192E">
        <w:rPr>
          <w:color w:val="000000" w:themeColor="text1"/>
          <w:sz w:val="40"/>
          <w:szCs w:val="32"/>
        </w:rPr>
        <w:t xml:space="preserve"> CHODNIKOWYCH BETONOWYCH</w:t>
      </w:r>
      <w:bookmarkEnd w:id="379"/>
      <w:bookmarkEnd w:id="380"/>
    </w:p>
    <w:p w14:paraId="785F62F2" w14:textId="77777777" w:rsidR="00F45500" w:rsidRPr="007B192E" w:rsidRDefault="00F45500" w:rsidP="001578BC">
      <w:pPr>
        <w:pStyle w:val="Nagwek2"/>
        <w:rPr>
          <w:i w:val="0"/>
          <w:color w:val="000000" w:themeColor="text1"/>
        </w:rPr>
      </w:pPr>
      <w:r w:rsidRPr="007B192E">
        <w:rPr>
          <w:i w:val="0"/>
          <w:color w:val="000000" w:themeColor="text1"/>
        </w:rPr>
        <w:t>1. WSTĘP</w:t>
      </w:r>
    </w:p>
    <w:p w14:paraId="7E63D44C" w14:textId="77777777" w:rsidR="00F45500" w:rsidRPr="007B192E" w:rsidRDefault="00F45500" w:rsidP="00F45500">
      <w:pPr>
        <w:keepNext/>
        <w:spacing w:before="120" w:after="120" w:line="216" w:lineRule="auto"/>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1.1. Przedmiot ST</w:t>
      </w:r>
    </w:p>
    <w:p w14:paraId="56D46783"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Przedmiotem niniejszej specyfikacji technicznej (ST) są wymagania dotyczące wykonania i odbioru robót związanych z wykonaniem chodnika z płyt chodnikowych betonowych.</w:t>
      </w:r>
    </w:p>
    <w:p w14:paraId="2D93E8D4" w14:textId="77777777" w:rsidR="00F45500" w:rsidRPr="007B192E" w:rsidRDefault="00F45500" w:rsidP="00F45500">
      <w:pPr>
        <w:keepNext/>
        <w:spacing w:before="120" w:after="120" w:line="216" w:lineRule="auto"/>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1.2. Zakres stosowania ST</w:t>
      </w:r>
    </w:p>
    <w:p w14:paraId="1E57D77F" w14:textId="77777777" w:rsidR="00F45500" w:rsidRPr="007B192E" w:rsidRDefault="00F45500" w:rsidP="00F45500">
      <w:pPr>
        <w:tabs>
          <w:tab w:val="left" w:pos="63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2AF2EBBE"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1.3. Zakres robót objętych ST</w:t>
      </w:r>
    </w:p>
    <w:p w14:paraId="444AB23D"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Ustalenia zawarte w niniejszej specyfikacji dotyczą zasad prowadzenia robót związanych z wykonaniem chodnika:</w:t>
      </w:r>
    </w:p>
    <w:p w14:paraId="00A49C51"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 płyt chodnikowych betonowych 35 x 35 cm,</w:t>
      </w:r>
    </w:p>
    <w:p w14:paraId="460D6DD9"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z płyt chodnikowych betonowych 50 x 50 cm.</w:t>
      </w:r>
    </w:p>
    <w:p w14:paraId="0C3BEDEF" w14:textId="77777777" w:rsidR="00F45500" w:rsidRPr="007B192E" w:rsidRDefault="00F45500" w:rsidP="00F45500">
      <w:pPr>
        <w:keepNext/>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1.4. Określenia podstawowe</w:t>
      </w:r>
    </w:p>
    <w:p w14:paraId="7223AF6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Płyty chodnikowe betonowe - prefabrykowane płyty betonowe przeznaczone do budowy chodników dla pieszych.</w:t>
      </w:r>
    </w:p>
    <w:p w14:paraId="5E0E0559"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 xml:space="preserve">Pozostałe określenia podstawowe są zgodne z obowiązującymi, odpowiednimi polskimi normami i z definicjami i z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5AF000DF"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1.5. Ogólne wymagania dotyczące robót</w:t>
      </w:r>
    </w:p>
    <w:p w14:paraId="445E472C"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6FDD4CDB" w14:textId="77777777" w:rsidR="00F45500" w:rsidRPr="007B192E" w:rsidRDefault="00F45500" w:rsidP="001578BC">
      <w:pPr>
        <w:pStyle w:val="Nagwek2"/>
        <w:rPr>
          <w:i w:val="0"/>
          <w:color w:val="000000" w:themeColor="text1"/>
        </w:rPr>
      </w:pPr>
      <w:bookmarkStart w:id="381" w:name="_Toc429551222"/>
      <w:bookmarkStart w:id="382" w:name="_Toc428759422"/>
      <w:bookmarkStart w:id="383" w:name="_Toc428323648"/>
      <w:bookmarkStart w:id="384" w:name="_Toc428243643"/>
      <w:r w:rsidRPr="007B192E">
        <w:rPr>
          <w:i w:val="0"/>
          <w:color w:val="000000" w:themeColor="text1"/>
        </w:rPr>
        <w:t>2. MATERIAŁY</w:t>
      </w:r>
      <w:bookmarkEnd w:id="381"/>
      <w:bookmarkEnd w:id="382"/>
      <w:bookmarkEnd w:id="383"/>
      <w:bookmarkEnd w:id="384"/>
    </w:p>
    <w:p w14:paraId="17DA60A7"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2.1. Ogólne wymagania dotyczące materiałów</w:t>
      </w:r>
    </w:p>
    <w:p w14:paraId="2FBA9A25" w14:textId="77777777" w:rsidR="00F45500" w:rsidRPr="007B192E" w:rsidRDefault="00F45500" w:rsidP="00F45500">
      <w:pPr>
        <w:keepNext/>
        <w:numPr>
          <w:ilvl w:val="12"/>
          <w:numId w:val="0"/>
        </w:numPr>
        <w:spacing w:before="120" w:after="120"/>
        <w:jc w:val="both"/>
        <w:outlineLvl w:val="1"/>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2.</w:t>
      </w:r>
    </w:p>
    <w:p w14:paraId="24B84F1E"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2.2. Płyty chodnikowe betonowe - klasyfikacja</w:t>
      </w:r>
    </w:p>
    <w:p w14:paraId="4DBFE4E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2.2.1. </w:t>
      </w:r>
      <w:r w:rsidRPr="007B192E">
        <w:rPr>
          <w:rFonts w:ascii="Arial" w:hAnsi="Arial" w:cs="Arial"/>
          <w:color w:val="000000" w:themeColor="text1"/>
          <w:sz w:val="18"/>
          <w:szCs w:val="18"/>
        </w:rPr>
        <w:t>Rodzaje</w:t>
      </w:r>
    </w:p>
    <w:p w14:paraId="55BE2652"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Do wykonania robót należy wykorzystać płyty chodnikowe z rozbiórki nawierzchni istniejącej. </w:t>
      </w:r>
    </w:p>
    <w:p w14:paraId="7AD109E7" w14:textId="77777777" w:rsidR="00F45500" w:rsidRPr="007B192E" w:rsidRDefault="00F45500" w:rsidP="00F45500">
      <w:pPr>
        <w:numPr>
          <w:ilvl w:val="12"/>
          <w:numId w:val="0"/>
        </w:numPr>
        <w:spacing w:before="36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2.3.3. </w:t>
      </w:r>
      <w:r w:rsidRPr="007B192E">
        <w:rPr>
          <w:rFonts w:ascii="Arial" w:hAnsi="Arial" w:cs="Arial"/>
          <w:color w:val="000000" w:themeColor="text1"/>
          <w:sz w:val="18"/>
          <w:szCs w:val="18"/>
        </w:rPr>
        <w:t>Składowanie</w:t>
      </w:r>
    </w:p>
    <w:p w14:paraId="4075D542"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Płyty chodnikowe betonowe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w:t>
      </w:r>
    </w:p>
    <w:p w14:paraId="03832603"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2.5. Materiały na podsypkę i do zapraw</w:t>
      </w:r>
    </w:p>
    <w:p w14:paraId="5955FD2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Cement na podsypkę i do zaprawy powinien być cementem portlandzkim klasy „32,5”, odpowiadający wymaganiom PN-B-19701 [4].</w:t>
      </w:r>
    </w:p>
    <w:p w14:paraId="52DEC179"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Piasek na podsypkę powinien odpowiadać wymaganiom PN-B-06712 [2], a do zaprawy cementowo-piaskowej PN-B-06711 [1].</w:t>
      </w:r>
    </w:p>
    <w:p w14:paraId="46B13126"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Woda powinna być odmiany „1” i odpowiadać wymaganiom PN-B-32250 [5].</w:t>
      </w:r>
    </w:p>
    <w:p w14:paraId="16B751C1" w14:textId="77777777" w:rsidR="00F45500" w:rsidRPr="007B192E" w:rsidRDefault="00F45500" w:rsidP="000D0545">
      <w:pPr>
        <w:pStyle w:val="Nagwek2"/>
        <w:rPr>
          <w:i w:val="0"/>
          <w:color w:val="000000" w:themeColor="text1"/>
        </w:rPr>
      </w:pPr>
      <w:bookmarkStart w:id="385" w:name="_Toc429551223"/>
      <w:bookmarkStart w:id="386" w:name="_Toc428759423"/>
      <w:bookmarkStart w:id="387" w:name="_Toc428239274"/>
      <w:r w:rsidRPr="007B192E">
        <w:rPr>
          <w:i w:val="0"/>
          <w:color w:val="000000" w:themeColor="text1"/>
        </w:rPr>
        <w:t>3. SPRZĘT</w:t>
      </w:r>
      <w:bookmarkEnd w:id="385"/>
      <w:bookmarkEnd w:id="386"/>
      <w:bookmarkEnd w:id="387"/>
    </w:p>
    <w:p w14:paraId="11C80F84"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3.1. Ogólne wymagania dotyczące sprzętu</w:t>
      </w:r>
    </w:p>
    <w:p w14:paraId="4307E97C" w14:textId="77777777" w:rsidR="00F45500" w:rsidRPr="007B192E"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21950C2C"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3.2. Sprzęt do wykonania chodników</w:t>
      </w:r>
    </w:p>
    <w:p w14:paraId="6E00AA74" w14:textId="77777777" w:rsidR="00F45500" w:rsidRPr="007B192E"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b/>
          <w:color w:val="000000" w:themeColor="text1"/>
          <w:sz w:val="18"/>
          <w:szCs w:val="18"/>
        </w:rPr>
        <w:tab/>
      </w:r>
      <w:r w:rsidRPr="007B192E">
        <w:rPr>
          <w:rFonts w:ascii="Arial" w:hAnsi="Arial" w:cs="Arial"/>
          <w:color w:val="000000" w:themeColor="text1"/>
          <w:sz w:val="18"/>
          <w:szCs w:val="18"/>
        </w:rPr>
        <w:t>Roboty wykonuje się ręcznie przy zastosowaniu sprzętu pomocniczego:</w:t>
      </w:r>
    </w:p>
    <w:p w14:paraId="2A98265E" w14:textId="77777777" w:rsidR="00F45500" w:rsidRPr="007B192E" w:rsidRDefault="00F45500" w:rsidP="00F45500">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betoniarek do wytwarzania betonu i zapraw oraz przygotowania podsypki cementowo-piaskowej,</w:t>
      </w:r>
    </w:p>
    <w:p w14:paraId="2A04B24D" w14:textId="77777777" w:rsidR="00F45500" w:rsidRPr="007B192E" w:rsidRDefault="00F45500" w:rsidP="00F45500">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wibratorów płytowych, ubijaków ręcznych lub mechanicznych.</w:t>
      </w:r>
    </w:p>
    <w:p w14:paraId="1138F8C3" w14:textId="77777777" w:rsidR="00F45500" w:rsidRPr="007B192E" w:rsidRDefault="00F45500" w:rsidP="000D0545">
      <w:pPr>
        <w:pStyle w:val="Nagwek2"/>
        <w:rPr>
          <w:i w:val="0"/>
          <w:color w:val="000000" w:themeColor="text1"/>
        </w:rPr>
      </w:pPr>
      <w:bookmarkStart w:id="388" w:name="_Toc429551224"/>
      <w:bookmarkStart w:id="389" w:name="_Toc428759424"/>
      <w:bookmarkStart w:id="390" w:name="_Toc428239275"/>
      <w:r w:rsidRPr="007B192E">
        <w:rPr>
          <w:i w:val="0"/>
          <w:color w:val="000000" w:themeColor="text1"/>
        </w:rPr>
        <w:lastRenderedPageBreak/>
        <w:t>4. TRANSPORT</w:t>
      </w:r>
      <w:bookmarkEnd w:id="388"/>
      <w:bookmarkEnd w:id="389"/>
      <w:bookmarkEnd w:id="390"/>
    </w:p>
    <w:p w14:paraId="51ABFA93"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4.1. Ogólne wymagania dotyczące transportu</w:t>
      </w:r>
    </w:p>
    <w:p w14:paraId="4DB8B9E9" w14:textId="77777777" w:rsidR="00F45500" w:rsidRPr="007B192E" w:rsidRDefault="00F45500" w:rsidP="00F45500">
      <w:pPr>
        <w:numPr>
          <w:ilvl w:val="12"/>
          <w:numId w:val="0"/>
        </w:numPr>
        <w:tabs>
          <w:tab w:val="right" w:leader="dot" w:pos="-1985"/>
          <w:tab w:val="left" w:pos="284"/>
        </w:tabs>
        <w:jc w:val="both"/>
        <w:rPr>
          <w:rFonts w:ascii="Arial" w:hAnsi="Arial" w:cs="Arial"/>
          <w:color w:val="000000" w:themeColor="text1"/>
          <w:sz w:val="18"/>
          <w:szCs w:val="18"/>
        </w:rPr>
      </w:pPr>
      <w:r w:rsidRPr="007B192E">
        <w:rPr>
          <w:rFonts w:ascii="Arial" w:hAnsi="Arial" w:cs="Arial"/>
          <w:color w:val="000000" w:themeColor="text1"/>
          <w:sz w:val="18"/>
          <w:szCs w:val="18"/>
        </w:rPr>
        <w:tab/>
      </w: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42C0F7AF"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4.3. Transport pozostałych materiałów</w:t>
      </w:r>
    </w:p>
    <w:p w14:paraId="7FEADED2"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Transport pozostałych materiałów, stosowanych do wykonania chodnika z płyt chodnikowych betonowych, podano w ST D-08.01.01 „Krawężniki betonowe” pkt 4.3.</w:t>
      </w:r>
    </w:p>
    <w:p w14:paraId="70730DDB" w14:textId="77777777" w:rsidR="00F45500" w:rsidRPr="007B192E" w:rsidRDefault="00F45500" w:rsidP="000D0545">
      <w:pPr>
        <w:pStyle w:val="Nagwek2"/>
        <w:rPr>
          <w:i w:val="0"/>
          <w:color w:val="000000" w:themeColor="text1"/>
        </w:rPr>
      </w:pPr>
      <w:bookmarkStart w:id="391" w:name="_Toc429551225"/>
      <w:bookmarkStart w:id="392" w:name="_Toc428759425"/>
      <w:bookmarkStart w:id="393" w:name="_Toc428239276"/>
      <w:r w:rsidRPr="007B192E">
        <w:rPr>
          <w:i w:val="0"/>
          <w:color w:val="000000" w:themeColor="text1"/>
        </w:rPr>
        <w:t>5. WYKONANIE ROBÓT</w:t>
      </w:r>
      <w:bookmarkEnd w:id="391"/>
      <w:bookmarkEnd w:id="392"/>
      <w:bookmarkEnd w:id="393"/>
    </w:p>
    <w:p w14:paraId="08E7763C"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5.1. Ogólne zasady wykonania robót</w:t>
      </w:r>
    </w:p>
    <w:p w14:paraId="32AF9006"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w:t>
      </w:r>
    </w:p>
    <w:p w14:paraId="143500D0"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5.2. Koryto pod chodnik</w:t>
      </w:r>
    </w:p>
    <w:p w14:paraId="506CDBB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Koryto wykonane w podłożu z gruntu rodzimego lub nasypowego powinno być wyprofilowane zgodnie z projektowanymi spadkami podłużnymi i poprzecznymi chodnika oraz zgodnie z wymaganiami podanymi w ST D-04.01.01 „Koryto wraz z profilowaniem i zagęszczeniem podłoża”. Wskaźnik zagęszczenia koryta nie może być mniejszy od 0,97 według normalnej metody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w:t>
      </w:r>
    </w:p>
    <w:p w14:paraId="7B36D9FE"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5.3. Podsypka</w:t>
      </w:r>
    </w:p>
    <w:p w14:paraId="0255DA8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Grubość podsypki po zagęszczeniu powinna zawierać się w granicach od 3 do 5 cm. Podsypka powinna być zwilżona wodą, zagęszczona i wyprofilowana.</w:t>
      </w:r>
    </w:p>
    <w:p w14:paraId="32AD9DF3"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5.4. Podbudowa</w:t>
      </w:r>
    </w:p>
    <w:p w14:paraId="49914780"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Jeżeli w dokumentacji projektowej przewidziana jest podbudowa pod chodnikiem, to jej wykonanie powinno być zgodne z warunkami określonymi w odpowiedniej ST.</w:t>
      </w:r>
    </w:p>
    <w:p w14:paraId="6570CA45"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5.5. Układanie chodnika z płyt chodnikowych betonowych</w:t>
      </w:r>
    </w:p>
    <w:p w14:paraId="330CB1E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Płyty przy krawężnikach należy układać w taki sposób, aby ich górna krawędź znajdowała się powyżej górnej krawędzi krawężnika.</w:t>
      </w:r>
    </w:p>
    <w:p w14:paraId="0912AA6A"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Przy urządzeniach naziemnych uzbrojenia podziemnego płyty odpowiednio docięte należy układać w jednym poziomie, regulując wysokość urządzeń naziemnych do poziomu chodnika.</w:t>
      </w:r>
    </w:p>
    <w:p w14:paraId="2C206BC4"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Płyty chodnikowe układane przy urządzeniach naziemnych uzbrojenia podziemnego należy zalać zaprawą cementowo-piaskową.</w:t>
      </w:r>
    </w:p>
    <w:p w14:paraId="72D30E1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Płyty należy układać zgodnie ze wzorem wskazanym w dokumentacji projektowej.</w:t>
      </w:r>
    </w:p>
    <w:p w14:paraId="25CFE0D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Płyty na łukach o promieniu ponad 30 m należy tak układać, aby spoiny rozszerzały się wachlarzowo. Płyty mogą być przycinane.</w:t>
      </w:r>
    </w:p>
    <w:p w14:paraId="32F28921"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Płyty na łukach o promieniu do 30 m powinny być układane w odcinkach prostych, łączących się przy użyciu trójkątów lub trapezów wykonanych z płyt odpowiednio docinanych. Wielkość trójkątów dostosować należy do szerokości chodnika i promienia łuku.</w:t>
      </w:r>
    </w:p>
    <w:p w14:paraId="1D8380B8"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5.6. Spoiny</w:t>
      </w:r>
    </w:p>
    <w:p w14:paraId="58EDE27E"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Szerokość spoin na odcinkach prostych nie powinna przekraczać 0,8 cm. Szerokość spoin na łukach nie powinna być większa niż 3 cm.</w:t>
      </w:r>
    </w:p>
    <w:p w14:paraId="3916D8D6"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Spoiny pomiędzy płytami po oczyszczeniu powinny być zamulone piaskiem na pełną grubość płyty lub wypełnione zaprawą cementowo-piaskową.</w:t>
      </w:r>
    </w:p>
    <w:p w14:paraId="3C895426"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5.7. Pielęgnacja chodnika</w:t>
      </w:r>
    </w:p>
    <w:p w14:paraId="7B6DF770"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Chodnik, którego spoiny wypełnione są zaprawą cementową, należy pokryć warstwą piasku grubości od 1,0 do 1,5 cm. Piasek należy zwilżyć wodą i utrzymywać w stanie wilgotnym w ciągu 10 dni.</w:t>
      </w:r>
    </w:p>
    <w:p w14:paraId="44BA8863" w14:textId="77777777" w:rsidR="00F45500" w:rsidRPr="007B192E" w:rsidRDefault="000D0545" w:rsidP="000D0545">
      <w:pPr>
        <w:pStyle w:val="Nagwek2"/>
        <w:rPr>
          <w:i w:val="0"/>
          <w:color w:val="000000" w:themeColor="text1"/>
        </w:rPr>
      </w:pPr>
      <w:bookmarkStart w:id="394" w:name="_Toc429551226"/>
      <w:bookmarkStart w:id="395" w:name="_Toc428759426"/>
      <w:r w:rsidRPr="007B192E">
        <w:rPr>
          <w:i w:val="0"/>
          <w:color w:val="000000" w:themeColor="text1"/>
        </w:rPr>
        <w:t>6. KONTROLA JAKOŚCI ROBÓT</w:t>
      </w:r>
      <w:bookmarkEnd w:id="394"/>
      <w:bookmarkEnd w:id="395"/>
    </w:p>
    <w:p w14:paraId="430F0BD1"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6.1. Ogólne zasady kontroli jakości robót</w:t>
      </w:r>
    </w:p>
    <w:p w14:paraId="3345203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7DF1251B"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6.2. Badania przed przystąpieniem do robót</w:t>
      </w:r>
    </w:p>
    <w:p w14:paraId="2729822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 wykonać badania materiałów przeznaczonych do budowy chodnika i przedstawić wyniki tych badań Inżynierowi  do akceptacji.</w:t>
      </w:r>
    </w:p>
    <w:p w14:paraId="7E7404D6"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6.2.1. </w:t>
      </w:r>
      <w:r w:rsidRPr="007B192E">
        <w:rPr>
          <w:rFonts w:ascii="Arial" w:hAnsi="Arial" w:cs="Arial"/>
          <w:color w:val="000000" w:themeColor="text1"/>
          <w:sz w:val="18"/>
          <w:szCs w:val="18"/>
        </w:rPr>
        <w:t>Badania płyt chodnikowych</w:t>
      </w:r>
    </w:p>
    <w:p w14:paraId="43EA75AF"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wyglądu zewnętrznego należy przeprowadzić na podstawie oględzin elementu przez pomiar i policzenie uszkodzeń występujących na powierzchniach i krawędziach elementu, dopuszczalne wady i uszkodzenia podano w tablicy 3. Pomiary długości i głębokości uszkodzeń należy wykonać za pomocą przymiaru stalowego lub suwmiarki z dokładnością do 1 mm, zgodnie z ustaleniami PN-B-10021 [3].</w:t>
      </w:r>
    </w:p>
    <w:p w14:paraId="14B1A2C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Sprawdzenie kształtu i wymiarów elementów należy przeprowadzić z dokładnością do 1 mm przy użyciu suwmiarki </w:t>
      </w:r>
      <w:r w:rsidRPr="007B192E">
        <w:rPr>
          <w:rFonts w:ascii="Arial" w:hAnsi="Arial" w:cs="Arial"/>
          <w:color w:val="000000" w:themeColor="text1"/>
          <w:sz w:val="18"/>
          <w:szCs w:val="18"/>
        </w:rPr>
        <w:lastRenderedPageBreak/>
        <w:t>oraz przymiaru stalowego lub taśmy, dopuszczalne odchyłki podano w tablicy 2. Sprawdzenie kątów prostych w narożach elementów wykonuje się przez przyłożenie kątownika do badanego naroża i zmierzenia odchyłek z dokładnością do 1 mm.</w:t>
      </w:r>
    </w:p>
    <w:p w14:paraId="7DBF5F58"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Pozostałe badania płyt chodnikowych należy wykonać zgodnie z wymaganiami podanymi w BN-80/6775-03/01 [7] i BN-80/6775-03/03 [8].</w:t>
      </w:r>
    </w:p>
    <w:p w14:paraId="31B9C11C"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6.2.2. </w:t>
      </w:r>
      <w:r w:rsidRPr="007B192E">
        <w:rPr>
          <w:rFonts w:ascii="Arial" w:hAnsi="Arial" w:cs="Arial"/>
          <w:color w:val="000000" w:themeColor="text1"/>
          <w:sz w:val="18"/>
          <w:szCs w:val="18"/>
        </w:rPr>
        <w:t>Badania pozostałych materiałów</w:t>
      </w:r>
    </w:p>
    <w:p w14:paraId="3E3218AD"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Badania pozostałych materiałów stosowanych do wykonania chodnika z płyt betonowych  powinny obejmować wszystkie właściwości, określone w normach podanych dla odpowiednich materiałów wg pkt 2.</w:t>
      </w:r>
    </w:p>
    <w:p w14:paraId="22E985F5" w14:textId="77777777" w:rsidR="00F45500" w:rsidRPr="007B192E" w:rsidRDefault="00F45500" w:rsidP="00F45500">
      <w:pPr>
        <w:numPr>
          <w:ilvl w:val="12"/>
          <w:numId w:val="0"/>
        </w:numPr>
        <w:spacing w:before="120"/>
        <w:jc w:val="both"/>
        <w:rPr>
          <w:rFonts w:ascii="Arial" w:hAnsi="Arial" w:cs="Arial"/>
          <w:b/>
          <w:color w:val="000000" w:themeColor="text1"/>
          <w:sz w:val="18"/>
          <w:szCs w:val="18"/>
        </w:rPr>
      </w:pPr>
      <w:r w:rsidRPr="007B192E">
        <w:rPr>
          <w:rFonts w:ascii="Arial" w:hAnsi="Arial" w:cs="Arial"/>
          <w:b/>
          <w:color w:val="000000" w:themeColor="text1"/>
          <w:sz w:val="18"/>
          <w:szCs w:val="18"/>
        </w:rPr>
        <w:t>6.3. Badania w czasie robót</w:t>
      </w:r>
    </w:p>
    <w:p w14:paraId="73C4CB10"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6.3.1. </w:t>
      </w:r>
      <w:r w:rsidRPr="007B192E">
        <w:rPr>
          <w:rFonts w:ascii="Arial" w:hAnsi="Arial" w:cs="Arial"/>
          <w:color w:val="000000" w:themeColor="text1"/>
          <w:sz w:val="18"/>
          <w:szCs w:val="18"/>
        </w:rPr>
        <w:t>Sprawdzenie podłoża</w:t>
      </w:r>
    </w:p>
    <w:p w14:paraId="5FAF1474"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podłoża polega na stwierdzeniu zgodności z dokumentacją projektową i odpowiednimi SST.</w:t>
      </w:r>
    </w:p>
    <w:p w14:paraId="5AB098DB"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Dopuszczalne tolerancje wynoszą dla:</w:t>
      </w:r>
    </w:p>
    <w:p w14:paraId="43E4E6EB"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głębokości koryta: </w:t>
      </w:r>
    </w:p>
    <w:p w14:paraId="3F7BABA6" w14:textId="77777777" w:rsidR="00F45500" w:rsidRPr="007B192E" w:rsidRDefault="00F45500" w:rsidP="00F45500">
      <w:pPr>
        <w:widowControl/>
        <w:numPr>
          <w:ilvl w:val="0"/>
          <w:numId w:val="196"/>
        </w:numPr>
        <w:suppressAutoHyphens w:val="0"/>
        <w:autoSpaceDN w:val="0"/>
        <w:adjustRightInd w:val="0"/>
        <w:ind w:left="992"/>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o szerokości do 3 m: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1 cm,</w:t>
      </w:r>
    </w:p>
    <w:p w14:paraId="0674D6D3" w14:textId="77777777" w:rsidR="00F45500" w:rsidRPr="007B192E" w:rsidRDefault="00F45500" w:rsidP="00F45500">
      <w:pPr>
        <w:widowControl/>
        <w:numPr>
          <w:ilvl w:val="0"/>
          <w:numId w:val="196"/>
        </w:numPr>
        <w:suppressAutoHyphens w:val="0"/>
        <w:autoSpaceDN w:val="0"/>
        <w:adjustRightInd w:val="0"/>
        <w:ind w:left="992"/>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o szerokości powyżej 3 m: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2 cm,</w:t>
      </w:r>
    </w:p>
    <w:p w14:paraId="4B62161F"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 xml:space="preserve">szerokości koryta: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5 cm.</w:t>
      </w:r>
    </w:p>
    <w:p w14:paraId="0CF78951" w14:textId="77777777" w:rsidR="00F45500" w:rsidRPr="007B192E" w:rsidRDefault="00F45500" w:rsidP="00F45500">
      <w:p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6.3.2. </w:t>
      </w:r>
      <w:r w:rsidRPr="007B192E">
        <w:rPr>
          <w:rFonts w:ascii="Arial" w:hAnsi="Arial" w:cs="Arial"/>
          <w:color w:val="000000" w:themeColor="text1"/>
          <w:sz w:val="18"/>
          <w:szCs w:val="18"/>
        </w:rPr>
        <w:t>Sprawdzenie podsypki</w:t>
      </w:r>
    </w:p>
    <w:p w14:paraId="0F5BAB0A"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Sprawdzenie podsypki w zakresie grubości i wymaganych spadków poprzecznych i podłużnych polega na stwierdzeniu zgodności z dokumentacją projektową oraz pkt 5.3 niniejszej ST. Dopuszczalne odchylenia w grubości podsypki nie mogą przekraczać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1 cm.</w:t>
      </w:r>
    </w:p>
    <w:p w14:paraId="4ABD6477"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6.3.3. </w:t>
      </w:r>
      <w:r w:rsidRPr="007B192E">
        <w:rPr>
          <w:rFonts w:ascii="Arial" w:hAnsi="Arial" w:cs="Arial"/>
          <w:color w:val="000000" w:themeColor="text1"/>
          <w:sz w:val="18"/>
          <w:szCs w:val="18"/>
        </w:rPr>
        <w:t>Sprawdzenie wykonania chodnika</w:t>
      </w:r>
    </w:p>
    <w:p w14:paraId="5EC40E28"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prawidłowości wykonania chodnika polega na stwierdzeniu zgodności wykonania z dokumentacją projektową oraz wymaganiami pkt 5.5 niniejszej ST.</w:t>
      </w:r>
    </w:p>
    <w:p w14:paraId="22600813"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Sprawdzenie konstrukcji chodnika przeprowadzać należy w następujący sposób: na każde 200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chodnika z płyt betonowych należy zdjąć 2 płyty w dowolnym miejscu i zmierzyć grubość podsypki oraz sprawdzić układ płyt chodnika.</w:t>
      </w:r>
    </w:p>
    <w:p w14:paraId="592277D3"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6.4. Sprawdzenie cech geometrycznych chodnika</w:t>
      </w:r>
    </w:p>
    <w:p w14:paraId="1A5BB8F7"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6.4.1. </w:t>
      </w:r>
      <w:r w:rsidRPr="007B192E">
        <w:rPr>
          <w:rFonts w:ascii="Arial" w:hAnsi="Arial" w:cs="Arial"/>
          <w:color w:val="000000" w:themeColor="text1"/>
          <w:sz w:val="18"/>
          <w:szCs w:val="18"/>
        </w:rPr>
        <w:t xml:space="preserve"> Sprawdzenie równości chodnika</w:t>
      </w:r>
    </w:p>
    <w:p w14:paraId="4BD39101"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równości przeprowadzać należy łatą co najmniej raz na każde 150 do 300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ułożonego chodnika i w miejscach wątpliwych, jednak nie rzadziej niż co 50 m chodnika. Dopuszczalny prześwit pod łatą nie powinien przekraczać 1,0 cm.</w:t>
      </w:r>
    </w:p>
    <w:p w14:paraId="0E6EB2D3"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6.4.2. </w:t>
      </w:r>
      <w:r w:rsidRPr="007B192E">
        <w:rPr>
          <w:rFonts w:ascii="Arial" w:hAnsi="Arial" w:cs="Arial"/>
          <w:color w:val="000000" w:themeColor="text1"/>
          <w:sz w:val="18"/>
          <w:szCs w:val="18"/>
        </w:rPr>
        <w:t>Sprawdzenie profilu podłużnego</w:t>
      </w:r>
    </w:p>
    <w:p w14:paraId="47CF0BDD"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profilu podłużnego przeprowadzać należy za pomocą niwelacji, biorąc pod uwagę punkty charakterystyczne, jednak nie rzadziej niż co 100 m.</w:t>
      </w:r>
    </w:p>
    <w:p w14:paraId="6D06F480"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Odchylenia od projektowanej niwelety chodnika w punktach załamania niwelety nie mogą przekraczać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3 cm.</w:t>
      </w:r>
    </w:p>
    <w:p w14:paraId="3EDEBCD3"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6.4.3. </w:t>
      </w:r>
      <w:r w:rsidRPr="007B192E">
        <w:rPr>
          <w:rFonts w:ascii="Arial" w:hAnsi="Arial" w:cs="Arial"/>
          <w:color w:val="000000" w:themeColor="text1"/>
          <w:sz w:val="18"/>
          <w:szCs w:val="18"/>
        </w:rPr>
        <w:t>Sprawdzenie profilu poprzecznego</w:t>
      </w:r>
    </w:p>
    <w:p w14:paraId="01FEBAE8"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profilu poprzecznego dokonywać należy szablonem z poziomicą, co najmniej raz na każde 150 do 300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chodnika i w miejscach wątpliwych, jednak nie rzadziej niż co 50 m. Dopuszczalne odchylenia od projektowanego profilu wynoszą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0,3%.</w:t>
      </w:r>
    </w:p>
    <w:p w14:paraId="2454F800"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6.4.4. </w:t>
      </w:r>
      <w:r w:rsidRPr="007B192E">
        <w:rPr>
          <w:rFonts w:ascii="Arial" w:hAnsi="Arial" w:cs="Arial"/>
          <w:color w:val="000000" w:themeColor="text1"/>
          <w:sz w:val="18"/>
          <w:szCs w:val="18"/>
        </w:rPr>
        <w:t>Sprawdzenie równoległości spoin</w:t>
      </w:r>
    </w:p>
    <w:p w14:paraId="6ABAE7CC"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Sprawdzenie równoległości spoin należy przeprowadzać za pomocą dwóch sznurów napiętych wzdłuż spoin i przymiaru z podziałką milimetrową. Dopuszczalne odchylenie wynosi </w:t>
      </w:r>
      <w:r w:rsidRPr="007B192E">
        <w:rPr>
          <w:rFonts w:ascii="Arial" w:hAnsi="Arial" w:cs="Arial"/>
          <w:color w:val="000000" w:themeColor="text1"/>
          <w:sz w:val="18"/>
          <w:szCs w:val="18"/>
        </w:rPr>
        <w:sym w:font="Symbol" w:char="F0B1"/>
      </w:r>
      <w:r w:rsidRPr="007B192E">
        <w:rPr>
          <w:rFonts w:ascii="Arial" w:hAnsi="Arial" w:cs="Arial"/>
          <w:color w:val="000000" w:themeColor="text1"/>
          <w:sz w:val="18"/>
          <w:szCs w:val="18"/>
        </w:rPr>
        <w:t xml:space="preserve"> 1 cm.</w:t>
      </w:r>
    </w:p>
    <w:p w14:paraId="1F5B7F1D"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6.4.5. </w:t>
      </w:r>
      <w:r w:rsidRPr="007B192E">
        <w:rPr>
          <w:rFonts w:ascii="Arial" w:hAnsi="Arial" w:cs="Arial"/>
          <w:color w:val="000000" w:themeColor="text1"/>
          <w:sz w:val="18"/>
          <w:szCs w:val="18"/>
        </w:rPr>
        <w:t>Sprawdzenie szerokości i wypełnienia spoin</w:t>
      </w:r>
    </w:p>
    <w:p w14:paraId="142834A2"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Sprawdzenie szerokości spoin należy przeprowadzać przez usunięcie spoin na długości około 10 cm w trzech dowolnych miejscach na każde 200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chodnika i zmierzenie ich szerokości oraz wypełnienia.</w:t>
      </w:r>
    </w:p>
    <w:p w14:paraId="6577EE0F" w14:textId="77777777" w:rsidR="00F45500" w:rsidRPr="007B192E" w:rsidRDefault="00F45500" w:rsidP="000D0545">
      <w:pPr>
        <w:pStyle w:val="Nagwek2"/>
        <w:rPr>
          <w:i w:val="0"/>
          <w:color w:val="000000" w:themeColor="text1"/>
        </w:rPr>
      </w:pPr>
      <w:bookmarkStart w:id="396" w:name="_Toc429551227"/>
      <w:bookmarkStart w:id="397" w:name="_Toc428759427"/>
      <w:bookmarkStart w:id="398" w:name="_Toc428323653"/>
      <w:bookmarkStart w:id="399" w:name="_Toc428169263"/>
      <w:r w:rsidRPr="007B192E">
        <w:rPr>
          <w:i w:val="0"/>
          <w:color w:val="000000" w:themeColor="text1"/>
        </w:rPr>
        <w:t>7. OBMIAR ROBÓT</w:t>
      </w:r>
      <w:bookmarkEnd w:id="396"/>
      <w:bookmarkEnd w:id="397"/>
      <w:bookmarkEnd w:id="398"/>
      <w:bookmarkEnd w:id="399"/>
    </w:p>
    <w:p w14:paraId="44F4B307"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7.1. Ogólne zasady obmiaru robót</w:t>
      </w:r>
    </w:p>
    <w:p w14:paraId="7A84FDDD"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5B0BFDD2"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7.2. Jednostka obmiarowa</w:t>
      </w:r>
    </w:p>
    <w:p w14:paraId="761548E9"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(metr kwadratowy) wykonanego chodnika z płyt betonowych.</w:t>
      </w:r>
    </w:p>
    <w:p w14:paraId="299B1ADE" w14:textId="77777777" w:rsidR="00F45500" w:rsidRPr="007B192E" w:rsidRDefault="00F45500" w:rsidP="000D0545">
      <w:pPr>
        <w:pStyle w:val="Nagwek2"/>
        <w:rPr>
          <w:i w:val="0"/>
          <w:color w:val="000000" w:themeColor="text1"/>
        </w:rPr>
      </w:pPr>
      <w:bookmarkStart w:id="400" w:name="_Toc429551228"/>
      <w:bookmarkStart w:id="401" w:name="_Toc428759428"/>
      <w:bookmarkStart w:id="402" w:name="_Toc428323654"/>
      <w:bookmarkStart w:id="403" w:name="_Toc428169264"/>
      <w:r w:rsidRPr="007B192E">
        <w:rPr>
          <w:i w:val="0"/>
          <w:color w:val="000000" w:themeColor="text1"/>
        </w:rPr>
        <w:t>8. ODBIÓR ROBÓT</w:t>
      </w:r>
      <w:bookmarkEnd w:id="400"/>
      <w:bookmarkEnd w:id="401"/>
      <w:bookmarkEnd w:id="402"/>
      <w:bookmarkEnd w:id="403"/>
    </w:p>
    <w:p w14:paraId="3E6272D1" w14:textId="77777777" w:rsidR="00F45500" w:rsidRPr="007B192E" w:rsidRDefault="00F45500" w:rsidP="00F45500">
      <w:pPr>
        <w:numPr>
          <w:ilvl w:val="12"/>
          <w:numId w:val="0"/>
        </w:numPr>
        <w:spacing w:before="120"/>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61DB904B"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Roboty uznaje się za wykonane zgodnie z dokumentacją projektową, SST i wymaganiami Inżyniera, jeżeli </w:t>
      </w:r>
      <w:r w:rsidRPr="007B192E">
        <w:rPr>
          <w:rFonts w:ascii="Arial" w:hAnsi="Arial" w:cs="Arial"/>
          <w:color w:val="000000" w:themeColor="text1"/>
          <w:sz w:val="18"/>
          <w:szCs w:val="18"/>
        </w:rPr>
        <w:lastRenderedPageBreak/>
        <w:t>wszystkie pomiary i badania z zachowaniem tolerancji wg pkt 6 dały wyniki pozytywne.</w:t>
      </w:r>
    </w:p>
    <w:p w14:paraId="3F3B7B51" w14:textId="77777777" w:rsidR="00F45500" w:rsidRPr="007B192E" w:rsidRDefault="00F45500" w:rsidP="000D0545">
      <w:pPr>
        <w:pStyle w:val="Nagwek2"/>
        <w:rPr>
          <w:i w:val="0"/>
          <w:color w:val="000000" w:themeColor="text1"/>
        </w:rPr>
      </w:pPr>
      <w:bookmarkStart w:id="404" w:name="_Toc429551229"/>
      <w:bookmarkStart w:id="405" w:name="_Toc428759429"/>
      <w:bookmarkStart w:id="406" w:name="_Toc428323655"/>
      <w:bookmarkStart w:id="407" w:name="_Toc428169265"/>
      <w:r w:rsidRPr="007B192E">
        <w:rPr>
          <w:i w:val="0"/>
          <w:color w:val="000000" w:themeColor="text1"/>
        </w:rPr>
        <w:t>9. PODSTAWA PŁATNOŚCI</w:t>
      </w:r>
      <w:bookmarkEnd w:id="404"/>
      <w:bookmarkEnd w:id="405"/>
      <w:bookmarkEnd w:id="406"/>
      <w:bookmarkEnd w:id="407"/>
    </w:p>
    <w:p w14:paraId="67F6A5BE"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9.1. Ogólne ustalenia dotyczące podstawy płatności</w:t>
      </w:r>
    </w:p>
    <w:p w14:paraId="7C41699F"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9.</w:t>
      </w:r>
    </w:p>
    <w:p w14:paraId="747E05C6"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9.2. Cena jednostki obmiarowej</w:t>
      </w:r>
    </w:p>
    <w:p w14:paraId="21B07771" w14:textId="77777777" w:rsidR="00F45500" w:rsidRPr="007B192E" w:rsidRDefault="00F45500" w:rsidP="00F45500">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1 m</w:t>
      </w:r>
      <w:r w:rsidRPr="007B192E">
        <w:rPr>
          <w:rFonts w:ascii="Arial" w:hAnsi="Arial" w:cs="Arial"/>
          <w:color w:val="000000" w:themeColor="text1"/>
          <w:sz w:val="18"/>
          <w:szCs w:val="18"/>
          <w:vertAlign w:val="superscript"/>
        </w:rPr>
        <w:t>2</w:t>
      </w:r>
      <w:r w:rsidRPr="007B192E">
        <w:rPr>
          <w:rFonts w:ascii="Arial" w:hAnsi="Arial" w:cs="Arial"/>
          <w:color w:val="000000" w:themeColor="text1"/>
          <w:sz w:val="18"/>
          <w:szCs w:val="18"/>
        </w:rPr>
        <w:t xml:space="preserve"> chodnika z płyt betonowych obejmuje:</w:t>
      </w:r>
    </w:p>
    <w:p w14:paraId="09E2DCEE"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5F4256BF"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dostarczenie materiałów na miejsce wbudowania,</w:t>
      </w:r>
    </w:p>
    <w:p w14:paraId="0F06D7BF"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wykonanie koryta,</w:t>
      </w:r>
    </w:p>
    <w:p w14:paraId="148F859E"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ew. wykonanie warstwy odsączającej,</w:t>
      </w:r>
    </w:p>
    <w:p w14:paraId="6105BFF6"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rozścielenie podsypki piaskowej lub cementowo-piaskowej wraz z jej przygotowaniem,</w:t>
      </w:r>
    </w:p>
    <w:p w14:paraId="34A217BC"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ułożenie płyt,</w:t>
      </w:r>
    </w:p>
    <w:p w14:paraId="49755931"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wypełnienie spoin piaskiem lub zaprawą cementową,</w:t>
      </w:r>
    </w:p>
    <w:p w14:paraId="35EB9B19"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pielęgnację przez posypywanie piaskiem i polewanie wodą,</w:t>
      </w:r>
    </w:p>
    <w:p w14:paraId="2AA9CFF2" w14:textId="77777777" w:rsidR="00F45500" w:rsidRPr="007B192E" w:rsidRDefault="00F45500" w:rsidP="00F45500">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7B192E">
        <w:rPr>
          <w:rFonts w:ascii="Arial" w:hAnsi="Arial" w:cs="Arial"/>
          <w:color w:val="000000" w:themeColor="text1"/>
          <w:sz w:val="18"/>
          <w:szCs w:val="18"/>
        </w:rPr>
        <w:t>przeprowadzenie badań i pomiarów wymaganych w specyfikacji technicznej.</w:t>
      </w:r>
    </w:p>
    <w:p w14:paraId="4F9B43CA" w14:textId="77777777" w:rsidR="00F45500" w:rsidRPr="007B192E" w:rsidRDefault="000D0545" w:rsidP="000D0545">
      <w:pPr>
        <w:pStyle w:val="Nagwek2"/>
        <w:rPr>
          <w:i w:val="0"/>
          <w:color w:val="000000" w:themeColor="text1"/>
        </w:rPr>
      </w:pPr>
      <w:bookmarkStart w:id="408" w:name="_Toc429551230"/>
      <w:r w:rsidRPr="007B192E">
        <w:rPr>
          <w:i w:val="0"/>
          <w:color w:val="000000" w:themeColor="text1"/>
        </w:rPr>
        <w:t>10. PRZEPISY ZWIĄZANE</w:t>
      </w:r>
      <w:bookmarkEnd w:id="408"/>
    </w:p>
    <w:p w14:paraId="12848429"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10.1. Normy</w:t>
      </w:r>
    </w:p>
    <w:tbl>
      <w:tblPr>
        <w:tblW w:w="0" w:type="auto"/>
        <w:tblLayout w:type="fixed"/>
        <w:tblCellMar>
          <w:left w:w="70" w:type="dxa"/>
          <w:right w:w="70" w:type="dxa"/>
        </w:tblCellMar>
        <w:tblLook w:val="04A0" w:firstRow="1" w:lastRow="0" w:firstColumn="1" w:lastColumn="0" w:noHBand="0" w:noVBand="1"/>
      </w:tblPr>
      <w:tblGrid>
        <w:gridCol w:w="637"/>
        <w:gridCol w:w="1843"/>
        <w:gridCol w:w="5029"/>
      </w:tblGrid>
      <w:tr w:rsidR="004D7D23" w:rsidRPr="007B192E" w14:paraId="1686485F" w14:textId="77777777" w:rsidTr="008F7A94">
        <w:tc>
          <w:tcPr>
            <w:tcW w:w="637" w:type="dxa"/>
            <w:hideMark/>
          </w:tcPr>
          <w:p w14:paraId="00CEE254"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843" w:type="dxa"/>
            <w:hideMark/>
          </w:tcPr>
          <w:p w14:paraId="1BCD644B"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PN-B-06711</w:t>
            </w:r>
          </w:p>
        </w:tc>
        <w:tc>
          <w:tcPr>
            <w:tcW w:w="5029" w:type="dxa"/>
            <w:hideMark/>
          </w:tcPr>
          <w:p w14:paraId="318D586E"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mineralne. Piasek do betonów i zapraw</w:t>
            </w:r>
          </w:p>
        </w:tc>
      </w:tr>
      <w:tr w:rsidR="004D7D23" w:rsidRPr="007B192E" w14:paraId="7D5D89C2" w14:textId="77777777" w:rsidTr="008F7A94">
        <w:tc>
          <w:tcPr>
            <w:tcW w:w="637" w:type="dxa"/>
            <w:hideMark/>
          </w:tcPr>
          <w:p w14:paraId="38931C85"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843" w:type="dxa"/>
            <w:hideMark/>
          </w:tcPr>
          <w:p w14:paraId="7EB9FEC1"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PN-B-06712</w:t>
            </w:r>
          </w:p>
        </w:tc>
        <w:tc>
          <w:tcPr>
            <w:tcW w:w="5029" w:type="dxa"/>
          </w:tcPr>
          <w:p w14:paraId="406F31F1" w14:textId="77777777" w:rsidR="00F45500" w:rsidRPr="007B192E" w:rsidRDefault="00F45500" w:rsidP="008F7A94">
            <w:pPr>
              <w:numPr>
                <w:ilvl w:val="12"/>
                <w:numId w:val="0"/>
              </w:numPr>
              <w:jc w:val="both"/>
              <w:rPr>
                <w:rFonts w:ascii="Arial" w:hAnsi="Arial" w:cs="Arial"/>
                <w:color w:val="000000" w:themeColor="text1"/>
                <w:sz w:val="18"/>
                <w:szCs w:val="18"/>
              </w:rPr>
            </w:pPr>
            <w:r w:rsidRPr="007B192E">
              <w:rPr>
                <w:rFonts w:ascii="Arial" w:hAnsi="Arial" w:cs="Arial"/>
                <w:color w:val="000000" w:themeColor="text1"/>
                <w:sz w:val="18"/>
                <w:szCs w:val="18"/>
              </w:rPr>
              <w:t>Kruszywa mineralne do betonu zwykłego</w:t>
            </w:r>
          </w:p>
          <w:p w14:paraId="04DBBFE6"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p>
        </w:tc>
      </w:tr>
      <w:tr w:rsidR="004D7D23" w:rsidRPr="007B192E" w14:paraId="1750F117" w14:textId="77777777" w:rsidTr="008F7A94">
        <w:tc>
          <w:tcPr>
            <w:tcW w:w="637" w:type="dxa"/>
            <w:hideMark/>
          </w:tcPr>
          <w:p w14:paraId="087AC1F4"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843" w:type="dxa"/>
            <w:hideMark/>
          </w:tcPr>
          <w:p w14:paraId="686F6576"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PN-B-10021</w:t>
            </w:r>
          </w:p>
        </w:tc>
        <w:tc>
          <w:tcPr>
            <w:tcW w:w="5029" w:type="dxa"/>
            <w:hideMark/>
          </w:tcPr>
          <w:p w14:paraId="14944613"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Prefabrykaty budowlane z betonu. Metody pomiaru cech geometrycznych</w:t>
            </w:r>
          </w:p>
        </w:tc>
      </w:tr>
      <w:tr w:rsidR="004D7D23" w:rsidRPr="007B192E" w14:paraId="1CE56D23" w14:textId="77777777" w:rsidTr="008F7A94">
        <w:tc>
          <w:tcPr>
            <w:tcW w:w="637" w:type="dxa"/>
            <w:hideMark/>
          </w:tcPr>
          <w:p w14:paraId="173DBCF3" w14:textId="77777777" w:rsidR="00F45500" w:rsidRPr="007B192E" w:rsidRDefault="00F45500" w:rsidP="008F7A94">
            <w:pPr>
              <w:numPr>
                <w:ilvl w:val="12"/>
                <w:numId w:val="0"/>
              </w:numPr>
              <w:adjustRightInd w:val="0"/>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4.</w:t>
            </w:r>
          </w:p>
        </w:tc>
        <w:tc>
          <w:tcPr>
            <w:tcW w:w="1843" w:type="dxa"/>
            <w:hideMark/>
          </w:tcPr>
          <w:p w14:paraId="36867598" w14:textId="77777777" w:rsidR="00F45500" w:rsidRPr="007B192E" w:rsidRDefault="00F45500" w:rsidP="008F7A94">
            <w:pPr>
              <w:numPr>
                <w:ilvl w:val="12"/>
                <w:numId w:val="0"/>
              </w:numPr>
              <w:adjustRightInd w:val="0"/>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PN-B-19701</w:t>
            </w:r>
          </w:p>
        </w:tc>
        <w:tc>
          <w:tcPr>
            <w:tcW w:w="5029" w:type="dxa"/>
            <w:hideMark/>
          </w:tcPr>
          <w:p w14:paraId="5F5A0E5A"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Cement. Cement powszechnego użytku. Skład, wymagania i ocena zgodności</w:t>
            </w:r>
          </w:p>
        </w:tc>
      </w:tr>
      <w:tr w:rsidR="004D7D23" w:rsidRPr="007B192E" w14:paraId="68F3C47F" w14:textId="77777777" w:rsidTr="008F7A94">
        <w:tc>
          <w:tcPr>
            <w:tcW w:w="637" w:type="dxa"/>
            <w:hideMark/>
          </w:tcPr>
          <w:p w14:paraId="28989469"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843" w:type="dxa"/>
            <w:hideMark/>
          </w:tcPr>
          <w:p w14:paraId="00823892"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PN-B-32250</w:t>
            </w:r>
          </w:p>
        </w:tc>
        <w:tc>
          <w:tcPr>
            <w:tcW w:w="5029" w:type="dxa"/>
            <w:hideMark/>
          </w:tcPr>
          <w:p w14:paraId="1EC0E3E7"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Materiały budowlane. Woda do betonów i zapraw</w:t>
            </w:r>
          </w:p>
        </w:tc>
      </w:tr>
      <w:tr w:rsidR="004D7D23" w:rsidRPr="007B192E" w14:paraId="468EAF25" w14:textId="77777777" w:rsidTr="008F7A94">
        <w:tc>
          <w:tcPr>
            <w:tcW w:w="637" w:type="dxa"/>
            <w:hideMark/>
          </w:tcPr>
          <w:p w14:paraId="6AC62E96"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843" w:type="dxa"/>
            <w:hideMark/>
          </w:tcPr>
          <w:p w14:paraId="4FF62EF8"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BN-88/6731-08</w:t>
            </w:r>
          </w:p>
        </w:tc>
        <w:tc>
          <w:tcPr>
            <w:tcW w:w="5029" w:type="dxa"/>
            <w:hideMark/>
          </w:tcPr>
          <w:p w14:paraId="3274D150"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Cement. Transport i przechowywanie</w:t>
            </w:r>
          </w:p>
        </w:tc>
      </w:tr>
      <w:tr w:rsidR="004D7D23" w:rsidRPr="007B192E" w14:paraId="180B2627" w14:textId="77777777" w:rsidTr="008F7A94">
        <w:tc>
          <w:tcPr>
            <w:tcW w:w="637" w:type="dxa"/>
            <w:hideMark/>
          </w:tcPr>
          <w:p w14:paraId="6AE20A69"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1843" w:type="dxa"/>
            <w:hideMark/>
          </w:tcPr>
          <w:p w14:paraId="7CB65487"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BN-80/6775-03/01</w:t>
            </w:r>
          </w:p>
        </w:tc>
        <w:tc>
          <w:tcPr>
            <w:tcW w:w="5029" w:type="dxa"/>
            <w:hideMark/>
          </w:tcPr>
          <w:p w14:paraId="79D5BEF1"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Prefabrykaty budowlane z betonu. Elementy nawierzchni dróg, ulic, parkingów i torowisk tramwajowych. Wspólne wymagania i badania</w:t>
            </w:r>
          </w:p>
        </w:tc>
      </w:tr>
      <w:tr w:rsidR="004D7D23" w:rsidRPr="007B192E" w14:paraId="04DC2205" w14:textId="77777777" w:rsidTr="008F7A94">
        <w:tc>
          <w:tcPr>
            <w:tcW w:w="637" w:type="dxa"/>
            <w:hideMark/>
          </w:tcPr>
          <w:p w14:paraId="7EC370B8"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843" w:type="dxa"/>
            <w:hideMark/>
          </w:tcPr>
          <w:p w14:paraId="2AC838C8"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BN-80/6775-03/03</w:t>
            </w:r>
          </w:p>
        </w:tc>
        <w:tc>
          <w:tcPr>
            <w:tcW w:w="5029" w:type="dxa"/>
            <w:hideMark/>
          </w:tcPr>
          <w:p w14:paraId="5E3726E6"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Prefabrykaty budowlane z betonu. Elementy nawierzchni dróg, ulic, parkingów i torowisk tramwajowych. Płyty chodnikowe.</w:t>
            </w:r>
          </w:p>
        </w:tc>
      </w:tr>
      <w:tr w:rsidR="004D7D23" w:rsidRPr="007B192E" w14:paraId="27C90512" w14:textId="77777777" w:rsidTr="008F7A94">
        <w:tc>
          <w:tcPr>
            <w:tcW w:w="637" w:type="dxa"/>
            <w:hideMark/>
          </w:tcPr>
          <w:p w14:paraId="0C11D2D7"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1843" w:type="dxa"/>
            <w:hideMark/>
          </w:tcPr>
          <w:p w14:paraId="22D23E5A"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BN-64/8845-01</w:t>
            </w:r>
          </w:p>
        </w:tc>
        <w:tc>
          <w:tcPr>
            <w:tcW w:w="5029" w:type="dxa"/>
            <w:hideMark/>
          </w:tcPr>
          <w:p w14:paraId="76AEB7AB" w14:textId="77777777" w:rsidR="00F45500" w:rsidRPr="007B192E" w:rsidRDefault="00F45500" w:rsidP="008F7A94">
            <w:pPr>
              <w:numPr>
                <w:ilvl w:val="12"/>
                <w:numId w:val="0"/>
              </w:numPr>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Chodniki z płyt betonowych. Warunki techniczne wykonania i odbioru.</w:t>
            </w:r>
          </w:p>
        </w:tc>
      </w:tr>
    </w:tbl>
    <w:p w14:paraId="65D45762" w14:textId="77777777" w:rsidR="00F45500" w:rsidRPr="007B192E" w:rsidRDefault="00F45500" w:rsidP="00F45500">
      <w:pPr>
        <w:keepNext/>
        <w:numPr>
          <w:ilvl w:val="12"/>
          <w:numId w:val="0"/>
        </w:numPr>
        <w:spacing w:before="120" w:after="120"/>
        <w:jc w:val="both"/>
        <w:outlineLvl w:val="1"/>
        <w:rPr>
          <w:rFonts w:ascii="Arial" w:hAnsi="Arial" w:cs="Arial"/>
          <w:b/>
          <w:color w:val="000000" w:themeColor="text1"/>
          <w:sz w:val="18"/>
          <w:szCs w:val="18"/>
        </w:rPr>
      </w:pPr>
      <w:r w:rsidRPr="007B192E">
        <w:rPr>
          <w:rFonts w:ascii="Arial" w:hAnsi="Arial" w:cs="Arial"/>
          <w:b/>
          <w:color w:val="000000" w:themeColor="text1"/>
          <w:sz w:val="18"/>
          <w:szCs w:val="18"/>
        </w:rPr>
        <w:t>10.2. Inne dokumenty</w:t>
      </w:r>
    </w:p>
    <w:p w14:paraId="1E292E42" w14:textId="77777777" w:rsidR="00F45500" w:rsidRPr="007B192E" w:rsidRDefault="00F45500" w:rsidP="00F45500">
      <w:pPr>
        <w:jc w:val="both"/>
        <w:rPr>
          <w:rFonts w:ascii="Arial" w:hAnsi="Arial" w:cs="Arial"/>
          <w:b/>
          <w:bCs/>
          <w:color w:val="000000" w:themeColor="text1"/>
          <w:sz w:val="18"/>
          <w:szCs w:val="18"/>
        </w:rPr>
      </w:pPr>
      <w:r w:rsidRPr="007B192E">
        <w:rPr>
          <w:rFonts w:ascii="Arial" w:hAnsi="Arial" w:cs="Arial"/>
          <w:color w:val="000000" w:themeColor="text1"/>
          <w:sz w:val="18"/>
          <w:szCs w:val="18"/>
        </w:rPr>
        <w:tab/>
        <w:t>Nie występują.</w:t>
      </w:r>
    </w:p>
    <w:p w14:paraId="2CE063C8" w14:textId="77777777" w:rsidR="00F45500" w:rsidRPr="007B192E" w:rsidRDefault="00F45500" w:rsidP="00F45500">
      <w:pPr>
        <w:rPr>
          <w:rFonts w:ascii="Arial" w:hAnsi="Arial" w:cs="Arial"/>
          <w:b/>
          <w:bCs/>
          <w:color w:val="000000" w:themeColor="text1"/>
          <w:sz w:val="18"/>
          <w:szCs w:val="18"/>
        </w:rPr>
      </w:pPr>
      <w:r w:rsidRPr="007B192E">
        <w:rPr>
          <w:rFonts w:ascii="Arial" w:hAnsi="Arial" w:cs="Arial"/>
          <w:b/>
          <w:bCs/>
          <w:color w:val="000000" w:themeColor="text1"/>
          <w:sz w:val="18"/>
          <w:szCs w:val="18"/>
        </w:rPr>
        <w:br w:type="page"/>
      </w:r>
    </w:p>
    <w:p w14:paraId="3760C646" w14:textId="77777777" w:rsidR="009A4B03" w:rsidRPr="00BA5651" w:rsidRDefault="009A4B03" w:rsidP="009A4B03">
      <w:pPr>
        <w:pStyle w:val="Nagwek1"/>
        <w:jc w:val="center"/>
        <w:rPr>
          <w:color w:val="000000" w:themeColor="text1"/>
        </w:rPr>
      </w:pPr>
      <w:bookmarkStart w:id="409" w:name="_Toc163481066"/>
      <w:r w:rsidRPr="00BA5651">
        <w:rPr>
          <w:color w:val="000000" w:themeColor="text1"/>
          <w:sz w:val="40"/>
        </w:rPr>
        <w:lastRenderedPageBreak/>
        <w:t>D-08.02.0</w:t>
      </w:r>
      <w:r w:rsidR="00BA5651" w:rsidRPr="00BA5651">
        <w:rPr>
          <w:color w:val="000000" w:themeColor="text1"/>
          <w:sz w:val="40"/>
        </w:rPr>
        <w:t>3</w:t>
      </w:r>
      <w:r w:rsidRPr="00BA5651">
        <w:rPr>
          <w:color w:val="000000" w:themeColor="text1"/>
          <w:sz w:val="40"/>
        </w:rPr>
        <w:t xml:space="preserve"> CHODNIK Z </w:t>
      </w:r>
      <w:r w:rsidR="00BA5651" w:rsidRPr="00BA5651">
        <w:rPr>
          <w:color w:val="000000" w:themeColor="text1"/>
          <w:sz w:val="40"/>
        </w:rPr>
        <w:t>PŁYT</w:t>
      </w:r>
      <w:r w:rsidRPr="00BA5651">
        <w:rPr>
          <w:color w:val="000000" w:themeColor="text1"/>
          <w:sz w:val="40"/>
        </w:rPr>
        <w:t xml:space="preserve"> KAMIENN</w:t>
      </w:r>
      <w:r w:rsidR="00BA5651" w:rsidRPr="00BA5651">
        <w:rPr>
          <w:color w:val="000000" w:themeColor="text1"/>
          <w:sz w:val="40"/>
        </w:rPr>
        <w:t>YCH</w:t>
      </w:r>
      <w:bookmarkEnd w:id="409"/>
    </w:p>
    <w:p w14:paraId="16A3445F" w14:textId="77777777" w:rsidR="00BA5651" w:rsidRPr="001578BC" w:rsidRDefault="00BA5651" w:rsidP="00BA5651">
      <w:pPr>
        <w:pStyle w:val="Nagwek2"/>
        <w:rPr>
          <w:i w:val="0"/>
        </w:rPr>
      </w:pPr>
      <w:r w:rsidRPr="001578BC">
        <w:rPr>
          <w:i w:val="0"/>
        </w:rPr>
        <w:t>1. WSTĘP</w:t>
      </w:r>
    </w:p>
    <w:p w14:paraId="1082BB4B" w14:textId="77777777" w:rsidR="00BA5651" w:rsidRPr="00731F48" w:rsidRDefault="00BA5651" w:rsidP="00BA5651">
      <w:pPr>
        <w:keepNext/>
        <w:spacing w:before="120" w:after="120" w:line="216" w:lineRule="auto"/>
        <w:jc w:val="both"/>
        <w:outlineLvl w:val="1"/>
        <w:rPr>
          <w:rFonts w:ascii="Arial" w:hAnsi="Arial" w:cs="Arial"/>
          <w:b/>
          <w:color w:val="000000" w:themeColor="text1"/>
          <w:sz w:val="18"/>
          <w:szCs w:val="18"/>
        </w:rPr>
      </w:pPr>
      <w:r w:rsidRPr="00731F48">
        <w:rPr>
          <w:rFonts w:ascii="Arial" w:hAnsi="Arial" w:cs="Arial"/>
          <w:b/>
          <w:color w:val="000000" w:themeColor="text1"/>
          <w:sz w:val="18"/>
          <w:szCs w:val="18"/>
        </w:rPr>
        <w:t>1.1. Przedmiot ST</w:t>
      </w:r>
    </w:p>
    <w:p w14:paraId="0257EA5E" w14:textId="77777777" w:rsidR="00BA5651" w:rsidRDefault="00BA5651" w:rsidP="00BA5651">
      <w:pPr>
        <w:jc w:val="both"/>
        <w:rPr>
          <w:rFonts w:ascii="Arial" w:hAnsi="Arial" w:cs="Arial"/>
          <w:color w:val="000000" w:themeColor="text1"/>
          <w:sz w:val="18"/>
          <w:szCs w:val="18"/>
        </w:rPr>
      </w:pPr>
      <w:r w:rsidRPr="00731F48">
        <w:rPr>
          <w:rFonts w:ascii="Arial" w:hAnsi="Arial" w:cs="Arial"/>
          <w:b/>
          <w:color w:val="000000" w:themeColor="text1"/>
          <w:sz w:val="18"/>
          <w:szCs w:val="18"/>
        </w:rPr>
        <w:tab/>
      </w:r>
      <w:r w:rsidRPr="00731F48">
        <w:rPr>
          <w:rFonts w:ascii="Arial" w:hAnsi="Arial" w:cs="Arial"/>
          <w:color w:val="000000" w:themeColor="text1"/>
          <w:sz w:val="18"/>
          <w:szCs w:val="18"/>
        </w:rPr>
        <w:t xml:space="preserve">Przedmiotem niniejszej specyfikacji technicznej (ST) są wymagania dotyczące wykonania i odbioru robót związanych z wykonaniem chodnika z płyt </w:t>
      </w:r>
      <w:r>
        <w:rPr>
          <w:rFonts w:ascii="Arial" w:hAnsi="Arial" w:cs="Arial"/>
          <w:color w:val="000000" w:themeColor="text1"/>
          <w:sz w:val="18"/>
          <w:szCs w:val="18"/>
        </w:rPr>
        <w:t>kamiennych</w:t>
      </w:r>
      <w:r w:rsidRPr="00731F48">
        <w:rPr>
          <w:rFonts w:ascii="Arial" w:hAnsi="Arial" w:cs="Arial"/>
          <w:color w:val="000000" w:themeColor="text1"/>
          <w:sz w:val="18"/>
          <w:szCs w:val="18"/>
        </w:rPr>
        <w:t>.</w:t>
      </w:r>
    </w:p>
    <w:p w14:paraId="01C6BB85" w14:textId="77777777" w:rsidR="00BA5651" w:rsidRPr="00A25D52" w:rsidRDefault="00BA5651" w:rsidP="00BA5651">
      <w:pPr>
        <w:keepNext/>
        <w:spacing w:before="120" w:after="120" w:line="216" w:lineRule="auto"/>
        <w:jc w:val="both"/>
        <w:outlineLvl w:val="1"/>
        <w:rPr>
          <w:rFonts w:ascii="Arial" w:hAnsi="Arial" w:cs="Arial"/>
          <w:b/>
          <w:sz w:val="18"/>
          <w:szCs w:val="18"/>
        </w:rPr>
      </w:pPr>
      <w:r w:rsidRPr="00A25D52">
        <w:rPr>
          <w:rFonts w:ascii="Arial" w:hAnsi="Arial" w:cs="Arial"/>
          <w:b/>
          <w:sz w:val="18"/>
          <w:szCs w:val="18"/>
        </w:rPr>
        <w:t xml:space="preserve">1.2. </w:t>
      </w:r>
      <w:r w:rsidRPr="00A25D52">
        <w:rPr>
          <w:rFonts w:ascii="Arial" w:hAnsi="Arial" w:cs="Arial"/>
          <w:b/>
          <w:color w:val="000000" w:themeColor="text1"/>
          <w:sz w:val="18"/>
          <w:szCs w:val="18"/>
        </w:rPr>
        <w:t>Zakres</w:t>
      </w:r>
      <w:r w:rsidRPr="00A25D52">
        <w:rPr>
          <w:rFonts w:ascii="Arial" w:hAnsi="Arial" w:cs="Arial"/>
          <w:b/>
          <w:sz w:val="18"/>
          <w:szCs w:val="18"/>
        </w:rPr>
        <w:t xml:space="preserve"> stosowania ST</w:t>
      </w:r>
    </w:p>
    <w:p w14:paraId="4014869B" w14:textId="77777777" w:rsidR="00BA5651" w:rsidRPr="002D7DA3" w:rsidRDefault="00BA5651" w:rsidP="00BA5651">
      <w:pPr>
        <w:pStyle w:val="Standard"/>
        <w:tabs>
          <w:tab w:val="left" w:pos="630"/>
        </w:tabs>
        <w:spacing w:line="216" w:lineRule="auto"/>
        <w:jc w:val="both"/>
        <w:rPr>
          <w:rFonts w:ascii="Arial" w:hAnsi="Arial" w:cs="Arial"/>
          <w:sz w:val="20"/>
          <w:szCs w:val="20"/>
        </w:rPr>
      </w:pPr>
      <w:r w:rsidRPr="002D7DA3">
        <w:rPr>
          <w:rFonts w:ascii="Arial" w:hAnsi="Arial" w:cs="Arial"/>
          <w:sz w:val="20"/>
          <w:szCs w:val="20"/>
        </w:rPr>
        <w:tab/>
      </w:r>
      <w:r w:rsidRPr="00017405">
        <w:rPr>
          <w:rFonts w:ascii="Arial" w:hAnsi="Arial" w:cs="Arial"/>
          <w:sz w:val="18"/>
          <w:szCs w:val="20"/>
        </w:rPr>
        <w:t>Specyfikacja techniczna stanowi dokument przetargowy i kontraktowy stosowany przy zlecaniu i realizacji robót budowlanych wymienionych w punkcie 1.1.</w:t>
      </w:r>
    </w:p>
    <w:p w14:paraId="6E7CB601"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1.3. Zakres robót objętych ST</w:t>
      </w:r>
    </w:p>
    <w:p w14:paraId="415F246C" w14:textId="77777777" w:rsidR="00BA5651" w:rsidRPr="005D74D5" w:rsidRDefault="00BA5651" w:rsidP="00BA5651">
      <w:pPr>
        <w:pStyle w:val="Standard"/>
        <w:tabs>
          <w:tab w:val="left" w:pos="630"/>
        </w:tabs>
        <w:spacing w:line="216" w:lineRule="auto"/>
        <w:jc w:val="both"/>
        <w:rPr>
          <w:rFonts w:ascii="Arial" w:hAnsi="Arial" w:cs="Arial"/>
          <w:sz w:val="20"/>
          <w:szCs w:val="20"/>
        </w:rPr>
      </w:pPr>
      <w:r w:rsidRPr="005D74D5">
        <w:rPr>
          <w:rFonts w:ascii="Arial" w:hAnsi="Arial" w:cs="Arial"/>
          <w:b/>
          <w:sz w:val="20"/>
          <w:szCs w:val="20"/>
        </w:rPr>
        <w:tab/>
      </w:r>
      <w:r w:rsidRPr="00017405">
        <w:rPr>
          <w:rFonts w:ascii="Arial" w:hAnsi="Arial" w:cs="Arial"/>
          <w:sz w:val="18"/>
          <w:szCs w:val="20"/>
        </w:rPr>
        <w:t>Ustalenia zawarte w niniejszej specyfikacji dotyczą zasad prowadzenia robót związanych z wykonaniem chodnika z płyt kamiennych.</w:t>
      </w:r>
    </w:p>
    <w:p w14:paraId="7A0517FA"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1.4. Określenia podstawowe</w:t>
      </w:r>
    </w:p>
    <w:p w14:paraId="3075BC5F" w14:textId="77777777" w:rsidR="00BA5651" w:rsidRPr="005D74D5" w:rsidRDefault="00BA5651" w:rsidP="00BA5651">
      <w:pPr>
        <w:numPr>
          <w:ilvl w:val="12"/>
          <w:numId w:val="0"/>
        </w:numPr>
        <w:jc w:val="both"/>
        <w:rPr>
          <w:rFonts w:ascii="Arial" w:hAnsi="Arial" w:cs="Arial"/>
          <w:sz w:val="20"/>
        </w:rPr>
      </w:pPr>
      <w:r w:rsidRPr="00A25D52">
        <w:rPr>
          <w:rFonts w:ascii="Arial" w:hAnsi="Arial" w:cs="Arial"/>
          <w:b/>
          <w:sz w:val="18"/>
        </w:rPr>
        <w:t xml:space="preserve">1.4.1. </w:t>
      </w:r>
      <w:r w:rsidRPr="00017405">
        <w:rPr>
          <w:rFonts w:ascii="Arial" w:hAnsi="Arial" w:cs="Arial"/>
          <w:sz w:val="18"/>
        </w:rPr>
        <w:t>Płyty chodnikowe kamienne - elementy płytowe z kamienia naturalnego obcięte do określonych wymiarów i kształtu oraz mające odpowiednią fakturę powierzchni, przeznaczone do budowy chodnika dla pieszych.</w:t>
      </w:r>
    </w:p>
    <w:p w14:paraId="2FC84761" w14:textId="77777777" w:rsidR="00BA5651" w:rsidRPr="005D74D5" w:rsidRDefault="00BA5651" w:rsidP="00BA5651">
      <w:pPr>
        <w:numPr>
          <w:ilvl w:val="12"/>
          <w:numId w:val="0"/>
        </w:numPr>
        <w:spacing w:before="120"/>
        <w:jc w:val="both"/>
        <w:rPr>
          <w:rFonts w:ascii="Arial" w:hAnsi="Arial" w:cs="Arial"/>
          <w:sz w:val="20"/>
        </w:rPr>
      </w:pPr>
      <w:r w:rsidRPr="00A25D52">
        <w:rPr>
          <w:rFonts w:ascii="Arial" w:hAnsi="Arial" w:cs="Arial"/>
          <w:b/>
          <w:sz w:val="18"/>
        </w:rPr>
        <w:t xml:space="preserve">1.4.2. </w:t>
      </w:r>
      <w:r w:rsidRPr="00017405">
        <w:rPr>
          <w:rFonts w:ascii="Arial" w:hAnsi="Arial" w:cs="Arial"/>
          <w:sz w:val="18"/>
        </w:rPr>
        <w:t>Pozostałe określenia podstawowe są zgodne z obowiązującymi, odpowiednimi polskimi normami i z definicjami i z definicjami podanymi w ST D-M-00.00.00 „Wymagania ogólne” pkt 1.4.</w:t>
      </w:r>
    </w:p>
    <w:p w14:paraId="316716ED"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1.5. Ogólne wymagania dotyczące robót</w:t>
      </w:r>
    </w:p>
    <w:p w14:paraId="5AE74EE6" w14:textId="77777777" w:rsidR="00BA5651" w:rsidRPr="00017405" w:rsidRDefault="00BA5651" w:rsidP="00BA5651">
      <w:pPr>
        <w:numPr>
          <w:ilvl w:val="12"/>
          <w:numId w:val="0"/>
        </w:numPr>
        <w:jc w:val="both"/>
        <w:rPr>
          <w:rFonts w:ascii="Arial" w:hAnsi="Arial" w:cs="Arial"/>
          <w:sz w:val="18"/>
        </w:rPr>
      </w:pPr>
      <w:r w:rsidRPr="00017405">
        <w:rPr>
          <w:rFonts w:ascii="Arial" w:hAnsi="Arial" w:cs="Arial"/>
          <w:sz w:val="18"/>
        </w:rPr>
        <w:tab/>
        <w:t>Ogólne wymagania dotyczące robót podano w ST D-M-00.00.00 „Wymagania ogólne” pkt 1.5.</w:t>
      </w:r>
    </w:p>
    <w:p w14:paraId="76CAAE5C" w14:textId="77777777" w:rsidR="00BA5651" w:rsidRPr="005D74D5" w:rsidRDefault="00BA5651" w:rsidP="00BA5651">
      <w:pPr>
        <w:pStyle w:val="Nagwek2"/>
        <w:rPr>
          <w:sz w:val="20"/>
          <w:szCs w:val="20"/>
        </w:rPr>
      </w:pPr>
      <w:r w:rsidRPr="00017405">
        <w:rPr>
          <w:i w:val="0"/>
          <w:szCs w:val="20"/>
        </w:rPr>
        <w:t>2.</w:t>
      </w:r>
      <w:r w:rsidRPr="005D74D5">
        <w:rPr>
          <w:sz w:val="20"/>
          <w:szCs w:val="20"/>
        </w:rPr>
        <w:t xml:space="preserve"> </w:t>
      </w:r>
      <w:r w:rsidRPr="00017405">
        <w:rPr>
          <w:i w:val="0"/>
        </w:rPr>
        <w:t>MATERIAŁY</w:t>
      </w:r>
    </w:p>
    <w:p w14:paraId="588FF356" w14:textId="77777777" w:rsidR="00BA5651" w:rsidRPr="00A25D52" w:rsidRDefault="00BA5651" w:rsidP="00BA5651">
      <w:pPr>
        <w:keepNext/>
        <w:spacing w:before="120" w:after="120" w:line="216" w:lineRule="auto"/>
        <w:jc w:val="both"/>
        <w:outlineLvl w:val="1"/>
        <w:rPr>
          <w:rFonts w:ascii="Arial" w:hAnsi="Arial" w:cs="Arial"/>
          <w:b/>
          <w:sz w:val="18"/>
          <w:szCs w:val="18"/>
        </w:rPr>
      </w:pPr>
      <w:r w:rsidRPr="00A25D52">
        <w:rPr>
          <w:rFonts w:ascii="Arial" w:hAnsi="Arial" w:cs="Arial"/>
          <w:b/>
          <w:sz w:val="18"/>
          <w:szCs w:val="18"/>
        </w:rPr>
        <w:t xml:space="preserve">2.1. </w:t>
      </w:r>
      <w:r w:rsidRPr="00A25D52">
        <w:rPr>
          <w:rFonts w:ascii="Arial" w:hAnsi="Arial" w:cs="Arial"/>
          <w:b/>
          <w:color w:val="000000" w:themeColor="text1"/>
          <w:sz w:val="18"/>
          <w:szCs w:val="18"/>
        </w:rPr>
        <w:t>Ogólne</w:t>
      </w:r>
      <w:r w:rsidRPr="00A25D52">
        <w:rPr>
          <w:rFonts w:ascii="Arial" w:hAnsi="Arial" w:cs="Arial"/>
          <w:b/>
          <w:sz w:val="18"/>
          <w:szCs w:val="18"/>
        </w:rPr>
        <w:t xml:space="preserve"> wymagania dotyczące materiałów</w:t>
      </w:r>
    </w:p>
    <w:p w14:paraId="25770415" w14:textId="77777777" w:rsidR="00BA5651" w:rsidRPr="00017405" w:rsidRDefault="00BA5651" w:rsidP="00BA5651">
      <w:pPr>
        <w:numPr>
          <w:ilvl w:val="12"/>
          <w:numId w:val="0"/>
        </w:numPr>
        <w:jc w:val="both"/>
        <w:rPr>
          <w:rFonts w:ascii="Arial" w:hAnsi="Arial" w:cs="Arial"/>
          <w:sz w:val="18"/>
        </w:rPr>
      </w:pPr>
      <w:r w:rsidRPr="00017405">
        <w:rPr>
          <w:rFonts w:ascii="Arial" w:hAnsi="Arial" w:cs="Arial"/>
          <w:sz w:val="18"/>
        </w:rPr>
        <w:tab/>
        <w:t>Ogólne wymagania dotyczące materiałów, ich pozyskiwania i składowania, podano w ST D-M-00.00.00 „Wymagania ogólne” pkt 2.</w:t>
      </w:r>
    </w:p>
    <w:p w14:paraId="61E46B4D"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2.2. Płyty chodnikowe kamienne</w:t>
      </w:r>
    </w:p>
    <w:p w14:paraId="12F5425D" w14:textId="77777777" w:rsidR="00BA5651" w:rsidRPr="00A25D52" w:rsidRDefault="00BA5651" w:rsidP="00BA5651">
      <w:pPr>
        <w:numPr>
          <w:ilvl w:val="12"/>
          <w:numId w:val="0"/>
        </w:numPr>
        <w:jc w:val="both"/>
        <w:rPr>
          <w:rFonts w:ascii="Arial" w:hAnsi="Arial" w:cs="Arial"/>
          <w:b/>
          <w:sz w:val="18"/>
        </w:rPr>
      </w:pPr>
      <w:r w:rsidRPr="00A25D52">
        <w:rPr>
          <w:rFonts w:ascii="Arial" w:hAnsi="Arial" w:cs="Arial"/>
          <w:b/>
          <w:sz w:val="18"/>
        </w:rPr>
        <w:t>2.2.1. Rodzaje materiału kamiennego do wytwarzania płyt</w:t>
      </w:r>
    </w:p>
    <w:p w14:paraId="65FFB802" w14:textId="77777777" w:rsidR="00BA5651" w:rsidRPr="00017405" w:rsidRDefault="00BA5651" w:rsidP="00BA5651">
      <w:pPr>
        <w:numPr>
          <w:ilvl w:val="12"/>
          <w:numId w:val="0"/>
        </w:numPr>
        <w:spacing w:before="120"/>
        <w:jc w:val="both"/>
        <w:rPr>
          <w:rFonts w:ascii="Arial" w:hAnsi="Arial" w:cs="Arial"/>
          <w:sz w:val="18"/>
        </w:rPr>
      </w:pPr>
      <w:r w:rsidRPr="005D74D5">
        <w:rPr>
          <w:rFonts w:ascii="Arial" w:hAnsi="Arial" w:cs="Arial"/>
          <w:sz w:val="20"/>
        </w:rPr>
        <w:tab/>
      </w:r>
      <w:r w:rsidRPr="00017405">
        <w:rPr>
          <w:rFonts w:ascii="Arial" w:hAnsi="Arial" w:cs="Arial"/>
          <w:sz w:val="18"/>
        </w:rPr>
        <w:t xml:space="preserve">Do wykonania robót należy wykorzystać płyty kamiennej z rozbiórki nawierzchni istniejącej. </w:t>
      </w:r>
    </w:p>
    <w:p w14:paraId="1E4316D8" w14:textId="77777777" w:rsidR="00BA5651" w:rsidRPr="00A25D52" w:rsidRDefault="00BA5651" w:rsidP="00BA5651">
      <w:pPr>
        <w:numPr>
          <w:ilvl w:val="12"/>
          <w:numId w:val="0"/>
        </w:numPr>
        <w:jc w:val="both"/>
        <w:rPr>
          <w:rFonts w:ascii="Arial" w:hAnsi="Arial" w:cs="Arial"/>
          <w:b/>
          <w:sz w:val="18"/>
        </w:rPr>
      </w:pPr>
      <w:r w:rsidRPr="00A25D52">
        <w:rPr>
          <w:rFonts w:ascii="Arial" w:hAnsi="Arial" w:cs="Arial"/>
          <w:b/>
          <w:sz w:val="18"/>
        </w:rPr>
        <w:t>2.2.2. Składowanie płyt</w:t>
      </w:r>
    </w:p>
    <w:p w14:paraId="0ED02873" w14:textId="77777777" w:rsidR="00BA5651" w:rsidRPr="00017405" w:rsidRDefault="00BA5651" w:rsidP="00BA5651">
      <w:pPr>
        <w:numPr>
          <w:ilvl w:val="12"/>
          <w:numId w:val="0"/>
        </w:numPr>
        <w:spacing w:before="120"/>
        <w:jc w:val="both"/>
        <w:rPr>
          <w:rFonts w:ascii="Arial" w:hAnsi="Arial" w:cs="Arial"/>
          <w:sz w:val="18"/>
        </w:rPr>
      </w:pPr>
      <w:r w:rsidRPr="00017405">
        <w:rPr>
          <w:rFonts w:ascii="Arial" w:hAnsi="Arial" w:cs="Arial"/>
          <w:sz w:val="18"/>
        </w:rPr>
        <w:tab/>
        <w:t>Płyty kamienne powinny być składowane na podłożu wyrównanym i odwodnionym. Płyty powinny być posegregowane według rodzajów, odmian, typów i wymiarów. Płyty prostokątne powinny być ustawione na jednym z dłuższych boków, powierzchniami obrobionymi do siebie. Płyty należy ustawiać na podkładkach drewnianych i zabezpieczyć krawędzie przed uszkodzeniem przekładkami.</w:t>
      </w:r>
    </w:p>
    <w:p w14:paraId="62AC7E4B"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2.3. Piasek</w:t>
      </w:r>
    </w:p>
    <w:p w14:paraId="0E75FE22" w14:textId="77777777" w:rsidR="00BA5651" w:rsidRPr="00A25D52" w:rsidRDefault="00BA5651" w:rsidP="00BA5651">
      <w:pPr>
        <w:numPr>
          <w:ilvl w:val="12"/>
          <w:numId w:val="0"/>
        </w:numPr>
        <w:jc w:val="both"/>
        <w:rPr>
          <w:rFonts w:ascii="Arial" w:hAnsi="Arial" w:cs="Arial"/>
          <w:sz w:val="18"/>
        </w:rPr>
      </w:pPr>
      <w:r w:rsidRPr="00A25D52">
        <w:rPr>
          <w:rFonts w:ascii="Arial" w:hAnsi="Arial" w:cs="Arial"/>
          <w:sz w:val="18"/>
        </w:rPr>
        <w:tab/>
        <w:t>Piasek na podsypkę i do wypełnienia spoin powinien odpowiadać wymaganiom PN-B-06712 [2].</w:t>
      </w:r>
    </w:p>
    <w:p w14:paraId="5FA30DA1" w14:textId="77777777" w:rsidR="00BA5651" w:rsidRPr="00A25D52" w:rsidRDefault="00BA5651" w:rsidP="00BA5651">
      <w:pPr>
        <w:numPr>
          <w:ilvl w:val="12"/>
          <w:numId w:val="0"/>
        </w:numPr>
        <w:jc w:val="both"/>
        <w:rPr>
          <w:rFonts w:ascii="Arial" w:hAnsi="Arial" w:cs="Arial"/>
          <w:sz w:val="18"/>
        </w:rPr>
      </w:pPr>
      <w:r w:rsidRPr="00A25D52">
        <w:rPr>
          <w:rFonts w:ascii="Arial" w:hAnsi="Arial" w:cs="Arial"/>
          <w:sz w:val="18"/>
        </w:rPr>
        <w:tab/>
        <w:t>Piasek do zaprawy cementowo-piaskowej powinien odpowiadać wymaganiom PN-B-06711 [1].</w:t>
      </w:r>
    </w:p>
    <w:p w14:paraId="0D4ECAEF"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2.4. Cement</w:t>
      </w:r>
    </w:p>
    <w:p w14:paraId="22CBE674" w14:textId="77777777" w:rsidR="00BA5651" w:rsidRPr="00A25D52" w:rsidRDefault="00BA5651" w:rsidP="00BA5651">
      <w:pPr>
        <w:numPr>
          <w:ilvl w:val="12"/>
          <w:numId w:val="0"/>
        </w:numPr>
        <w:jc w:val="both"/>
        <w:rPr>
          <w:rFonts w:ascii="Arial" w:hAnsi="Arial" w:cs="Arial"/>
          <w:sz w:val="18"/>
        </w:rPr>
      </w:pPr>
      <w:r w:rsidRPr="00A25D52">
        <w:rPr>
          <w:rFonts w:ascii="Arial" w:hAnsi="Arial" w:cs="Arial"/>
          <w:sz w:val="18"/>
        </w:rPr>
        <w:tab/>
        <w:t>Cement do zaprawy cementowo-piaskowej powinien być cementem portlandzkim klasy „32,5” i odpowiadać wymaganiom PN-B-19701 [3].</w:t>
      </w:r>
    </w:p>
    <w:p w14:paraId="0354A964" w14:textId="77777777" w:rsidR="00BA5651" w:rsidRPr="00A25D52" w:rsidRDefault="00BA5651" w:rsidP="00BA5651">
      <w:pPr>
        <w:numPr>
          <w:ilvl w:val="12"/>
          <w:numId w:val="0"/>
        </w:numPr>
        <w:jc w:val="both"/>
        <w:rPr>
          <w:rFonts w:ascii="Arial" w:hAnsi="Arial" w:cs="Arial"/>
          <w:sz w:val="18"/>
        </w:rPr>
      </w:pPr>
      <w:r w:rsidRPr="00A25D52">
        <w:rPr>
          <w:rFonts w:ascii="Arial" w:hAnsi="Arial" w:cs="Arial"/>
          <w:sz w:val="18"/>
        </w:rPr>
        <w:tab/>
        <w:t>Przechowywanie cementu powinno być zgodne z BN-88/6731-08 [6].</w:t>
      </w:r>
    </w:p>
    <w:p w14:paraId="61F30C1C" w14:textId="77777777" w:rsidR="00BA5651" w:rsidRPr="00A25D52" w:rsidRDefault="00BA5651" w:rsidP="00BA5651">
      <w:pPr>
        <w:keepNext/>
        <w:spacing w:before="120" w:after="120" w:line="216" w:lineRule="auto"/>
        <w:jc w:val="both"/>
        <w:outlineLvl w:val="1"/>
        <w:rPr>
          <w:rFonts w:ascii="Arial" w:hAnsi="Arial" w:cs="Arial"/>
          <w:b/>
          <w:sz w:val="18"/>
        </w:rPr>
      </w:pPr>
      <w:r w:rsidRPr="00A25D52">
        <w:rPr>
          <w:rFonts w:ascii="Arial" w:hAnsi="Arial" w:cs="Arial"/>
          <w:b/>
          <w:sz w:val="18"/>
        </w:rPr>
        <w:t>2.5.  Woda</w:t>
      </w:r>
    </w:p>
    <w:p w14:paraId="44248383" w14:textId="77777777" w:rsidR="00BA5651" w:rsidRPr="00A25D52" w:rsidRDefault="00BA5651" w:rsidP="00BA5651">
      <w:pPr>
        <w:numPr>
          <w:ilvl w:val="12"/>
          <w:numId w:val="0"/>
        </w:numPr>
        <w:jc w:val="both"/>
        <w:rPr>
          <w:rFonts w:ascii="Arial" w:hAnsi="Arial" w:cs="Arial"/>
          <w:sz w:val="18"/>
        </w:rPr>
      </w:pPr>
      <w:r w:rsidRPr="00A25D52">
        <w:rPr>
          <w:rFonts w:ascii="Arial" w:hAnsi="Arial" w:cs="Arial"/>
          <w:sz w:val="18"/>
        </w:rPr>
        <w:tab/>
        <w:t>Woda powinna być odmiany „1” i odpowiadać wymaganiom PN-B-32250 [4].</w:t>
      </w:r>
    </w:p>
    <w:p w14:paraId="47D6144D" w14:textId="77777777" w:rsidR="00BA5651" w:rsidRPr="005D74D5" w:rsidRDefault="00BA5651" w:rsidP="00BA5651">
      <w:pPr>
        <w:pStyle w:val="Nagwek2"/>
        <w:rPr>
          <w:sz w:val="20"/>
        </w:rPr>
      </w:pPr>
      <w:r w:rsidRPr="00A25D52">
        <w:rPr>
          <w:i w:val="0"/>
        </w:rPr>
        <w:t>3.</w:t>
      </w:r>
      <w:r w:rsidRPr="00A25D52">
        <w:t xml:space="preserve"> </w:t>
      </w:r>
      <w:r w:rsidRPr="00A25D52">
        <w:rPr>
          <w:i w:val="0"/>
          <w:szCs w:val="20"/>
        </w:rPr>
        <w:t>SPRZĘT</w:t>
      </w:r>
    </w:p>
    <w:p w14:paraId="7AD5B465" w14:textId="77777777" w:rsidR="00BA5651" w:rsidRPr="00187029" w:rsidRDefault="00BA5651" w:rsidP="00BA5651">
      <w:pPr>
        <w:keepNext/>
        <w:spacing w:before="120" w:after="120" w:line="216" w:lineRule="auto"/>
        <w:jc w:val="both"/>
        <w:outlineLvl w:val="1"/>
        <w:rPr>
          <w:rFonts w:ascii="Arial" w:hAnsi="Arial" w:cs="Arial"/>
          <w:b/>
          <w:sz w:val="18"/>
          <w:szCs w:val="18"/>
        </w:rPr>
      </w:pPr>
      <w:r w:rsidRPr="00187029">
        <w:rPr>
          <w:rFonts w:ascii="Arial" w:hAnsi="Arial" w:cs="Arial"/>
          <w:b/>
          <w:sz w:val="18"/>
          <w:szCs w:val="18"/>
        </w:rPr>
        <w:t>3.1. Ogólne wymagania dotyczące sprzętu</w:t>
      </w:r>
    </w:p>
    <w:p w14:paraId="73769281" w14:textId="77777777" w:rsidR="00BA5651" w:rsidRPr="005D74D5" w:rsidRDefault="00BA5651" w:rsidP="00BA5651">
      <w:pPr>
        <w:numPr>
          <w:ilvl w:val="12"/>
          <w:numId w:val="0"/>
        </w:numPr>
        <w:tabs>
          <w:tab w:val="right" w:leader="dot" w:pos="-1985"/>
          <w:tab w:val="left" w:pos="284"/>
        </w:tabs>
        <w:jc w:val="both"/>
        <w:rPr>
          <w:rFonts w:ascii="Arial" w:hAnsi="Arial" w:cs="Arial"/>
          <w:sz w:val="20"/>
        </w:rPr>
      </w:pPr>
      <w:r w:rsidRPr="005D74D5">
        <w:rPr>
          <w:rFonts w:ascii="Arial" w:hAnsi="Arial" w:cs="Arial"/>
          <w:b/>
          <w:sz w:val="20"/>
        </w:rPr>
        <w:tab/>
      </w:r>
      <w:r w:rsidRPr="005D74D5">
        <w:rPr>
          <w:rFonts w:ascii="Arial" w:hAnsi="Arial" w:cs="Arial"/>
          <w:b/>
          <w:sz w:val="20"/>
        </w:rPr>
        <w:tab/>
      </w:r>
      <w:r w:rsidRPr="00440C9A">
        <w:rPr>
          <w:rFonts w:ascii="Arial" w:hAnsi="Arial" w:cs="Arial"/>
          <w:sz w:val="18"/>
        </w:rPr>
        <w:t>Ogólne wymagania dotyczące sprzętu podano w OST D-M-00.00.00 „Wymagania ogólne” pkt 3.</w:t>
      </w:r>
    </w:p>
    <w:p w14:paraId="26DF5CF8" w14:textId="77777777" w:rsidR="00BA5651" w:rsidRPr="00187029" w:rsidRDefault="00BA5651" w:rsidP="00BA5651">
      <w:pPr>
        <w:keepNext/>
        <w:spacing w:before="120" w:after="120" w:line="216" w:lineRule="auto"/>
        <w:jc w:val="both"/>
        <w:outlineLvl w:val="1"/>
        <w:rPr>
          <w:rFonts w:ascii="Arial" w:hAnsi="Arial" w:cs="Arial"/>
          <w:b/>
          <w:sz w:val="18"/>
          <w:szCs w:val="18"/>
        </w:rPr>
      </w:pPr>
      <w:r w:rsidRPr="00187029">
        <w:rPr>
          <w:rFonts w:ascii="Arial" w:hAnsi="Arial" w:cs="Arial"/>
          <w:b/>
          <w:sz w:val="18"/>
          <w:szCs w:val="18"/>
        </w:rPr>
        <w:t>3.2. Sprzęt do wykonania chodnika</w:t>
      </w:r>
    </w:p>
    <w:p w14:paraId="61FE648B" w14:textId="77777777" w:rsidR="00BA5651" w:rsidRPr="00440C9A" w:rsidRDefault="00BA5651" w:rsidP="00BA5651">
      <w:pPr>
        <w:numPr>
          <w:ilvl w:val="12"/>
          <w:numId w:val="0"/>
        </w:numPr>
        <w:tabs>
          <w:tab w:val="right" w:leader="dot" w:pos="-1985"/>
          <w:tab w:val="left" w:pos="284"/>
        </w:tabs>
        <w:jc w:val="both"/>
        <w:rPr>
          <w:rFonts w:ascii="Arial" w:hAnsi="Arial" w:cs="Arial"/>
          <w:sz w:val="18"/>
        </w:rPr>
      </w:pPr>
      <w:r w:rsidRPr="00440C9A">
        <w:rPr>
          <w:rFonts w:ascii="Arial" w:hAnsi="Arial" w:cs="Arial"/>
          <w:b/>
          <w:sz w:val="18"/>
        </w:rPr>
        <w:tab/>
      </w:r>
      <w:r w:rsidRPr="00440C9A">
        <w:rPr>
          <w:rFonts w:ascii="Arial" w:hAnsi="Arial" w:cs="Arial"/>
          <w:b/>
          <w:sz w:val="18"/>
        </w:rPr>
        <w:tab/>
      </w:r>
      <w:r w:rsidRPr="00440C9A">
        <w:rPr>
          <w:rFonts w:ascii="Arial" w:hAnsi="Arial" w:cs="Arial"/>
          <w:sz w:val="18"/>
        </w:rPr>
        <w:t>Wykonawca przystępujący do wykonania  chodnika z płyt kamiennych powinien wykazać się możliwością korzystania z następującego sprzętu:</w:t>
      </w:r>
    </w:p>
    <w:p w14:paraId="77640927" w14:textId="77777777" w:rsidR="00BA5651" w:rsidRPr="00440C9A" w:rsidRDefault="00BA5651" w:rsidP="00BA5651">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sz w:val="18"/>
        </w:rPr>
      </w:pPr>
      <w:r w:rsidRPr="00440C9A">
        <w:rPr>
          <w:rFonts w:ascii="Arial" w:hAnsi="Arial" w:cs="Arial"/>
          <w:sz w:val="18"/>
        </w:rPr>
        <w:t>betoniarek do wytwarzania zapraw,</w:t>
      </w:r>
    </w:p>
    <w:p w14:paraId="53C00325" w14:textId="77777777" w:rsidR="00BA5651" w:rsidRPr="00440C9A" w:rsidRDefault="00BA5651" w:rsidP="00BA5651">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sz w:val="18"/>
        </w:rPr>
      </w:pPr>
      <w:r w:rsidRPr="00440C9A">
        <w:rPr>
          <w:rFonts w:ascii="Arial" w:hAnsi="Arial" w:cs="Arial"/>
          <w:sz w:val="18"/>
        </w:rPr>
        <w:t>wibratorów płytowych, ubijaków ręcznych lub mechanicznych,</w:t>
      </w:r>
    </w:p>
    <w:p w14:paraId="08458487" w14:textId="77777777" w:rsidR="00BA5651" w:rsidRPr="00440C9A" w:rsidRDefault="00BA5651" w:rsidP="00BA5651">
      <w:pPr>
        <w:widowControl/>
        <w:numPr>
          <w:ilvl w:val="0"/>
          <w:numId w:val="196"/>
        </w:numPr>
        <w:tabs>
          <w:tab w:val="right" w:leader="dot" w:pos="-1985"/>
          <w:tab w:val="left" w:pos="284"/>
        </w:tabs>
        <w:suppressAutoHyphens w:val="0"/>
        <w:autoSpaceDN w:val="0"/>
        <w:adjustRightInd w:val="0"/>
        <w:jc w:val="both"/>
        <w:textAlignment w:val="auto"/>
        <w:rPr>
          <w:rFonts w:ascii="Arial" w:hAnsi="Arial" w:cs="Arial"/>
          <w:sz w:val="18"/>
        </w:rPr>
      </w:pPr>
      <w:r w:rsidRPr="00440C9A">
        <w:rPr>
          <w:rFonts w:ascii="Arial" w:hAnsi="Arial" w:cs="Arial"/>
          <w:sz w:val="18"/>
        </w:rPr>
        <w:t>drobnego sprzętu pomocniczego.</w:t>
      </w:r>
    </w:p>
    <w:p w14:paraId="6DF9D99A" w14:textId="77777777" w:rsidR="00BA5651" w:rsidRPr="001E4570" w:rsidRDefault="00BA5651" w:rsidP="00BA5651">
      <w:pPr>
        <w:pStyle w:val="Nagwek2"/>
        <w:rPr>
          <w:i w:val="0"/>
          <w:color w:val="000000" w:themeColor="text1"/>
        </w:rPr>
      </w:pPr>
      <w:r w:rsidRPr="001E4570">
        <w:rPr>
          <w:i w:val="0"/>
          <w:color w:val="000000" w:themeColor="text1"/>
        </w:rPr>
        <w:lastRenderedPageBreak/>
        <w:t>4. TRANSPORT</w:t>
      </w:r>
    </w:p>
    <w:p w14:paraId="251DC961"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rPr>
      </w:pPr>
      <w:r w:rsidRPr="001E4570">
        <w:rPr>
          <w:rFonts w:ascii="Arial" w:hAnsi="Arial" w:cs="Arial"/>
          <w:b/>
          <w:color w:val="000000" w:themeColor="text1"/>
          <w:sz w:val="18"/>
        </w:rPr>
        <w:t>4.1. Ogólne wymagania dotyczące transportu</w:t>
      </w:r>
    </w:p>
    <w:p w14:paraId="02C35F64" w14:textId="77777777" w:rsidR="00BA5651" w:rsidRPr="001E4570" w:rsidRDefault="00BA5651" w:rsidP="00BA5651">
      <w:pPr>
        <w:numPr>
          <w:ilvl w:val="12"/>
          <w:numId w:val="0"/>
        </w:numPr>
        <w:tabs>
          <w:tab w:val="right" w:leader="dot" w:pos="-1985"/>
          <w:tab w:val="left" w:pos="284"/>
        </w:tabs>
        <w:jc w:val="both"/>
        <w:rPr>
          <w:rFonts w:ascii="Arial" w:hAnsi="Arial" w:cs="Arial"/>
          <w:color w:val="000000" w:themeColor="text1"/>
          <w:sz w:val="18"/>
        </w:rPr>
      </w:pPr>
      <w:r w:rsidRPr="001E4570">
        <w:rPr>
          <w:rFonts w:ascii="Arial" w:hAnsi="Arial" w:cs="Arial"/>
          <w:color w:val="000000" w:themeColor="text1"/>
          <w:sz w:val="18"/>
        </w:rPr>
        <w:tab/>
      </w:r>
      <w:r w:rsidRPr="001E4570">
        <w:rPr>
          <w:rFonts w:ascii="Arial" w:hAnsi="Arial" w:cs="Arial"/>
          <w:color w:val="000000" w:themeColor="text1"/>
          <w:sz w:val="18"/>
        </w:rPr>
        <w:tab/>
        <w:t>Ogólne wymagania dotyczące transportu podano w ST D-M-00.00.00 „Wymagania ogólne” pkt 4.</w:t>
      </w:r>
    </w:p>
    <w:p w14:paraId="1C2F27F1"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4.2. Transport płyt chodnikowych kamiennych</w:t>
      </w:r>
    </w:p>
    <w:p w14:paraId="581C0D43" w14:textId="77777777" w:rsidR="00BA5651" w:rsidRPr="001E4570" w:rsidRDefault="00BA5651" w:rsidP="00BA5651">
      <w:pPr>
        <w:numPr>
          <w:ilvl w:val="12"/>
          <w:numId w:val="0"/>
        </w:numPr>
        <w:tabs>
          <w:tab w:val="right" w:leader="dot" w:pos="-1985"/>
          <w:tab w:val="left" w:pos="284"/>
        </w:tabs>
        <w:jc w:val="both"/>
        <w:rPr>
          <w:rFonts w:ascii="Arial" w:hAnsi="Arial" w:cs="Arial"/>
          <w:color w:val="000000" w:themeColor="text1"/>
          <w:sz w:val="20"/>
        </w:rPr>
      </w:pPr>
      <w:r w:rsidRPr="001E4570">
        <w:rPr>
          <w:rFonts w:ascii="Arial" w:hAnsi="Arial" w:cs="Arial"/>
          <w:b/>
          <w:color w:val="000000" w:themeColor="text1"/>
          <w:sz w:val="20"/>
        </w:rPr>
        <w:tab/>
      </w:r>
      <w:r w:rsidRPr="001E4570">
        <w:rPr>
          <w:rFonts w:ascii="Arial" w:hAnsi="Arial" w:cs="Arial"/>
          <w:b/>
          <w:color w:val="000000" w:themeColor="text1"/>
          <w:sz w:val="20"/>
        </w:rPr>
        <w:tab/>
      </w:r>
      <w:r w:rsidRPr="001E4570">
        <w:rPr>
          <w:rFonts w:ascii="Arial" w:hAnsi="Arial" w:cs="Arial"/>
          <w:color w:val="000000" w:themeColor="text1"/>
          <w:sz w:val="20"/>
        </w:rPr>
        <w:t xml:space="preserve">Płyty mogą być przewożone dowolnymi środkami transportowymi. </w:t>
      </w:r>
    </w:p>
    <w:p w14:paraId="4735A379" w14:textId="77777777" w:rsidR="00BA5651" w:rsidRPr="001E4570" w:rsidRDefault="00BA5651" w:rsidP="00BA5651">
      <w:pPr>
        <w:numPr>
          <w:ilvl w:val="12"/>
          <w:numId w:val="0"/>
        </w:numPr>
        <w:tabs>
          <w:tab w:val="right" w:leader="dot" w:pos="-1985"/>
          <w:tab w:val="left" w:pos="284"/>
        </w:tabs>
        <w:jc w:val="both"/>
        <w:rPr>
          <w:rFonts w:ascii="Arial" w:hAnsi="Arial" w:cs="Arial"/>
          <w:color w:val="000000" w:themeColor="text1"/>
          <w:sz w:val="20"/>
        </w:rPr>
      </w:pPr>
      <w:r w:rsidRPr="001E4570">
        <w:rPr>
          <w:rFonts w:ascii="Arial" w:hAnsi="Arial" w:cs="Arial"/>
          <w:color w:val="000000" w:themeColor="text1"/>
          <w:sz w:val="20"/>
        </w:rPr>
        <w:tab/>
      </w:r>
      <w:r w:rsidRPr="001E4570">
        <w:rPr>
          <w:rFonts w:ascii="Arial" w:hAnsi="Arial" w:cs="Arial"/>
          <w:color w:val="000000" w:themeColor="text1"/>
          <w:sz w:val="20"/>
        </w:rPr>
        <w:tab/>
        <w:t>Płyty powinny być zabezpieczone przed przemieszczeniem się i uszkodzeniami w czasie transportu.</w:t>
      </w:r>
    </w:p>
    <w:p w14:paraId="6FCD3484" w14:textId="77777777" w:rsidR="00BA5651" w:rsidRPr="00440C9A" w:rsidRDefault="00BA5651" w:rsidP="00BA5651">
      <w:pPr>
        <w:pStyle w:val="Nagwek2"/>
        <w:rPr>
          <w:color w:val="FF0000"/>
          <w:sz w:val="20"/>
        </w:rPr>
      </w:pPr>
      <w:r w:rsidRPr="001E4570">
        <w:rPr>
          <w:i w:val="0"/>
        </w:rPr>
        <w:t>5</w:t>
      </w:r>
      <w:r w:rsidRPr="001E4570">
        <w:rPr>
          <w:i w:val="0"/>
          <w:color w:val="000000" w:themeColor="text1"/>
        </w:rPr>
        <w:t>.</w:t>
      </w:r>
      <w:r w:rsidRPr="00440C9A">
        <w:rPr>
          <w:color w:val="FF0000"/>
          <w:sz w:val="20"/>
        </w:rPr>
        <w:t xml:space="preserve"> </w:t>
      </w:r>
      <w:r w:rsidRPr="001E4570">
        <w:rPr>
          <w:i w:val="0"/>
        </w:rPr>
        <w:t>WYKONANIE</w:t>
      </w:r>
      <w:r w:rsidRPr="00440C9A">
        <w:rPr>
          <w:color w:val="FF0000"/>
          <w:sz w:val="20"/>
        </w:rPr>
        <w:t xml:space="preserve"> </w:t>
      </w:r>
      <w:r w:rsidRPr="001E4570">
        <w:rPr>
          <w:i w:val="0"/>
        </w:rPr>
        <w:t>ROBÓT</w:t>
      </w:r>
    </w:p>
    <w:p w14:paraId="2E64AACF"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5.1. Ogólne zasady wykonania robót</w:t>
      </w:r>
    </w:p>
    <w:p w14:paraId="66F98E9B" w14:textId="77777777" w:rsidR="00BA5651" w:rsidRPr="001E4570" w:rsidRDefault="00BA5651" w:rsidP="00BA5651">
      <w:pPr>
        <w:numPr>
          <w:ilvl w:val="12"/>
          <w:numId w:val="0"/>
        </w:numPr>
        <w:jc w:val="both"/>
        <w:rPr>
          <w:rFonts w:ascii="Arial" w:hAnsi="Arial" w:cs="Arial"/>
          <w:color w:val="FF0000"/>
          <w:sz w:val="18"/>
        </w:rPr>
      </w:pPr>
      <w:r w:rsidRPr="001E4570">
        <w:rPr>
          <w:rFonts w:ascii="Arial" w:hAnsi="Arial" w:cs="Arial"/>
          <w:b/>
          <w:color w:val="000000" w:themeColor="text1"/>
          <w:sz w:val="18"/>
        </w:rPr>
        <w:tab/>
      </w:r>
      <w:r w:rsidRPr="001E4570">
        <w:rPr>
          <w:rFonts w:ascii="Arial" w:hAnsi="Arial" w:cs="Arial"/>
          <w:color w:val="000000" w:themeColor="text1"/>
          <w:sz w:val="18"/>
        </w:rPr>
        <w:t>Ogólne zasady wykonania robót podano w ST D-M-00.00.00 „Wymagania ogólne” pkt 5.</w:t>
      </w:r>
    </w:p>
    <w:p w14:paraId="0EE0AE1F"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5.2. Koryto pod chodnik</w:t>
      </w:r>
    </w:p>
    <w:p w14:paraId="5C849E9F"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 xml:space="preserve">Koryto wykonane w podłożu powinno być wyprofilowane zgodnie z projektowanymi spadkami podłużnymi i poprzecznymi chodnika oraz zgodnie z wymaganiami podanymi w ST D-04.01.01 „Koryto wraz z profilowaniem i zagęszczeniem podłoża”. Wskaźnik zagęszczenia koryta nie może być mniejszy od 0,97 według normalnej metody </w:t>
      </w:r>
      <w:proofErr w:type="spellStart"/>
      <w:r w:rsidRPr="001E4570">
        <w:rPr>
          <w:rFonts w:ascii="Arial" w:hAnsi="Arial" w:cs="Arial"/>
          <w:color w:val="000000" w:themeColor="text1"/>
          <w:sz w:val="18"/>
        </w:rPr>
        <w:t>Proctora</w:t>
      </w:r>
      <w:proofErr w:type="spellEnd"/>
      <w:r w:rsidRPr="001E4570">
        <w:rPr>
          <w:rFonts w:ascii="Arial" w:hAnsi="Arial" w:cs="Arial"/>
          <w:color w:val="000000" w:themeColor="text1"/>
          <w:sz w:val="18"/>
        </w:rPr>
        <w:t>.</w:t>
      </w:r>
    </w:p>
    <w:p w14:paraId="66C61EEA"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5.3. Podsypka</w:t>
      </w:r>
    </w:p>
    <w:p w14:paraId="599CD916"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Podsypka może być wykonana ze średnio- lub gruboziarnistego piasku lub z piasku zmieszanego z cementem w proporcji i o grubości określonej w dokumentacji projektowej lub SST.</w:t>
      </w:r>
    </w:p>
    <w:p w14:paraId="71411846" w14:textId="77777777" w:rsidR="00BA5651" w:rsidRPr="001E4570" w:rsidRDefault="00BA5651" w:rsidP="00BA5651">
      <w:pPr>
        <w:numPr>
          <w:ilvl w:val="12"/>
          <w:numId w:val="0"/>
        </w:numPr>
        <w:ind w:firstLine="709"/>
        <w:jc w:val="both"/>
        <w:rPr>
          <w:rFonts w:ascii="Arial" w:hAnsi="Arial" w:cs="Arial"/>
          <w:color w:val="000000" w:themeColor="text1"/>
          <w:sz w:val="18"/>
        </w:rPr>
      </w:pPr>
      <w:r w:rsidRPr="001E4570">
        <w:rPr>
          <w:rFonts w:ascii="Arial" w:hAnsi="Arial" w:cs="Arial"/>
          <w:color w:val="000000" w:themeColor="text1"/>
          <w:sz w:val="18"/>
        </w:rPr>
        <w:t xml:space="preserve"> Podsypka powinna być zwilżona wodą, zagęszczona i wyprofilowana.</w:t>
      </w:r>
    </w:p>
    <w:p w14:paraId="694D3C39"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5.5. Układanie chodnika z płyt kamiennych</w:t>
      </w:r>
    </w:p>
    <w:p w14:paraId="530C4E38"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Płyty należy układać zgodnie ze wzorem podanym  w dokumentacji projektowej, SST lub określonym przez Inżyniera. Pochylenie poprzeczne nie powinno być większe od   1 do 2%, a w przypadkach uzasadnionych, zaakceptowanych przez Inżyniera, do 3%.</w:t>
      </w:r>
    </w:p>
    <w:p w14:paraId="1A218952"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Płyty przy krawężnikach ustawionych wzdłuż jezdni należy układać w taki sposób, aby ich górna krawędź znajdowała się do 2 cm powyżej górnej krawędzi krawężnika.</w:t>
      </w:r>
    </w:p>
    <w:p w14:paraId="139DD380"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Obrzeże może wystawać ponad poziom chodnika na wysokość od 2 do 5 cm, znajdować się na poziomie chodnika lub 1 do 2 cm niżej dla zapewnienia odwodnienia chodnika.</w:t>
      </w:r>
    </w:p>
    <w:p w14:paraId="28C79EA2" w14:textId="77777777" w:rsidR="00BA5651" w:rsidRPr="001E4570" w:rsidRDefault="00BA5651" w:rsidP="00BA5651">
      <w:pPr>
        <w:numPr>
          <w:ilvl w:val="12"/>
          <w:numId w:val="0"/>
        </w:numPr>
        <w:ind w:firstLine="709"/>
        <w:jc w:val="both"/>
        <w:rPr>
          <w:rFonts w:ascii="Arial" w:hAnsi="Arial" w:cs="Arial"/>
          <w:color w:val="000000" w:themeColor="text1"/>
          <w:sz w:val="18"/>
        </w:rPr>
      </w:pPr>
      <w:r w:rsidRPr="001E4570">
        <w:rPr>
          <w:rFonts w:ascii="Arial" w:hAnsi="Arial" w:cs="Arial"/>
          <w:color w:val="000000" w:themeColor="text1"/>
          <w:sz w:val="18"/>
        </w:rPr>
        <w:t xml:space="preserve">Płyty na łukach o promieniu do 30 m powinny być układane w odcinkach prostych, łączących się przy użyciu trójkątów lub trapezów wykonanych z płyt odpowiednio dociętych. </w:t>
      </w:r>
    </w:p>
    <w:p w14:paraId="0D1D6B1F"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Płyty na łukach o promieniu ponad 30 m należy tak układać, aby spoiny rozszerzały się wachlarzowo. Płyty mogą też  być przycinane.</w:t>
      </w:r>
    </w:p>
    <w:p w14:paraId="3CA33591"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Przy urządzeniach naziemnych uzbrojenia podziemnego płyty odpowiednio docięte należy układać w jednym poziomie, regulując wysokość urządzeń naziemnych do poziomu chodnika.</w:t>
      </w:r>
    </w:p>
    <w:p w14:paraId="5C4AC315"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Płyty chodnikowe przy urządzeniach naziemnych uzbrojenia podziemnego należy zalać zaprawą cementowo-piaskową.</w:t>
      </w:r>
    </w:p>
    <w:p w14:paraId="3B2ADA71"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5.6. Spoiny</w:t>
      </w:r>
    </w:p>
    <w:p w14:paraId="760AE469" w14:textId="77777777" w:rsidR="00BA5651" w:rsidRPr="001E4570" w:rsidRDefault="00BA5651" w:rsidP="00BA5651">
      <w:pPr>
        <w:numPr>
          <w:ilvl w:val="12"/>
          <w:numId w:val="0"/>
        </w:numPr>
        <w:jc w:val="both"/>
        <w:rPr>
          <w:rFonts w:ascii="Arial" w:hAnsi="Arial" w:cs="Arial"/>
          <w:color w:val="000000" w:themeColor="text1"/>
          <w:sz w:val="18"/>
        </w:rPr>
      </w:pPr>
      <w:r w:rsidRPr="001E4570">
        <w:rPr>
          <w:rFonts w:ascii="Arial" w:hAnsi="Arial" w:cs="Arial"/>
          <w:color w:val="000000" w:themeColor="text1"/>
          <w:sz w:val="18"/>
        </w:rPr>
        <w:tab/>
        <w:t>Szerokość spoin powinna wynosić:</w:t>
      </w:r>
    </w:p>
    <w:p w14:paraId="1AE9754D" w14:textId="77777777" w:rsidR="00BA5651" w:rsidRPr="001E4570"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1E4570">
        <w:rPr>
          <w:rFonts w:ascii="Arial" w:hAnsi="Arial" w:cs="Arial"/>
          <w:color w:val="000000" w:themeColor="text1"/>
          <w:sz w:val="18"/>
        </w:rPr>
        <w:t>na odcinkach prostych do 0,8 cm,</w:t>
      </w:r>
    </w:p>
    <w:p w14:paraId="0945C6D8" w14:textId="77777777" w:rsidR="00BA5651" w:rsidRPr="001E4570"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1E4570">
        <w:rPr>
          <w:rFonts w:ascii="Arial" w:hAnsi="Arial" w:cs="Arial"/>
          <w:color w:val="000000" w:themeColor="text1"/>
          <w:sz w:val="18"/>
        </w:rPr>
        <w:t>na łukach do 3 cm.</w:t>
      </w:r>
    </w:p>
    <w:p w14:paraId="54EA04F7" w14:textId="77777777" w:rsidR="00BA5651" w:rsidRPr="001E4570" w:rsidRDefault="00BA5651" w:rsidP="00BA5651">
      <w:pPr>
        <w:jc w:val="both"/>
        <w:rPr>
          <w:rFonts w:ascii="Arial" w:hAnsi="Arial" w:cs="Arial"/>
          <w:color w:val="000000" w:themeColor="text1"/>
          <w:sz w:val="18"/>
        </w:rPr>
      </w:pPr>
      <w:r w:rsidRPr="001E4570">
        <w:rPr>
          <w:rFonts w:ascii="Arial" w:hAnsi="Arial" w:cs="Arial"/>
          <w:color w:val="000000" w:themeColor="text1"/>
          <w:sz w:val="18"/>
        </w:rPr>
        <w:tab/>
        <w:t>Spoiny pomiędzy płytami, po ich oczyszczeniu,  powinny być zamulone piaskiem na pełną grubość płyty lub wypełnione zaprawą cementowo-piaskową.</w:t>
      </w:r>
    </w:p>
    <w:p w14:paraId="30CD4FEC"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5.7. Pielęgnacja chodnika</w:t>
      </w:r>
    </w:p>
    <w:p w14:paraId="4F7FE28E" w14:textId="77777777" w:rsidR="00BA5651" w:rsidRPr="001E4570" w:rsidRDefault="00BA5651" w:rsidP="00BA5651">
      <w:pPr>
        <w:jc w:val="both"/>
        <w:rPr>
          <w:rFonts w:ascii="Arial" w:hAnsi="Arial" w:cs="Arial"/>
          <w:color w:val="000000" w:themeColor="text1"/>
          <w:sz w:val="18"/>
        </w:rPr>
      </w:pPr>
      <w:r w:rsidRPr="001E4570">
        <w:rPr>
          <w:rFonts w:ascii="Arial" w:hAnsi="Arial" w:cs="Arial"/>
          <w:color w:val="000000" w:themeColor="text1"/>
          <w:sz w:val="18"/>
        </w:rPr>
        <w:tab/>
        <w:t>Chodnik o spoinach wypełnionych piaskiem można oddać do użytku bezpośrednio po jego wykonaniu</w:t>
      </w:r>
    </w:p>
    <w:p w14:paraId="782348E9" w14:textId="77777777" w:rsidR="00BA5651" w:rsidRPr="001E4570" w:rsidRDefault="00BA5651" w:rsidP="00BA5651">
      <w:pPr>
        <w:jc w:val="both"/>
        <w:rPr>
          <w:rFonts w:ascii="Arial" w:hAnsi="Arial" w:cs="Arial"/>
          <w:color w:val="000000" w:themeColor="text1"/>
          <w:sz w:val="18"/>
        </w:rPr>
      </w:pPr>
      <w:r w:rsidRPr="001E4570">
        <w:rPr>
          <w:rFonts w:ascii="Arial" w:hAnsi="Arial" w:cs="Arial"/>
          <w:color w:val="000000" w:themeColor="text1"/>
          <w:sz w:val="18"/>
        </w:rPr>
        <w:tab/>
        <w:t>Chodnik o spoinach wypełnionych zaprawą cementowo-piaskową, po jego wykonaniu,  należy pokryć warstwą wilgotnego piasku o grubości od 1,0 do 1,5 cm i utrzymywać go w stanie wilgotnym w ciągu 10 dni.</w:t>
      </w:r>
    </w:p>
    <w:p w14:paraId="7CB0FEFD" w14:textId="77777777" w:rsidR="00BA5651" w:rsidRPr="001E4570" w:rsidRDefault="00BA5651" w:rsidP="00BA5651">
      <w:pPr>
        <w:pStyle w:val="Nagwek2"/>
        <w:rPr>
          <w:i w:val="0"/>
        </w:rPr>
      </w:pPr>
      <w:r w:rsidRPr="001E4570">
        <w:rPr>
          <w:i w:val="0"/>
        </w:rPr>
        <w:t xml:space="preserve">6. </w:t>
      </w:r>
      <w:r>
        <w:rPr>
          <w:i w:val="0"/>
        </w:rPr>
        <w:t>KONTROLA JAKOŚCI ROBÓT</w:t>
      </w:r>
    </w:p>
    <w:p w14:paraId="2D3322ED"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6.1. Ogólne zasady kontroli jakości robót</w:t>
      </w:r>
    </w:p>
    <w:p w14:paraId="1DCFB10C" w14:textId="77777777" w:rsidR="00BA5651" w:rsidRPr="001E4570" w:rsidRDefault="00BA5651" w:rsidP="00BA5651">
      <w:pPr>
        <w:jc w:val="both"/>
        <w:rPr>
          <w:rFonts w:ascii="Arial" w:hAnsi="Arial" w:cs="Arial"/>
          <w:color w:val="000000" w:themeColor="text1"/>
          <w:sz w:val="18"/>
        </w:rPr>
      </w:pPr>
      <w:r w:rsidRPr="001E4570">
        <w:rPr>
          <w:rFonts w:ascii="Arial" w:hAnsi="Arial" w:cs="Arial"/>
          <w:color w:val="000000" w:themeColor="text1"/>
          <w:sz w:val="18"/>
        </w:rPr>
        <w:tab/>
        <w:t>Ogólne zasady kontroli jakości robót podano w ST D-M-00.00.00 „Wymagania ogólne” pkt 6.</w:t>
      </w:r>
    </w:p>
    <w:p w14:paraId="43C7CFC2" w14:textId="77777777" w:rsidR="00BA5651" w:rsidRPr="001E4570" w:rsidRDefault="00BA5651" w:rsidP="00BA5651">
      <w:pPr>
        <w:keepNext/>
        <w:spacing w:before="120" w:after="120" w:line="216" w:lineRule="auto"/>
        <w:jc w:val="both"/>
        <w:outlineLvl w:val="1"/>
        <w:rPr>
          <w:rFonts w:ascii="Arial" w:hAnsi="Arial" w:cs="Arial"/>
          <w:b/>
          <w:color w:val="000000" w:themeColor="text1"/>
          <w:sz w:val="18"/>
          <w:szCs w:val="18"/>
        </w:rPr>
      </w:pPr>
      <w:r w:rsidRPr="001E4570">
        <w:rPr>
          <w:rFonts w:ascii="Arial" w:hAnsi="Arial" w:cs="Arial"/>
          <w:b/>
          <w:color w:val="000000" w:themeColor="text1"/>
          <w:sz w:val="18"/>
          <w:szCs w:val="18"/>
        </w:rPr>
        <w:t>6.2. Badania przed przystąpieniem do robót</w:t>
      </w:r>
    </w:p>
    <w:p w14:paraId="637A1A5E" w14:textId="77777777" w:rsidR="00BA5651" w:rsidRPr="00D73FEF" w:rsidRDefault="00BA5651" w:rsidP="00BA5651">
      <w:pPr>
        <w:jc w:val="both"/>
        <w:rPr>
          <w:rFonts w:ascii="Arial" w:hAnsi="Arial" w:cs="Arial"/>
          <w:color w:val="000000" w:themeColor="text1"/>
          <w:sz w:val="18"/>
        </w:rPr>
      </w:pPr>
      <w:r w:rsidRPr="00D73FEF">
        <w:rPr>
          <w:rFonts w:ascii="Arial" w:hAnsi="Arial" w:cs="Arial"/>
          <w:color w:val="000000" w:themeColor="text1"/>
          <w:sz w:val="18"/>
        </w:rPr>
        <w:tab/>
        <w:t>Przed przystąpieniem do robót Wykonawca powinien przedstawić Inżynierowi  do akceptacji wyniki badań materiałów przeznaczonych do budowy chodnika z płyt kamiennych:</w:t>
      </w:r>
    </w:p>
    <w:p w14:paraId="5E5280A2" w14:textId="77777777" w:rsidR="00BA5651" w:rsidRPr="00D73FEF" w:rsidRDefault="00BA5651" w:rsidP="00BA5651">
      <w:pPr>
        <w:widowControl/>
        <w:numPr>
          <w:ilvl w:val="0"/>
          <w:numId w:val="341"/>
        </w:numPr>
        <w:suppressAutoHyphens w:val="0"/>
        <w:autoSpaceDN w:val="0"/>
        <w:adjustRightInd w:val="0"/>
        <w:jc w:val="both"/>
        <w:textAlignment w:val="auto"/>
        <w:rPr>
          <w:rFonts w:ascii="Arial" w:hAnsi="Arial" w:cs="Arial"/>
          <w:color w:val="000000" w:themeColor="text1"/>
          <w:sz w:val="18"/>
        </w:rPr>
      </w:pPr>
      <w:r w:rsidRPr="00D73FEF">
        <w:rPr>
          <w:rFonts w:ascii="Arial" w:hAnsi="Arial" w:cs="Arial"/>
          <w:color w:val="000000" w:themeColor="text1"/>
          <w:sz w:val="18"/>
        </w:rPr>
        <w:t>zaświadczenie producenta płyt kamiennych o wykonanych badaniach laboratoryjnych w zakresie cech zewnętrznych płyt oraz o badaniach laboratoryjnych cech fizykomechanicznych, wg punktu 2.2,</w:t>
      </w:r>
    </w:p>
    <w:p w14:paraId="1E1DA3B1" w14:textId="77777777" w:rsidR="00BA5651" w:rsidRPr="00D73FEF" w:rsidRDefault="00BA5651" w:rsidP="00BA5651">
      <w:pPr>
        <w:widowControl/>
        <w:numPr>
          <w:ilvl w:val="0"/>
          <w:numId w:val="341"/>
        </w:numPr>
        <w:suppressAutoHyphens w:val="0"/>
        <w:autoSpaceDN w:val="0"/>
        <w:adjustRightInd w:val="0"/>
        <w:jc w:val="both"/>
        <w:textAlignment w:val="auto"/>
        <w:rPr>
          <w:rFonts w:ascii="Arial" w:hAnsi="Arial" w:cs="Arial"/>
          <w:color w:val="000000" w:themeColor="text1"/>
          <w:sz w:val="18"/>
        </w:rPr>
      </w:pPr>
      <w:r w:rsidRPr="00D73FEF">
        <w:rPr>
          <w:rFonts w:ascii="Arial" w:hAnsi="Arial" w:cs="Arial"/>
          <w:color w:val="000000" w:themeColor="text1"/>
          <w:sz w:val="18"/>
        </w:rPr>
        <w:t>przeprowadzone przez Wykonawcę sprawdzenie cech zewnętrznych przy każdorazowym odbiorze dostarczonej partii płyt: kształtu, wymiarów, wyglądu zewnętrznego, wad i uszkodzeń płyt wg punktu 2.2,</w:t>
      </w:r>
    </w:p>
    <w:p w14:paraId="721D72CC" w14:textId="77777777" w:rsidR="00BA5651" w:rsidRPr="00D73FEF" w:rsidRDefault="00BA5651" w:rsidP="00BA5651">
      <w:pPr>
        <w:widowControl/>
        <w:numPr>
          <w:ilvl w:val="0"/>
          <w:numId w:val="341"/>
        </w:numPr>
        <w:suppressAutoHyphens w:val="0"/>
        <w:autoSpaceDN w:val="0"/>
        <w:adjustRightInd w:val="0"/>
        <w:jc w:val="both"/>
        <w:textAlignment w:val="auto"/>
        <w:rPr>
          <w:rFonts w:ascii="Arial" w:hAnsi="Arial" w:cs="Arial"/>
          <w:color w:val="000000" w:themeColor="text1"/>
          <w:sz w:val="18"/>
        </w:rPr>
      </w:pPr>
      <w:r w:rsidRPr="00D73FEF">
        <w:rPr>
          <w:rFonts w:ascii="Arial" w:hAnsi="Arial" w:cs="Arial"/>
          <w:color w:val="000000" w:themeColor="text1"/>
          <w:sz w:val="18"/>
        </w:rPr>
        <w:t>badania właściwości piasku, cementu i wody określone w normach podanych w punktach od 2.3 do 2.5.</w:t>
      </w:r>
    </w:p>
    <w:p w14:paraId="6EC9F078" w14:textId="77777777" w:rsidR="00BA5651" w:rsidRPr="00134DC7" w:rsidRDefault="00BA5651" w:rsidP="00BA5651">
      <w:pPr>
        <w:keepNext/>
        <w:spacing w:before="120" w:after="120" w:line="216" w:lineRule="auto"/>
        <w:jc w:val="both"/>
        <w:outlineLvl w:val="1"/>
        <w:rPr>
          <w:rFonts w:ascii="Arial" w:hAnsi="Arial" w:cs="Arial"/>
          <w:b/>
          <w:color w:val="000000" w:themeColor="text1"/>
          <w:sz w:val="18"/>
          <w:szCs w:val="18"/>
        </w:rPr>
      </w:pPr>
      <w:r w:rsidRPr="00134DC7">
        <w:rPr>
          <w:rFonts w:ascii="Arial" w:hAnsi="Arial" w:cs="Arial"/>
          <w:b/>
          <w:color w:val="000000" w:themeColor="text1"/>
          <w:sz w:val="18"/>
          <w:szCs w:val="18"/>
        </w:rPr>
        <w:lastRenderedPageBreak/>
        <w:t>6.3. Badania w czasie robót</w:t>
      </w:r>
    </w:p>
    <w:p w14:paraId="541B2F3E" w14:textId="77777777" w:rsidR="00BA5651" w:rsidRPr="00134DC7" w:rsidRDefault="00BA5651" w:rsidP="00BA5651">
      <w:pPr>
        <w:jc w:val="both"/>
        <w:rPr>
          <w:rFonts w:ascii="Arial" w:hAnsi="Arial" w:cs="Arial"/>
          <w:color w:val="000000" w:themeColor="text1"/>
          <w:sz w:val="18"/>
        </w:rPr>
      </w:pPr>
      <w:r w:rsidRPr="00134DC7">
        <w:rPr>
          <w:rFonts w:ascii="Arial" w:hAnsi="Arial" w:cs="Arial"/>
          <w:color w:val="000000" w:themeColor="text1"/>
          <w:sz w:val="18"/>
        </w:rPr>
        <w:tab/>
        <w:t>W czasie robót należy wykonywać następujące badania kontrolne:</w:t>
      </w:r>
    </w:p>
    <w:p w14:paraId="31F03CE9" w14:textId="77777777" w:rsidR="00BA5651" w:rsidRPr="00134DC7" w:rsidRDefault="00BA5651" w:rsidP="00BA5651">
      <w:pPr>
        <w:widowControl/>
        <w:numPr>
          <w:ilvl w:val="0"/>
          <w:numId w:val="342"/>
        </w:numPr>
        <w:suppressAutoHyphens w:val="0"/>
        <w:autoSpaceDN w:val="0"/>
        <w:adjustRightInd w:val="0"/>
        <w:jc w:val="both"/>
        <w:textAlignment w:val="auto"/>
        <w:rPr>
          <w:rFonts w:ascii="Arial" w:hAnsi="Arial" w:cs="Arial"/>
          <w:color w:val="000000" w:themeColor="text1"/>
          <w:sz w:val="18"/>
        </w:rPr>
      </w:pPr>
      <w:r w:rsidRPr="00134DC7">
        <w:rPr>
          <w:rFonts w:ascii="Arial" w:hAnsi="Arial" w:cs="Arial"/>
          <w:color w:val="000000" w:themeColor="text1"/>
          <w:sz w:val="18"/>
        </w:rPr>
        <w:t>sprawdzenie wykonania koryta wg punktu 5.2, przy czym dopuszczalne tolerancje wynoszą dla:</w:t>
      </w:r>
    </w:p>
    <w:p w14:paraId="685D72E2"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134DC7">
        <w:rPr>
          <w:rFonts w:ascii="Arial" w:hAnsi="Arial" w:cs="Arial"/>
          <w:color w:val="000000" w:themeColor="text1"/>
          <w:sz w:val="18"/>
        </w:rPr>
        <w:t>głębokości koryta</w:t>
      </w:r>
    </w:p>
    <w:p w14:paraId="640D49CD" w14:textId="77777777" w:rsidR="00BA5651" w:rsidRPr="00134DC7" w:rsidRDefault="00BA5651" w:rsidP="00BA5651">
      <w:pPr>
        <w:jc w:val="both"/>
        <w:rPr>
          <w:rFonts w:ascii="Arial" w:hAnsi="Arial" w:cs="Arial"/>
          <w:color w:val="000000" w:themeColor="text1"/>
          <w:sz w:val="18"/>
        </w:rPr>
      </w:pPr>
      <w:r w:rsidRPr="00134DC7">
        <w:rPr>
          <w:rFonts w:ascii="Arial" w:hAnsi="Arial" w:cs="Arial"/>
          <w:color w:val="000000" w:themeColor="text1"/>
          <w:sz w:val="18"/>
        </w:rPr>
        <w:tab/>
        <w:t>- o szerokości do 3 m:</w:t>
      </w:r>
      <w:r w:rsidRPr="00134DC7">
        <w:rPr>
          <w:rFonts w:ascii="Arial" w:hAnsi="Arial" w:cs="Arial"/>
          <w:color w:val="000000" w:themeColor="text1"/>
          <w:sz w:val="18"/>
        </w:rPr>
        <w:tab/>
      </w:r>
      <w:r w:rsidRPr="00134DC7">
        <w:rPr>
          <w:rFonts w:ascii="Arial" w:hAnsi="Arial" w:cs="Arial"/>
          <w:color w:val="000000" w:themeColor="text1"/>
          <w:sz w:val="18"/>
        </w:rPr>
        <w:tab/>
      </w:r>
      <w:r w:rsidRPr="00134DC7">
        <w:rPr>
          <w:rFonts w:ascii="Arial" w:hAnsi="Arial" w:cs="Arial"/>
          <w:color w:val="000000" w:themeColor="text1"/>
          <w:sz w:val="18"/>
        </w:rPr>
        <w:sym w:font="Symbol" w:char="F0B1"/>
      </w:r>
      <w:r w:rsidRPr="00134DC7">
        <w:rPr>
          <w:rFonts w:ascii="Arial" w:hAnsi="Arial" w:cs="Arial"/>
          <w:color w:val="000000" w:themeColor="text1"/>
          <w:sz w:val="18"/>
        </w:rPr>
        <w:t xml:space="preserve"> 1 cm,</w:t>
      </w:r>
    </w:p>
    <w:p w14:paraId="6CD5276B" w14:textId="77777777" w:rsidR="00BA5651" w:rsidRPr="00134DC7" w:rsidRDefault="00BA5651" w:rsidP="00BA5651">
      <w:pPr>
        <w:numPr>
          <w:ilvl w:val="12"/>
          <w:numId w:val="0"/>
        </w:numPr>
        <w:jc w:val="both"/>
        <w:rPr>
          <w:rFonts w:ascii="Arial" w:hAnsi="Arial" w:cs="Arial"/>
          <w:color w:val="000000" w:themeColor="text1"/>
          <w:sz w:val="18"/>
        </w:rPr>
      </w:pPr>
      <w:r w:rsidRPr="00134DC7">
        <w:rPr>
          <w:rFonts w:ascii="Arial" w:hAnsi="Arial" w:cs="Arial"/>
          <w:color w:val="000000" w:themeColor="text1"/>
          <w:sz w:val="18"/>
        </w:rPr>
        <w:tab/>
        <w:t>- o szerokości powyżej 3 m:</w:t>
      </w:r>
      <w:r w:rsidRPr="00134DC7">
        <w:rPr>
          <w:rFonts w:ascii="Arial" w:hAnsi="Arial" w:cs="Arial"/>
          <w:color w:val="000000" w:themeColor="text1"/>
          <w:sz w:val="18"/>
        </w:rPr>
        <w:tab/>
      </w:r>
      <w:r w:rsidRPr="00134DC7">
        <w:rPr>
          <w:rFonts w:ascii="Arial" w:hAnsi="Arial" w:cs="Arial"/>
          <w:color w:val="000000" w:themeColor="text1"/>
          <w:sz w:val="18"/>
        </w:rPr>
        <w:tab/>
      </w:r>
      <w:r w:rsidRPr="00134DC7">
        <w:rPr>
          <w:rFonts w:ascii="Arial" w:hAnsi="Arial" w:cs="Arial"/>
          <w:color w:val="000000" w:themeColor="text1"/>
          <w:sz w:val="18"/>
        </w:rPr>
        <w:sym w:font="Symbol" w:char="F0B1"/>
      </w:r>
      <w:r w:rsidRPr="00134DC7">
        <w:rPr>
          <w:rFonts w:ascii="Arial" w:hAnsi="Arial" w:cs="Arial"/>
          <w:color w:val="000000" w:themeColor="text1"/>
          <w:sz w:val="18"/>
        </w:rPr>
        <w:t xml:space="preserve"> 2 cm,</w:t>
      </w:r>
    </w:p>
    <w:p w14:paraId="48562DEE"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rPr>
      </w:pPr>
      <w:r w:rsidRPr="00134DC7">
        <w:rPr>
          <w:rFonts w:ascii="Arial" w:hAnsi="Arial" w:cs="Arial"/>
          <w:color w:val="000000" w:themeColor="text1"/>
          <w:sz w:val="18"/>
        </w:rPr>
        <w:t>szerokości koryta:</w:t>
      </w:r>
      <w:r w:rsidRPr="00134DC7">
        <w:rPr>
          <w:rFonts w:ascii="Arial" w:hAnsi="Arial" w:cs="Arial"/>
          <w:color w:val="000000" w:themeColor="text1"/>
          <w:sz w:val="18"/>
        </w:rPr>
        <w:tab/>
      </w:r>
      <w:r w:rsidRPr="00134DC7">
        <w:rPr>
          <w:rFonts w:ascii="Arial" w:hAnsi="Arial" w:cs="Arial"/>
          <w:color w:val="000000" w:themeColor="text1"/>
          <w:sz w:val="18"/>
        </w:rPr>
        <w:tab/>
      </w:r>
      <w:r w:rsidRPr="00134DC7">
        <w:rPr>
          <w:rFonts w:ascii="Arial" w:hAnsi="Arial" w:cs="Arial"/>
          <w:color w:val="000000" w:themeColor="text1"/>
          <w:sz w:val="18"/>
        </w:rPr>
        <w:tab/>
      </w:r>
      <w:r w:rsidRPr="00134DC7">
        <w:rPr>
          <w:rFonts w:ascii="Arial" w:hAnsi="Arial" w:cs="Arial"/>
          <w:color w:val="000000" w:themeColor="text1"/>
          <w:sz w:val="18"/>
        </w:rPr>
        <w:sym w:font="Symbol" w:char="F0B1"/>
      </w:r>
      <w:r w:rsidRPr="00134DC7">
        <w:rPr>
          <w:rFonts w:ascii="Arial" w:hAnsi="Arial" w:cs="Arial"/>
          <w:color w:val="000000" w:themeColor="text1"/>
          <w:sz w:val="18"/>
        </w:rPr>
        <w:t xml:space="preserve"> 5 cm,</w:t>
      </w:r>
    </w:p>
    <w:p w14:paraId="2D2CD941" w14:textId="77777777" w:rsidR="00BA5651" w:rsidRPr="00134DC7" w:rsidRDefault="00BA5651" w:rsidP="00BA5651">
      <w:pPr>
        <w:widowControl/>
        <w:numPr>
          <w:ilvl w:val="0"/>
          <w:numId w:val="343"/>
        </w:numPr>
        <w:suppressAutoHyphens w:val="0"/>
        <w:autoSpaceDN w:val="0"/>
        <w:adjustRightInd w:val="0"/>
        <w:jc w:val="both"/>
        <w:textAlignment w:val="auto"/>
        <w:rPr>
          <w:rFonts w:ascii="Arial" w:hAnsi="Arial" w:cs="Arial"/>
          <w:color w:val="000000" w:themeColor="text1"/>
          <w:sz w:val="18"/>
        </w:rPr>
      </w:pPr>
      <w:r w:rsidRPr="00134DC7">
        <w:rPr>
          <w:rFonts w:ascii="Arial" w:hAnsi="Arial" w:cs="Arial"/>
          <w:color w:val="000000" w:themeColor="text1"/>
          <w:sz w:val="18"/>
        </w:rPr>
        <w:t>sprawdzenie podsypki w zakresie grubości i wymaganych spadków poprzecznych i podłużnych i porównaniu z dokumentacją projektową i punktem 5.3,</w:t>
      </w:r>
    </w:p>
    <w:p w14:paraId="2C976BA1" w14:textId="77777777" w:rsidR="00BA5651" w:rsidRPr="00134DC7" w:rsidRDefault="00BA5651" w:rsidP="00BA5651">
      <w:pPr>
        <w:widowControl/>
        <w:numPr>
          <w:ilvl w:val="0"/>
          <w:numId w:val="343"/>
        </w:numPr>
        <w:suppressAutoHyphens w:val="0"/>
        <w:autoSpaceDN w:val="0"/>
        <w:adjustRightInd w:val="0"/>
        <w:jc w:val="both"/>
        <w:textAlignment w:val="auto"/>
        <w:rPr>
          <w:rFonts w:ascii="Arial" w:hAnsi="Arial" w:cs="Arial"/>
          <w:color w:val="000000" w:themeColor="text1"/>
          <w:sz w:val="18"/>
        </w:rPr>
      </w:pPr>
      <w:r w:rsidRPr="00134DC7">
        <w:rPr>
          <w:rFonts w:ascii="Arial" w:hAnsi="Arial" w:cs="Arial"/>
          <w:color w:val="000000" w:themeColor="text1"/>
          <w:sz w:val="18"/>
        </w:rPr>
        <w:t>sprawdzenie ułożenia płyt wg wymagań punktu 5.5, zdejmując na każde 200 m</w:t>
      </w:r>
      <w:r w:rsidRPr="00134DC7">
        <w:rPr>
          <w:rFonts w:ascii="Arial" w:hAnsi="Arial" w:cs="Arial"/>
          <w:color w:val="000000" w:themeColor="text1"/>
          <w:sz w:val="18"/>
          <w:vertAlign w:val="superscript"/>
        </w:rPr>
        <w:t>2</w:t>
      </w:r>
      <w:r w:rsidRPr="00134DC7">
        <w:rPr>
          <w:rFonts w:ascii="Arial" w:hAnsi="Arial" w:cs="Arial"/>
          <w:color w:val="000000" w:themeColor="text1"/>
          <w:sz w:val="18"/>
        </w:rPr>
        <w:t xml:space="preserve"> chodnika 2 płyty w dowolnym miejscu, sprawdzając układ płyt i mierząc grubość podsypki; dopuszczalne odchylenia w grubości podsypki nie mogą przekraczać </w:t>
      </w:r>
      <w:r w:rsidRPr="00134DC7">
        <w:rPr>
          <w:rFonts w:ascii="Arial" w:hAnsi="Arial" w:cs="Arial"/>
          <w:color w:val="000000" w:themeColor="text1"/>
          <w:sz w:val="18"/>
        </w:rPr>
        <w:sym w:font="Symbol" w:char="F0B1"/>
      </w:r>
      <w:r w:rsidRPr="00134DC7">
        <w:rPr>
          <w:rFonts w:ascii="Arial" w:hAnsi="Arial" w:cs="Arial"/>
          <w:color w:val="000000" w:themeColor="text1"/>
          <w:sz w:val="18"/>
        </w:rPr>
        <w:t xml:space="preserve"> 1 cm,</w:t>
      </w:r>
    </w:p>
    <w:p w14:paraId="4808D13C" w14:textId="77777777" w:rsidR="00BA5651" w:rsidRPr="00134DC7" w:rsidRDefault="00BA5651" w:rsidP="00BA5651">
      <w:pPr>
        <w:widowControl/>
        <w:numPr>
          <w:ilvl w:val="0"/>
          <w:numId w:val="343"/>
        </w:numPr>
        <w:suppressAutoHyphens w:val="0"/>
        <w:autoSpaceDN w:val="0"/>
        <w:adjustRightInd w:val="0"/>
        <w:jc w:val="both"/>
        <w:textAlignment w:val="auto"/>
        <w:rPr>
          <w:rFonts w:ascii="Arial" w:hAnsi="Arial" w:cs="Arial"/>
          <w:color w:val="000000" w:themeColor="text1"/>
          <w:sz w:val="18"/>
        </w:rPr>
      </w:pPr>
      <w:r w:rsidRPr="00134DC7">
        <w:rPr>
          <w:rFonts w:ascii="Arial" w:hAnsi="Arial" w:cs="Arial"/>
          <w:color w:val="000000" w:themeColor="text1"/>
          <w:sz w:val="18"/>
        </w:rPr>
        <w:t>sprawdzenie prawidłowości wypełnienia spoin wg punktu 5.6 przez ich wydłubanie na długości 10 m, w trzech dowolnych miejscach na każde 200 m</w:t>
      </w:r>
      <w:r w:rsidRPr="00134DC7">
        <w:rPr>
          <w:rFonts w:ascii="Arial" w:hAnsi="Arial" w:cs="Arial"/>
          <w:color w:val="000000" w:themeColor="text1"/>
          <w:sz w:val="18"/>
          <w:vertAlign w:val="superscript"/>
        </w:rPr>
        <w:t>2</w:t>
      </w:r>
      <w:r w:rsidRPr="00134DC7">
        <w:rPr>
          <w:rFonts w:ascii="Arial" w:hAnsi="Arial" w:cs="Arial"/>
          <w:color w:val="000000" w:themeColor="text1"/>
          <w:sz w:val="18"/>
        </w:rPr>
        <w:t xml:space="preserve"> chodnika i zmierzenie ich szerokości oraz wypełnienia.</w:t>
      </w:r>
    </w:p>
    <w:p w14:paraId="154FCB28" w14:textId="77777777" w:rsidR="00BA5651" w:rsidRPr="00134DC7" w:rsidRDefault="00BA5651" w:rsidP="00BA5651">
      <w:pPr>
        <w:keepNext/>
        <w:spacing w:before="120" w:after="120" w:line="216" w:lineRule="auto"/>
        <w:jc w:val="both"/>
        <w:outlineLvl w:val="1"/>
        <w:rPr>
          <w:rFonts w:ascii="Arial" w:hAnsi="Arial" w:cs="Arial"/>
          <w:b/>
          <w:color w:val="000000" w:themeColor="text1"/>
          <w:sz w:val="18"/>
          <w:szCs w:val="18"/>
        </w:rPr>
      </w:pPr>
      <w:r w:rsidRPr="00134DC7">
        <w:rPr>
          <w:rFonts w:ascii="Arial" w:hAnsi="Arial" w:cs="Arial"/>
          <w:b/>
          <w:color w:val="000000" w:themeColor="text1"/>
          <w:sz w:val="18"/>
          <w:szCs w:val="18"/>
        </w:rPr>
        <w:t>6.4. Sprawdzenie cech geometrycznych chodnika</w:t>
      </w:r>
    </w:p>
    <w:p w14:paraId="313187A3" w14:textId="77777777" w:rsidR="00BA5651" w:rsidRPr="00134DC7" w:rsidRDefault="00BA5651" w:rsidP="00BA5651">
      <w:pPr>
        <w:jc w:val="both"/>
        <w:rPr>
          <w:rFonts w:ascii="Arial" w:hAnsi="Arial" w:cs="Arial"/>
          <w:b/>
          <w:color w:val="000000" w:themeColor="text1"/>
          <w:sz w:val="18"/>
        </w:rPr>
      </w:pPr>
      <w:r w:rsidRPr="00134DC7">
        <w:rPr>
          <w:rFonts w:ascii="Arial" w:hAnsi="Arial" w:cs="Arial"/>
          <w:b/>
          <w:color w:val="000000" w:themeColor="text1"/>
          <w:sz w:val="18"/>
        </w:rPr>
        <w:t>6.4.1.  Sprawdzenie równości chodnika</w:t>
      </w:r>
    </w:p>
    <w:p w14:paraId="542D4457" w14:textId="77777777" w:rsidR="00BA5651" w:rsidRPr="00134DC7" w:rsidRDefault="00BA5651" w:rsidP="00BA5651">
      <w:pPr>
        <w:spacing w:before="120"/>
        <w:jc w:val="both"/>
        <w:rPr>
          <w:rFonts w:ascii="Arial" w:hAnsi="Arial" w:cs="Arial"/>
          <w:color w:val="000000" w:themeColor="text1"/>
          <w:sz w:val="18"/>
          <w:szCs w:val="18"/>
        </w:rPr>
      </w:pPr>
      <w:r w:rsidRPr="00134DC7">
        <w:rPr>
          <w:rFonts w:ascii="Arial" w:hAnsi="Arial" w:cs="Arial"/>
          <w:color w:val="000000" w:themeColor="text1"/>
          <w:sz w:val="18"/>
          <w:szCs w:val="18"/>
        </w:rPr>
        <w:tab/>
        <w:t>Równość nawierzchni sprawdza się co najmniej raz na każde 300 do 500 m</w:t>
      </w:r>
      <w:r w:rsidRPr="00134DC7">
        <w:rPr>
          <w:rFonts w:ascii="Arial" w:hAnsi="Arial" w:cs="Arial"/>
          <w:color w:val="000000" w:themeColor="text1"/>
          <w:sz w:val="18"/>
          <w:szCs w:val="18"/>
          <w:vertAlign w:val="superscript"/>
        </w:rPr>
        <w:t>2</w:t>
      </w:r>
      <w:r w:rsidRPr="00134DC7">
        <w:rPr>
          <w:rFonts w:ascii="Arial" w:hAnsi="Arial" w:cs="Arial"/>
          <w:color w:val="000000" w:themeColor="text1"/>
          <w:sz w:val="18"/>
          <w:szCs w:val="18"/>
        </w:rPr>
        <w:t xml:space="preserve"> ułożonego chodnika i w miejscach wątpliwych, jednak nie rzadziej niż co 50 m. Dopuszczalny prześwit pod łatą 4 m nie powinien przekraczać 0,8 cm.</w:t>
      </w:r>
    </w:p>
    <w:p w14:paraId="67A3AC6C"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6.4.2. Sprawdzenie profilu podłużnego</w:t>
      </w:r>
    </w:p>
    <w:p w14:paraId="0D1A9DE1" w14:textId="77777777" w:rsidR="00BA5651" w:rsidRPr="00134DC7" w:rsidRDefault="00BA5651" w:rsidP="00BA5651">
      <w:pPr>
        <w:spacing w:before="120"/>
        <w:jc w:val="both"/>
        <w:rPr>
          <w:rFonts w:ascii="Arial" w:hAnsi="Arial" w:cs="Arial"/>
          <w:color w:val="000000" w:themeColor="text1"/>
          <w:sz w:val="18"/>
          <w:szCs w:val="18"/>
        </w:rPr>
      </w:pPr>
      <w:r w:rsidRPr="00134DC7">
        <w:rPr>
          <w:rFonts w:ascii="Arial" w:hAnsi="Arial" w:cs="Arial"/>
          <w:color w:val="000000" w:themeColor="text1"/>
          <w:sz w:val="18"/>
          <w:szCs w:val="18"/>
        </w:rPr>
        <w:tab/>
        <w:t>Profil podłużny chodnika sprawdza się za pomocą niwelacji, nie rzadziej niż co 100 m i w punktach charakterystycznych</w:t>
      </w:r>
    </w:p>
    <w:p w14:paraId="512770C4" w14:textId="77777777" w:rsidR="00BA5651" w:rsidRPr="00134DC7" w:rsidRDefault="00BA5651" w:rsidP="00BA5651">
      <w:pPr>
        <w:jc w:val="both"/>
        <w:rPr>
          <w:rFonts w:ascii="Arial" w:hAnsi="Arial" w:cs="Arial"/>
          <w:color w:val="000000" w:themeColor="text1"/>
          <w:sz w:val="18"/>
          <w:szCs w:val="18"/>
        </w:rPr>
      </w:pPr>
      <w:r w:rsidRPr="00134DC7">
        <w:rPr>
          <w:rFonts w:ascii="Arial" w:hAnsi="Arial" w:cs="Arial"/>
          <w:color w:val="000000" w:themeColor="text1"/>
          <w:sz w:val="18"/>
          <w:szCs w:val="18"/>
        </w:rPr>
        <w:tab/>
        <w:t xml:space="preserve">Odchylenia od projektowanej niwelety chodnika w punktach załamania niwelety nie mogą przekraczać </w:t>
      </w:r>
      <w:r w:rsidRPr="00134DC7">
        <w:rPr>
          <w:rFonts w:ascii="Arial" w:hAnsi="Arial" w:cs="Arial"/>
          <w:color w:val="000000" w:themeColor="text1"/>
          <w:sz w:val="18"/>
          <w:szCs w:val="18"/>
        </w:rPr>
        <w:sym w:font="Symbol" w:char="F0B1"/>
      </w:r>
      <w:r w:rsidRPr="00134DC7">
        <w:rPr>
          <w:rFonts w:ascii="Arial" w:hAnsi="Arial" w:cs="Arial"/>
          <w:color w:val="000000" w:themeColor="text1"/>
          <w:sz w:val="18"/>
          <w:szCs w:val="18"/>
        </w:rPr>
        <w:t xml:space="preserve"> 3 cm.</w:t>
      </w:r>
    </w:p>
    <w:p w14:paraId="711DF999"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6.4.3. Sprawdzenie przekroju poprzecznego</w:t>
      </w:r>
    </w:p>
    <w:p w14:paraId="25FD6017" w14:textId="77777777" w:rsidR="00BA5651" w:rsidRPr="00134DC7" w:rsidRDefault="00BA5651" w:rsidP="00BA5651">
      <w:pPr>
        <w:spacing w:before="120"/>
        <w:jc w:val="both"/>
        <w:rPr>
          <w:rFonts w:ascii="Arial" w:hAnsi="Arial" w:cs="Arial"/>
          <w:color w:val="000000" w:themeColor="text1"/>
          <w:sz w:val="18"/>
          <w:szCs w:val="18"/>
        </w:rPr>
      </w:pPr>
      <w:r w:rsidRPr="00134DC7">
        <w:rPr>
          <w:rFonts w:ascii="Arial" w:hAnsi="Arial" w:cs="Arial"/>
          <w:color w:val="000000" w:themeColor="text1"/>
          <w:sz w:val="18"/>
          <w:szCs w:val="18"/>
        </w:rPr>
        <w:tab/>
        <w:t>Profil poprzeczny chodnika sprawdza się za pomocą  szablonu z poziomicą, co najmniej raz na każde 300 do 500 m</w:t>
      </w:r>
      <w:r w:rsidRPr="00134DC7">
        <w:rPr>
          <w:rFonts w:ascii="Arial" w:hAnsi="Arial" w:cs="Arial"/>
          <w:color w:val="000000" w:themeColor="text1"/>
          <w:sz w:val="18"/>
          <w:szCs w:val="18"/>
          <w:vertAlign w:val="superscript"/>
        </w:rPr>
        <w:t>2</w:t>
      </w:r>
      <w:r w:rsidRPr="00134DC7">
        <w:rPr>
          <w:rFonts w:ascii="Arial" w:hAnsi="Arial" w:cs="Arial"/>
          <w:color w:val="000000" w:themeColor="text1"/>
          <w:sz w:val="18"/>
          <w:szCs w:val="18"/>
        </w:rPr>
        <w:t xml:space="preserve"> i w miejscach wątpliwych, jednak nie rzadziej niż co 50 m. Dopuszczalne odchylenia od przyjętego profilu mogą wynosić </w:t>
      </w:r>
      <w:r w:rsidRPr="00134DC7">
        <w:rPr>
          <w:rFonts w:ascii="Arial" w:hAnsi="Arial" w:cs="Arial"/>
          <w:color w:val="000000" w:themeColor="text1"/>
          <w:sz w:val="18"/>
          <w:szCs w:val="18"/>
        </w:rPr>
        <w:sym w:font="Symbol" w:char="F0B1"/>
      </w:r>
      <w:r w:rsidRPr="00134DC7">
        <w:rPr>
          <w:rFonts w:ascii="Arial" w:hAnsi="Arial" w:cs="Arial"/>
          <w:color w:val="000000" w:themeColor="text1"/>
          <w:sz w:val="18"/>
          <w:szCs w:val="18"/>
        </w:rPr>
        <w:t xml:space="preserve"> 0,3%.</w:t>
      </w:r>
    </w:p>
    <w:p w14:paraId="045C0F6D"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6.4.4. Sprawdzenie równoległości spoin</w:t>
      </w:r>
    </w:p>
    <w:p w14:paraId="5AC87D7F" w14:textId="77777777" w:rsidR="00BA5651" w:rsidRPr="00134DC7" w:rsidRDefault="00BA5651" w:rsidP="00BA5651">
      <w:pPr>
        <w:spacing w:before="120"/>
        <w:jc w:val="both"/>
        <w:rPr>
          <w:rFonts w:ascii="Arial" w:hAnsi="Arial" w:cs="Arial"/>
          <w:color w:val="000000" w:themeColor="text1"/>
          <w:sz w:val="18"/>
          <w:szCs w:val="18"/>
        </w:rPr>
      </w:pPr>
      <w:r w:rsidRPr="00134DC7">
        <w:rPr>
          <w:rFonts w:ascii="Arial" w:hAnsi="Arial" w:cs="Arial"/>
          <w:color w:val="000000" w:themeColor="text1"/>
          <w:sz w:val="18"/>
          <w:szCs w:val="18"/>
        </w:rPr>
        <w:tab/>
        <w:t xml:space="preserve">Równoległość spoin sprawdza się za pomocą dwóch sznurów napiętych wzdłuż spoin i przymiaru z podziałką milimetrową. Dopuszczalne odchylenie wynosi  </w:t>
      </w:r>
      <w:r w:rsidRPr="00134DC7">
        <w:rPr>
          <w:rFonts w:ascii="Arial" w:hAnsi="Arial" w:cs="Arial"/>
          <w:color w:val="000000" w:themeColor="text1"/>
          <w:sz w:val="18"/>
          <w:szCs w:val="18"/>
        </w:rPr>
        <w:sym w:font="Symbol" w:char="F0B1"/>
      </w:r>
      <w:r w:rsidRPr="00134DC7">
        <w:rPr>
          <w:rFonts w:ascii="Arial" w:hAnsi="Arial" w:cs="Arial"/>
          <w:color w:val="000000" w:themeColor="text1"/>
          <w:sz w:val="18"/>
          <w:szCs w:val="18"/>
        </w:rPr>
        <w:t xml:space="preserve"> 1 cm.</w:t>
      </w:r>
    </w:p>
    <w:p w14:paraId="5883541E" w14:textId="77777777" w:rsidR="00BA5651" w:rsidRPr="00134DC7" w:rsidRDefault="00BA5651" w:rsidP="00BA5651">
      <w:pPr>
        <w:pStyle w:val="Nagwek2"/>
        <w:rPr>
          <w:i w:val="0"/>
        </w:rPr>
      </w:pPr>
      <w:r w:rsidRPr="00134DC7">
        <w:rPr>
          <w:i w:val="0"/>
        </w:rPr>
        <w:t>7. OBMIAR ROBÓT</w:t>
      </w:r>
    </w:p>
    <w:p w14:paraId="413EDAB7"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7.1. Ogólne zasady obmiaru robót</w:t>
      </w:r>
    </w:p>
    <w:p w14:paraId="235973D3" w14:textId="77777777" w:rsidR="00BA5651" w:rsidRPr="00134DC7" w:rsidRDefault="00BA5651" w:rsidP="00BA5651">
      <w:pPr>
        <w:jc w:val="both"/>
        <w:rPr>
          <w:rFonts w:ascii="Arial" w:hAnsi="Arial" w:cs="Arial"/>
          <w:color w:val="000000" w:themeColor="text1"/>
          <w:sz w:val="18"/>
          <w:szCs w:val="18"/>
        </w:rPr>
      </w:pPr>
      <w:r w:rsidRPr="00134DC7">
        <w:rPr>
          <w:rFonts w:ascii="Arial" w:hAnsi="Arial" w:cs="Arial"/>
          <w:color w:val="000000" w:themeColor="text1"/>
          <w:sz w:val="18"/>
          <w:szCs w:val="18"/>
        </w:rPr>
        <w:tab/>
        <w:t>Ogólne zasady obmiaru robót podano w ST D-M-00.00.00 „Wymagania ogólne” pkt 7.</w:t>
      </w:r>
    </w:p>
    <w:p w14:paraId="39BD3B39"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7.2. Jednostka obmiarowa</w:t>
      </w:r>
    </w:p>
    <w:p w14:paraId="2B95BDD2" w14:textId="77777777" w:rsidR="00BA5651" w:rsidRPr="00134DC7" w:rsidRDefault="00BA5651" w:rsidP="00BA5651">
      <w:pPr>
        <w:jc w:val="both"/>
        <w:rPr>
          <w:rFonts w:ascii="Arial" w:hAnsi="Arial" w:cs="Arial"/>
          <w:color w:val="000000" w:themeColor="text1"/>
          <w:sz w:val="18"/>
          <w:szCs w:val="18"/>
        </w:rPr>
      </w:pPr>
      <w:r w:rsidRPr="00134DC7">
        <w:rPr>
          <w:rFonts w:ascii="Arial" w:hAnsi="Arial" w:cs="Arial"/>
          <w:color w:val="000000" w:themeColor="text1"/>
          <w:sz w:val="18"/>
          <w:szCs w:val="18"/>
        </w:rPr>
        <w:tab/>
        <w:t>Jednostką obmiarową jest m</w:t>
      </w:r>
      <w:r w:rsidRPr="00134DC7">
        <w:rPr>
          <w:rFonts w:ascii="Arial" w:hAnsi="Arial" w:cs="Arial"/>
          <w:color w:val="000000" w:themeColor="text1"/>
          <w:sz w:val="18"/>
          <w:szCs w:val="18"/>
          <w:vertAlign w:val="superscript"/>
        </w:rPr>
        <w:t>2</w:t>
      </w:r>
      <w:r w:rsidRPr="00134DC7">
        <w:rPr>
          <w:rFonts w:ascii="Arial" w:hAnsi="Arial" w:cs="Arial"/>
          <w:color w:val="000000" w:themeColor="text1"/>
          <w:sz w:val="18"/>
          <w:szCs w:val="18"/>
        </w:rPr>
        <w:t xml:space="preserve"> (metr kwadratowy) wykonanego chodnika z płyt kamiennych.</w:t>
      </w:r>
    </w:p>
    <w:p w14:paraId="2A9FD90A" w14:textId="77777777" w:rsidR="00BA5651" w:rsidRPr="00134DC7" w:rsidRDefault="00BA5651" w:rsidP="00BA5651">
      <w:pPr>
        <w:pStyle w:val="Nagwek2"/>
        <w:rPr>
          <w:i w:val="0"/>
        </w:rPr>
      </w:pPr>
      <w:r w:rsidRPr="00134DC7">
        <w:rPr>
          <w:i w:val="0"/>
        </w:rPr>
        <w:t>8. ODBIÓR ROBÓT</w:t>
      </w:r>
    </w:p>
    <w:p w14:paraId="51560D81" w14:textId="77777777" w:rsidR="00BA5651" w:rsidRPr="00134DC7" w:rsidRDefault="00BA5651" w:rsidP="00BA5651">
      <w:pPr>
        <w:spacing w:before="120"/>
        <w:jc w:val="both"/>
        <w:rPr>
          <w:rFonts w:ascii="Arial" w:hAnsi="Arial" w:cs="Arial"/>
          <w:color w:val="000000" w:themeColor="text1"/>
          <w:sz w:val="18"/>
        </w:rPr>
      </w:pPr>
      <w:r w:rsidRPr="00134DC7">
        <w:rPr>
          <w:rFonts w:ascii="Arial" w:hAnsi="Arial" w:cs="Arial"/>
          <w:color w:val="000000" w:themeColor="text1"/>
          <w:sz w:val="18"/>
        </w:rPr>
        <w:tab/>
        <w:t>Ogólne zasady odbioru robót podano w ST D-M-00.00.00 „Wymagania ogólne” pkt 8.</w:t>
      </w:r>
    </w:p>
    <w:p w14:paraId="6D50E288" w14:textId="77777777" w:rsidR="00BA5651" w:rsidRPr="00134DC7" w:rsidRDefault="00BA5651" w:rsidP="00BA5651">
      <w:pPr>
        <w:jc w:val="both"/>
        <w:rPr>
          <w:rFonts w:ascii="Arial" w:hAnsi="Arial" w:cs="Arial"/>
          <w:color w:val="000000" w:themeColor="text1"/>
          <w:sz w:val="18"/>
        </w:rPr>
      </w:pPr>
      <w:r w:rsidRPr="00134DC7">
        <w:rPr>
          <w:rFonts w:ascii="Arial" w:hAnsi="Arial" w:cs="Arial"/>
          <w:color w:val="000000" w:themeColor="text1"/>
          <w:sz w:val="18"/>
        </w:rPr>
        <w:tab/>
        <w:t>Roboty uznaje się za wykonane zgodnie z dokumentacją projektową, SST i wymaganiami Inżyniera, jeżeli wszystkie pomiary i badania z zachowaniem tolerancji wg pkt 6 dały wyniki pozytywne.</w:t>
      </w:r>
    </w:p>
    <w:p w14:paraId="530F5EFC" w14:textId="77777777" w:rsidR="00BA5651" w:rsidRPr="00134DC7" w:rsidRDefault="00BA5651" w:rsidP="00BA5651">
      <w:pPr>
        <w:pStyle w:val="Nagwek2"/>
        <w:rPr>
          <w:i w:val="0"/>
        </w:rPr>
      </w:pPr>
      <w:r w:rsidRPr="00134DC7">
        <w:rPr>
          <w:i w:val="0"/>
        </w:rPr>
        <w:t>9. PODSTAWA PŁATNOŚCI</w:t>
      </w:r>
    </w:p>
    <w:p w14:paraId="0FBBD2D3"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9.1. Ogólne ustalenia dotyczące podstawy płatności</w:t>
      </w:r>
    </w:p>
    <w:p w14:paraId="3393A3FF" w14:textId="77777777" w:rsidR="00BA5651" w:rsidRPr="00134DC7" w:rsidRDefault="00BA5651" w:rsidP="00BA5651">
      <w:pPr>
        <w:jc w:val="both"/>
        <w:rPr>
          <w:rFonts w:ascii="Arial" w:hAnsi="Arial" w:cs="Arial"/>
          <w:color w:val="000000" w:themeColor="text1"/>
          <w:sz w:val="18"/>
          <w:szCs w:val="18"/>
        </w:rPr>
      </w:pPr>
      <w:r w:rsidRPr="00134DC7">
        <w:rPr>
          <w:rFonts w:ascii="Arial" w:hAnsi="Arial" w:cs="Arial"/>
          <w:color w:val="000000" w:themeColor="text1"/>
          <w:sz w:val="18"/>
          <w:szCs w:val="18"/>
        </w:rPr>
        <w:tab/>
        <w:t>Ogólne ustalenia dotyczące podstawy płatności podano w ST D-M-00.00.00 „Wymagania ogólne” pkt 9.</w:t>
      </w:r>
    </w:p>
    <w:p w14:paraId="42074215" w14:textId="77777777" w:rsidR="00BA5651" w:rsidRPr="00134DC7" w:rsidRDefault="00BA5651" w:rsidP="00BA5651">
      <w:pPr>
        <w:jc w:val="both"/>
        <w:rPr>
          <w:color w:val="000000" w:themeColor="text1"/>
          <w:sz w:val="18"/>
          <w:szCs w:val="18"/>
        </w:rPr>
      </w:pPr>
      <w:r w:rsidRPr="00134DC7">
        <w:rPr>
          <w:rFonts w:ascii="Arial" w:hAnsi="Arial" w:cs="Arial"/>
          <w:b/>
          <w:color w:val="000000" w:themeColor="text1"/>
          <w:sz w:val="18"/>
          <w:szCs w:val="18"/>
        </w:rPr>
        <w:t>9.2. Cena jednostki obmiarowej</w:t>
      </w:r>
    </w:p>
    <w:p w14:paraId="2B7EEE4E" w14:textId="77777777" w:rsidR="00BA5651" w:rsidRPr="00134DC7" w:rsidRDefault="00BA5651" w:rsidP="00BA5651">
      <w:pPr>
        <w:jc w:val="both"/>
        <w:rPr>
          <w:rFonts w:ascii="Arial" w:hAnsi="Arial" w:cs="Arial"/>
          <w:color w:val="000000" w:themeColor="text1"/>
          <w:sz w:val="18"/>
          <w:szCs w:val="18"/>
        </w:rPr>
      </w:pPr>
      <w:r w:rsidRPr="00134DC7">
        <w:rPr>
          <w:rFonts w:ascii="Arial" w:hAnsi="Arial" w:cs="Arial"/>
          <w:color w:val="000000" w:themeColor="text1"/>
          <w:sz w:val="18"/>
          <w:szCs w:val="18"/>
        </w:rPr>
        <w:tab/>
        <w:t>Cena wykonania 1 m</w:t>
      </w:r>
      <w:r w:rsidRPr="00134DC7">
        <w:rPr>
          <w:rFonts w:ascii="Arial" w:hAnsi="Arial" w:cs="Arial"/>
          <w:color w:val="000000" w:themeColor="text1"/>
          <w:sz w:val="18"/>
          <w:szCs w:val="18"/>
          <w:vertAlign w:val="superscript"/>
        </w:rPr>
        <w:t>2</w:t>
      </w:r>
      <w:r w:rsidRPr="00134DC7">
        <w:rPr>
          <w:rFonts w:ascii="Arial" w:hAnsi="Arial" w:cs="Arial"/>
          <w:color w:val="000000" w:themeColor="text1"/>
          <w:sz w:val="18"/>
          <w:szCs w:val="18"/>
        </w:rPr>
        <w:t xml:space="preserve"> chodnika z płyt kamiennych  obejmuje:</w:t>
      </w:r>
    </w:p>
    <w:p w14:paraId="3F88F589"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prace pomiarowe i roboty przygotowawcze,</w:t>
      </w:r>
    </w:p>
    <w:p w14:paraId="04406263"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dostarczenie materiałów na miejsce wbudowania,</w:t>
      </w:r>
    </w:p>
    <w:p w14:paraId="350B2CBC"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wykonanie koryta,</w:t>
      </w:r>
    </w:p>
    <w:p w14:paraId="08BFE7B1"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rozścielenie podsypki piaskowej lub cementowo-piaskowej wraz z jej przygotowaniem, ew. wykonanie warstwy odsączającej,</w:t>
      </w:r>
    </w:p>
    <w:p w14:paraId="4528180A"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ułożenie chodnika z płyt kamiennych,</w:t>
      </w:r>
    </w:p>
    <w:p w14:paraId="2E2F0DF4"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wypełnienie spoin piaskiem lub zaprawą cementowo-piaskową,</w:t>
      </w:r>
    </w:p>
    <w:p w14:paraId="5E3706B5"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pielęgnację chodnika przez posypanie piaskiem i polewanie wodą,</w:t>
      </w:r>
    </w:p>
    <w:p w14:paraId="00092905" w14:textId="77777777" w:rsidR="00BA5651" w:rsidRPr="00134DC7" w:rsidRDefault="00BA5651" w:rsidP="00BA5651">
      <w:pPr>
        <w:widowControl/>
        <w:numPr>
          <w:ilvl w:val="0"/>
          <w:numId w:val="196"/>
        </w:numPr>
        <w:suppressAutoHyphens w:val="0"/>
        <w:autoSpaceDN w:val="0"/>
        <w:adjustRightInd w:val="0"/>
        <w:jc w:val="both"/>
        <w:textAlignment w:val="auto"/>
        <w:rPr>
          <w:rFonts w:ascii="Arial" w:hAnsi="Arial" w:cs="Arial"/>
          <w:color w:val="000000" w:themeColor="text1"/>
          <w:sz w:val="18"/>
          <w:szCs w:val="18"/>
        </w:rPr>
      </w:pPr>
      <w:r w:rsidRPr="00134DC7">
        <w:rPr>
          <w:rFonts w:ascii="Arial" w:hAnsi="Arial" w:cs="Arial"/>
          <w:color w:val="000000" w:themeColor="text1"/>
          <w:sz w:val="18"/>
          <w:szCs w:val="18"/>
        </w:rPr>
        <w:t>przeprowadzenie badań i pomiarów wymaganych w specyfikacji technicznej.</w:t>
      </w:r>
    </w:p>
    <w:p w14:paraId="7A77616E" w14:textId="77777777" w:rsidR="00BA5651" w:rsidRPr="00134DC7" w:rsidRDefault="00BA5651" w:rsidP="00BA5651">
      <w:pPr>
        <w:pStyle w:val="Nagwek2"/>
        <w:rPr>
          <w:i w:val="0"/>
        </w:rPr>
      </w:pPr>
      <w:r w:rsidRPr="00134DC7">
        <w:rPr>
          <w:i w:val="0"/>
        </w:rPr>
        <w:t xml:space="preserve">10. </w:t>
      </w:r>
      <w:r>
        <w:rPr>
          <w:i w:val="0"/>
        </w:rPr>
        <w:t>PRZEPISY ZWIĄZANE</w:t>
      </w:r>
    </w:p>
    <w:p w14:paraId="50E1B724"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10.1. Normy</w:t>
      </w:r>
    </w:p>
    <w:tbl>
      <w:tblPr>
        <w:tblW w:w="0" w:type="auto"/>
        <w:tblLayout w:type="fixed"/>
        <w:tblCellMar>
          <w:left w:w="70" w:type="dxa"/>
          <w:right w:w="70" w:type="dxa"/>
        </w:tblCellMar>
        <w:tblLook w:val="04A0" w:firstRow="1" w:lastRow="0" w:firstColumn="1" w:lastColumn="0" w:noHBand="0" w:noVBand="1"/>
      </w:tblPr>
      <w:tblGrid>
        <w:gridCol w:w="496"/>
        <w:gridCol w:w="1417"/>
        <w:gridCol w:w="5597"/>
      </w:tblGrid>
      <w:tr w:rsidR="00BA5651" w:rsidRPr="00134DC7" w14:paraId="50450E13" w14:textId="77777777" w:rsidTr="00AD2F51">
        <w:tc>
          <w:tcPr>
            <w:tcW w:w="496" w:type="dxa"/>
            <w:hideMark/>
          </w:tcPr>
          <w:p w14:paraId="7E3BC334"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1.</w:t>
            </w:r>
          </w:p>
        </w:tc>
        <w:tc>
          <w:tcPr>
            <w:tcW w:w="1417" w:type="dxa"/>
            <w:hideMark/>
          </w:tcPr>
          <w:p w14:paraId="55BCAE01"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PN-B-06711</w:t>
            </w:r>
          </w:p>
        </w:tc>
        <w:tc>
          <w:tcPr>
            <w:tcW w:w="5597" w:type="dxa"/>
            <w:hideMark/>
          </w:tcPr>
          <w:p w14:paraId="426C4FFA"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Kruszywo mineralne. Piasek do betonów i zapraw</w:t>
            </w:r>
          </w:p>
        </w:tc>
      </w:tr>
      <w:tr w:rsidR="00BA5651" w:rsidRPr="00134DC7" w14:paraId="281A3AF6" w14:textId="77777777" w:rsidTr="00AD2F51">
        <w:tc>
          <w:tcPr>
            <w:tcW w:w="496" w:type="dxa"/>
            <w:hideMark/>
          </w:tcPr>
          <w:p w14:paraId="0439CA18"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2.</w:t>
            </w:r>
          </w:p>
        </w:tc>
        <w:tc>
          <w:tcPr>
            <w:tcW w:w="1417" w:type="dxa"/>
            <w:hideMark/>
          </w:tcPr>
          <w:p w14:paraId="380AB05E"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PN-B-06712</w:t>
            </w:r>
          </w:p>
        </w:tc>
        <w:tc>
          <w:tcPr>
            <w:tcW w:w="5597" w:type="dxa"/>
            <w:hideMark/>
          </w:tcPr>
          <w:p w14:paraId="0D1CE217"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Kruszywa mineralne do betonu zwykłego</w:t>
            </w:r>
          </w:p>
        </w:tc>
      </w:tr>
      <w:tr w:rsidR="00BA5651" w:rsidRPr="00134DC7" w14:paraId="1BBA6FAF" w14:textId="77777777" w:rsidTr="00AD2F51">
        <w:tc>
          <w:tcPr>
            <w:tcW w:w="496" w:type="dxa"/>
            <w:hideMark/>
          </w:tcPr>
          <w:p w14:paraId="1154C876" w14:textId="77777777" w:rsidR="00BA5651" w:rsidRPr="00134DC7" w:rsidRDefault="00BA5651" w:rsidP="00AD2F51">
            <w:pPr>
              <w:numPr>
                <w:ilvl w:val="12"/>
                <w:numId w:val="0"/>
              </w:numPr>
              <w:adjustRightInd w:val="0"/>
              <w:jc w:val="both"/>
              <w:rPr>
                <w:rFonts w:ascii="Arial" w:hAnsi="Arial" w:cs="Arial"/>
                <w:color w:val="000000" w:themeColor="text1"/>
                <w:sz w:val="18"/>
                <w:lang w:val="en-US"/>
              </w:rPr>
            </w:pPr>
            <w:r w:rsidRPr="00134DC7">
              <w:rPr>
                <w:rFonts w:ascii="Arial" w:hAnsi="Arial" w:cs="Arial"/>
                <w:color w:val="000000" w:themeColor="text1"/>
                <w:sz w:val="18"/>
                <w:lang w:val="en-US"/>
              </w:rPr>
              <w:t>3.</w:t>
            </w:r>
          </w:p>
        </w:tc>
        <w:tc>
          <w:tcPr>
            <w:tcW w:w="1417" w:type="dxa"/>
            <w:hideMark/>
          </w:tcPr>
          <w:p w14:paraId="7C9B0937" w14:textId="77777777" w:rsidR="00BA5651" w:rsidRPr="00134DC7" w:rsidRDefault="00BA5651" w:rsidP="00AD2F51">
            <w:pPr>
              <w:numPr>
                <w:ilvl w:val="12"/>
                <w:numId w:val="0"/>
              </w:numPr>
              <w:adjustRightInd w:val="0"/>
              <w:jc w:val="both"/>
              <w:rPr>
                <w:rFonts w:ascii="Arial" w:hAnsi="Arial" w:cs="Arial"/>
                <w:color w:val="000000" w:themeColor="text1"/>
                <w:sz w:val="18"/>
                <w:lang w:val="en-US"/>
              </w:rPr>
            </w:pPr>
            <w:r w:rsidRPr="00134DC7">
              <w:rPr>
                <w:rFonts w:ascii="Arial" w:hAnsi="Arial" w:cs="Arial"/>
                <w:color w:val="000000" w:themeColor="text1"/>
                <w:sz w:val="18"/>
                <w:lang w:val="en-US"/>
              </w:rPr>
              <w:t>PN-B-19701</w:t>
            </w:r>
          </w:p>
        </w:tc>
        <w:tc>
          <w:tcPr>
            <w:tcW w:w="5597" w:type="dxa"/>
            <w:hideMark/>
          </w:tcPr>
          <w:p w14:paraId="62BD8594"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Cement. Cement powszechnego użytku. Skład, wymagania i ocena zgodności</w:t>
            </w:r>
          </w:p>
        </w:tc>
      </w:tr>
      <w:tr w:rsidR="00BA5651" w:rsidRPr="00134DC7" w14:paraId="1F801FE5" w14:textId="77777777" w:rsidTr="00AD2F51">
        <w:tc>
          <w:tcPr>
            <w:tcW w:w="496" w:type="dxa"/>
            <w:hideMark/>
          </w:tcPr>
          <w:p w14:paraId="5A5B5C26"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lastRenderedPageBreak/>
              <w:t>4.</w:t>
            </w:r>
          </w:p>
        </w:tc>
        <w:tc>
          <w:tcPr>
            <w:tcW w:w="1417" w:type="dxa"/>
            <w:hideMark/>
          </w:tcPr>
          <w:p w14:paraId="7DEAF3E5"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PN-B-32250</w:t>
            </w:r>
          </w:p>
        </w:tc>
        <w:tc>
          <w:tcPr>
            <w:tcW w:w="5597" w:type="dxa"/>
            <w:hideMark/>
          </w:tcPr>
          <w:p w14:paraId="399B8D15"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Materiały budowlane. Woda do betonów i zapraw</w:t>
            </w:r>
          </w:p>
        </w:tc>
      </w:tr>
      <w:tr w:rsidR="00BA5651" w:rsidRPr="00134DC7" w14:paraId="7BA6BFA2" w14:textId="77777777" w:rsidTr="00AD2F51">
        <w:tc>
          <w:tcPr>
            <w:tcW w:w="496" w:type="dxa"/>
            <w:hideMark/>
          </w:tcPr>
          <w:p w14:paraId="11544FB0"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5.</w:t>
            </w:r>
          </w:p>
        </w:tc>
        <w:tc>
          <w:tcPr>
            <w:tcW w:w="1417" w:type="dxa"/>
            <w:hideMark/>
          </w:tcPr>
          <w:p w14:paraId="6A81CEF4"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BN-84/6716-03</w:t>
            </w:r>
          </w:p>
        </w:tc>
        <w:tc>
          <w:tcPr>
            <w:tcW w:w="5597" w:type="dxa"/>
            <w:hideMark/>
          </w:tcPr>
          <w:p w14:paraId="10ED5371"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Materiały kamienne. Bloki, formaki i płyty surowe</w:t>
            </w:r>
          </w:p>
        </w:tc>
      </w:tr>
      <w:tr w:rsidR="00BA5651" w:rsidRPr="00134DC7" w14:paraId="3C91EDFD" w14:textId="77777777" w:rsidTr="00AD2F51">
        <w:tc>
          <w:tcPr>
            <w:tcW w:w="496" w:type="dxa"/>
            <w:hideMark/>
          </w:tcPr>
          <w:p w14:paraId="4712A2C9"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6.</w:t>
            </w:r>
          </w:p>
        </w:tc>
        <w:tc>
          <w:tcPr>
            <w:tcW w:w="1417" w:type="dxa"/>
            <w:hideMark/>
          </w:tcPr>
          <w:p w14:paraId="30FBD974"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BN-88/6731-08</w:t>
            </w:r>
          </w:p>
        </w:tc>
        <w:tc>
          <w:tcPr>
            <w:tcW w:w="5597" w:type="dxa"/>
            <w:hideMark/>
          </w:tcPr>
          <w:p w14:paraId="48D20836"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Cement. Transport i przechowywanie</w:t>
            </w:r>
          </w:p>
        </w:tc>
      </w:tr>
      <w:tr w:rsidR="00BA5651" w:rsidRPr="00134DC7" w14:paraId="3B2B6D53" w14:textId="77777777" w:rsidTr="00AD2F51">
        <w:tc>
          <w:tcPr>
            <w:tcW w:w="496" w:type="dxa"/>
            <w:hideMark/>
          </w:tcPr>
          <w:p w14:paraId="4563CBBE"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7.</w:t>
            </w:r>
          </w:p>
        </w:tc>
        <w:tc>
          <w:tcPr>
            <w:tcW w:w="1417" w:type="dxa"/>
            <w:hideMark/>
          </w:tcPr>
          <w:p w14:paraId="208C00C8"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BN-86/6747-06</w:t>
            </w:r>
          </w:p>
        </w:tc>
        <w:tc>
          <w:tcPr>
            <w:tcW w:w="5597" w:type="dxa"/>
            <w:hideMark/>
          </w:tcPr>
          <w:p w14:paraId="3606BA72" w14:textId="77777777" w:rsidR="00BA5651" w:rsidRPr="00134DC7" w:rsidRDefault="00BA5651" w:rsidP="00AD2F51">
            <w:pPr>
              <w:numPr>
                <w:ilvl w:val="12"/>
                <w:numId w:val="0"/>
              </w:numPr>
              <w:adjustRightInd w:val="0"/>
              <w:jc w:val="both"/>
              <w:rPr>
                <w:rFonts w:ascii="Arial" w:hAnsi="Arial" w:cs="Arial"/>
                <w:color w:val="000000" w:themeColor="text1"/>
                <w:sz w:val="18"/>
              </w:rPr>
            </w:pPr>
            <w:r w:rsidRPr="00134DC7">
              <w:rPr>
                <w:rFonts w:ascii="Arial" w:hAnsi="Arial" w:cs="Arial"/>
                <w:color w:val="000000" w:themeColor="text1"/>
                <w:sz w:val="18"/>
              </w:rPr>
              <w:t>Elementy płytowe z kamienia naturalnego. Płyty posadzkowe zewnętrzne i wewnętrzne</w:t>
            </w:r>
          </w:p>
        </w:tc>
      </w:tr>
    </w:tbl>
    <w:p w14:paraId="0C0DCEB0" w14:textId="77777777" w:rsidR="00BA5651" w:rsidRPr="00134DC7" w:rsidRDefault="00BA5651" w:rsidP="00BA5651">
      <w:pPr>
        <w:jc w:val="both"/>
        <w:rPr>
          <w:rFonts w:ascii="Arial" w:hAnsi="Arial" w:cs="Arial"/>
          <w:b/>
          <w:color w:val="000000" w:themeColor="text1"/>
          <w:sz w:val="18"/>
          <w:szCs w:val="18"/>
        </w:rPr>
      </w:pPr>
      <w:r w:rsidRPr="00134DC7">
        <w:rPr>
          <w:rFonts w:ascii="Arial" w:hAnsi="Arial" w:cs="Arial"/>
          <w:b/>
          <w:color w:val="000000" w:themeColor="text1"/>
          <w:sz w:val="18"/>
          <w:szCs w:val="18"/>
        </w:rPr>
        <w:t>10.2. Inne dokumenty</w:t>
      </w:r>
    </w:p>
    <w:p w14:paraId="08BEFEFF" w14:textId="77777777" w:rsidR="00BA5651" w:rsidRPr="00134DC7" w:rsidRDefault="00BA5651" w:rsidP="00BA5651">
      <w:pPr>
        <w:pStyle w:val="Standard"/>
        <w:tabs>
          <w:tab w:val="left" w:pos="630"/>
        </w:tabs>
        <w:spacing w:line="216" w:lineRule="auto"/>
        <w:jc w:val="both"/>
        <w:rPr>
          <w:rFonts w:ascii="Arial" w:hAnsi="Arial" w:cs="Arial"/>
          <w:color w:val="000000" w:themeColor="text1"/>
          <w:sz w:val="18"/>
          <w:szCs w:val="20"/>
        </w:rPr>
      </w:pPr>
      <w:r w:rsidRPr="00134DC7">
        <w:rPr>
          <w:rFonts w:ascii="Arial" w:hAnsi="Arial" w:cs="Arial"/>
          <w:color w:val="000000" w:themeColor="text1"/>
          <w:sz w:val="18"/>
          <w:szCs w:val="20"/>
        </w:rPr>
        <w:tab/>
        <w:t>Nie występują.</w:t>
      </w:r>
    </w:p>
    <w:p w14:paraId="224933F0" w14:textId="77777777" w:rsidR="00BA5651" w:rsidRPr="002D7DA3" w:rsidRDefault="00BA5651" w:rsidP="00BA5651">
      <w:pPr>
        <w:pStyle w:val="Standard"/>
        <w:tabs>
          <w:tab w:val="left" w:pos="630"/>
        </w:tabs>
        <w:spacing w:line="216" w:lineRule="auto"/>
        <w:jc w:val="both"/>
        <w:rPr>
          <w:rFonts w:ascii="Arial" w:hAnsi="Arial" w:cs="Arial"/>
          <w:sz w:val="20"/>
          <w:szCs w:val="20"/>
        </w:rPr>
      </w:pPr>
    </w:p>
    <w:p w14:paraId="6D5A339C" w14:textId="77777777" w:rsidR="00BA5651" w:rsidRPr="00731F48" w:rsidRDefault="00BA5651" w:rsidP="00BA5651">
      <w:pPr>
        <w:jc w:val="both"/>
        <w:rPr>
          <w:rFonts w:ascii="Arial" w:hAnsi="Arial" w:cs="Arial"/>
          <w:color w:val="000000" w:themeColor="text1"/>
          <w:sz w:val="18"/>
          <w:szCs w:val="18"/>
        </w:rPr>
      </w:pPr>
    </w:p>
    <w:p w14:paraId="387AD511" w14:textId="77777777" w:rsidR="00BA5651" w:rsidRDefault="00BA5651" w:rsidP="00BA5651">
      <w:pPr>
        <w:pStyle w:val="Nagwek1"/>
        <w:jc w:val="center"/>
        <w:rPr>
          <w:sz w:val="40"/>
          <w:szCs w:val="28"/>
        </w:rPr>
      </w:pPr>
    </w:p>
    <w:p w14:paraId="5B4CCE82" w14:textId="77777777" w:rsidR="00BA5651" w:rsidRDefault="00BA5651" w:rsidP="00BA5651">
      <w:pPr>
        <w:rPr>
          <w:rFonts w:ascii="Arial" w:hAnsi="Arial" w:cs="Arial"/>
          <w:b/>
          <w:bCs/>
          <w:color w:val="000000" w:themeColor="text1"/>
          <w:sz w:val="28"/>
          <w:szCs w:val="28"/>
        </w:rPr>
      </w:pPr>
    </w:p>
    <w:p w14:paraId="2C9B2932" w14:textId="77777777" w:rsidR="00BA5651" w:rsidRDefault="00BA5651" w:rsidP="00BA5651">
      <w:pPr>
        <w:rPr>
          <w:rFonts w:ascii="Arial" w:hAnsi="Arial" w:cs="Arial"/>
          <w:b/>
          <w:bCs/>
          <w:color w:val="000000" w:themeColor="text1"/>
          <w:sz w:val="28"/>
          <w:szCs w:val="28"/>
        </w:rPr>
      </w:pPr>
    </w:p>
    <w:p w14:paraId="57882014" w14:textId="77777777" w:rsidR="00BA5651" w:rsidRDefault="00BA5651" w:rsidP="00BA5651">
      <w:pPr>
        <w:rPr>
          <w:rFonts w:ascii="Arial" w:hAnsi="Arial" w:cs="Arial"/>
          <w:b/>
          <w:bCs/>
          <w:color w:val="000000" w:themeColor="text1"/>
          <w:sz w:val="28"/>
          <w:szCs w:val="28"/>
        </w:rPr>
      </w:pPr>
    </w:p>
    <w:p w14:paraId="1C4392F5" w14:textId="77777777" w:rsidR="00BA5651" w:rsidRDefault="00BA5651" w:rsidP="00BA5651">
      <w:pPr>
        <w:rPr>
          <w:rFonts w:ascii="Arial" w:hAnsi="Arial" w:cs="Arial"/>
          <w:b/>
          <w:bCs/>
          <w:color w:val="000000" w:themeColor="text1"/>
          <w:sz w:val="28"/>
          <w:szCs w:val="28"/>
        </w:rPr>
      </w:pPr>
    </w:p>
    <w:p w14:paraId="676985DC" w14:textId="77777777" w:rsidR="00BA5651" w:rsidRDefault="00BA5651" w:rsidP="00BA5651">
      <w:pPr>
        <w:rPr>
          <w:rFonts w:ascii="Arial" w:hAnsi="Arial" w:cs="Arial"/>
          <w:b/>
          <w:bCs/>
          <w:color w:val="000000" w:themeColor="text1"/>
          <w:sz w:val="28"/>
          <w:szCs w:val="28"/>
        </w:rPr>
      </w:pPr>
    </w:p>
    <w:p w14:paraId="5641465A" w14:textId="77777777" w:rsidR="00BA5651" w:rsidRDefault="00BA5651" w:rsidP="00BA5651">
      <w:pPr>
        <w:rPr>
          <w:rFonts w:ascii="Arial" w:hAnsi="Arial" w:cs="Arial"/>
          <w:b/>
          <w:bCs/>
          <w:color w:val="000000" w:themeColor="text1"/>
          <w:sz w:val="28"/>
          <w:szCs w:val="28"/>
        </w:rPr>
      </w:pPr>
    </w:p>
    <w:p w14:paraId="2134C716" w14:textId="77777777" w:rsidR="00BA5651" w:rsidRDefault="00BA5651" w:rsidP="00BA5651">
      <w:pPr>
        <w:rPr>
          <w:rFonts w:ascii="Arial" w:hAnsi="Arial" w:cs="Arial"/>
          <w:b/>
          <w:bCs/>
          <w:color w:val="000000" w:themeColor="text1"/>
          <w:sz w:val="28"/>
          <w:szCs w:val="28"/>
        </w:rPr>
      </w:pPr>
    </w:p>
    <w:p w14:paraId="00C6490C" w14:textId="77777777" w:rsidR="00BA5651" w:rsidRDefault="00BA5651" w:rsidP="00BA5651">
      <w:pPr>
        <w:rPr>
          <w:rFonts w:ascii="Arial" w:hAnsi="Arial" w:cs="Arial"/>
          <w:b/>
          <w:bCs/>
          <w:color w:val="000000" w:themeColor="text1"/>
          <w:sz w:val="28"/>
          <w:szCs w:val="28"/>
        </w:rPr>
      </w:pPr>
    </w:p>
    <w:p w14:paraId="51ED11B9" w14:textId="77777777" w:rsidR="00BA5651" w:rsidRDefault="00BA5651" w:rsidP="00BA5651">
      <w:pPr>
        <w:rPr>
          <w:rFonts w:ascii="Arial" w:hAnsi="Arial" w:cs="Arial"/>
          <w:b/>
          <w:bCs/>
          <w:color w:val="000000" w:themeColor="text1"/>
          <w:sz w:val="28"/>
          <w:szCs w:val="28"/>
        </w:rPr>
      </w:pPr>
    </w:p>
    <w:p w14:paraId="0ECDC12D" w14:textId="77777777" w:rsidR="00BA5651" w:rsidRDefault="00BA5651" w:rsidP="00BA5651">
      <w:pPr>
        <w:rPr>
          <w:rFonts w:ascii="Arial" w:hAnsi="Arial" w:cs="Arial"/>
          <w:b/>
          <w:bCs/>
          <w:color w:val="000000" w:themeColor="text1"/>
          <w:sz w:val="28"/>
          <w:szCs w:val="28"/>
        </w:rPr>
      </w:pPr>
    </w:p>
    <w:p w14:paraId="0678878F" w14:textId="77777777" w:rsidR="00BA5651" w:rsidRDefault="00BA5651" w:rsidP="00BA5651">
      <w:pPr>
        <w:rPr>
          <w:rFonts w:ascii="Arial" w:hAnsi="Arial" w:cs="Arial"/>
          <w:b/>
          <w:bCs/>
          <w:color w:val="000000" w:themeColor="text1"/>
          <w:sz w:val="28"/>
          <w:szCs w:val="28"/>
        </w:rPr>
      </w:pPr>
    </w:p>
    <w:p w14:paraId="58F532DE" w14:textId="77777777" w:rsidR="00BA5651" w:rsidRDefault="00BA5651" w:rsidP="00BA5651">
      <w:pPr>
        <w:rPr>
          <w:rFonts w:ascii="Arial" w:hAnsi="Arial" w:cs="Arial"/>
          <w:b/>
          <w:bCs/>
          <w:color w:val="000000" w:themeColor="text1"/>
          <w:sz w:val="28"/>
          <w:szCs w:val="28"/>
        </w:rPr>
      </w:pPr>
    </w:p>
    <w:p w14:paraId="51AD5826" w14:textId="77777777" w:rsidR="00BA5651" w:rsidRDefault="00BA5651" w:rsidP="00BA5651">
      <w:pPr>
        <w:rPr>
          <w:rFonts w:ascii="Arial" w:hAnsi="Arial" w:cs="Arial"/>
          <w:b/>
          <w:bCs/>
          <w:color w:val="000000" w:themeColor="text1"/>
          <w:sz w:val="28"/>
          <w:szCs w:val="28"/>
        </w:rPr>
      </w:pPr>
    </w:p>
    <w:p w14:paraId="021B7A0F" w14:textId="77777777" w:rsidR="00BA5651" w:rsidRDefault="00BA5651" w:rsidP="00BA5651">
      <w:pPr>
        <w:rPr>
          <w:rFonts w:ascii="Arial" w:hAnsi="Arial" w:cs="Arial"/>
          <w:b/>
          <w:bCs/>
          <w:color w:val="000000" w:themeColor="text1"/>
          <w:sz w:val="28"/>
          <w:szCs w:val="28"/>
        </w:rPr>
      </w:pPr>
    </w:p>
    <w:p w14:paraId="7326332A" w14:textId="77777777" w:rsidR="00BA5651" w:rsidRDefault="00BA5651" w:rsidP="00BA5651">
      <w:pPr>
        <w:rPr>
          <w:rFonts w:ascii="Arial" w:hAnsi="Arial" w:cs="Arial"/>
          <w:b/>
          <w:bCs/>
          <w:color w:val="000000" w:themeColor="text1"/>
          <w:sz w:val="28"/>
          <w:szCs w:val="28"/>
        </w:rPr>
      </w:pPr>
    </w:p>
    <w:p w14:paraId="1B85C86D" w14:textId="77777777" w:rsidR="00BA5651" w:rsidRDefault="00BA5651" w:rsidP="00BA5651">
      <w:pPr>
        <w:rPr>
          <w:rFonts w:ascii="Arial" w:hAnsi="Arial" w:cs="Arial"/>
          <w:b/>
          <w:bCs/>
          <w:color w:val="000000" w:themeColor="text1"/>
          <w:sz w:val="28"/>
          <w:szCs w:val="28"/>
        </w:rPr>
      </w:pPr>
    </w:p>
    <w:p w14:paraId="7666B2DE" w14:textId="77777777" w:rsidR="00BA5651" w:rsidRDefault="00BA5651" w:rsidP="00BA5651">
      <w:pPr>
        <w:rPr>
          <w:rFonts w:ascii="Arial" w:hAnsi="Arial" w:cs="Arial"/>
          <w:b/>
          <w:bCs/>
          <w:color w:val="000000" w:themeColor="text1"/>
          <w:sz w:val="28"/>
          <w:szCs w:val="28"/>
        </w:rPr>
      </w:pPr>
    </w:p>
    <w:p w14:paraId="5CE8F478" w14:textId="77777777" w:rsidR="00BA5651" w:rsidRDefault="00BA5651" w:rsidP="00BA5651">
      <w:pPr>
        <w:rPr>
          <w:rFonts w:ascii="Arial" w:hAnsi="Arial" w:cs="Arial"/>
          <w:b/>
          <w:bCs/>
          <w:color w:val="000000" w:themeColor="text1"/>
          <w:sz w:val="28"/>
          <w:szCs w:val="28"/>
        </w:rPr>
      </w:pPr>
    </w:p>
    <w:p w14:paraId="6FF78951" w14:textId="77777777" w:rsidR="00BA5651" w:rsidRDefault="00BA5651" w:rsidP="00BA5651">
      <w:pPr>
        <w:rPr>
          <w:rFonts w:ascii="Arial" w:hAnsi="Arial" w:cs="Arial"/>
          <w:b/>
          <w:bCs/>
          <w:color w:val="000000" w:themeColor="text1"/>
          <w:sz w:val="28"/>
          <w:szCs w:val="28"/>
        </w:rPr>
      </w:pPr>
    </w:p>
    <w:p w14:paraId="065BCD95" w14:textId="77777777" w:rsidR="00BA5651" w:rsidRDefault="00BA5651" w:rsidP="00BA5651">
      <w:pPr>
        <w:rPr>
          <w:rFonts w:ascii="Arial" w:hAnsi="Arial" w:cs="Arial"/>
          <w:b/>
          <w:bCs/>
          <w:color w:val="000000" w:themeColor="text1"/>
          <w:sz w:val="28"/>
          <w:szCs w:val="28"/>
        </w:rPr>
      </w:pPr>
    </w:p>
    <w:p w14:paraId="0AEA8900" w14:textId="77777777" w:rsidR="00BA5651" w:rsidRDefault="00BA5651" w:rsidP="00BA5651">
      <w:pPr>
        <w:rPr>
          <w:rFonts w:ascii="Arial" w:hAnsi="Arial" w:cs="Arial"/>
          <w:b/>
          <w:bCs/>
          <w:color w:val="000000" w:themeColor="text1"/>
          <w:sz w:val="28"/>
          <w:szCs w:val="28"/>
        </w:rPr>
      </w:pPr>
    </w:p>
    <w:p w14:paraId="62967D7F" w14:textId="77777777" w:rsidR="00BA5651" w:rsidRDefault="00BA5651" w:rsidP="00BA5651">
      <w:pPr>
        <w:rPr>
          <w:rFonts w:ascii="Arial" w:hAnsi="Arial" w:cs="Arial"/>
          <w:b/>
          <w:bCs/>
          <w:color w:val="000000" w:themeColor="text1"/>
          <w:sz w:val="28"/>
          <w:szCs w:val="28"/>
        </w:rPr>
      </w:pPr>
    </w:p>
    <w:p w14:paraId="42594954" w14:textId="77777777" w:rsidR="009A4B03" w:rsidRDefault="009A4B03" w:rsidP="001B23C0">
      <w:pPr>
        <w:pStyle w:val="Nagwek1"/>
        <w:jc w:val="center"/>
        <w:rPr>
          <w:color w:val="FF0000"/>
          <w:sz w:val="40"/>
        </w:rPr>
      </w:pPr>
    </w:p>
    <w:p w14:paraId="765EED56" w14:textId="77777777" w:rsidR="00BA5651" w:rsidRDefault="00BA5651" w:rsidP="00BA5651">
      <w:pPr>
        <w:pStyle w:val="Tekstpodstawowy"/>
      </w:pPr>
    </w:p>
    <w:p w14:paraId="32C3E392" w14:textId="77777777" w:rsidR="00BA5651" w:rsidRDefault="00BA5651" w:rsidP="00BA5651">
      <w:pPr>
        <w:pStyle w:val="Tekstpodstawowy"/>
      </w:pPr>
    </w:p>
    <w:p w14:paraId="1FFE1E19" w14:textId="77777777" w:rsidR="00BA5651" w:rsidRDefault="00BA5651" w:rsidP="00BA5651">
      <w:pPr>
        <w:pStyle w:val="Tekstpodstawowy"/>
      </w:pPr>
    </w:p>
    <w:p w14:paraId="72D5788D" w14:textId="77777777" w:rsidR="00BA5651" w:rsidRDefault="00BA5651" w:rsidP="00BA5651">
      <w:pPr>
        <w:pStyle w:val="Tekstpodstawowy"/>
      </w:pPr>
    </w:p>
    <w:p w14:paraId="027EA067" w14:textId="77777777" w:rsidR="00BA5651" w:rsidRDefault="00BA5651" w:rsidP="00BA5651">
      <w:pPr>
        <w:pStyle w:val="Tekstpodstawowy"/>
      </w:pPr>
    </w:p>
    <w:p w14:paraId="4EDC478A" w14:textId="77777777" w:rsidR="00BA5651" w:rsidRPr="00BA5651" w:rsidRDefault="00BA5651" w:rsidP="00BA5651">
      <w:pPr>
        <w:pStyle w:val="Tekstpodstawowy"/>
      </w:pPr>
    </w:p>
    <w:p w14:paraId="73B154D8" w14:textId="77777777" w:rsidR="00F45500" w:rsidRPr="007B192E" w:rsidRDefault="001B23C0" w:rsidP="001B23C0">
      <w:pPr>
        <w:pStyle w:val="Nagwek1"/>
        <w:jc w:val="center"/>
        <w:rPr>
          <w:color w:val="000000" w:themeColor="text1"/>
        </w:rPr>
      </w:pPr>
      <w:bookmarkStart w:id="410" w:name="_Toc163481067"/>
      <w:r w:rsidRPr="007B192E">
        <w:rPr>
          <w:color w:val="000000" w:themeColor="text1"/>
          <w:sz w:val="40"/>
        </w:rPr>
        <w:lastRenderedPageBreak/>
        <w:t xml:space="preserve">D-08.03.01 </w:t>
      </w:r>
      <w:r w:rsidR="00F45500" w:rsidRPr="007B192E">
        <w:rPr>
          <w:color w:val="000000" w:themeColor="text1"/>
          <w:sz w:val="40"/>
        </w:rPr>
        <w:t>BETONOWE  OBRZEŻA  CHODNIKOWE</w:t>
      </w:r>
      <w:bookmarkEnd w:id="410"/>
    </w:p>
    <w:p w14:paraId="7510DFE5" w14:textId="77777777" w:rsidR="00F45500" w:rsidRPr="007B192E" w:rsidRDefault="00F45500" w:rsidP="00477DED">
      <w:pPr>
        <w:pStyle w:val="Nagwek2"/>
        <w:rPr>
          <w:i w:val="0"/>
          <w:color w:val="000000" w:themeColor="text1"/>
        </w:rPr>
      </w:pPr>
      <w:r w:rsidRPr="007B192E">
        <w:rPr>
          <w:i w:val="0"/>
          <w:color w:val="000000" w:themeColor="text1"/>
        </w:rPr>
        <w:t>1. WSTĘP</w:t>
      </w:r>
    </w:p>
    <w:p w14:paraId="236A5718"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1.1. Przedmiot ST</w:t>
      </w:r>
    </w:p>
    <w:p w14:paraId="419BF3C8" w14:textId="77777777" w:rsidR="00F45500" w:rsidRPr="007B192E" w:rsidRDefault="00F45500" w:rsidP="00F45500">
      <w:pPr>
        <w:pStyle w:val="Standard"/>
        <w:tabs>
          <w:tab w:val="left" w:pos="630"/>
        </w:tabs>
        <w:spacing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Przedmiotem niniejszej specyfikacji technicznej (ST) są wymagania dotyczące wykonania i odbioru robót związanych z ustawieniem betonowego obrzeża chodnikowego.</w:t>
      </w:r>
    </w:p>
    <w:p w14:paraId="16E4251D" w14:textId="77777777" w:rsidR="00F45500" w:rsidRPr="007B192E" w:rsidRDefault="00F45500" w:rsidP="00F45500">
      <w:pPr>
        <w:pStyle w:val="Nagwek2"/>
        <w:numPr>
          <w:ilvl w:val="1"/>
          <w:numId w:val="30"/>
        </w:numPr>
        <w:overflowPunct/>
        <w:autoSpaceDE/>
        <w:spacing w:before="60" w:line="216" w:lineRule="auto"/>
        <w:jc w:val="both"/>
        <w:textAlignment w:val="auto"/>
        <w:rPr>
          <w:color w:val="000000" w:themeColor="text1"/>
          <w:sz w:val="18"/>
          <w:szCs w:val="18"/>
        </w:rPr>
      </w:pPr>
      <w:r w:rsidRPr="007B192E">
        <w:rPr>
          <w:color w:val="000000" w:themeColor="text1"/>
          <w:sz w:val="18"/>
          <w:szCs w:val="18"/>
        </w:rPr>
        <w:t>1.2. Zakres stosowania ST</w:t>
      </w:r>
    </w:p>
    <w:p w14:paraId="49707AC3" w14:textId="77777777" w:rsidR="00F45500" w:rsidRPr="007B192E" w:rsidRDefault="00F45500" w:rsidP="00F45500">
      <w:pPr>
        <w:pStyle w:val="Standard"/>
        <w:tabs>
          <w:tab w:val="left" w:pos="630"/>
        </w:tabs>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7B2271A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1.3. Zakres robót objętych ST</w:t>
      </w:r>
    </w:p>
    <w:p w14:paraId="736E8282" w14:textId="77777777" w:rsidR="00F45500" w:rsidRPr="007B192E" w:rsidRDefault="00F45500" w:rsidP="00F45500">
      <w:pPr>
        <w:pStyle w:val="Standard"/>
        <w:tabs>
          <w:tab w:val="left" w:pos="630"/>
        </w:tabs>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Ustalenia zawarte w niniejszej specyfikacji dotyczą zasad prowadzenia robót związanych z ustawieniem betonowego obrzeża chodnikowego.</w:t>
      </w:r>
    </w:p>
    <w:p w14:paraId="71919EA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1.4. Określenia podstawowe</w:t>
      </w:r>
    </w:p>
    <w:p w14:paraId="7A803605" w14:textId="77777777" w:rsidR="00F45500" w:rsidRPr="007B192E" w:rsidRDefault="00F45500" w:rsidP="00F45500">
      <w:pPr>
        <w:pStyle w:val="Standard"/>
        <w:tabs>
          <w:tab w:val="left" w:pos="567"/>
        </w:tabs>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1.4.1. </w:t>
      </w:r>
      <w:r w:rsidRPr="007B192E">
        <w:rPr>
          <w:rFonts w:ascii="Arial" w:hAnsi="Arial" w:cs="Arial"/>
          <w:color w:val="000000" w:themeColor="text1"/>
          <w:sz w:val="18"/>
          <w:szCs w:val="18"/>
        </w:rPr>
        <w:t>Obrzeża chodnikowe - prefabrykowane belki betonowe rozgraniczające jednostronnie lub dwustronnie ciągi komunikacyjne od terenów nie przeznaczonych do komunikacji.</w:t>
      </w:r>
    </w:p>
    <w:p w14:paraId="23A5576D" w14:textId="77777777" w:rsidR="00F45500" w:rsidRPr="007B192E" w:rsidRDefault="00F45500" w:rsidP="00F45500">
      <w:pPr>
        <w:pStyle w:val="Standard"/>
        <w:tabs>
          <w:tab w:val="left" w:pos="567"/>
        </w:tabs>
        <w:spacing w:before="120"/>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1.4.2. </w:t>
      </w:r>
      <w:r w:rsidRPr="007B192E">
        <w:rPr>
          <w:rFonts w:ascii="Arial" w:hAnsi="Arial" w:cs="Arial"/>
          <w:color w:val="000000" w:themeColor="text1"/>
          <w:sz w:val="18"/>
          <w:szCs w:val="18"/>
        </w:rPr>
        <w:t xml:space="preserve">Pozostałe określenia podstawowe są zgodne z obowiązującymi, odpowiednimi polskimi normami  i definicjami podanymi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1.4.</w:t>
      </w:r>
    </w:p>
    <w:p w14:paraId="1917C2F2"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1.5. Ogólne wymagania dotyczące robót</w:t>
      </w:r>
    </w:p>
    <w:p w14:paraId="3F9E894B" w14:textId="77777777" w:rsidR="00F45500" w:rsidRPr="007B192E" w:rsidRDefault="00F45500" w:rsidP="00F45500">
      <w:pPr>
        <w:pStyle w:val="Standard"/>
        <w:tabs>
          <w:tab w:val="left" w:pos="630"/>
        </w:tabs>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1.5.</w:t>
      </w:r>
    </w:p>
    <w:p w14:paraId="4005D1BF" w14:textId="77777777" w:rsidR="00F45500" w:rsidRPr="007B192E" w:rsidRDefault="00F45500" w:rsidP="00477DED">
      <w:pPr>
        <w:pStyle w:val="Nagwek2"/>
        <w:rPr>
          <w:i w:val="0"/>
          <w:color w:val="000000" w:themeColor="text1"/>
        </w:rPr>
      </w:pPr>
      <w:r w:rsidRPr="007B192E">
        <w:rPr>
          <w:i w:val="0"/>
          <w:color w:val="000000" w:themeColor="text1"/>
        </w:rPr>
        <w:t>2. MATERIAŁY</w:t>
      </w:r>
    </w:p>
    <w:p w14:paraId="3A4C5B8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2.1. Ogólne wymagania dotyczące materiałów</w:t>
      </w:r>
    </w:p>
    <w:p w14:paraId="1E5F833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materiałów, ich pozyskiwania i składowania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2.</w:t>
      </w:r>
    </w:p>
    <w:p w14:paraId="513A7C0C"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2.2. Stosowane materiały</w:t>
      </w:r>
    </w:p>
    <w:p w14:paraId="4BB5BDB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Materiałami stosowanymi są:</w:t>
      </w:r>
    </w:p>
    <w:p w14:paraId="163CCC49" w14:textId="77777777" w:rsidR="00F45500" w:rsidRPr="007B192E"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obrzeża istniejące z rozbiórki,</w:t>
      </w:r>
    </w:p>
    <w:p w14:paraId="3575D114" w14:textId="77777777" w:rsidR="00F45500" w:rsidRPr="007B192E"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żwir lub piasek do wykonania ław,</w:t>
      </w:r>
    </w:p>
    <w:p w14:paraId="03E2CDD4" w14:textId="77777777" w:rsidR="00F45500" w:rsidRPr="007B192E"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cement wg PN-B-19701 [7],</w:t>
      </w:r>
    </w:p>
    <w:p w14:paraId="2EFEDE29" w14:textId="77777777" w:rsidR="00F45500" w:rsidRPr="007B192E" w:rsidRDefault="00F45500" w:rsidP="00F45500">
      <w:pPr>
        <w:pStyle w:val="Standard"/>
        <w:widowControl w:val="0"/>
        <w:numPr>
          <w:ilvl w:val="0"/>
          <w:numId w:val="190"/>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piasek do zapraw wg PN-B-06711 [3].</w:t>
      </w:r>
    </w:p>
    <w:p w14:paraId="029DA1D1" w14:textId="77777777" w:rsidR="00F45500" w:rsidRPr="007B192E" w:rsidRDefault="00F45500" w:rsidP="00F45500">
      <w:pPr>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2.4.1. Składowanie obrzeży</w:t>
      </w:r>
    </w:p>
    <w:p w14:paraId="74557702" w14:textId="77777777" w:rsidR="00F45500" w:rsidRPr="007B192E" w:rsidRDefault="00F45500" w:rsidP="00F45500">
      <w:pPr>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Obrzeża betonowe mogą być przechowywane na składowiskach otwartych, posegregowane według typów, rodzajów, kształtów, cech fizycznych i mechanicznych, wielkości, wyglądu itp.</w:t>
      </w:r>
    </w:p>
    <w:p w14:paraId="0DC38EC1" w14:textId="77777777" w:rsidR="00F45500" w:rsidRPr="007B192E" w:rsidRDefault="00F45500" w:rsidP="00F45500">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Obrzeza betonowe należy układać z zastosowaniem podkładek i przekładek drewnianych o wymiarach: grubość 2,5 cm, szerokość 5 cm, długości min. 5 cm większej od szerokości krawężnika.</w:t>
      </w:r>
    </w:p>
    <w:p w14:paraId="22483272" w14:textId="77777777" w:rsidR="00F45500" w:rsidRPr="007B192E" w:rsidRDefault="00F45500" w:rsidP="00F45500">
      <w:pPr>
        <w:keepNext/>
        <w:spacing w:before="120" w:after="120"/>
        <w:jc w:val="both"/>
        <w:outlineLvl w:val="1"/>
        <w:rPr>
          <w:rFonts w:ascii="Arial" w:hAnsi="Arial" w:cs="Arial"/>
          <w:b/>
          <w:i/>
          <w:color w:val="000000" w:themeColor="text1"/>
          <w:sz w:val="18"/>
          <w:szCs w:val="18"/>
        </w:rPr>
      </w:pPr>
      <w:r w:rsidRPr="007B192E">
        <w:rPr>
          <w:rFonts w:ascii="Arial" w:hAnsi="Arial" w:cs="Arial"/>
          <w:b/>
          <w:color w:val="000000" w:themeColor="text1"/>
          <w:sz w:val="18"/>
          <w:szCs w:val="18"/>
        </w:rPr>
        <w:t xml:space="preserve">2.5. </w:t>
      </w:r>
      <w:r w:rsidRPr="007B192E">
        <w:rPr>
          <w:rFonts w:ascii="Arial" w:hAnsi="Arial" w:cs="Arial"/>
          <w:color w:val="000000" w:themeColor="text1"/>
          <w:sz w:val="18"/>
          <w:szCs w:val="18"/>
        </w:rPr>
        <w:t>Materiały na podsypkę i do zapraw</w:t>
      </w:r>
    </w:p>
    <w:p w14:paraId="46C3F8F5" w14:textId="77777777" w:rsidR="00F45500" w:rsidRPr="007B192E" w:rsidRDefault="00F45500" w:rsidP="00F45500">
      <w:pPr>
        <w:ind w:firstLine="360"/>
        <w:jc w:val="both"/>
        <w:rPr>
          <w:rFonts w:ascii="Arial" w:hAnsi="Arial" w:cs="Arial"/>
          <w:color w:val="000000" w:themeColor="text1"/>
          <w:sz w:val="18"/>
          <w:szCs w:val="18"/>
        </w:rPr>
      </w:pPr>
      <w:r w:rsidRPr="007B192E">
        <w:rPr>
          <w:rFonts w:ascii="Arial" w:hAnsi="Arial" w:cs="Arial"/>
          <w:color w:val="000000" w:themeColor="text1"/>
          <w:sz w:val="18"/>
          <w:szCs w:val="18"/>
        </w:rPr>
        <w:t>Na podsypkę cementowo – piaskową należy zastosować następujące materiały::</w:t>
      </w:r>
    </w:p>
    <w:p w14:paraId="6732BC06" w14:textId="77777777" w:rsidR="00F45500" w:rsidRPr="007B192E" w:rsidRDefault="00F45500" w:rsidP="00BA5651">
      <w:pPr>
        <w:widowControl/>
        <w:numPr>
          <w:ilvl w:val="0"/>
          <w:numId w:val="26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drobne 0/2, 0/4 lub 0/5 wg. normy PN-EN 13242 kategorii uziarnienia 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80, zawartości pyłów f</w:t>
      </w:r>
      <w:r w:rsidRPr="007B192E">
        <w:rPr>
          <w:rFonts w:ascii="Arial" w:hAnsi="Arial" w:cs="Arial"/>
          <w:color w:val="000000" w:themeColor="text1"/>
          <w:sz w:val="18"/>
          <w:szCs w:val="18"/>
          <w:vertAlign w:val="subscript"/>
        </w:rPr>
        <w:t>10</w:t>
      </w:r>
      <w:r w:rsidRPr="007B192E">
        <w:rPr>
          <w:rFonts w:ascii="Arial" w:hAnsi="Arial" w:cs="Arial"/>
          <w:color w:val="000000" w:themeColor="text1"/>
          <w:sz w:val="18"/>
          <w:szCs w:val="18"/>
        </w:rPr>
        <w:t>:</w:t>
      </w:r>
    </w:p>
    <w:p w14:paraId="20641709" w14:textId="77777777" w:rsidR="00F45500" w:rsidRPr="007B192E" w:rsidRDefault="00F45500" w:rsidP="00BA5651">
      <w:pPr>
        <w:widowControl/>
        <w:numPr>
          <w:ilvl w:val="0"/>
          <w:numId w:val="269"/>
        </w:numPr>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kruszywo 1/4, 2/5 lub 2/8, wg. normy PN-EN 13242 kategorii uziarnienia 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 xml:space="preserve">80-20, zawartości pyłów </w:t>
      </w:r>
      <w:proofErr w:type="spellStart"/>
      <w:r w:rsidRPr="007B192E">
        <w:rPr>
          <w:rFonts w:ascii="Arial" w:hAnsi="Arial" w:cs="Arial"/>
          <w:color w:val="000000" w:themeColor="text1"/>
          <w:sz w:val="18"/>
          <w:szCs w:val="18"/>
        </w:rPr>
        <w:t>f</w:t>
      </w:r>
      <w:r w:rsidRPr="007B192E">
        <w:rPr>
          <w:rFonts w:ascii="Arial" w:hAnsi="Arial" w:cs="Arial"/>
          <w:color w:val="000000" w:themeColor="text1"/>
          <w:sz w:val="18"/>
          <w:szCs w:val="18"/>
          <w:vertAlign w:val="subscript"/>
        </w:rPr>
        <w:t>Deklarowana</w:t>
      </w:r>
      <w:proofErr w:type="spellEnd"/>
      <w:r w:rsidRPr="007B192E">
        <w:rPr>
          <w:rFonts w:ascii="Arial" w:hAnsi="Arial" w:cs="Arial"/>
          <w:color w:val="000000" w:themeColor="text1"/>
          <w:sz w:val="18"/>
          <w:szCs w:val="18"/>
          <w:vertAlign w:val="subscript"/>
        </w:rPr>
        <w:t> </w:t>
      </w:r>
      <w:r w:rsidRPr="007B192E">
        <w:rPr>
          <w:rFonts w:ascii="Arial" w:hAnsi="Arial" w:cs="Arial"/>
          <w:color w:val="000000" w:themeColor="text1"/>
          <w:sz w:val="18"/>
          <w:szCs w:val="18"/>
        </w:rPr>
        <w:t>(max. Do 10% pyłów)</w:t>
      </w:r>
    </w:p>
    <w:p w14:paraId="3AD47A7A" w14:textId="77777777" w:rsidR="00F45500" w:rsidRPr="007B192E" w:rsidRDefault="00F45500" w:rsidP="00F45500">
      <w:pPr>
        <w:ind w:left="720"/>
        <w:jc w:val="both"/>
        <w:rPr>
          <w:rFonts w:ascii="Arial" w:hAnsi="Arial" w:cs="Arial"/>
          <w:color w:val="000000" w:themeColor="text1"/>
          <w:sz w:val="18"/>
          <w:szCs w:val="18"/>
        </w:rPr>
      </w:pPr>
    </w:p>
    <w:p w14:paraId="046B7BBB" w14:textId="77777777" w:rsidR="00F45500" w:rsidRPr="007B192E" w:rsidRDefault="00F45500" w:rsidP="00F45500">
      <w:pPr>
        <w:spacing w:line="216" w:lineRule="auto"/>
        <w:ind w:firstLine="360"/>
        <w:jc w:val="both"/>
        <w:rPr>
          <w:rFonts w:ascii="Arial" w:hAnsi="Arial" w:cs="Arial"/>
          <w:color w:val="000000" w:themeColor="text1"/>
          <w:sz w:val="18"/>
          <w:szCs w:val="18"/>
        </w:rPr>
      </w:pPr>
      <w:r w:rsidRPr="007B192E">
        <w:rPr>
          <w:rFonts w:ascii="Arial" w:hAnsi="Arial" w:cs="Arial"/>
          <w:color w:val="000000" w:themeColor="text1"/>
          <w:sz w:val="18"/>
          <w:szCs w:val="18"/>
        </w:rPr>
        <w:t>Zalecane proporcje mieszanki cementu i kruszywa to 1:4 (w stosunku wagowym).</w:t>
      </w:r>
    </w:p>
    <w:p w14:paraId="2A766D82" w14:textId="77777777" w:rsidR="00F45500" w:rsidRPr="007B192E" w:rsidRDefault="00F45500" w:rsidP="00F45500">
      <w:pPr>
        <w:spacing w:line="216" w:lineRule="auto"/>
        <w:ind w:firstLine="360"/>
        <w:jc w:val="both"/>
        <w:rPr>
          <w:rFonts w:ascii="Arial" w:hAnsi="Arial" w:cs="Arial"/>
          <w:color w:val="000000" w:themeColor="text1"/>
          <w:sz w:val="18"/>
          <w:szCs w:val="18"/>
        </w:rPr>
      </w:pPr>
      <w:r w:rsidRPr="007B192E">
        <w:rPr>
          <w:rFonts w:ascii="Arial" w:hAnsi="Arial" w:cs="Arial"/>
          <w:color w:val="000000" w:themeColor="text1"/>
          <w:sz w:val="18"/>
          <w:szCs w:val="18"/>
        </w:rPr>
        <w:t>Kruszywo nie może być zanieczyszczone ciałami obcymi takimi jak: trawa, szczątki korzeni, konarów, szkło, plastik, grudki gliny.</w:t>
      </w:r>
    </w:p>
    <w:p w14:paraId="1C53CD06" w14:textId="77777777" w:rsidR="00F45500" w:rsidRPr="007B192E" w:rsidRDefault="00F45500" w:rsidP="00F45500">
      <w:pPr>
        <w:keepNext/>
        <w:spacing w:before="120" w:after="120"/>
        <w:jc w:val="both"/>
        <w:outlineLvl w:val="1"/>
        <w:rPr>
          <w:rFonts w:ascii="Arial" w:hAnsi="Arial" w:cs="Arial"/>
          <w:b/>
          <w:i/>
          <w:color w:val="000000" w:themeColor="text1"/>
          <w:sz w:val="18"/>
          <w:szCs w:val="18"/>
        </w:rPr>
      </w:pPr>
      <w:r w:rsidRPr="007B192E">
        <w:rPr>
          <w:rFonts w:ascii="Arial" w:hAnsi="Arial" w:cs="Arial"/>
          <w:b/>
          <w:color w:val="000000" w:themeColor="text1"/>
          <w:sz w:val="18"/>
          <w:szCs w:val="18"/>
        </w:rPr>
        <w:t xml:space="preserve">2.6. </w:t>
      </w:r>
      <w:r w:rsidRPr="007B192E">
        <w:rPr>
          <w:rFonts w:ascii="Arial" w:hAnsi="Arial" w:cs="Arial"/>
          <w:color w:val="000000" w:themeColor="text1"/>
          <w:sz w:val="18"/>
          <w:szCs w:val="18"/>
        </w:rPr>
        <w:t>Materiały na ławy</w:t>
      </w:r>
    </w:p>
    <w:p w14:paraId="55ED2CE1" w14:textId="77777777" w:rsidR="00F45500" w:rsidRPr="007B192E" w:rsidRDefault="00F45500" w:rsidP="00F45500">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 xml:space="preserve">Do wykonania ław pod obrzeża należy stosować beton klasy C12/15 wg PN-EN 206-1. </w:t>
      </w:r>
    </w:p>
    <w:p w14:paraId="06DF9B71" w14:textId="77777777" w:rsidR="00F45500" w:rsidRPr="007B192E" w:rsidRDefault="00F45500" w:rsidP="00F45500">
      <w:pPr>
        <w:spacing w:line="216" w:lineRule="auto"/>
        <w:jc w:val="both"/>
        <w:rPr>
          <w:rFonts w:ascii="Arial" w:hAnsi="Arial" w:cs="Arial"/>
          <w:color w:val="000000" w:themeColor="text1"/>
          <w:sz w:val="18"/>
          <w:szCs w:val="18"/>
        </w:rPr>
      </w:pPr>
    </w:p>
    <w:p w14:paraId="4B5B0083" w14:textId="77777777" w:rsidR="00F45500" w:rsidRPr="007B192E" w:rsidRDefault="00F45500" w:rsidP="00F45500">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Składniki betonu:</w:t>
      </w:r>
    </w:p>
    <w:p w14:paraId="7D2F7FD9" w14:textId="77777777" w:rsidR="00F45500" w:rsidRPr="007B192E" w:rsidRDefault="00F45500" w:rsidP="00BA5651">
      <w:pPr>
        <w:widowControl/>
        <w:numPr>
          <w:ilvl w:val="0"/>
          <w:numId w:val="257"/>
        </w:numPr>
        <w:suppressAutoHyphens w:val="0"/>
        <w:autoSpaceDN w:val="0"/>
        <w:adjustRightInd w:val="0"/>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cement powszechnego użytku wg normy PN-EN-197-1;</w:t>
      </w:r>
    </w:p>
    <w:p w14:paraId="22489501" w14:textId="77777777" w:rsidR="00F45500" w:rsidRPr="007B192E" w:rsidRDefault="00F45500" w:rsidP="00BA5651">
      <w:pPr>
        <w:widowControl/>
        <w:numPr>
          <w:ilvl w:val="0"/>
          <w:numId w:val="257"/>
        </w:numPr>
        <w:suppressAutoHyphens w:val="0"/>
        <w:autoSpaceDN w:val="0"/>
        <w:adjustRightInd w:val="0"/>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kruszywo grube zgodne z normą PN-EN 12620 o wymiarze ziaren do D=16 mm, kategorii uziarnienia 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90/15 lub G</w:t>
      </w:r>
      <w:r w:rsidRPr="007B192E">
        <w:rPr>
          <w:rFonts w:ascii="Arial" w:hAnsi="Arial" w:cs="Arial"/>
          <w:color w:val="000000" w:themeColor="text1"/>
          <w:sz w:val="18"/>
          <w:szCs w:val="18"/>
          <w:vertAlign w:val="subscript"/>
        </w:rPr>
        <w:t>c</w:t>
      </w:r>
      <w:r w:rsidRPr="007B192E">
        <w:rPr>
          <w:rFonts w:ascii="Arial" w:hAnsi="Arial" w:cs="Arial"/>
          <w:color w:val="000000" w:themeColor="text1"/>
          <w:sz w:val="18"/>
          <w:szCs w:val="18"/>
        </w:rPr>
        <w:t>85/20 i zawartość pyłów f</w:t>
      </w:r>
      <w:r w:rsidRPr="007B192E">
        <w:rPr>
          <w:rFonts w:ascii="Arial" w:hAnsi="Arial" w:cs="Arial"/>
          <w:color w:val="000000" w:themeColor="text1"/>
          <w:sz w:val="18"/>
          <w:szCs w:val="18"/>
          <w:vertAlign w:val="subscript"/>
        </w:rPr>
        <w:t>1,5</w:t>
      </w:r>
      <w:r w:rsidRPr="007B192E">
        <w:rPr>
          <w:rFonts w:ascii="Arial" w:hAnsi="Arial" w:cs="Arial"/>
          <w:color w:val="000000" w:themeColor="text1"/>
          <w:sz w:val="18"/>
          <w:szCs w:val="18"/>
        </w:rPr>
        <w:t>;</w:t>
      </w:r>
    </w:p>
    <w:p w14:paraId="558913DD" w14:textId="77777777" w:rsidR="00F45500" w:rsidRPr="007B192E" w:rsidRDefault="00F45500" w:rsidP="00BA5651">
      <w:pPr>
        <w:widowControl/>
        <w:numPr>
          <w:ilvl w:val="0"/>
          <w:numId w:val="257"/>
        </w:numPr>
        <w:suppressAutoHyphens w:val="0"/>
        <w:autoSpaceDN w:val="0"/>
        <w:adjustRightInd w:val="0"/>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kruszywo drobne zgodne z norma PN-EN 12620 kategorii uziarnienia G</w:t>
      </w:r>
      <w:r w:rsidRPr="007B192E">
        <w:rPr>
          <w:rFonts w:ascii="Arial" w:hAnsi="Arial" w:cs="Arial"/>
          <w:color w:val="000000" w:themeColor="text1"/>
          <w:sz w:val="18"/>
          <w:szCs w:val="18"/>
          <w:vertAlign w:val="subscript"/>
        </w:rPr>
        <w:t>F</w:t>
      </w:r>
      <w:r w:rsidRPr="007B192E">
        <w:rPr>
          <w:rFonts w:ascii="Arial" w:hAnsi="Arial" w:cs="Arial"/>
          <w:color w:val="000000" w:themeColor="text1"/>
          <w:sz w:val="18"/>
          <w:szCs w:val="18"/>
        </w:rPr>
        <w:t>85 i zawartości pyłów f</w:t>
      </w:r>
      <w:r w:rsidRPr="007B192E">
        <w:rPr>
          <w:rFonts w:ascii="Arial" w:hAnsi="Arial" w:cs="Arial"/>
          <w:color w:val="000000" w:themeColor="text1"/>
          <w:sz w:val="18"/>
          <w:szCs w:val="18"/>
          <w:vertAlign w:val="subscript"/>
        </w:rPr>
        <w:t>3</w:t>
      </w:r>
      <w:r w:rsidRPr="007B192E">
        <w:rPr>
          <w:rFonts w:ascii="Arial" w:hAnsi="Arial" w:cs="Arial"/>
          <w:color w:val="000000" w:themeColor="text1"/>
          <w:sz w:val="18"/>
          <w:szCs w:val="18"/>
        </w:rPr>
        <w:t>;</w:t>
      </w:r>
    </w:p>
    <w:p w14:paraId="06CBF09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woda – zaleca się stosować wodę pitną z wodociągu, która nie wymaga badań. W przypadku wody z innych źródeł, woda musi spełniać wymagania normy PN- EN 1008</w:t>
      </w:r>
    </w:p>
    <w:p w14:paraId="58D9622A" w14:textId="77777777" w:rsidR="00F45500" w:rsidRPr="007B192E" w:rsidRDefault="00027B1C" w:rsidP="00477DED">
      <w:pPr>
        <w:pStyle w:val="Nagwek2"/>
        <w:rPr>
          <w:i w:val="0"/>
          <w:color w:val="000000" w:themeColor="text1"/>
        </w:rPr>
      </w:pPr>
      <w:r w:rsidRPr="007B192E">
        <w:rPr>
          <w:i w:val="0"/>
          <w:color w:val="000000" w:themeColor="text1"/>
        </w:rPr>
        <w:t>3. SPRZĘT</w:t>
      </w:r>
    </w:p>
    <w:p w14:paraId="2697BD86"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3.1. Ogólne wymagania dotyczące sprzętu</w:t>
      </w:r>
    </w:p>
    <w:p w14:paraId="264E967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sprzętu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3.</w:t>
      </w:r>
    </w:p>
    <w:p w14:paraId="2FEF5CC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lastRenderedPageBreak/>
        <w:t>3.2. Sprzęt do ustawiania obrzeży</w:t>
      </w:r>
    </w:p>
    <w:p w14:paraId="0CC7EAD5"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Roboty wykonuje się ręcznie przy zastosowaniu drobnego sprzętu pomocniczego.</w:t>
      </w:r>
    </w:p>
    <w:p w14:paraId="6C88B65B" w14:textId="77777777" w:rsidR="00F45500" w:rsidRPr="007B192E" w:rsidRDefault="00027B1C" w:rsidP="00477DED">
      <w:pPr>
        <w:pStyle w:val="Nagwek2"/>
        <w:rPr>
          <w:i w:val="0"/>
          <w:color w:val="000000" w:themeColor="text1"/>
        </w:rPr>
      </w:pPr>
      <w:r w:rsidRPr="007B192E">
        <w:rPr>
          <w:i w:val="0"/>
          <w:color w:val="000000" w:themeColor="text1"/>
        </w:rPr>
        <w:t>4. TRANSPORT</w:t>
      </w:r>
    </w:p>
    <w:p w14:paraId="53C8BE1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4.1. Ogólne wymagania dotyczące transportu</w:t>
      </w:r>
    </w:p>
    <w:p w14:paraId="57323E8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wymagania dotyczące transportu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4.</w:t>
      </w:r>
    </w:p>
    <w:p w14:paraId="3D9541F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4.2. Transport obrzeży betonowych</w:t>
      </w:r>
    </w:p>
    <w:p w14:paraId="220F9B4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Betonowe obrzeża chodnikowe mogą być przewożone dowolnymi środkami transportu po osiągnięciu przez beton wytrzymałości minimum 0,7 wytrzymałości projektowanej.</w:t>
      </w:r>
    </w:p>
    <w:p w14:paraId="4BC5061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Obrzeża powinny być zabezpieczone przed przemieszczeniem się i uszkodzeniami w czasie transportu.</w:t>
      </w:r>
    </w:p>
    <w:p w14:paraId="6087F15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4.3. Transport pozostałych materiałów</w:t>
      </w:r>
    </w:p>
    <w:p w14:paraId="5A421435"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Transport pozostałych materiałów podano w ST D-08.01.01b „Ustawienie krawężników betonowych”..</w:t>
      </w:r>
    </w:p>
    <w:p w14:paraId="340E1649" w14:textId="77777777" w:rsidR="00F45500" w:rsidRPr="007B192E" w:rsidRDefault="00027B1C" w:rsidP="00477DED">
      <w:pPr>
        <w:pStyle w:val="Nagwek2"/>
        <w:rPr>
          <w:i w:val="0"/>
          <w:color w:val="000000" w:themeColor="text1"/>
        </w:rPr>
      </w:pPr>
      <w:r w:rsidRPr="007B192E">
        <w:rPr>
          <w:i w:val="0"/>
          <w:color w:val="000000" w:themeColor="text1"/>
        </w:rPr>
        <w:t>5. WYKONANIE ROBÓT</w:t>
      </w:r>
    </w:p>
    <w:p w14:paraId="1B79D0F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5.1. Ogólne zasady wykonania robót</w:t>
      </w:r>
    </w:p>
    <w:p w14:paraId="2B52D439"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wykonania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5.</w:t>
      </w:r>
    </w:p>
    <w:p w14:paraId="23A45A89"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5.2. Wykonanie koryta</w:t>
      </w:r>
    </w:p>
    <w:p w14:paraId="73320CB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Koryto pod podsypkę (ławę) należy wykonywać zgodnie z PN-B-06050 [1].</w:t>
      </w:r>
    </w:p>
    <w:p w14:paraId="621EA53D"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Wymiary wykopu powinny odpowiadać wymiarom ławy w planie z uwzględnieniem w szerokości dna wykopu ew. konstrukcji szalunku.</w:t>
      </w:r>
    </w:p>
    <w:p w14:paraId="4CB61091"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5.3. Podłoże lub podsypka (ława)</w:t>
      </w:r>
    </w:p>
    <w:p w14:paraId="7FA66ABB" w14:textId="77777777" w:rsidR="00F45500" w:rsidRPr="007B192E" w:rsidRDefault="00F45500" w:rsidP="00F45500">
      <w:pPr>
        <w:pStyle w:val="Standard"/>
        <w:spacing w:after="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5.3.1. </w:t>
      </w:r>
      <w:r w:rsidRPr="007B192E">
        <w:rPr>
          <w:rFonts w:ascii="Arial" w:hAnsi="Arial" w:cs="Arial"/>
          <w:color w:val="000000" w:themeColor="text1"/>
          <w:sz w:val="18"/>
          <w:szCs w:val="18"/>
        </w:rPr>
        <w:t>Koryto pod ławę</w:t>
      </w:r>
    </w:p>
    <w:p w14:paraId="2E5982E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Wymiary wykopu, stanowiącego koryto pod ławę, powinny odpowiadać wymiarom ławy w planie z uwzględnieniem w szerokości dna wykopu ew. konstrukcji szalunku.</w:t>
      </w:r>
    </w:p>
    <w:p w14:paraId="3AFF4184"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Wskaźnik zagęszczenia dna wykonanego koryta pod ławę powinien wynosić co najmniej 0,97 według normalnej metody </w:t>
      </w:r>
      <w:proofErr w:type="spellStart"/>
      <w:r w:rsidRPr="007B192E">
        <w:rPr>
          <w:rFonts w:ascii="Arial" w:hAnsi="Arial" w:cs="Arial"/>
          <w:color w:val="000000" w:themeColor="text1"/>
          <w:sz w:val="18"/>
          <w:szCs w:val="18"/>
        </w:rPr>
        <w:t>Proctora</w:t>
      </w:r>
      <w:proofErr w:type="spellEnd"/>
      <w:r w:rsidRPr="007B192E">
        <w:rPr>
          <w:rFonts w:ascii="Arial" w:hAnsi="Arial" w:cs="Arial"/>
          <w:color w:val="000000" w:themeColor="text1"/>
          <w:sz w:val="18"/>
          <w:szCs w:val="18"/>
        </w:rPr>
        <w:t>.</w:t>
      </w:r>
    </w:p>
    <w:p w14:paraId="6D8132E0"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5.3.2. </w:t>
      </w:r>
      <w:r w:rsidRPr="007B192E">
        <w:rPr>
          <w:rFonts w:ascii="Arial" w:hAnsi="Arial" w:cs="Arial"/>
          <w:color w:val="000000" w:themeColor="text1"/>
          <w:sz w:val="18"/>
          <w:szCs w:val="18"/>
        </w:rPr>
        <w:t>Ława betonowa</w:t>
      </w:r>
    </w:p>
    <w:p w14:paraId="1089B7FC" w14:textId="77777777" w:rsidR="00F45500" w:rsidRPr="007B192E" w:rsidRDefault="00F45500" w:rsidP="00F45500">
      <w:pPr>
        <w:pStyle w:val="Standard"/>
        <w:spacing w:before="120"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Ławę betonową zwykłą w gruntach spoistych wykonuje się bez szalowania, przy gruntach sypkich należy stosować szalowanie.</w:t>
      </w:r>
    </w:p>
    <w:p w14:paraId="0E63F4B9" w14:textId="77777777" w:rsidR="00F45500" w:rsidRPr="007B192E" w:rsidRDefault="00F45500" w:rsidP="00F45500">
      <w:pPr>
        <w:pStyle w:val="Standard"/>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ab/>
        <w:t>Ławę betonową z oporem wykonuje się w szalowaniu. Beton rozścielony w szalowaniu lub bezpośrednio w korycie powinien być wyrównywany warstwami. Betonowanie ław należy wykonywać zgodnie z wymaganiami PN-EN 13670 [10], przy czym należy stosować co 50 m szczeliny dylatacyjne wypełnione bitumiczną masą zalewową. Klasa konsystencji mieszanki betonowej powinna wynosić S1 lub S2 według metody opadu stożka.</w:t>
      </w:r>
    </w:p>
    <w:p w14:paraId="2BB01D33"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5.4. Ustawienie betonowych obrzeży chodnikowych</w:t>
      </w:r>
    </w:p>
    <w:p w14:paraId="1E5CE5A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Betonowe obrzeża chodnikowe należy ustawiać na wykonanej ławie miejscu i ze światłem (odległością górnej powierzchni obrzeża od ciągu komunikacyjnego) zgodnym z ustaleniami dokumentacji projektowej.</w:t>
      </w:r>
    </w:p>
    <w:p w14:paraId="6CE2ED04"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Zewnętrzna ściana obrzeża powinna być obsypana piaskiem, żwirem lub miejscowym gruntem przepuszczalnym, starannie ubitym.</w:t>
      </w:r>
    </w:p>
    <w:p w14:paraId="58AB98E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Spoiny nie powinny przekraczać szerokości 1 cm. Należy wypełnić je piaskiem lub zaprawą cementowo-piaskową w stosunku 1:2. Spoiny przed zalaniem należy oczyścić i zmyć wodą. Spoiny muszą być wypełnione całkowicie na pełną głębokość.</w:t>
      </w:r>
    </w:p>
    <w:p w14:paraId="4A14D544" w14:textId="77777777" w:rsidR="00F45500" w:rsidRPr="007B192E" w:rsidRDefault="00027B1C" w:rsidP="00477DED">
      <w:pPr>
        <w:pStyle w:val="Nagwek2"/>
        <w:rPr>
          <w:i w:val="0"/>
          <w:color w:val="000000" w:themeColor="text1"/>
        </w:rPr>
      </w:pPr>
      <w:r w:rsidRPr="007B192E">
        <w:rPr>
          <w:i w:val="0"/>
          <w:color w:val="000000" w:themeColor="text1"/>
        </w:rPr>
        <w:t>6. KONTROLA JAKOŚCI ROBÓT</w:t>
      </w:r>
    </w:p>
    <w:p w14:paraId="1C467044"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6.1. Ogólne zasady kontroli jakości robót</w:t>
      </w:r>
    </w:p>
    <w:p w14:paraId="554D9D05"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kontroli jakości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6.</w:t>
      </w:r>
    </w:p>
    <w:p w14:paraId="1D8DAB20"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6.2. Badania przed przystąpieniem do robót</w:t>
      </w:r>
    </w:p>
    <w:p w14:paraId="5EEAAA1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Przed przystąpieniem do robót Wykonawca powinien wykonać badania materiałów przeznaczonych do ustawienia betonowych obrzeży chodnikowych i przedstawić wyniki tych badań Inżynierowi do akceptacji.</w:t>
      </w:r>
    </w:p>
    <w:p w14:paraId="6B8C086C"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Sprawdzenie wyglądu zewnętrznego należy przeprowadzić na podstawie oględzin elementu przez pomiar i policzenie uszkodzeń występujących na powierzchniach i krawędziach elementu, zgodnie z wymaganiami tablicy 3. Pomiary długości i głębokości uszkodzeń należy wykonać za pomocą przymiaru stalowego lub suwmiarki z dokładnością do 1 mm, zgodnie z ustaleniami PN-B-10021 [4].</w:t>
      </w:r>
    </w:p>
    <w:p w14:paraId="762C0FC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Sprawdzenie kształtu i wymiarów elementów należy przeprowadzić z dokładnością do 1 mm przy użyciu suwmiarki oraz przymiaru stalowego lub taśmy, zgodnie z wymaganiami tablicy 1 i 2. Sprawdzenie kątów prostych w narożach elementów wykonuje się przez przyłożenie kątownika do badanego naroża i zmierzenia odchyłek z dokładnością do 1 mm.</w:t>
      </w:r>
    </w:p>
    <w:p w14:paraId="1366C2A1"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Badania pozostałych materiałów powinny obejmować wszystkie właściwości określone w normach podanych dla odpowiednich materiałów wymienionych w pkt 2.</w:t>
      </w:r>
    </w:p>
    <w:p w14:paraId="684552E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6.3. Badania w czasie robót</w:t>
      </w:r>
    </w:p>
    <w:p w14:paraId="468A85DE"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W czasie robót należy sprawdzać wykonanie:</w:t>
      </w:r>
    </w:p>
    <w:p w14:paraId="4B3E6B97" w14:textId="77777777" w:rsidR="00F45500" w:rsidRPr="007B192E"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koryta pod podsypkę (ławę) - zgodnie z wymaganiami pkt 5.2,</w:t>
      </w:r>
    </w:p>
    <w:p w14:paraId="34B266CF" w14:textId="77777777" w:rsidR="00F45500" w:rsidRPr="007B192E"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podłoża z rodzimego gruntu piaszczystego lub podsypki (ławy) ze żwiru lub piasku - zgodnie z wymaganiami pkt </w:t>
      </w:r>
      <w:r w:rsidRPr="007B192E">
        <w:rPr>
          <w:rFonts w:ascii="Arial" w:hAnsi="Arial" w:cs="Arial"/>
          <w:color w:val="000000" w:themeColor="text1"/>
          <w:sz w:val="18"/>
          <w:szCs w:val="18"/>
        </w:rPr>
        <w:lastRenderedPageBreak/>
        <w:t>5.3,</w:t>
      </w:r>
    </w:p>
    <w:p w14:paraId="3B1EDCB4" w14:textId="77777777" w:rsidR="00F45500" w:rsidRPr="007B192E" w:rsidRDefault="00F45500" w:rsidP="00F45500">
      <w:pPr>
        <w:pStyle w:val="Standard"/>
        <w:widowControl w:val="0"/>
        <w:numPr>
          <w:ilvl w:val="0"/>
          <w:numId w:val="191"/>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ustawienia betonowego obrzeża chodnikowego - zgodnie z wymaganiami pkt 5.4, przy dopuszczalnych odchyleniach:</w:t>
      </w:r>
    </w:p>
    <w:p w14:paraId="2A05C680" w14:textId="77777777" w:rsidR="00F45500" w:rsidRPr="007B192E"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linii obrzeża w planie, które może wynosić </w:t>
      </w:r>
      <w:r w:rsidRPr="007B192E">
        <w:rPr>
          <w:rFonts w:ascii="Arial" w:hAnsi="Arial" w:cs="Arial"/>
          <w:color w:val="000000" w:themeColor="text1"/>
          <w:sz w:val="18"/>
          <w:szCs w:val="18"/>
        </w:rPr>
        <w:t> 2 cm na każde 100 m długości obrzeża,</w:t>
      </w:r>
    </w:p>
    <w:p w14:paraId="3A9CDF90" w14:textId="77777777" w:rsidR="00F45500" w:rsidRPr="007B192E"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 xml:space="preserve">niwelety górnej płaszczyzny obrzeża , które może wynosić </w:t>
      </w:r>
      <w:r w:rsidRPr="007B192E">
        <w:rPr>
          <w:rFonts w:ascii="Arial" w:hAnsi="Arial" w:cs="Arial"/>
          <w:color w:val="000000" w:themeColor="text1"/>
          <w:sz w:val="18"/>
          <w:szCs w:val="18"/>
        </w:rPr>
        <w:t>1 cm na każde 100 m długości obrzeża,</w:t>
      </w:r>
    </w:p>
    <w:p w14:paraId="2F396098" w14:textId="77777777" w:rsidR="00F45500" w:rsidRPr="007B192E" w:rsidRDefault="00F45500" w:rsidP="00F45500">
      <w:pPr>
        <w:pStyle w:val="Standard"/>
        <w:widowControl w:val="0"/>
        <w:numPr>
          <w:ilvl w:val="0"/>
          <w:numId w:val="192"/>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wypełnienia spoin, sprawdzane co 10 metrów, które powinno wykazywać całkowite wypełnienie badanej spoiny na pełną głębokość.</w:t>
      </w:r>
    </w:p>
    <w:p w14:paraId="473B736C" w14:textId="77777777" w:rsidR="00F45500" w:rsidRPr="007B192E" w:rsidRDefault="00027B1C" w:rsidP="00477DED">
      <w:pPr>
        <w:pStyle w:val="Nagwek2"/>
        <w:rPr>
          <w:i w:val="0"/>
          <w:color w:val="000000" w:themeColor="text1"/>
        </w:rPr>
      </w:pPr>
      <w:r w:rsidRPr="007B192E">
        <w:rPr>
          <w:i w:val="0"/>
          <w:color w:val="000000" w:themeColor="text1"/>
        </w:rPr>
        <w:t>7. OBMIAR ROBÓT</w:t>
      </w:r>
    </w:p>
    <w:p w14:paraId="4EC7C5A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7.1. Ogólne zasady obmiaru robót</w:t>
      </w:r>
    </w:p>
    <w:p w14:paraId="60F6AC8C"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zasady obmiaru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7.</w:t>
      </w:r>
    </w:p>
    <w:p w14:paraId="724673FD"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7.2. Jednostka obmiarowa</w:t>
      </w:r>
    </w:p>
    <w:p w14:paraId="13DC97CA"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Jednostką obmiarową jest m (metr) ustawionego betonowego obrzeża chodnikowego.</w:t>
      </w:r>
    </w:p>
    <w:p w14:paraId="10B7E2FF" w14:textId="77777777" w:rsidR="00F45500" w:rsidRPr="007B192E" w:rsidRDefault="00F45500" w:rsidP="00477DED">
      <w:pPr>
        <w:pStyle w:val="Nagwek2"/>
        <w:rPr>
          <w:i w:val="0"/>
          <w:color w:val="000000" w:themeColor="text1"/>
        </w:rPr>
      </w:pPr>
      <w:r w:rsidRPr="007B192E">
        <w:rPr>
          <w:i w:val="0"/>
          <w:color w:val="000000" w:themeColor="text1"/>
        </w:rPr>
        <w:t>8. ODBIÓR ROBÓT</w:t>
      </w:r>
    </w:p>
    <w:p w14:paraId="798C1677"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8.1. Ogólne zasady odbioru robót</w:t>
      </w:r>
    </w:p>
    <w:p w14:paraId="0E46DE87"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b/>
          <w:color w:val="000000" w:themeColor="text1"/>
          <w:sz w:val="18"/>
          <w:szCs w:val="18"/>
        </w:rPr>
        <w:tab/>
      </w:r>
      <w:r w:rsidRPr="007B192E">
        <w:rPr>
          <w:rFonts w:ascii="Arial" w:hAnsi="Arial" w:cs="Arial"/>
          <w:color w:val="000000" w:themeColor="text1"/>
          <w:sz w:val="18"/>
          <w:szCs w:val="18"/>
        </w:rPr>
        <w:t xml:space="preserve">Ogólne zasady odbioru robót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8.</w:t>
      </w:r>
    </w:p>
    <w:p w14:paraId="4FD387EE"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Roboty uznaje się za wykonane zgodnie z dokumentacją projektową, SST i wymaganiami Inżyniera, jeżeli wszystkie pomiary i badania z zachowaniem tolerancji wg pkt 6 dały wyniki pozytywne.</w:t>
      </w:r>
    </w:p>
    <w:p w14:paraId="011299B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8.2. Odbiór robót zanikających i ulegających zakryciu</w:t>
      </w:r>
    </w:p>
    <w:p w14:paraId="419FDCAB"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Odbiorowi robót zanikających i ulegających zakryciu podlegają:</w:t>
      </w:r>
    </w:p>
    <w:p w14:paraId="2CE16823" w14:textId="77777777" w:rsidR="00F45500" w:rsidRPr="007B192E" w:rsidRDefault="00F45500" w:rsidP="00F45500">
      <w:pPr>
        <w:pStyle w:val="Standard"/>
        <w:widowControl w:val="0"/>
        <w:numPr>
          <w:ilvl w:val="0"/>
          <w:numId w:val="19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wykonane koryto,</w:t>
      </w:r>
    </w:p>
    <w:p w14:paraId="5E64C7C0" w14:textId="77777777" w:rsidR="00F45500" w:rsidRPr="007B192E" w:rsidRDefault="00F45500" w:rsidP="00F45500">
      <w:pPr>
        <w:pStyle w:val="Standard"/>
        <w:widowControl w:val="0"/>
        <w:numPr>
          <w:ilvl w:val="0"/>
          <w:numId w:val="193"/>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wykonana podsypka.</w:t>
      </w:r>
    </w:p>
    <w:p w14:paraId="5B500410" w14:textId="77777777" w:rsidR="00F45500" w:rsidRPr="007B192E" w:rsidRDefault="00F45500" w:rsidP="00F45500">
      <w:pPr>
        <w:keepNext/>
        <w:spacing w:before="120" w:after="120" w:line="216" w:lineRule="auto"/>
        <w:jc w:val="both"/>
        <w:outlineLvl w:val="1"/>
        <w:rPr>
          <w:rFonts w:ascii="Arial" w:hAnsi="Arial" w:cs="Arial"/>
          <w:b/>
          <w:i/>
          <w:color w:val="000000" w:themeColor="text1"/>
          <w:sz w:val="18"/>
          <w:szCs w:val="18"/>
        </w:rPr>
      </w:pPr>
      <w:r w:rsidRPr="007B192E">
        <w:rPr>
          <w:rFonts w:ascii="Arial" w:hAnsi="Arial" w:cs="Arial"/>
          <w:b/>
          <w:color w:val="000000" w:themeColor="text1"/>
          <w:sz w:val="18"/>
          <w:szCs w:val="18"/>
        </w:rPr>
        <w:t>8.3.Badania odbiorcze obrzeży</w:t>
      </w:r>
    </w:p>
    <w:p w14:paraId="27B8C88F"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 xml:space="preserve">Badania odbiorcze obrzeży oparto o normę PN-EN 1340 Załącznik B. </w:t>
      </w:r>
    </w:p>
    <w:p w14:paraId="76F2DB41" w14:textId="77777777" w:rsidR="00F45500" w:rsidRPr="007B192E" w:rsidRDefault="00F45500" w:rsidP="00F45500">
      <w:pPr>
        <w:rPr>
          <w:rFonts w:ascii="Arial" w:hAnsi="Arial" w:cs="Arial"/>
          <w:color w:val="000000" w:themeColor="text1"/>
          <w:sz w:val="18"/>
          <w:szCs w:val="18"/>
        </w:rPr>
      </w:pPr>
      <w:r w:rsidRPr="007B192E">
        <w:rPr>
          <w:rFonts w:ascii="Arial" w:hAnsi="Arial" w:cs="Arial"/>
          <w:color w:val="000000" w:themeColor="text1"/>
          <w:sz w:val="18"/>
          <w:szCs w:val="18"/>
        </w:rPr>
        <w:t>Rozróżnia się dwa przypadki:</w:t>
      </w:r>
    </w:p>
    <w:p w14:paraId="5DD24D7D" w14:textId="77777777" w:rsidR="00F45500" w:rsidRPr="007B192E"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Przypadek I: Wyrób nie został poddany ocenie zgodności przez stronę trzecią;</w:t>
      </w:r>
    </w:p>
    <w:p w14:paraId="67F39E6E" w14:textId="77777777" w:rsidR="00F45500" w:rsidRPr="007B192E" w:rsidRDefault="00F45500" w:rsidP="00F45500">
      <w:pPr>
        <w:widowControl/>
        <w:numPr>
          <w:ilvl w:val="0"/>
          <w:numId w:val="18"/>
        </w:numPr>
        <w:tabs>
          <w:tab w:val="clear" w:pos="0"/>
        </w:tabs>
        <w:suppressAutoHyphens w:val="0"/>
        <w:autoSpaceDN w:val="0"/>
        <w:adjustRightInd w:val="0"/>
        <w:jc w:val="both"/>
        <w:rPr>
          <w:rFonts w:ascii="Arial" w:hAnsi="Arial" w:cs="Arial"/>
          <w:color w:val="000000" w:themeColor="text1"/>
          <w:sz w:val="18"/>
          <w:szCs w:val="18"/>
        </w:rPr>
      </w:pPr>
      <w:r w:rsidRPr="007B192E">
        <w:rPr>
          <w:rFonts w:ascii="Arial" w:hAnsi="Arial" w:cs="Arial"/>
          <w:color w:val="000000" w:themeColor="text1"/>
          <w:sz w:val="18"/>
          <w:szCs w:val="18"/>
        </w:rPr>
        <w:t>Przypadek II: Wyrób został poddany ocenie zgodności przez stronę trzecią.</w:t>
      </w:r>
    </w:p>
    <w:p w14:paraId="0811E2FE"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W przypadku wątpliwości badać tylko sporne właściwości.</w:t>
      </w:r>
    </w:p>
    <w:p w14:paraId="313DD582"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Obrzeża do badań powinny być reprezentatywne dla dostawy i powinny być pobrane równomiernie z całej dostawy</w:t>
      </w:r>
    </w:p>
    <w:p w14:paraId="2C34AEA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color w:val="000000" w:themeColor="text1"/>
          <w:sz w:val="18"/>
          <w:szCs w:val="18"/>
        </w:rPr>
        <w:t>Liczba obrzeży betonowych przeznaczonych do pobrania z każdej partii powinna być zgodna z Tablicą 2</w:t>
      </w:r>
    </w:p>
    <w:p w14:paraId="7C1CE8A6" w14:textId="77777777" w:rsidR="00F45500" w:rsidRPr="007B192E" w:rsidRDefault="00F45500" w:rsidP="00F45500">
      <w:pPr>
        <w:jc w:val="both"/>
        <w:rPr>
          <w:rFonts w:ascii="Arial" w:hAnsi="Arial" w:cs="Arial"/>
          <w:color w:val="000000" w:themeColor="text1"/>
          <w:sz w:val="18"/>
          <w:szCs w:val="18"/>
        </w:rPr>
      </w:pPr>
      <w:r w:rsidRPr="007B192E">
        <w:rPr>
          <w:rFonts w:ascii="Arial" w:hAnsi="Arial" w:cs="Arial"/>
          <w:b/>
          <w:color w:val="000000" w:themeColor="text1"/>
          <w:sz w:val="18"/>
          <w:szCs w:val="18"/>
        </w:rPr>
        <w:t xml:space="preserve">Tablica 2 ST: Plan pobierania próbek do badań odbiorczych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12"/>
        <w:gridCol w:w="1885"/>
        <w:gridCol w:w="2358"/>
        <w:gridCol w:w="2359"/>
      </w:tblGrid>
      <w:tr w:rsidR="004D7D23" w:rsidRPr="007B192E" w14:paraId="4F973AC8" w14:textId="77777777" w:rsidTr="008F7A94">
        <w:tc>
          <w:tcPr>
            <w:tcW w:w="2943" w:type="dxa"/>
            <w:shd w:val="clear" w:color="auto" w:fill="auto"/>
          </w:tcPr>
          <w:p w14:paraId="7C161A0B"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Właściwość</w:t>
            </w:r>
          </w:p>
        </w:tc>
        <w:tc>
          <w:tcPr>
            <w:tcW w:w="1945" w:type="dxa"/>
            <w:shd w:val="clear" w:color="auto" w:fill="auto"/>
          </w:tcPr>
          <w:p w14:paraId="76F20E01"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Metoda badania</w:t>
            </w:r>
          </w:p>
        </w:tc>
        <w:tc>
          <w:tcPr>
            <w:tcW w:w="2444" w:type="dxa"/>
            <w:shd w:val="clear" w:color="auto" w:fill="auto"/>
          </w:tcPr>
          <w:p w14:paraId="3F103FDD"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Przypadek I</w:t>
            </w:r>
          </w:p>
        </w:tc>
        <w:tc>
          <w:tcPr>
            <w:tcW w:w="2445" w:type="dxa"/>
            <w:shd w:val="clear" w:color="auto" w:fill="auto"/>
          </w:tcPr>
          <w:p w14:paraId="6D6ED2BB"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Przypadek II 2)</w:t>
            </w:r>
          </w:p>
        </w:tc>
      </w:tr>
      <w:tr w:rsidR="004D7D23" w:rsidRPr="007B192E" w14:paraId="560ADFBD" w14:textId="77777777" w:rsidTr="008F7A94">
        <w:tc>
          <w:tcPr>
            <w:tcW w:w="2943" w:type="dxa"/>
            <w:shd w:val="clear" w:color="auto" w:fill="auto"/>
          </w:tcPr>
          <w:p w14:paraId="77B6E564"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Wygląd</w:t>
            </w:r>
          </w:p>
        </w:tc>
        <w:tc>
          <w:tcPr>
            <w:tcW w:w="1945" w:type="dxa"/>
            <w:shd w:val="clear" w:color="auto" w:fill="auto"/>
          </w:tcPr>
          <w:p w14:paraId="3E8B2C42"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J</w:t>
            </w:r>
          </w:p>
        </w:tc>
        <w:tc>
          <w:tcPr>
            <w:tcW w:w="2444" w:type="dxa"/>
            <w:shd w:val="clear" w:color="auto" w:fill="auto"/>
          </w:tcPr>
          <w:p w14:paraId="7C2DAE6C"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8 1)</w:t>
            </w:r>
          </w:p>
        </w:tc>
        <w:tc>
          <w:tcPr>
            <w:tcW w:w="2445" w:type="dxa"/>
            <w:shd w:val="clear" w:color="auto" w:fill="auto"/>
          </w:tcPr>
          <w:p w14:paraId="7F896C40"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 1)</w:t>
            </w:r>
          </w:p>
        </w:tc>
      </w:tr>
      <w:tr w:rsidR="004D7D23" w:rsidRPr="007B192E" w14:paraId="6A336F33" w14:textId="77777777" w:rsidTr="008F7A94">
        <w:tc>
          <w:tcPr>
            <w:tcW w:w="2943" w:type="dxa"/>
            <w:shd w:val="clear" w:color="auto" w:fill="auto"/>
          </w:tcPr>
          <w:p w14:paraId="7A3645AD"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Kształt i wymiary</w:t>
            </w:r>
          </w:p>
        </w:tc>
        <w:tc>
          <w:tcPr>
            <w:tcW w:w="1945" w:type="dxa"/>
            <w:shd w:val="clear" w:color="auto" w:fill="auto"/>
          </w:tcPr>
          <w:p w14:paraId="0F1BECE5"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C</w:t>
            </w:r>
          </w:p>
        </w:tc>
        <w:tc>
          <w:tcPr>
            <w:tcW w:w="2444" w:type="dxa"/>
            <w:shd w:val="clear" w:color="auto" w:fill="auto"/>
          </w:tcPr>
          <w:p w14:paraId="3D5BC829"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8 1)</w:t>
            </w:r>
          </w:p>
        </w:tc>
        <w:tc>
          <w:tcPr>
            <w:tcW w:w="2445" w:type="dxa"/>
            <w:shd w:val="clear" w:color="auto" w:fill="auto"/>
          </w:tcPr>
          <w:p w14:paraId="051AA4DD"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 1)</w:t>
            </w:r>
          </w:p>
        </w:tc>
      </w:tr>
      <w:tr w:rsidR="004D7D23" w:rsidRPr="007B192E" w14:paraId="3D8B4CBE" w14:textId="77777777" w:rsidTr="008F7A94">
        <w:tc>
          <w:tcPr>
            <w:tcW w:w="2943" w:type="dxa"/>
            <w:shd w:val="clear" w:color="auto" w:fill="auto"/>
          </w:tcPr>
          <w:p w14:paraId="523DEB37"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Wytrzymałość na zginanie</w:t>
            </w:r>
          </w:p>
        </w:tc>
        <w:tc>
          <w:tcPr>
            <w:tcW w:w="1945" w:type="dxa"/>
            <w:shd w:val="clear" w:color="auto" w:fill="auto"/>
          </w:tcPr>
          <w:p w14:paraId="2C758834"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F</w:t>
            </w:r>
          </w:p>
        </w:tc>
        <w:tc>
          <w:tcPr>
            <w:tcW w:w="2444" w:type="dxa"/>
            <w:shd w:val="clear" w:color="auto" w:fill="auto"/>
          </w:tcPr>
          <w:p w14:paraId="33F709F5"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w:t>
            </w:r>
          </w:p>
        </w:tc>
        <w:tc>
          <w:tcPr>
            <w:tcW w:w="2445" w:type="dxa"/>
            <w:shd w:val="clear" w:color="auto" w:fill="auto"/>
          </w:tcPr>
          <w:p w14:paraId="2745D864"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 (16)</w:t>
            </w:r>
          </w:p>
        </w:tc>
      </w:tr>
      <w:tr w:rsidR="004D7D23" w:rsidRPr="007B192E" w14:paraId="5160CF76" w14:textId="77777777" w:rsidTr="008F7A94">
        <w:tc>
          <w:tcPr>
            <w:tcW w:w="2943" w:type="dxa"/>
            <w:shd w:val="clear" w:color="auto" w:fill="auto"/>
          </w:tcPr>
          <w:p w14:paraId="240BFBC1"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Odporność na ścieranie 3)</w:t>
            </w:r>
          </w:p>
        </w:tc>
        <w:tc>
          <w:tcPr>
            <w:tcW w:w="1945" w:type="dxa"/>
            <w:shd w:val="clear" w:color="auto" w:fill="auto"/>
          </w:tcPr>
          <w:p w14:paraId="7AC5CFB6"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G lub H</w:t>
            </w:r>
          </w:p>
        </w:tc>
        <w:tc>
          <w:tcPr>
            <w:tcW w:w="2444" w:type="dxa"/>
            <w:shd w:val="clear" w:color="auto" w:fill="auto"/>
          </w:tcPr>
          <w:p w14:paraId="11BE6697"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tc>
        <w:tc>
          <w:tcPr>
            <w:tcW w:w="2445" w:type="dxa"/>
            <w:shd w:val="clear" w:color="auto" w:fill="auto"/>
          </w:tcPr>
          <w:p w14:paraId="507270DE"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tc>
      </w:tr>
      <w:tr w:rsidR="004D7D23" w:rsidRPr="007B192E" w14:paraId="05F0B084" w14:textId="77777777" w:rsidTr="008F7A94">
        <w:tc>
          <w:tcPr>
            <w:tcW w:w="2943" w:type="dxa"/>
            <w:shd w:val="clear" w:color="auto" w:fill="auto"/>
          </w:tcPr>
          <w:p w14:paraId="0A03C168"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Odporność na warunki atmosferyczne</w:t>
            </w:r>
          </w:p>
          <w:p w14:paraId="4D1F5699"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Nasiąkliwość</w:t>
            </w:r>
          </w:p>
          <w:p w14:paraId="4649FEAD" w14:textId="77777777" w:rsidR="00F45500" w:rsidRPr="007B192E" w:rsidRDefault="00F45500" w:rsidP="008F7A94">
            <w:pPr>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Odporność na zamrażanie/rozmrażanie z udziałem soli odladzającej </w:t>
            </w:r>
          </w:p>
        </w:tc>
        <w:tc>
          <w:tcPr>
            <w:tcW w:w="1945" w:type="dxa"/>
            <w:shd w:val="clear" w:color="auto" w:fill="auto"/>
          </w:tcPr>
          <w:p w14:paraId="1FBC1D8C" w14:textId="77777777" w:rsidR="00F45500" w:rsidRPr="007B192E" w:rsidRDefault="00F45500" w:rsidP="008F7A94">
            <w:pPr>
              <w:jc w:val="center"/>
              <w:rPr>
                <w:rFonts w:ascii="Arial" w:hAnsi="Arial" w:cs="Arial"/>
                <w:color w:val="000000" w:themeColor="text1"/>
                <w:sz w:val="18"/>
                <w:szCs w:val="18"/>
                <w:lang w:eastAsia="pl-PL"/>
              </w:rPr>
            </w:pPr>
          </w:p>
          <w:p w14:paraId="0EC65084" w14:textId="77777777" w:rsidR="00F45500" w:rsidRPr="007B192E" w:rsidRDefault="00F45500" w:rsidP="008F7A94">
            <w:pPr>
              <w:jc w:val="center"/>
              <w:rPr>
                <w:rFonts w:ascii="Arial" w:hAnsi="Arial" w:cs="Arial"/>
                <w:color w:val="000000" w:themeColor="text1"/>
                <w:sz w:val="18"/>
                <w:szCs w:val="18"/>
                <w:lang w:eastAsia="pl-PL"/>
              </w:rPr>
            </w:pPr>
          </w:p>
          <w:p w14:paraId="690B8475"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E</w:t>
            </w:r>
          </w:p>
          <w:p w14:paraId="79E578A8"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Załącznik D</w:t>
            </w:r>
          </w:p>
          <w:p w14:paraId="7352C468" w14:textId="77777777" w:rsidR="00F45500" w:rsidRPr="007B192E" w:rsidRDefault="00F45500" w:rsidP="008F7A94">
            <w:pPr>
              <w:jc w:val="center"/>
              <w:rPr>
                <w:rFonts w:ascii="Arial" w:hAnsi="Arial" w:cs="Arial"/>
                <w:color w:val="000000" w:themeColor="text1"/>
                <w:sz w:val="18"/>
                <w:szCs w:val="18"/>
                <w:lang w:eastAsia="pl-PL"/>
              </w:rPr>
            </w:pPr>
          </w:p>
        </w:tc>
        <w:tc>
          <w:tcPr>
            <w:tcW w:w="2444" w:type="dxa"/>
            <w:shd w:val="clear" w:color="auto" w:fill="auto"/>
          </w:tcPr>
          <w:p w14:paraId="4945C1E4" w14:textId="77777777" w:rsidR="00F45500" w:rsidRPr="007B192E" w:rsidRDefault="00F45500" w:rsidP="008F7A94">
            <w:pPr>
              <w:jc w:val="center"/>
              <w:rPr>
                <w:rFonts w:ascii="Arial" w:hAnsi="Arial" w:cs="Arial"/>
                <w:color w:val="000000" w:themeColor="text1"/>
                <w:sz w:val="18"/>
                <w:szCs w:val="18"/>
                <w:lang w:eastAsia="pl-PL"/>
              </w:rPr>
            </w:pPr>
          </w:p>
          <w:p w14:paraId="142C2844" w14:textId="77777777" w:rsidR="00F45500" w:rsidRPr="007B192E" w:rsidRDefault="00F45500" w:rsidP="008F7A94">
            <w:pPr>
              <w:jc w:val="center"/>
              <w:rPr>
                <w:rFonts w:ascii="Arial" w:hAnsi="Arial" w:cs="Arial"/>
                <w:color w:val="000000" w:themeColor="text1"/>
                <w:sz w:val="18"/>
                <w:szCs w:val="18"/>
                <w:lang w:eastAsia="pl-PL"/>
              </w:rPr>
            </w:pPr>
          </w:p>
          <w:p w14:paraId="7D116369"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p w14:paraId="1F1FA184"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p w14:paraId="1B840DDC" w14:textId="77777777" w:rsidR="00F45500" w:rsidRPr="007B192E" w:rsidRDefault="00F45500" w:rsidP="008F7A94">
            <w:pPr>
              <w:jc w:val="center"/>
              <w:rPr>
                <w:rFonts w:ascii="Arial" w:hAnsi="Arial" w:cs="Arial"/>
                <w:color w:val="000000" w:themeColor="text1"/>
                <w:sz w:val="18"/>
                <w:szCs w:val="18"/>
                <w:lang w:eastAsia="pl-PL"/>
              </w:rPr>
            </w:pPr>
          </w:p>
        </w:tc>
        <w:tc>
          <w:tcPr>
            <w:tcW w:w="2445" w:type="dxa"/>
            <w:shd w:val="clear" w:color="auto" w:fill="auto"/>
          </w:tcPr>
          <w:p w14:paraId="341480A6" w14:textId="77777777" w:rsidR="00F45500" w:rsidRPr="007B192E" w:rsidRDefault="00F45500" w:rsidP="008F7A94">
            <w:pPr>
              <w:jc w:val="center"/>
              <w:rPr>
                <w:rFonts w:ascii="Arial" w:hAnsi="Arial" w:cs="Arial"/>
                <w:color w:val="000000" w:themeColor="text1"/>
                <w:sz w:val="18"/>
                <w:szCs w:val="18"/>
                <w:lang w:eastAsia="pl-PL"/>
              </w:rPr>
            </w:pPr>
          </w:p>
          <w:p w14:paraId="11981DF9" w14:textId="77777777" w:rsidR="00F45500" w:rsidRPr="007B192E" w:rsidRDefault="00F45500" w:rsidP="008F7A94">
            <w:pPr>
              <w:jc w:val="center"/>
              <w:rPr>
                <w:rFonts w:ascii="Arial" w:hAnsi="Arial" w:cs="Arial"/>
                <w:color w:val="000000" w:themeColor="text1"/>
                <w:sz w:val="18"/>
                <w:szCs w:val="18"/>
                <w:lang w:eastAsia="pl-PL"/>
              </w:rPr>
            </w:pPr>
          </w:p>
          <w:p w14:paraId="13C29FBE"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p w14:paraId="2C76FE09" w14:textId="77777777" w:rsidR="00F45500" w:rsidRPr="007B192E" w:rsidRDefault="00F45500" w:rsidP="008F7A94">
            <w:pPr>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p w14:paraId="6BFC7A15" w14:textId="77777777" w:rsidR="00F45500" w:rsidRPr="007B192E" w:rsidRDefault="00F45500" w:rsidP="008F7A94">
            <w:pPr>
              <w:jc w:val="center"/>
              <w:rPr>
                <w:rFonts w:ascii="Arial" w:hAnsi="Arial" w:cs="Arial"/>
                <w:color w:val="000000" w:themeColor="text1"/>
                <w:sz w:val="18"/>
                <w:szCs w:val="18"/>
                <w:lang w:eastAsia="pl-PL"/>
              </w:rPr>
            </w:pPr>
          </w:p>
          <w:p w14:paraId="4FE45729" w14:textId="77777777" w:rsidR="00F45500" w:rsidRPr="007B192E" w:rsidRDefault="00F45500" w:rsidP="008F7A94">
            <w:pPr>
              <w:jc w:val="center"/>
              <w:rPr>
                <w:rFonts w:ascii="Arial" w:hAnsi="Arial" w:cs="Arial"/>
                <w:color w:val="000000" w:themeColor="text1"/>
                <w:sz w:val="18"/>
                <w:szCs w:val="18"/>
                <w:lang w:eastAsia="pl-PL"/>
              </w:rPr>
            </w:pPr>
          </w:p>
        </w:tc>
      </w:tr>
      <w:tr w:rsidR="004D7D23" w:rsidRPr="007B192E" w14:paraId="5C1F154D" w14:textId="77777777" w:rsidTr="008F7A94">
        <w:tblPrEx>
          <w:tblCellMar>
            <w:left w:w="70" w:type="dxa"/>
            <w:right w:w="70" w:type="dxa"/>
          </w:tblCellMar>
          <w:tblLook w:val="0000" w:firstRow="0" w:lastRow="0" w:firstColumn="0" w:lastColumn="0" w:noHBand="0" w:noVBand="0"/>
        </w:tblPrEx>
        <w:trPr>
          <w:trHeight w:val="462"/>
        </w:trPr>
        <w:tc>
          <w:tcPr>
            <w:tcW w:w="9777" w:type="dxa"/>
            <w:gridSpan w:val="4"/>
            <w:shd w:val="clear" w:color="auto" w:fill="auto"/>
          </w:tcPr>
          <w:p w14:paraId="7DB06BA6" w14:textId="77777777" w:rsidR="00F45500" w:rsidRPr="007B192E" w:rsidRDefault="00F45500" w:rsidP="00BA5651">
            <w:pPr>
              <w:widowControl/>
              <w:numPr>
                <w:ilvl w:val="0"/>
                <w:numId w:val="258"/>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Te obrzeża mogą być użyte do dalszych badań</w:t>
            </w:r>
          </w:p>
          <w:p w14:paraId="741ECC3E" w14:textId="77777777" w:rsidR="00F45500" w:rsidRPr="007B192E" w:rsidRDefault="00F45500" w:rsidP="00BA5651">
            <w:pPr>
              <w:widowControl/>
              <w:numPr>
                <w:ilvl w:val="0"/>
                <w:numId w:val="258"/>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Liczba w nawiasie odpowiada liczbie, która powinna być pobrana z partii w celu uniknięcia powtórnego pobierania próbek w przypadku gdy według kryteriów zgodności należy zbadać dodatkowe obrzeza w celu dokonania oceny zgodności</w:t>
            </w:r>
          </w:p>
          <w:p w14:paraId="5C8E59FD" w14:textId="77777777" w:rsidR="00F45500" w:rsidRPr="007B192E" w:rsidRDefault="00F45500" w:rsidP="00BA5651">
            <w:pPr>
              <w:widowControl/>
              <w:numPr>
                <w:ilvl w:val="0"/>
                <w:numId w:val="258"/>
              </w:numPr>
              <w:suppressAutoHyphens w:val="0"/>
              <w:autoSpaceDN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Badanie wymagane w przypadku wątpliwości lub sytuacji spornej</w:t>
            </w:r>
          </w:p>
        </w:tc>
      </w:tr>
    </w:tbl>
    <w:p w14:paraId="2F81155F" w14:textId="77777777" w:rsidR="00F45500" w:rsidRPr="007B192E" w:rsidRDefault="00F45500" w:rsidP="00477DED">
      <w:pPr>
        <w:pStyle w:val="Nagwek2"/>
        <w:rPr>
          <w:i w:val="0"/>
          <w:color w:val="000000" w:themeColor="text1"/>
        </w:rPr>
      </w:pPr>
      <w:r w:rsidRPr="007B192E">
        <w:rPr>
          <w:i w:val="0"/>
          <w:color w:val="000000" w:themeColor="text1"/>
        </w:rPr>
        <w:t>9. PODSTAWA PŁATNOŚCI</w:t>
      </w:r>
    </w:p>
    <w:p w14:paraId="061DB4A8"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9.1. Ogólne ustalenia dotyczące podstawy płatności</w:t>
      </w:r>
    </w:p>
    <w:p w14:paraId="3CA84E06"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 xml:space="preserve">Ogólne ustalenia dotyczące podstawy płatności podano w ST </w:t>
      </w:r>
      <w:r w:rsidR="00072856" w:rsidRPr="007B192E">
        <w:rPr>
          <w:rFonts w:ascii="Arial" w:hAnsi="Arial" w:cs="Arial"/>
          <w:color w:val="000000" w:themeColor="text1"/>
          <w:sz w:val="18"/>
          <w:szCs w:val="18"/>
        </w:rPr>
        <w:t>D-</w:t>
      </w:r>
      <w:r w:rsidRPr="007B192E">
        <w:rPr>
          <w:rFonts w:ascii="Arial" w:hAnsi="Arial" w:cs="Arial"/>
          <w:color w:val="000000" w:themeColor="text1"/>
          <w:sz w:val="18"/>
          <w:szCs w:val="18"/>
        </w:rPr>
        <w:t>00.00.00 „Wymagania ogólne” pkt 9.</w:t>
      </w:r>
    </w:p>
    <w:p w14:paraId="1FC6107A"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9.2. Cena jednostki obmiarowej</w:t>
      </w:r>
    </w:p>
    <w:p w14:paraId="0C72D910" w14:textId="77777777" w:rsidR="00F45500" w:rsidRPr="007B192E" w:rsidRDefault="00F45500" w:rsidP="00F45500">
      <w:pPr>
        <w:pStyle w:val="Standard"/>
        <w:jc w:val="both"/>
        <w:rPr>
          <w:rFonts w:ascii="Arial" w:hAnsi="Arial" w:cs="Arial"/>
          <w:color w:val="000000" w:themeColor="text1"/>
          <w:sz w:val="18"/>
          <w:szCs w:val="18"/>
        </w:rPr>
      </w:pPr>
      <w:r w:rsidRPr="007B192E">
        <w:rPr>
          <w:rFonts w:ascii="Arial" w:hAnsi="Arial" w:cs="Arial"/>
          <w:color w:val="000000" w:themeColor="text1"/>
          <w:sz w:val="18"/>
          <w:szCs w:val="18"/>
        </w:rPr>
        <w:tab/>
        <w:t>Cena wykonania 1 m betonowego obrzeża chodnikowego obejmuje:</w:t>
      </w:r>
    </w:p>
    <w:p w14:paraId="2CFDEBE4"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prace pomiarowe i roboty przygotowawcze,</w:t>
      </w:r>
    </w:p>
    <w:p w14:paraId="244F62B2"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dostarczenie materiałów,</w:t>
      </w:r>
    </w:p>
    <w:p w14:paraId="148A0A7A"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koryta,</w:t>
      </w:r>
    </w:p>
    <w:p w14:paraId="0EC0AC8F"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ławy</w:t>
      </w:r>
    </w:p>
    <w:p w14:paraId="10A8B34F"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rozścielenie i ubicie podsypki,</w:t>
      </w:r>
    </w:p>
    <w:p w14:paraId="32F38A82"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ustawienie obrzeża,</w:t>
      </w:r>
    </w:p>
    <w:p w14:paraId="44156888"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wypełnienie spoin,</w:t>
      </w:r>
    </w:p>
    <w:p w14:paraId="0457F1F1"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obsypanie zewnętrznej ściany obrzeża,</w:t>
      </w:r>
    </w:p>
    <w:p w14:paraId="3CE9576F" w14:textId="77777777" w:rsidR="00F45500" w:rsidRPr="007B192E" w:rsidRDefault="00F45500" w:rsidP="00F45500">
      <w:pPr>
        <w:pStyle w:val="Standard"/>
        <w:widowControl w:val="0"/>
        <w:numPr>
          <w:ilvl w:val="0"/>
          <w:numId w:val="194"/>
        </w:numPr>
        <w:jc w:val="both"/>
        <w:textAlignment w:val="baseline"/>
        <w:rPr>
          <w:rFonts w:ascii="Arial" w:hAnsi="Arial" w:cs="Arial"/>
          <w:color w:val="000000" w:themeColor="text1"/>
          <w:sz w:val="18"/>
          <w:szCs w:val="18"/>
        </w:rPr>
      </w:pPr>
      <w:r w:rsidRPr="007B192E">
        <w:rPr>
          <w:rFonts w:ascii="Arial" w:hAnsi="Arial" w:cs="Arial"/>
          <w:color w:val="000000" w:themeColor="text1"/>
          <w:sz w:val="18"/>
          <w:szCs w:val="18"/>
        </w:rPr>
        <w:t>wykonanie badań i pomiarów wymaganych w specyfikacji technicznej.</w:t>
      </w:r>
    </w:p>
    <w:p w14:paraId="5ECC0F98" w14:textId="77777777" w:rsidR="00F45500" w:rsidRPr="007B192E" w:rsidRDefault="00027B1C" w:rsidP="00477DED">
      <w:pPr>
        <w:pStyle w:val="Nagwek2"/>
        <w:rPr>
          <w:i w:val="0"/>
          <w:color w:val="000000" w:themeColor="text1"/>
        </w:rPr>
      </w:pPr>
      <w:r w:rsidRPr="007B192E">
        <w:rPr>
          <w:i w:val="0"/>
          <w:color w:val="000000" w:themeColor="text1"/>
        </w:rPr>
        <w:lastRenderedPageBreak/>
        <w:t>10. PRZEPISY ZWIĄZANE</w:t>
      </w:r>
    </w:p>
    <w:p w14:paraId="557F24FE" w14:textId="77777777" w:rsidR="00F45500" w:rsidRPr="007B192E" w:rsidRDefault="00F45500" w:rsidP="00F45500">
      <w:pPr>
        <w:pStyle w:val="Nagwek2"/>
        <w:numPr>
          <w:ilvl w:val="1"/>
          <w:numId w:val="30"/>
        </w:numPr>
        <w:overflowPunct/>
        <w:autoSpaceDE/>
        <w:spacing w:before="60"/>
        <w:jc w:val="both"/>
        <w:textAlignment w:val="auto"/>
        <w:rPr>
          <w:color w:val="000000" w:themeColor="text1"/>
          <w:sz w:val="18"/>
          <w:szCs w:val="18"/>
        </w:rPr>
      </w:pPr>
      <w:r w:rsidRPr="007B192E">
        <w:rPr>
          <w:color w:val="000000" w:themeColor="text1"/>
          <w:sz w:val="18"/>
          <w:szCs w:val="18"/>
        </w:rPr>
        <w:t>Normy</w:t>
      </w:r>
    </w:p>
    <w:p w14:paraId="09BAF7E6" w14:textId="77777777" w:rsidR="00F45500" w:rsidRPr="007B192E" w:rsidRDefault="00F45500" w:rsidP="00F45500">
      <w:pPr>
        <w:pStyle w:val="Standard"/>
        <w:tabs>
          <w:tab w:val="left" w:pos="142"/>
        </w:tabs>
        <w:spacing w:line="216" w:lineRule="auto"/>
        <w:jc w:val="center"/>
        <w:rPr>
          <w:rFonts w:ascii="Arial" w:hAnsi="Arial" w:cs="Arial"/>
          <w:color w:val="000000" w:themeColor="text1"/>
          <w:sz w:val="18"/>
          <w:szCs w:val="18"/>
        </w:rPr>
      </w:pPr>
    </w:p>
    <w:tbl>
      <w:tblPr>
        <w:tblW w:w="7512" w:type="dxa"/>
        <w:tblLayout w:type="fixed"/>
        <w:tblCellMar>
          <w:left w:w="10" w:type="dxa"/>
          <w:right w:w="10" w:type="dxa"/>
        </w:tblCellMar>
        <w:tblLook w:val="0000" w:firstRow="0" w:lastRow="0" w:firstColumn="0" w:lastColumn="0" w:noHBand="0" w:noVBand="0"/>
      </w:tblPr>
      <w:tblGrid>
        <w:gridCol w:w="637"/>
        <w:gridCol w:w="1701"/>
        <w:gridCol w:w="5174"/>
      </w:tblGrid>
      <w:tr w:rsidR="004D7D23" w:rsidRPr="007B192E" w14:paraId="32359BD3" w14:textId="77777777" w:rsidTr="008F7A94">
        <w:tc>
          <w:tcPr>
            <w:tcW w:w="637" w:type="dxa"/>
            <w:tcMar>
              <w:top w:w="0" w:type="dxa"/>
              <w:left w:w="70" w:type="dxa"/>
              <w:bottom w:w="0" w:type="dxa"/>
              <w:right w:w="70" w:type="dxa"/>
            </w:tcMar>
          </w:tcPr>
          <w:p w14:paraId="64C4DAF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w:t>
            </w:r>
          </w:p>
        </w:tc>
        <w:tc>
          <w:tcPr>
            <w:tcW w:w="1701" w:type="dxa"/>
            <w:tcMar>
              <w:top w:w="0" w:type="dxa"/>
              <w:left w:w="70" w:type="dxa"/>
              <w:bottom w:w="0" w:type="dxa"/>
              <w:right w:w="70" w:type="dxa"/>
            </w:tcMar>
          </w:tcPr>
          <w:p w14:paraId="6F1025B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PN-B-06050</w:t>
            </w:r>
          </w:p>
        </w:tc>
        <w:tc>
          <w:tcPr>
            <w:tcW w:w="5174" w:type="dxa"/>
            <w:tcMar>
              <w:top w:w="0" w:type="dxa"/>
              <w:left w:w="70" w:type="dxa"/>
              <w:bottom w:w="0" w:type="dxa"/>
              <w:right w:w="70" w:type="dxa"/>
            </w:tcMar>
          </w:tcPr>
          <w:p w14:paraId="5983D95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Roboty ziemne budowlane</w:t>
            </w:r>
          </w:p>
        </w:tc>
      </w:tr>
      <w:tr w:rsidR="004D7D23" w:rsidRPr="007B192E" w14:paraId="4EA462D0" w14:textId="77777777" w:rsidTr="008F7A94">
        <w:tc>
          <w:tcPr>
            <w:tcW w:w="637" w:type="dxa"/>
            <w:tcMar>
              <w:top w:w="0" w:type="dxa"/>
              <w:left w:w="70" w:type="dxa"/>
              <w:bottom w:w="0" w:type="dxa"/>
              <w:right w:w="70" w:type="dxa"/>
            </w:tcMar>
          </w:tcPr>
          <w:p w14:paraId="4DA7B07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2.</w:t>
            </w:r>
          </w:p>
        </w:tc>
        <w:tc>
          <w:tcPr>
            <w:tcW w:w="1701" w:type="dxa"/>
            <w:tcMar>
              <w:top w:w="0" w:type="dxa"/>
              <w:left w:w="70" w:type="dxa"/>
              <w:bottom w:w="0" w:type="dxa"/>
              <w:right w:w="70" w:type="dxa"/>
            </w:tcMar>
          </w:tcPr>
          <w:p w14:paraId="352A862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PN-B-06250</w:t>
            </w:r>
          </w:p>
        </w:tc>
        <w:tc>
          <w:tcPr>
            <w:tcW w:w="5174" w:type="dxa"/>
            <w:tcMar>
              <w:top w:w="0" w:type="dxa"/>
              <w:left w:w="70" w:type="dxa"/>
              <w:bottom w:w="0" w:type="dxa"/>
              <w:right w:w="70" w:type="dxa"/>
            </w:tcMar>
          </w:tcPr>
          <w:p w14:paraId="3B69385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Beton zwykły</w:t>
            </w:r>
          </w:p>
        </w:tc>
      </w:tr>
      <w:tr w:rsidR="004D7D23" w:rsidRPr="007B192E" w14:paraId="68770D59" w14:textId="77777777" w:rsidTr="008F7A94">
        <w:tc>
          <w:tcPr>
            <w:tcW w:w="637" w:type="dxa"/>
            <w:tcMar>
              <w:top w:w="0" w:type="dxa"/>
              <w:left w:w="70" w:type="dxa"/>
              <w:bottom w:w="0" w:type="dxa"/>
              <w:right w:w="70" w:type="dxa"/>
            </w:tcMar>
          </w:tcPr>
          <w:p w14:paraId="136F9849"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3.</w:t>
            </w:r>
          </w:p>
        </w:tc>
        <w:tc>
          <w:tcPr>
            <w:tcW w:w="1701" w:type="dxa"/>
            <w:tcMar>
              <w:top w:w="0" w:type="dxa"/>
              <w:left w:w="70" w:type="dxa"/>
              <w:bottom w:w="0" w:type="dxa"/>
              <w:right w:w="70" w:type="dxa"/>
            </w:tcMar>
          </w:tcPr>
          <w:p w14:paraId="3B31F060"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PN-B-06711</w:t>
            </w:r>
          </w:p>
        </w:tc>
        <w:tc>
          <w:tcPr>
            <w:tcW w:w="5174" w:type="dxa"/>
            <w:tcMar>
              <w:top w:w="0" w:type="dxa"/>
              <w:left w:w="70" w:type="dxa"/>
              <w:bottom w:w="0" w:type="dxa"/>
              <w:right w:w="70" w:type="dxa"/>
            </w:tcMar>
          </w:tcPr>
          <w:p w14:paraId="05DF7423"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Kruszywo mineralne. Piasek do betonów i zapraw</w:t>
            </w:r>
          </w:p>
        </w:tc>
      </w:tr>
      <w:tr w:rsidR="004D7D23" w:rsidRPr="007B192E" w14:paraId="3BF7DE50" w14:textId="77777777" w:rsidTr="008F7A94">
        <w:tc>
          <w:tcPr>
            <w:tcW w:w="637" w:type="dxa"/>
            <w:tcMar>
              <w:top w:w="0" w:type="dxa"/>
              <w:left w:w="70" w:type="dxa"/>
              <w:bottom w:w="0" w:type="dxa"/>
              <w:right w:w="70" w:type="dxa"/>
            </w:tcMar>
          </w:tcPr>
          <w:p w14:paraId="3A47F6BC"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4.</w:t>
            </w:r>
          </w:p>
        </w:tc>
        <w:tc>
          <w:tcPr>
            <w:tcW w:w="1701" w:type="dxa"/>
            <w:tcMar>
              <w:top w:w="0" w:type="dxa"/>
              <w:left w:w="70" w:type="dxa"/>
              <w:bottom w:w="0" w:type="dxa"/>
              <w:right w:w="70" w:type="dxa"/>
            </w:tcMar>
          </w:tcPr>
          <w:p w14:paraId="75D1573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PN-B-10021</w:t>
            </w:r>
          </w:p>
        </w:tc>
        <w:tc>
          <w:tcPr>
            <w:tcW w:w="5174" w:type="dxa"/>
            <w:tcMar>
              <w:top w:w="0" w:type="dxa"/>
              <w:left w:w="70" w:type="dxa"/>
              <w:bottom w:w="0" w:type="dxa"/>
              <w:right w:w="70" w:type="dxa"/>
            </w:tcMar>
          </w:tcPr>
          <w:p w14:paraId="7B0CFAA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Prefabrykaty budowlane z betonu. Metody pomiaru cech geometrycznych</w:t>
            </w:r>
          </w:p>
        </w:tc>
      </w:tr>
      <w:tr w:rsidR="004D7D23" w:rsidRPr="007B192E" w14:paraId="176E240A" w14:textId="77777777" w:rsidTr="008F7A94">
        <w:tc>
          <w:tcPr>
            <w:tcW w:w="637" w:type="dxa"/>
            <w:tcMar>
              <w:top w:w="0" w:type="dxa"/>
              <w:left w:w="70" w:type="dxa"/>
              <w:bottom w:w="0" w:type="dxa"/>
              <w:right w:w="70" w:type="dxa"/>
            </w:tcMar>
          </w:tcPr>
          <w:p w14:paraId="2F18653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5.</w:t>
            </w:r>
          </w:p>
        </w:tc>
        <w:tc>
          <w:tcPr>
            <w:tcW w:w="1701" w:type="dxa"/>
            <w:tcMar>
              <w:top w:w="0" w:type="dxa"/>
              <w:left w:w="70" w:type="dxa"/>
              <w:bottom w:w="0" w:type="dxa"/>
              <w:right w:w="70" w:type="dxa"/>
            </w:tcMar>
          </w:tcPr>
          <w:p w14:paraId="55F0247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13242+A1:2010</w:t>
            </w:r>
          </w:p>
        </w:tc>
        <w:tc>
          <w:tcPr>
            <w:tcW w:w="5174" w:type="dxa"/>
            <w:tcMar>
              <w:top w:w="0" w:type="dxa"/>
              <w:left w:w="70" w:type="dxa"/>
              <w:bottom w:w="0" w:type="dxa"/>
              <w:right w:w="70" w:type="dxa"/>
            </w:tcMar>
          </w:tcPr>
          <w:p w14:paraId="78B373CB"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Kruszywa do niezwiązanych i związanych hydraulicznie materiałów stosowanych w obiektach budowlanych i budownictwie drogowym</w:t>
            </w:r>
          </w:p>
        </w:tc>
      </w:tr>
      <w:tr w:rsidR="004D7D23" w:rsidRPr="007B192E" w14:paraId="10AA0166" w14:textId="77777777" w:rsidTr="008F7A94">
        <w:tc>
          <w:tcPr>
            <w:tcW w:w="637" w:type="dxa"/>
            <w:tcMar>
              <w:top w:w="0" w:type="dxa"/>
              <w:left w:w="70" w:type="dxa"/>
              <w:bottom w:w="0" w:type="dxa"/>
              <w:right w:w="70" w:type="dxa"/>
            </w:tcMar>
          </w:tcPr>
          <w:p w14:paraId="77695FA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6.</w:t>
            </w:r>
          </w:p>
        </w:tc>
        <w:tc>
          <w:tcPr>
            <w:tcW w:w="1701" w:type="dxa"/>
            <w:tcMar>
              <w:top w:w="0" w:type="dxa"/>
              <w:left w:w="70" w:type="dxa"/>
              <w:bottom w:w="0" w:type="dxa"/>
              <w:right w:w="70" w:type="dxa"/>
            </w:tcMar>
          </w:tcPr>
          <w:p w14:paraId="2088A46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12620+A1:2010</w:t>
            </w:r>
          </w:p>
        </w:tc>
        <w:tc>
          <w:tcPr>
            <w:tcW w:w="5174" w:type="dxa"/>
            <w:tcMar>
              <w:top w:w="0" w:type="dxa"/>
              <w:left w:w="70" w:type="dxa"/>
              <w:bottom w:w="0" w:type="dxa"/>
              <w:right w:w="70" w:type="dxa"/>
            </w:tcMar>
          </w:tcPr>
          <w:p w14:paraId="3518BA2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Kruszywo do betonu</w:t>
            </w:r>
          </w:p>
        </w:tc>
      </w:tr>
      <w:tr w:rsidR="004D7D23" w:rsidRPr="007B192E" w14:paraId="6966BB5E" w14:textId="77777777" w:rsidTr="008F7A94">
        <w:tc>
          <w:tcPr>
            <w:tcW w:w="637" w:type="dxa"/>
            <w:tcMar>
              <w:top w:w="0" w:type="dxa"/>
              <w:left w:w="70" w:type="dxa"/>
              <w:bottom w:w="0" w:type="dxa"/>
              <w:right w:w="70" w:type="dxa"/>
            </w:tcMar>
          </w:tcPr>
          <w:p w14:paraId="6504655E"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7.</w:t>
            </w:r>
          </w:p>
        </w:tc>
        <w:tc>
          <w:tcPr>
            <w:tcW w:w="1701" w:type="dxa"/>
            <w:tcMar>
              <w:top w:w="0" w:type="dxa"/>
              <w:left w:w="70" w:type="dxa"/>
              <w:bottom w:w="0" w:type="dxa"/>
              <w:right w:w="70" w:type="dxa"/>
            </w:tcMar>
          </w:tcPr>
          <w:p w14:paraId="74B1B3A4"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PN-B-197-1:2012</w:t>
            </w:r>
          </w:p>
        </w:tc>
        <w:tc>
          <w:tcPr>
            <w:tcW w:w="5174" w:type="dxa"/>
            <w:tcMar>
              <w:top w:w="0" w:type="dxa"/>
              <w:left w:w="70" w:type="dxa"/>
              <w:bottom w:w="0" w:type="dxa"/>
              <w:right w:w="70" w:type="dxa"/>
            </w:tcMar>
          </w:tcPr>
          <w:p w14:paraId="60459B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Cement. Część 1 Skład, wymagania i kryteria zgodności dotyczące cementu powszechnego użytku</w:t>
            </w:r>
          </w:p>
        </w:tc>
      </w:tr>
      <w:tr w:rsidR="004D7D23" w:rsidRPr="007B192E" w14:paraId="613A0EC8" w14:textId="77777777" w:rsidTr="008F7A94">
        <w:tc>
          <w:tcPr>
            <w:tcW w:w="637" w:type="dxa"/>
            <w:tcMar>
              <w:top w:w="0" w:type="dxa"/>
              <w:left w:w="70" w:type="dxa"/>
              <w:bottom w:w="0" w:type="dxa"/>
              <w:right w:w="70" w:type="dxa"/>
            </w:tcMar>
          </w:tcPr>
          <w:p w14:paraId="252EEAE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8.</w:t>
            </w:r>
          </w:p>
        </w:tc>
        <w:tc>
          <w:tcPr>
            <w:tcW w:w="1701" w:type="dxa"/>
            <w:tcMar>
              <w:top w:w="0" w:type="dxa"/>
              <w:left w:w="70" w:type="dxa"/>
              <w:bottom w:w="0" w:type="dxa"/>
              <w:right w:w="70" w:type="dxa"/>
            </w:tcMar>
          </w:tcPr>
          <w:p w14:paraId="13F66D0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BN-80/6775-03/01</w:t>
            </w:r>
          </w:p>
        </w:tc>
        <w:tc>
          <w:tcPr>
            <w:tcW w:w="5174" w:type="dxa"/>
            <w:tcMar>
              <w:top w:w="0" w:type="dxa"/>
              <w:left w:w="70" w:type="dxa"/>
              <w:bottom w:w="0" w:type="dxa"/>
              <w:right w:w="70" w:type="dxa"/>
            </w:tcMar>
          </w:tcPr>
          <w:p w14:paraId="6FC12F2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Prefabrykaty budowlane z betonu. Elementy nawierzchni dróg, ulic, parkingów i torowisk tramwajowych. Wspólne wymagania i badania</w:t>
            </w:r>
          </w:p>
        </w:tc>
      </w:tr>
      <w:tr w:rsidR="004D7D23" w:rsidRPr="007B192E" w14:paraId="03214237" w14:textId="77777777" w:rsidTr="008F7A94">
        <w:trPr>
          <w:trHeight w:val="602"/>
        </w:trPr>
        <w:tc>
          <w:tcPr>
            <w:tcW w:w="637" w:type="dxa"/>
            <w:tcMar>
              <w:top w:w="0" w:type="dxa"/>
              <w:left w:w="70" w:type="dxa"/>
              <w:bottom w:w="0" w:type="dxa"/>
              <w:right w:w="70" w:type="dxa"/>
            </w:tcMar>
          </w:tcPr>
          <w:p w14:paraId="0B55E9FF"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9.</w:t>
            </w:r>
          </w:p>
        </w:tc>
        <w:tc>
          <w:tcPr>
            <w:tcW w:w="1701" w:type="dxa"/>
            <w:tcMar>
              <w:top w:w="0" w:type="dxa"/>
              <w:left w:w="70" w:type="dxa"/>
              <w:bottom w:w="0" w:type="dxa"/>
              <w:right w:w="70" w:type="dxa"/>
            </w:tcMar>
          </w:tcPr>
          <w:p w14:paraId="79FE9F3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BN-80/6775-03/04</w:t>
            </w:r>
          </w:p>
        </w:tc>
        <w:tc>
          <w:tcPr>
            <w:tcW w:w="5174" w:type="dxa"/>
            <w:tcMar>
              <w:top w:w="0" w:type="dxa"/>
              <w:left w:w="70" w:type="dxa"/>
              <w:bottom w:w="0" w:type="dxa"/>
              <w:right w:w="70" w:type="dxa"/>
            </w:tcMar>
          </w:tcPr>
          <w:p w14:paraId="382F2167"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Prefabrykaty budowlane z betonu. Elementy nawierzchni dróg, ulic, parkingów i torowisk tramwajowych. Krawężniki i obrzeża.</w:t>
            </w:r>
          </w:p>
        </w:tc>
      </w:tr>
      <w:tr w:rsidR="004D7D23" w:rsidRPr="007B192E" w14:paraId="488842F4" w14:textId="77777777" w:rsidTr="008F7A94">
        <w:trPr>
          <w:trHeight w:val="473"/>
        </w:trPr>
        <w:tc>
          <w:tcPr>
            <w:tcW w:w="637" w:type="dxa"/>
            <w:tcMar>
              <w:top w:w="0" w:type="dxa"/>
              <w:left w:w="70" w:type="dxa"/>
              <w:bottom w:w="0" w:type="dxa"/>
              <w:right w:w="70" w:type="dxa"/>
            </w:tcMar>
          </w:tcPr>
          <w:p w14:paraId="2DF5EAA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10.</w:t>
            </w:r>
          </w:p>
        </w:tc>
        <w:tc>
          <w:tcPr>
            <w:tcW w:w="1701" w:type="dxa"/>
            <w:tcMar>
              <w:top w:w="0" w:type="dxa"/>
              <w:left w:w="70" w:type="dxa"/>
              <w:bottom w:w="0" w:type="dxa"/>
              <w:right w:w="70" w:type="dxa"/>
            </w:tcMar>
          </w:tcPr>
          <w:p w14:paraId="4E371A9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13670:2011</w:t>
            </w:r>
          </w:p>
        </w:tc>
        <w:tc>
          <w:tcPr>
            <w:tcW w:w="5174" w:type="dxa"/>
            <w:tcMar>
              <w:top w:w="0" w:type="dxa"/>
              <w:left w:w="70" w:type="dxa"/>
              <w:bottom w:w="0" w:type="dxa"/>
              <w:right w:w="70" w:type="dxa"/>
            </w:tcMar>
          </w:tcPr>
          <w:p w14:paraId="330456F2"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Wykonanie konstrukcji z betonu</w:t>
            </w:r>
          </w:p>
        </w:tc>
      </w:tr>
      <w:tr w:rsidR="004D7D23" w:rsidRPr="007B192E" w14:paraId="133B6721" w14:textId="77777777" w:rsidTr="008F7A94">
        <w:trPr>
          <w:trHeight w:val="206"/>
        </w:trPr>
        <w:tc>
          <w:tcPr>
            <w:tcW w:w="637" w:type="dxa"/>
            <w:tcMar>
              <w:top w:w="0" w:type="dxa"/>
              <w:left w:w="70" w:type="dxa"/>
              <w:bottom w:w="0" w:type="dxa"/>
              <w:right w:w="70" w:type="dxa"/>
            </w:tcMar>
          </w:tcPr>
          <w:p w14:paraId="2E7D5798"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11.</w:t>
            </w:r>
          </w:p>
        </w:tc>
        <w:tc>
          <w:tcPr>
            <w:tcW w:w="1701" w:type="dxa"/>
            <w:tcMar>
              <w:top w:w="0" w:type="dxa"/>
              <w:left w:w="70" w:type="dxa"/>
              <w:bottom w:w="0" w:type="dxa"/>
              <w:right w:w="70" w:type="dxa"/>
            </w:tcMar>
          </w:tcPr>
          <w:p w14:paraId="19962A9A"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PN-EN 1008:2004</w:t>
            </w:r>
          </w:p>
        </w:tc>
        <w:tc>
          <w:tcPr>
            <w:tcW w:w="5174" w:type="dxa"/>
            <w:tcMar>
              <w:top w:w="0" w:type="dxa"/>
              <w:left w:w="70" w:type="dxa"/>
              <w:bottom w:w="0" w:type="dxa"/>
              <w:right w:w="70" w:type="dxa"/>
            </w:tcMar>
          </w:tcPr>
          <w:p w14:paraId="30ED1B4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Woda zarobowa do betonu – Specyfikacja pobierania próbek, badanie i ocena przydatności wody zarobowej do betonu, w tym wody odzyskanej w z procesów produkcji betonu</w:t>
            </w:r>
          </w:p>
        </w:tc>
      </w:tr>
      <w:tr w:rsidR="004D7D23" w:rsidRPr="007B192E" w14:paraId="5E3331B8" w14:textId="77777777" w:rsidTr="008F7A94">
        <w:trPr>
          <w:trHeight w:val="206"/>
        </w:trPr>
        <w:tc>
          <w:tcPr>
            <w:tcW w:w="637" w:type="dxa"/>
            <w:tcMar>
              <w:top w:w="0" w:type="dxa"/>
              <w:left w:w="70" w:type="dxa"/>
              <w:bottom w:w="0" w:type="dxa"/>
              <w:right w:w="70" w:type="dxa"/>
            </w:tcMar>
          </w:tcPr>
          <w:p w14:paraId="68F020A5"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12.</w:t>
            </w:r>
          </w:p>
        </w:tc>
        <w:tc>
          <w:tcPr>
            <w:tcW w:w="1701" w:type="dxa"/>
            <w:tcMar>
              <w:top w:w="0" w:type="dxa"/>
              <w:left w:w="70" w:type="dxa"/>
              <w:bottom w:w="0" w:type="dxa"/>
              <w:right w:w="70" w:type="dxa"/>
            </w:tcMar>
          </w:tcPr>
          <w:p w14:paraId="5F215AF7" w14:textId="77777777" w:rsidR="00F45500" w:rsidRPr="007B192E" w:rsidRDefault="00F45500" w:rsidP="008F7A94">
            <w:pPr>
              <w:spacing w:line="216" w:lineRule="auto"/>
              <w:jc w:val="both"/>
              <w:rPr>
                <w:rFonts w:ascii="Arial" w:hAnsi="Arial" w:cs="Arial"/>
                <w:color w:val="000000" w:themeColor="text1"/>
                <w:sz w:val="18"/>
                <w:szCs w:val="18"/>
                <w:lang w:val="en-US"/>
              </w:rPr>
            </w:pPr>
            <w:r w:rsidRPr="007B192E">
              <w:rPr>
                <w:rFonts w:ascii="Arial" w:hAnsi="Arial" w:cs="Arial"/>
                <w:color w:val="000000" w:themeColor="text1"/>
                <w:sz w:val="18"/>
                <w:szCs w:val="18"/>
                <w:lang w:val="en-US"/>
              </w:rPr>
              <w:t xml:space="preserve">PN-EN 1340:2004  </w:t>
            </w:r>
            <w:proofErr w:type="spellStart"/>
            <w:r w:rsidRPr="007B192E">
              <w:rPr>
                <w:rFonts w:ascii="Arial" w:hAnsi="Arial" w:cs="Arial"/>
                <w:color w:val="000000" w:themeColor="text1"/>
                <w:sz w:val="18"/>
                <w:szCs w:val="18"/>
                <w:lang w:val="en-US"/>
              </w:rPr>
              <w:t>i</w:t>
            </w:r>
            <w:proofErr w:type="spellEnd"/>
            <w:r w:rsidRPr="007B192E">
              <w:rPr>
                <w:rFonts w:ascii="Arial" w:hAnsi="Arial" w:cs="Arial"/>
                <w:color w:val="000000" w:themeColor="text1"/>
                <w:sz w:val="18"/>
                <w:szCs w:val="18"/>
                <w:lang w:val="en-US"/>
              </w:rPr>
              <w:t xml:space="preserve"> PN-EN 1340:2004/AC</w:t>
            </w:r>
          </w:p>
        </w:tc>
        <w:tc>
          <w:tcPr>
            <w:tcW w:w="5174" w:type="dxa"/>
            <w:tcMar>
              <w:top w:w="0" w:type="dxa"/>
              <w:left w:w="70" w:type="dxa"/>
              <w:bottom w:w="0" w:type="dxa"/>
              <w:right w:w="70" w:type="dxa"/>
            </w:tcMar>
          </w:tcPr>
          <w:p w14:paraId="1DABADB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Krawężniki betonowe. Wymagania i metody badań</w:t>
            </w:r>
          </w:p>
        </w:tc>
      </w:tr>
      <w:tr w:rsidR="004D7D23" w:rsidRPr="007B192E" w14:paraId="2A75E74D" w14:textId="77777777" w:rsidTr="008F7A94">
        <w:trPr>
          <w:trHeight w:val="206"/>
        </w:trPr>
        <w:tc>
          <w:tcPr>
            <w:tcW w:w="637" w:type="dxa"/>
            <w:tcMar>
              <w:top w:w="0" w:type="dxa"/>
              <w:left w:w="70" w:type="dxa"/>
              <w:bottom w:w="0" w:type="dxa"/>
              <w:right w:w="70" w:type="dxa"/>
            </w:tcMar>
          </w:tcPr>
          <w:p w14:paraId="6D07588D"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13.</w:t>
            </w:r>
          </w:p>
        </w:tc>
        <w:tc>
          <w:tcPr>
            <w:tcW w:w="1701" w:type="dxa"/>
            <w:tcMar>
              <w:top w:w="0" w:type="dxa"/>
              <w:left w:w="70" w:type="dxa"/>
              <w:bottom w:w="0" w:type="dxa"/>
              <w:right w:w="70" w:type="dxa"/>
            </w:tcMar>
          </w:tcPr>
          <w:p w14:paraId="4DDD0AF7" w14:textId="77777777" w:rsidR="00F45500" w:rsidRPr="007B192E" w:rsidRDefault="00F45500" w:rsidP="008F7A94">
            <w:pPr>
              <w:spacing w:line="216" w:lineRule="auto"/>
              <w:jc w:val="both"/>
              <w:rPr>
                <w:rFonts w:ascii="Arial" w:hAnsi="Arial" w:cs="Arial"/>
                <w:color w:val="000000" w:themeColor="text1"/>
                <w:sz w:val="18"/>
                <w:szCs w:val="18"/>
                <w:lang w:val="en-US"/>
              </w:rPr>
            </w:pPr>
            <w:r w:rsidRPr="007B192E">
              <w:rPr>
                <w:rFonts w:ascii="Arial" w:hAnsi="Arial" w:cs="Arial"/>
                <w:color w:val="000000" w:themeColor="text1"/>
                <w:sz w:val="18"/>
                <w:szCs w:val="18"/>
              </w:rPr>
              <w:t>PN-EN 934-2+A1:2014</w:t>
            </w:r>
          </w:p>
        </w:tc>
        <w:tc>
          <w:tcPr>
            <w:tcW w:w="5174" w:type="dxa"/>
            <w:tcMar>
              <w:top w:w="0" w:type="dxa"/>
              <w:left w:w="70" w:type="dxa"/>
              <w:bottom w:w="0" w:type="dxa"/>
              <w:right w:w="70" w:type="dxa"/>
            </w:tcMar>
          </w:tcPr>
          <w:p w14:paraId="33FA75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Domieszki do betonu, zaprawy i zaczynu – Części 2: Domieszki do betonu – Definicje, wymagania, zgodność, oznakowanie i etykietowanie</w:t>
            </w:r>
          </w:p>
        </w:tc>
      </w:tr>
      <w:tr w:rsidR="00F45500" w:rsidRPr="007B192E" w14:paraId="42DBBBE5" w14:textId="77777777" w:rsidTr="008F7A94">
        <w:trPr>
          <w:trHeight w:val="206"/>
        </w:trPr>
        <w:tc>
          <w:tcPr>
            <w:tcW w:w="637" w:type="dxa"/>
            <w:tcMar>
              <w:top w:w="0" w:type="dxa"/>
              <w:left w:w="70" w:type="dxa"/>
              <w:bottom w:w="0" w:type="dxa"/>
              <w:right w:w="70" w:type="dxa"/>
            </w:tcMar>
          </w:tcPr>
          <w:p w14:paraId="08373F61"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14.</w:t>
            </w:r>
          </w:p>
        </w:tc>
        <w:tc>
          <w:tcPr>
            <w:tcW w:w="1701" w:type="dxa"/>
            <w:tcMar>
              <w:top w:w="0" w:type="dxa"/>
              <w:left w:w="70" w:type="dxa"/>
              <w:bottom w:w="0" w:type="dxa"/>
              <w:right w:w="70" w:type="dxa"/>
            </w:tcMar>
          </w:tcPr>
          <w:p w14:paraId="4A872DE0" w14:textId="77777777" w:rsidR="00F45500" w:rsidRPr="007B192E" w:rsidRDefault="00F45500" w:rsidP="008F7A94">
            <w:pPr>
              <w:spacing w:line="216" w:lineRule="auto"/>
              <w:jc w:val="both"/>
              <w:rPr>
                <w:rFonts w:ascii="Arial" w:hAnsi="Arial" w:cs="Arial"/>
                <w:color w:val="000000" w:themeColor="text1"/>
                <w:sz w:val="18"/>
                <w:szCs w:val="18"/>
              </w:rPr>
            </w:pPr>
            <w:r w:rsidRPr="007B192E">
              <w:rPr>
                <w:rFonts w:ascii="Arial" w:hAnsi="Arial" w:cs="Arial"/>
                <w:color w:val="000000" w:themeColor="text1"/>
                <w:sz w:val="18"/>
                <w:szCs w:val="18"/>
              </w:rPr>
              <w:t>PN-EN 206-1:2003</w:t>
            </w:r>
          </w:p>
        </w:tc>
        <w:tc>
          <w:tcPr>
            <w:tcW w:w="5174" w:type="dxa"/>
            <w:tcMar>
              <w:top w:w="0" w:type="dxa"/>
              <w:left w:w="70" w:type="dxa"/>
              <w:bottom w:w="0" w:type="dxa"/>
              <w:right w:w="70" w:type="dxa"/>
            </w:tcMar>
          </w:tcPr>
          <w:p w14:paraId="3EF7C8B6" w14:textId="77777777" w:rsidR="00F45500" w:rsidRPr="007B192E" w:rsidRDefault="00F45500" w:rsidP="008F7A94">
            <w:pPr>
              <w:jc w:val="both"/>
              <w:rPr>
                <w:rFonts w:ascii="Arial" w:hAnsi="Arial" w:cs="Arial"/>
                <w:color w:val="000000" w:themeColor="text1"/>
                <w:sz w:val="18"/>
                <w:szCs w:val="18"/>
              </w:rPr>
            </w:pPr>
            <w:r w:rsidRPr="007B192E">
              <w:rPr>
                <w:rFonts w:ascii="Arial" w:hAnsi="Arial" w:cs="Arial"/>
                <w:color w:val="000000" w:themeColor="text1"/>
                <w:sz w:val="18"/>
                <w:szCs w:val="18"/>
              </w:rPr>
              <w:t>Beton. Część 1: Wymagania, właściwości, produkcja i zgodność</w:t>
            </w:r>
          </w:p>
        </w:tc>
      </w:tr>
    </w:tbl>
    <w:p w14:paraId="02C40880" w14:textId="77777777" w:rsidR="00F45500" w:rsidRPr="007B192E" w:rsidRDefault="00F45500" w:rsidP="00F45500">
      <w:pPr>
        <w:rPr>
          <w:rFonts w:ascii="Arial" w:hAnsi="Arial" w:cs="Arial"/>
          <w:b/>
          <w:bCs/>
          <w:color w:val="000000" w:themeColor="text1"/>
          <w:sz w:val="28"/>
          <w:szCs w:val="28"/>
        </w:rPr>
      </w:pPr>
    </w:p>
    <w:p w14:paraId="3586D4D7" w14:textId="77777777" w:rsidR="00F45500" w:rsidRPr="007B192E" w:rsidRDefault="00F45500" w:rsidP="00F45500">
      <w:pPr>
        <w:rPr>
          <w:color w:val="000000" w:themeColor="text1"/>
        </w:rPr>
      </w:pPr>
    </w:p>
    <w:p w14:paraId="10A01ABF" w14:textId="77777777" w:rsidR="00F45500" w:rsidRPr="007B192E" w:rsidRDefault="00F45500" w:rsidP="00E078E6">
      <w:pPr>
        <w:pStyle w:val="Specyfikacje"/>
        <w:spacing w:after="0"/>
        <w:ind w:left="0"/>
        <w:rPr>
          <w:rFonts w:ascii="Arial" w:hAnsi="Arial" w:cs="Arial"/>
          <w:color w:val="000000" w:themeColor="text1"/>
          <w:sz w:val="18"/>
        </w:rPr>
      </w:pPr>
    </w:p>
    <w:p w14:paraId="692EC54F" w14:textId="77777777" w:rsidR="00333660" w:rsidRPr="007B192E" w:rsidRDefault="00333660" w:rsidP="00E078E6">
      <w:pPr>
        <w:pStyle w:val="Specyfikacje"/>
        <w:spacing w:after="0"/>
        <w:ind w:left="0"/>
        <w:rPr>
          <w:rFonts w:ascii="Arial" w:hAnsi="Arial" w:cs="Arial"/>
          <w:color w:val="000000" w:themeColor="text1"/>
          <w:sz w:val="18"/>
        </w:rPr>
      </w:pPr>
    </w:p>
    <w:p w14:paraId="4254632E" w14:textId="77777777" w:rsidR="00333660" w:rsidRPr="007B192E" w:rsidRDefault="00333660" w:rsidP="00E078E6">
      <w:pPr>
        <w:pStyle w:val="Specyfikacje"/>
        <w:spacing w:after="0"/>
        <w:ind w:left="0"/>
        <w:rPr>
          <w:rFonts w:ascii="Arial" w:hAnsi="Arial" w:cs="Arial"/>
          <w:color w:val="000000" w:themeColor="text1"/>
          <w:sz w:val="18"/>
        </w:rPr>
      </w:pPr>
    </w:p>
    <w:p w14:paraId="3A6DC2BD" w14:textId="77777777" w:rsidR="00333660" w:rsidRPr="007B192E" w:rsidRDefault="00333660" w:rsidP="00E078E6">
      <w:pPr>
        <w:pStyle w:val="Specyfikacje"/>
        <w:spacing w:after="0"/>
        <w:ind w:left="0"/>
        <w:rPr>
          <w:rFonts w:ascii="Arial" w:hAnsi="Arial" w:cs="Arial"/>
          <w:color w:val="000000" w:themeColor="text1"/>
          <w:sz w:val="18"/>
        </w:rPr>
      </w:pPr>
    </w:p>
    <w:p w14:paraId="1FD49D23" w14:textId="77777777" w:rsidR="00333660" w:rsidRPr="007B192E" w:rsidRDefault="00333660" w:rsidP="00E078E6">
      <w:pPr>
        <w:pStyle w:val="Specyfikacje"/>
        <w:spacing w:after="0"/>
        <w:ind w:left="0"/>
        <w:rPr>
          <w:rFonts w:ascii="Arial" w:hAnsi="Arial" w:cs="Arial"/>
          <w:color w:val="000000" w:themeColor="text1"/>
          <w:sz w:val="18"/>
        </w:rPr>
      </w:pPr>
    </w:p>
    <w:p w14:paraId="3A9CFE57" w14:textId="77777777" w:rsidR="00333660" w:rsidRPr="007B192E" w:rsidRDefault="00333660" w:rsidP="00E078E6">
      <w:pPr>
        <w:pStyle w:val="Specyfikacje"/>
        <w:spacing w:after="0"/>
        <w:ind w:left="0"/>
        <w:rPr>
          <w:rFonts w:ascii="Arial" w:hAnsi="Arial" w:cs="Arial"/>
          <w:color w:val="000000" w:themeColor="text1"/>
          <w:sz w:val="18"/>
        </w:rPr>
      </w:pPr>
    </w:p>
    <w:p w14:paraId="33D6130B" w14:textId="77777777" w:rsidR="00333660" w:rsidRPr="007B192E" w:rsidRDefault="00333660" w:rsidP="00E078E6">
      <w:pPr>
        <w:pStyle w:val="Specyfikacje"/>
        <w:spacing w:after="0"/>
        <w:ind w:left="0"/>
        <w:rPr>
          <w:rFonts w:ascii="Arial" w:hAnsi="Arial" w:cs="Arial"/>
          <w:color w:val="000000" w:themeColor="text1"/>
          <w:sz w:val="18"/>
        </w:rPr>
      </w:pPr>
    </w:p>
    <w:p w14:paraId="36A552C1" w14:textId="77777777" w:rsidR="00333660" w:rsidRPr="007B192E" w:rsidRDefault="00333660" w:rsidP="00E078E6">
      <w:pPr>
        <w:pStyle w:val="Specyfikacje"/>
        <w:spacing w:after="0"/>
        <w:ind w:left="0"/>
        <w:rPr>
          <w:rFonts w:ascii="Arial" w:hAnsi="Arial" w:cs="Arial"/>
          <w:color w:val="000000" w:themeColor="text1"/>
          <w:sz w:val="18"/>
        </w:rPr>
      </w:pPr>
    </w:p>
    <w:p w14:paraId="7F649412" w14:textId="77777777" w:rsidR="00333660" w:rsidRPr="007B192E" w:rsidRDefault="00333660" w:rsidP="00E078E6">
      <w:pPr>
        <w:pStyle w:val="Specyfikacje"/>
        <w:spacing w:after="0"/>
        <w:ind w:left="0"/>
        <w:rPr>
          <w:rFonts w:ascii="Arial" w:hAnsi="Arial" w:cs="Arial"/>
          <w:color w:val="000000" w:themeColor="text1"/>
          <w:sz w:val="18"/>
        </w:rPr>
      </w:pPr>
    </w:p>
    <w:p w14:paraId="50916E33" w14:textId="77777777" w:rsidR="00333660" w:rsidRPr="007B192E" w:rsidRDefault="00333660" w:rsidP="00E078E6">
      <w:pPr>
        <w:pStyle w:val="Specyfikacje"/>
        <w:spacing w:after="0"/>
        <w:ind w:left="0"/>
        <w:rPr>
          <w:rFonts w:ascii="Arial" w:hAnsi="Arial" w:cs="Arial"/>
          <w:color w:val="000000" w:themeColor="text1"/>
          <w:sz w:val="18"/>
        </w:rPr>
      </w:pPr>
    </w:p>
    <w:p w14:paraId="763D7783" w14:textId="77777777" w:rsidR="00333660" w:rsidRPr="007B192E" w:rsidRDefault="00333660" w:rsidP="00E078E6">
      <w:pPr>
        <w:pStyle w:val="Specyfikacje"/>
        <w:spacing w:after="0"/>
        <w:ind w:left="0"/>
        <w:rPr>
          <w:rFonts w:ascii="Arial" w:hAnsi="Arial" w:cs="Arial"/>
          <w:color w:val="000000" w:themeColor="text1"/>
          <w:sz w:val="18"/>
        </w:rPr>
      </w:pPr>
    </w:p>
    <w:p w14:paraId="2F1EC664" w14:textId="77777777" w:rsidR="00333660" w:rsidRPr="007B192E" w:rsidRDefault="00333660" w:rsidP="00E078E6">
      <w:pPr>
        <w:pStyle w:val="Specyfikacje"/>
        <w:spacing w:after="0"/>
        <w:ind w:left="0"/>
        <w:rPr>
          <w:rFonts w:ascii="Arial" w:hAnsi="Arial" w:cs="Arial"/>
          <w:color w:val="000000" w:themeColor="text1"/>
          <w:sz w:val="18"/>
        </w:rPr>
      </w:pPr>
    </w:p>
    <w:p w14:paraId="4AADB016" w14:textId="77777777" w:rsidR="00333660" w:rsidRPr="007B192E" w:rsidRDefault="00333660" w:rsidP="00E078E6">
      <w:pPr>
        <w:pStyle w:val="Specyfikacje"/>
        <w:spacing w:after="0"/>
        <w:ind w:left="0"/>
        <w:rPr>
          <w:rFonts w:ascii="Arial" w:hAnsi="Arial" w:cs="Arial"/>
          <w:color w:val="000000" w:themeColor="text1"/>
          <w:sz w:val="18"/>
        </w:rPr>
      </w:pPr>
    </w:p>
    <w:p w14:paraId="044919F5" w14:textId="77777777" w:rsidR="00333660" w:rsidRPr="007B192E" w:rsidRDefault="00333660" w:rsidP="00E078E6">
      <w:pPr>
        <w:pStyle w:val="Specyfikacje"/>
        <w:spacing w:after="0"/>
        <w:ind w:left="0"/>
        <w:rPr>
          <w:rFonts w:ascii="Arial" w:hAnsi="Arial" w:cs="Arial"/>
          <w:color w:val="000000" w:themeColor="text1"/>
          <w:sz w:val="18"/>
        </w:rPr>
      </w:pPr>
    </w:p>
    <w:p w14:paraId="037576F1" w14:textId="77777777" w:rsidR="00333660" w:rsidRPr="007B192E" w:rsidRDefault="00333660" w:rsidP="00E078E6">
      <w:pPr>
        <w:pStyle w:val="Specyfikacje"/>
        <w:spacing w:after="0"/>
        <w:ind w:left="0"/>
        <w:rPr>
          <w:rFonts w:ascii="Arial" w:hAnsi="Arial" w:cs="Arial"/>
          <w:color w:val="000000" w:themeColor="text1"/>
          <w:sz w:val="18"/>
        </w:rPr>
      </w:pPr>
    </w:p>
    <w:p w14:paraId="4C60B219" w14:textId="77777777" w:rsidR="00333660" w:rsidRPr="007B192E" w:rsidRDefault="00333660" w:rsidP="00E078E6">
      <w:pPr>
        <w:pStyle w:val="Specyfikacje"/>
        <w:spacing w:after="0"/>
        <w:ind w:left="0"/>
        <w:rPr>
          <w:rFonts w:ascii="Arial" w:hAnsi="Arial" w:cs="Arial"/>
          <w:color w:val="000000" w:themeColor="text1"/>
          <w:sz w:val="18"/>
        </w:rPr>
      </w:pPr>
    </w:p>
    <w:p w14:paraId="349D4BEA" w14:textId="77777777" w:rsidR="00333660" w:rsidRPr="007B192E" w:rsidRDefault="00333660" w:rsidP="00E078E6">
      <w:pPr>
        <w:pStyle w:val="Specyfikacje"/>
        <w:spacing w:after="0"/>
        <w:ind w:left="0"/>
        <w:rPr>
          <w:rFonts w:ascii="Arial" w:hAnsi="Arial" w:cs="Arial"/>
          <w:color w:val="000000" w:themeColor="text1"/>
          <w:sz w:val="18"/>
        </w:rPr>
      </w:pPr>
    </w:p>
    <w:p w14:paraId="117619E4" w14:textId="77777777" w:rsidR="00333660" w:rsidRPr="007B192E" w:rsidRDefault="00333660" w:rsidP="00E078E6">
      <w:pPr>
        <w:pStyle w:val="Specyfikacje"/>
        <w:spacing w:after="0"/>
        <w:ind w:left="0"/>
        <w:rPr>
          <w:rFonts w:ascii="Arial" w:hAnsi="Arial" w:cs="Arial"/>
          <w:color w:val="000000" w:themeColor="text1"/>
          <w:sz w:val="18"/>
        </w:rPr>
      </w:pPr>
    </w:p>
    <w:p w14:paraId="7ACBF70C" w14:textId="77777777" w:rsidR="00333660" w:rsidRPr="004D7D23" w:rsidRDefault="00333660" w:rsidP="00E078E6">
      <w:pPr>
        <w:pStyle w:val="Specyfikacje"/>
        <w:spacing w:after="0"/>
        <w:ind w:left="0"/>
        <w:rPr>
          <w:rFonts w:ascii="Arial" w:hAnsi="Arial" w:cs="Arial"/>
          <w:color w:val="FF0000"/>
          <w:sz w:val="18"/>
        </w:rPr>
      </w:pPr>
    </w:p>
    <w:p w14:paraId="7DD1828A" w14:textId="77777777" w:rsidR="00333660" w:rsidRPr="004D7D23" w:rsidRDefault="00333660" w:rsidP="00E078E6">
      <w:pPr>
        <w:pStyle w:val="Specyfikacje"/>
        <w:spacing w:after="0"/>
        <w:ind w:left="0"/>
        <w:rPr>
          <w:rFonts w:ascii="Arial" w:hAnsi="Arial" w:cs="Arial"/>
          <w:color w:val="FF0000"/>
          <w:sz w:val="18"/>
        </w:rPr>
      </w:pPr>
    </w:p>
    <w:p w14:paraId="6989D9A6" w14:textId="77777777" w:rsidR="00333660" w:rsidRPr="004D7D23" w:rsidRDefault="00333660" w:rsidP="00E078E6">
      <w:pPr>
        <w:pStyle w:val="Specyfikacje"/>
        <w:spacing w:after="0"/>
        <w:ind w:left="0"/>
        <w:rPr>
          <w:rFonts w:ascii="Arial" w:hAnsi="Arial" w:cs="Arial"/>
          <w:color w:val="FF0000"/>
          <w:sz w:val="18"/>
        </w:rPr>
      </w:pPr>
    </w:p>
    <w:p w14:paraId="686F9656" w14:textId="77777777" w:rsidR="00333660" w:rsidRPr="004D7D23" w:rsidRDefault="00333660" w:rsidP="00E078E6">
      <w:pPr>
        <w:pStyle w:val="Specyfikacje"/>
        <w:spacing w:after="0"/>
        <w:ind w:left="0"/>
        <w:rPr>
          <w:rFonts w:ascii="Arial" w:hAnsi="Arial" w:cs="Arial"/>
          <w:color w:val="FF0000"/>
          <w:sz w:val="18"/>
        </w:rPr>
      </w:pPr>
    </w:p>
    <w:p w14:paraId="1BE743B3" w14:textId="77777777" w:rsidR="00333660" w:rsidRPr="004D7D23" w:rsidRDefault="00333660" w:rsidP="00E078E6">
      <w:pPr>
        <w:pStyle w:val="Specyfikacje"/>
        <w:spacing w:after="0"/>
        <w:ind w:left="0"/>
        <w:rPr>
          <w:rFonts w:ascii="Arial" w:hAnsi="Arial" w:cs="Arial"/>
          <w:color w:val="FF0000"/>
          <w:sz w:val="18"/>
        </w:rPr>
      </w:pPr>
    </w:p>
    <w:p w14:paraId="121CF76E" w14:textId="77777777" w:rsidR="00333660" w:rsidRPr="004D7D23" w:rsidRDefault="00333660" w:rsidP="00E078E6">
      <w:pPr>
        <w:pStyle w:val="Specyfikacje"/>
        <w:spacing w:after="0"/>
        <w:ind w:left="0"/>
        <w:rPr>
          <w:rFonts w:ascii="Arial" w:hAnsi="Arial" w:cs="Arial"/>
          <w:color w:val="FF0000"/>
          <w:sz w:val="18"/>
        </w:rPr>
      </w:pPr>
    </w:p>
    <w:p w14:paraId="7C4D02C9" w14:textId="77777777" w:rsidR="00333660" w:rsidRPr="004D7D23" w:rsidRDefault="00333660" w:rsidP="00E078E6">
      <w:pPr>
        <w:pStyle w:val="Specyfikacje"/>
        <w:spacing w:after="0"/>
        <w:ind w:left="0"/>
        <w:rPr>
          <w:rFonts w:ascii="Arial" w:hAnsi="Arial" w:cs="Arial"/>
          <w:color w:val="FF0000"/>
          <w:sz w:val="18"/>
        </w:rPr>
      </w:pPr>
    </w:p>
    <w:p w14:paraId="3170D254" w14:textId="77777777" w:rsidR="00333660" w:rsidRPr="004D7D23" w:rsidRDefault="00333660" w:rsidP="00E078E6">
      <w:pPr>
        <w:pStyle w:val="Specyfikacje"/>
        <w:spacing w:after="0"/>
        <w:ind w:left="0"/>
        <w:rPr>
          <w:rFonts w:ascii="Arial" w:hAnsi="Arial" w:cs="Arial"/>
          <w:color w:val="FF0000"/>
          <w:sz w:val="18"/>
        </w:rPr>
      </w:pPr>
    </w:p>
    <w:p w14:paraId="5041BD5A" w14:textId="77777777" w:rsidR="00333660" w:rsidRPr="004D7D23" w:rsidRDefault="00333660" w:rsidP="00E078E6">
      <w:pPr>
        <w:pStyle w:val="Specyfikacje"/>
        <w:spacing w:after="0"/>
        <w:ind w:left="0"/>
        <w:rPr>
          <w:rFonts w:ascii="Arial" w:hAnsi="Arial" w:cs="Arial"/>
          <w:color w:val="FF0000"/>
          <w:sz w:val="18"/>
        </w:rPr>
      </w:pPr>
    </w:p>
    <w:p w14:paraId="050A0190" w14:textId="77777777" w:rsidR="00333660" w:rsidRPr="004D7D23" w:rsidRDefault="00333660" w:rsidP="00E078E6">
      <w:pPr>
        <w:pStyle w:val="Specyfikacje"/>
        <w:spacing w:after="0"/>
        <w:ind w:left="0"/>
        <w:rPr>
          <w:rFonts w:ascii="Arial" w:hAnsi="Arial" w:cs="Arial"/>
          <w:color w:val="FF0000"/>
          <w:sz w:val="18"/>
        </w:rPr>
      </w:pPr>
    </w:p>
    <w:p w14:paraId="6BEA98F2" w14:textId="77777777" w:rsidR="00333660" w:rsidRPr="004D7D23" w:rsidRDefault="00333660" w:rsidP="00E078E6">
      <w:pPr>
        <w:pStyle w:val="Specyfikacje"/>
        <w:spacing w:after="0"/>
        <w:ind w:left="0"/>
        <w:rPr>
          <w:rFonts w:ascii="Arial" w:hAnsi="Arial" w:cs="Arial"/>
          <w:color w:val="FF0000"/>
          <w:sz w:val="18"/>
        </w:rPr>
      </w:pPr>
    </w:p>
    <w:p w14:paraId="21FA7F7E" w14:textId="77777777" w:rsidR="00333660" w:rsidRPr="004D7D23" w:rsidRDefault="00333660" w:rsidP="00E078E6">
      <w:pPr>
        <w:pStyle w:val="Specyfikacje"/>
        <w:spacing w:after="0"/>
        <w:ind w:left="0"/>
        <w:rPr>
          <w:rFonts w:ascii="Arial" w:hAnsi="Arial" w:cs="Arial"/>
          <w:color w:val="FF0000"/>
          <w:sz w:val="18"/>
        </w:rPr>
      </w:pPr>
    </w:p>
    <w:p w14:paraId="21F9B6C1" w14:textId="77777777" w:rsidR="00333660" w:rsidRPr="004D7D23" w:rsidRDefault="00333660" w:rsidP="00E078E6">
      <w:pPr>
        <w:pStyle w:val="Specyfikacje"/>
        <w:spacing w:after="0"/>
        <w:ind w:left="0"/>
        <w:rPr>
          <w:rFonts w:ascii="Arial" w:hAnsi="Arial" w:cs="Arial"/>
          <w:color w:val="FF0000"/>
          <w:sz w:val="18"/>
        </w:rPr>
      </w:pPr>
    </w:p>
    <w:p w14:paraId="03E4C383" w14:textId="77777777" w:rsidR="00333660" w:rsidRPr="004D7D23" w:rsidRDefault="00333660" w:rsidP="00E078E6">
      <w:pPr>
        <w:pStyle w:val="Specyfikacje"/>
        <w:spacing w:after="0"/>
        <w:ind w:left="0"/>
        <w:rPr>
          <w:rFonts w:ascii="Arial" w:hAnsi="Arial" w:cs="Arial"/>
          <w:color w:val="FF0000"/>
          <w:sz w:val="18"/>
        </w:rPr>
      </w:pPr>
    </w:p>
    <w:p w14:paraId="7A2D314F" w14:textId="77777777" w:rsidR="00333660" w:rsidRPr="004D7D23" w:rsidRDefault="00333660" w:rsidP="00E078E6">
      <w:pPr>
        <w:pStyle w:val="Specyfikacje"/>
        <w:spacing w:after="0"/>
        <w:ind w:left="0"/>
        <w:rPr>
          <w:rFonts w:ascii="Arial" w:hAnsi="Arial" w:cs="Arial"/>
          <w:color w:val="FF0000"/>
          <w:sz w:val="18"/>
        </w:rPr>
      </w:pPr>
    </w:p>
    <w:p w14:paraId="32C990CC" w14:textId="77777777" w:rsidR="003C3EE8" w:rsidRPr="007B192E" w:rsidRDefault="003C3EE8" w:rsidP="003C3EE8">
      <w:pPr>
        <w:pStyle w:val="Nagwek1"/>
        <w:jc w:val="center"/>
        <w:rPr>
          <w:color w:val="000000" w:themeColor="text1"/>
        </w:rPr>
      </w:pPr>
      <w:bookmarkStart w:id="411" w:name="_Toc163481068"/>
      <w:r w:rsidRPr="007B192E">
        <w:rPr>
          <w:color w:val="000000" w:themeColor="text1"/>
          <w:sz w:val="40"/>
        </w:rPr>
        <w:lastRenderedPageBreak/>
        <w:t>D-10.03.01a NAWIERZCHNIE Z ELEMENTÓW PREFABRYKOWANYCH</w:t>
      </w:r>
      <w:bookmarkEnd w:id="411"/>
    </w:p>
    <w:p w14:paraId="79C4A791"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2" w:name="_Toc219531212"/>
      <w:r w:rsidRPr="007B192E">
        <w:rPr>
          <w:rFonts w:ascii="Arial" w:hAnsi="Arial" w:cs="Arial"/>
          <w:b/>
          <w:caps/>
          <w:color w:val="000000" w:themeColor="text1"/>
          <w:kern w:val="28"/>
          <w:sz w:val="18"/>
          <w:szCs w:val="18"/>
          <w:lang w:eastAsia="pl-PL"/>
        </w:rPr>
        <w:t>1. WSTĘP</w:t>
      </w:r>
      <w:bookmarkEnd w:id="412"/>
    </w:p>
    <w:p w14:paraId="085D4E21"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1.1. Przedmiot ST</w:t>
      </w:r>
    </w:p>
    <w:p w14:paraId="7E8B038E"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Przedmiotem niniejszej specyfikacji technicznej (ST) są wymagania dotyczące wykonania i odbioru robót związanych z wykonaniem nawierzchni z prefabrykowanych płyt drogowych typu trylinka</w:t>
      </w:r>
      <w:r w:rsidR="00424C18">
        <w:rPr>
          <w:rFonts w:ascii="Arial" w:hAnsi="Arial" w:cs="Arial"/>
          <w:color w:val="000000" w:themeColor="text1"/>
          <w:sz w:val="18"/>
          <w:szCs w:val="18"/>
          <w:lang w:eastAsia="pl-PL"/>
        </w:rPr>
        <w:t xml:space="preserve"> oraz z prefabrykowanych żelbetowych płyt drogowych 300x150 cm</w:t>
      </w:r>
      <w:r w:rsidRPr="007B192E">
        <w:rPr>
          <w:rFonts w:ascii="Arial" w:hAnsi="Arial" w:cs="Arial"/>
          <w:color w:val="000000" w:themeColor="text1"/>
          <w:sz w:val="18"/>
          <w:szCs w:val="18"/>
          <w:lang w:eastAsia="pl-PL"/>
        </w:rPr>
        <w:t>.</w:t>
      </w:r>
    </w:p>
    <w:p w14:paraId="361447F0"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1.2. Zakres stosowania ST</w:t>
      </w:r>
    </w:p>
    <w:p w14:paraId="431884A6" w14:textId="77777777" w:rsidR="003C3EE8" w:rsidRPr="007B192E" w:rsidRDefault="003C3EE8" w:rsidP="003C3EE8">
      <w:pPr>
        <w:pStyle w:val="Standard"/>
        <w:tabs>
          <w:tab w:val="left" w:pos="630"/>
        </w:tabs>
        <w:spacing w:line="216" w:lineRule="auto"/>
        <w:jc w:val="both"/>
        <w:rPr>
          <w:rFonts w:ascii="Arial" w:hAnsi="Arial" w:cs="Arial"/>
          <w:color w:val="000000" w:themeColor="text1"/>
          <w:sz w:val="18"/>
          <w:szCs w:val="18"/>
        </w:rPr>
      </w:pPr>
      <w:r w:rsidRPr="007B192E">
        <w:rPr>
          <w:rFonts w:ascii="Arial" w:eastAsia="Times New Roman" w:hAnsi="Arial" w:cs="Arial"/>
          <w:color w:val="000000" w:themeColor="text1"/>
          <w:kern w:val="0"/>
          <w:sz w:val="18"/>
          <w:szCs w:val="18"/>
        </w:rPr>
        <w:tab/>
      </w:r>
      <w:r w:rsidRPr="007B192E">
        <w:rPr>
          <w:rFonts w:ascii="Arial" w:hAnsi="Arial" w:cs="Arial"/>
          <w:color w:val="000000" w:themeColor="text1"/>
          <w:sz w:val="18"/>
          <w:szCs w:val="18"/>
        </w:rPr>
        <w:tab/>
        <w:t>Specyfikacja techniczna stanowi dokument przetargowy i kontraktowy stosowany przy zlecaniu i realizacji robót budowlanych wymienionych w punkcie 1.1.</w:t>
      </w:r>
    </w:p>
    <w:p w14:paraId="1EA5B291" w14:textId="77777777" w:rsidR="003C3EE8" w:rsidRPr="007B192E" w:rsidRDefault="003C3EE8" w:rsidP="003C3EE8">
      <w:pPr>
        <w:pStyle w:val="Standard"/>
        <w:spacing w:line="216" w:lineRule="auto"/>
        <w:jc w:val="both"/>
        <w:rPr>
          <w:rFonts w:ascii="Arial" w:hAnsi="Arial" w:cs="Arial"/>
          <w:color w:val="000000" w:themeColor="text1"/>
          <w:sz w:val="18"/>
          <w:szCs w:val="18"/>
        </w:rPr>
      </w:pPr>
    </w:p>
    <w:p w14:paraId="55C02B7B" w14:textId="77777777" w:rsidR="003C3EE8" w:rsidRPr="007B192E" w:rsidRDefault="003C3EE8" w:rsidP="003C3EE8">
      <w:pPr>
        <w:spacing w:after="120"/>
        <w:rPr>
          <w:rFonts w:ascii="Arial" w:hAnsi="Arial" w:cs="Arial"/>
          <w:color w:val="000000" w:themeColor="text1"/>
          <w:sz w:val="18"/>
          <w:szCs w:val="18"/>
        </w:rPr>
      </w:pPr>
      <w:r w:rsidRPr="007B192E">
        <w:rPr>
          <w:rFonts w:ascii="Arial" w:hAnsi="Arial" w:cs="Arial"/>
          <w:color w:val="000000" w:themeColor="text1"/>
          <w:sz w:val="18"/>
          <w:szCs w:val="18"/>
        </w:rPr>
        <w:t>W przypadku rozbieżności w ustaleniach poszczególnych dokumentów obowiązuje następująca kolejność ich ważności:</w:t>
      </w:r>
    </w:p>
    <w:p w14:paraId="48510079" w14:textId="77777777" w:rsidR="003C3EE8" w:rsidRPr="007B192E" w:rsidRDefault="003C3EE8" w:rsidP="00BA5651">
      <w:pPr>
        <w:numPr>
          <w:ilvl w:val="0"/>
          <w:numId w:val="329"/>
        </w:numPr>
        <w:autoSpaceDN w:val="0"/>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Umowa pomiędzy Inwestorem i Wykonawcą,</w:t>
      </w:r>
    </w:p>
    <w:p w14:paraId="668C0649" w14:textId="77777777" w:rsidR="003C3EE8" w:rsidRPr="007B192E" w:rsidRDefault="003C3EE8" w:rsidP="00BA5651">
      <w:pPr>
        <w:numPr>
          <w:ilvl w:val="0"/>
          <w:numId w:val="329"/>
        </w:numPr>
        <w:autoSpaceDN w:val="0"/>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Dokumentacja Projektowa,</w:t>
      </w:r>
    </w:p>
    <w:p w14:paraId="24DA00AD" w14:textId="77777777" w:rsidR="003C3EE8" w:rsidRPr="007B192E" w:rsidRDefault="003C3EE8" w:rsidP="00BA5651">
      <w:pPr>
        <w:numPr>
          <w:ilvl w:val="0"/>
          <w:numId w:val="329"/>
        </w:numPr>
        <w:autoSpaceDN w:val="0"/>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Specyfikacje Techniczne.</w:t>
      </w:r>
    </w:p>
    <w:p w14:paraId="5A58C4BD"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1.3. Zakres robót objętych ST</w:t>
      </w:r>
    </w:p>
    <w:p w14:paraId="1A8062F9"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rPr>
        <w:t xml:space="preserve">Ustalenia zawarte w niniejszej specyfikacji dotyczą zasad prowadzenia robót związanych z wykonaniem i odbiorem nawierzchni z </w:t>
      </w:r>
      <w:r w:rsidRPr="007B192E">
        <w:rPr>
          <w:rFonts w:ascii="Arial" w:hAnsi="Arial" w:cs="Arial"/>
          <w:color w:val="000000" w:themeColor="text1"/>
          <w:sz w:val="18"/>
          <w:szCs w:val="18"/>
          <w:lang w:eastAsia="pl-PL"/>
        </w:rPr>
        <w:t>prefabrykowanych płyt wielootworowych wielkowymiarowych.</w:t>
      </w:r>
    </w:p>
    <w:p w14:paraId="4A61BBE7"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1.4. Określenia podstawowe</w:t>
      </w:r>
    </w:p>
    <w:p w14:paraId="227277C5"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1.4.1. </w:t>
      </w:r>
      <w:r w:rsidRPr="007B192E">
        <w:rPr>
          <w:rFonts w:ascii="Arial" w:hAnsi="Arial" w:cs="Arial"/>
          <w:color w:val="000000" w:themeColor="text1"/>
          <w:sz w:val="18"/>
          <w:szCs w:val="18"/>
          <w:lang w:eastAsia="pl-PL"/>
        </w:rPr>
        <w:t>Prefabrykowana płyta wielootworowa – drogowy element betonowy, w postaci prostokątnej płyty z otworami, służący do budowy nawierzchni.</w:t>
      </w:r>
    </w:p>
    <w:p w14:paraId="1C6974CB" w14:textId="77777777" w:rsidR="003C3EE8" w:rsidRPr="007B192E"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1.4.2. </w:t>
      </w:r>
      <w:r w:rsidRPr="007B192E">
        <w:rPr>
          <w:rFonts w:ascii="Arial" w:hAnsi="Arial" w:cs="Arial"/>
          <w:color w:val="000000" w:themeColor="text1"/>
          <w:sz w:val="18"/>
          <w:szCs w:val="18"/>
          <w:lang w:eastAsia="pl-PL"/>
        </w:rPr>
        <w:t>Nawierzchnia z prefabrykowanych płyt wielootworowych – nawierzchnia z płyt drogowych wielootworowych, przeznaczona do ruchu lub postoju pojazdów.</w:t>
      </w:r>
    </w:p>
    <w:p w14:paraId="14B25A61" w14:textId="77777777" w:rsidR="003C3EE8" w:rsidRPr="007B192E"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1.4.3. </w:t>
      </w:r>
      <w:r w:rsidRPr="007B192E">
        <w:rPr>
          <w:rFonts w:ascii="Arial" w:hAnsi="Arial" w:cs="Arial"/>
          <w:color w:val="000000" w:themeColor="text1"/>
          <w:sz w:val="18"/>
          <w:szCs w:val="18"/>
          <w:lang w:eastAsia="pl-PL"/>
        </w:rPr>
        <w:t>Szczelina w nawierzchni – szczelina pomiędzy żelbetowymi płytami nawierzchniowymi, zwykle wypełniona piaskiem.</w:t>
      </w:r>
    </w:p>
    <w:p w14:paraId="1941EB6B" w14:textId="77777777" w:rsidR="003C3EE8" w:rsidRPr="007B192E"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1.4.4. </w:t>
      </w:r>
      <w:r w:rsidRPr="007B192E">
        <w:rPr>
          <w:rFonts w:ascii="Arial" w:hAnsi="Arial" w:cs="Arial"/>
          <w:color w:val="000000" w:themeColor="text1"/>
          <w:sz w:val="18"/>
          <w:szCs w:val="18"/>
          <w:lang w:eastAsia="pl-PL"/>
        </w:rPr>
        <w:t>System pasowy układania płyt – ułożenie dwóch pasów pojedynczych płyt, umożliwiających poruszanie się tylko po nich kół samochodów (patrz rys. 2a, b).</w:t>
      </w:r>
    </w:p>
    <w:p w14:paraId="10F139D9" w14:textId="77777777" w:rsidR="003C3EE8" w:rsidRPr="007B192E"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1.4.5. </w:t>
      </w:r>
      <w:r w:rsidRPr="007B192E">
        <w:rPr>
          <w:rFonts w:ascii="Arial" w:hAnsi="Arial" w:cs="Arial"/>
          <w:color w:val="000000" w:themeColor="text1"/>
          <w:sz w:val="18"/>
          <w:szCs w:val="18"/>
          <w:lang w:eastAsia="pl-PL"/>
        </w:rPr>
        <w:t>System płatowy układania płyt –</w:t>
      </w:r>
      <w:r w:rsidRPr="007B192E">
        <w:rPr>
          <w:rFonts w:ascii="Arial" w:hAnsi="Arial" w:cs="Arial"/>
          <w:b/>
          <w:color w:val="000000" w:themeColor="text1"/>
          <w:sz w:val="18"/>
          <w:szCs w:val="18"/>
          <w:lang w:eastAsia="pl-PL"/>
        </w:rPr>
        <w:t xml:space="preserve"> </w:t>
      </w:r>
      <w:r w:rsidRPr="007B192E">
        <w:rPr>
          <w:rFonts w:ascii="Arial" w:hAnsi="Arial" w:cs="Arial"/>
          <w:color w:val="000000" w:themeColor="text1"/>
          <w:sz w:val="18"/>
          <w:szCs w:val="18"/>
          <w:lang w:eastAsia="pl-PL"/>
        </w:rPr>
        <w:t>ułożenie płyt na pełnej szerokości projektowanej jezdni (patrz rys. 2c, d i rys. 3).</w:t>
      </w:r>
    </w:p>
    <w:p w14:paraId="1144E25F" w14:textId="77777777" w:rsidR="003C3EE8" w:rsidRPr="007B192E" w:rsidRDefault="003C3EE8" w:rsidP="003C3EE8">
      <w:pPr>
        <w:widowControl/>
        <w:suppressAutoHyphens w:val="0"/>
        <w:adjustRightInd w:val="0"/>
        <w:spacing w:before="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1.4.6. </w:t>
      </w:r>
      <w:r w:rsidRPr="007B192E">
        <w:rPr>
          <w:rFonts w:ascii="Arial" w:hAnsi="Arial" w:cs="Arial"/>
          <w:color w:val="000000" w:themeColor="text1"/>
          <w:sz w:val="18"/>
          <w:szCs w:val="18"/>
          <w:lang w:eastAsia="pl-PL"/>
        </w:rPr>
        <w:t>Pozostałe określenia podstawowe są zgodne z obowiązującymi, odpowiednimi polskimi normami i z definicjami podanymi w ST D-M-00.00.00 „Wymagania ogólne” [1] pkt 1.4.</w:t>
      </w:r>
    </w:p>
    <w:p w14:paraId="1AAD1441"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1.5. Ogólne wymagania dotyczące robót</w:t>
      </w:r>
    </w:p>
    <w:p w14:paraId="7CEECEDC"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ab/>
      </w:r>
      <w:r w:rsidRPr="007B192E">
        <w:rPr>
          <w:rFonts w:ascii="Arial" w:hAnsi="Arial" w:cs="Arial"/>
          <w:color w:val="000000" w:themeColor="text1"/>
          <w:sz w:val="18"/>
          <w:szCs w:val="18"/>
          <w:lang w:eastAsia="pl-PL"/>
        </w:rPr>
        <w:t>Ogólne wymagania dotyczące robót podano w ST D-M-00.00.00 „Wymagania ogólne” [1] pkt 1.5.</w:t>
      </w:r>
    </w:p>
    <w:p w14:paraId="7082D889"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3" w:name="_Toc219531213"/>
      <w:r w:rsidRPr="007B192E">
        <w:rPr>
          <w:rFonts w:ascii="Arial" w:hAnsi="Arial" w:cs="Arial"/>
          <w:b/>
          <w:caps/>
          <w:color w:val="000000" w:themeColor="text1"/>
          <w:kern w:val="28"/>
          <w:sz w:val="18"/>
          <w:szCs w:val="18"/>
          <w:lang w:eastAsia="pl-PL"/>
        </w:rPr>
        <w:t>2. MATERIAŁY</w:t>
      </w:r>
      <w:bookmarkEnd w:id="413"/>
    </w:p>
    <w:p w14:paraId="66BA0178"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2.1. Ogólne wymagania dotyczące materiałów</w:t>
      </w:r>
    </w:p>
    <w:p w14:paraId="08D7429F"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ab/>
      </w:r>
      <w:r w:rsidRPr="007B192E">
        <w:rPr>
          <w:rFonts w:ascii="Arial" w:hAnsi="Arial" w:cs="Arial"/>
          <w:color w:val="000000" w:themeColor="text1"/>
          <w:sz w:val="18"/>
          <w:szCs w:val="18"/>
          <w:lang w:eastAsia="pl-PL"/>
        </w:rPr>
        <w:t>Ogólne wymagania dotyczące materiałów, ich pozyskiwania i składowania, podano w ST D-M-00.00.00 „Wymagania ogólne” [1] pkt 2.</w:t>
      </w:r>
    </w:p>
    <w:p w14:paraId="45238210"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2.2. Materiały do wykonania robót</w:t>
      </w:r>
    </w:p>
    <w:p w14:paraId="7E417168" w14:textId="77777777" w:rsidR="003C3EE8" w:rsidRPr="007B192E"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2.2.1. </w:t>
      </w:r>
      <w:r w:rsidRPr="007B192E">
        <w:rPr>
          <w:rFonts w:ascii="Arial" w:hAnsi="Arial" w:cs="Arial"/>
          <w:color w:val="000000" w:themeColor="text1"/>
          <w:sz w:val="18"/>
          <w:szCs w:val="18"/>
          <w:lang w:eastAsia="pl-PL"/>
        </w:rPr>
        <w:t xml:space="preserve"> Zgodność materiałów z dokumentacją projektową i aprobatą techniczną</w:t>
      </w:r>
    </w:p>
    <w:p w14:paraId="2FA89B91" w14:textId="77777777" w:rsidR="003C3EE8" w:rsidRPr="007B192E"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Materiały do wykonania robót powinny być zgodne z ustaleniami dokumentacji projektowej lub ST oraz z aprobatą techniczną uprawnionej jednostki.</w:t>
      </w:r>
    </w:p>
    <w:p w14:paraId="7264DC05" w14:textId="77777777" w:rsidR="003C3EE8" w:rsidRPr="007B192E"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2.2.2. </w:t>
      </w:r>
      <w:r w:rsidRPr="007B192E">
        <w:rPr>
          <w:rFonts w:ascii="Arial" w:hAnsi="Arial" w:cs="Arial"/>
          <w:color w:val="000000" w:themeColor="text1"/>
          <w:sz w:val="18"/>
          <w:szCs w:val="18"/>
          <w:lang w:eastAsia="pl-PL"/>
        </w:rPr>
        <w:t>Rodzaje materiałów</w:t>
      </w:r>
    </w:p>
    <w:p w14:paraId="22599D8F"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Materiałami stosowanymi przy wykonywaniu nawierzchni z płyt, objętych niniejszą ST, są:</w:t>
      </w:r>
    </w:p>
    <w:p w14:paraId="62FE4699" w14:textId="77777777" w:rsidR="003C3EE8" w:rsidRPr="007B192E"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prefabrykowane płyty wielootworowe z rozbiórki,</w:t>
      </w:r>
    </w:p>
    <w:p w14:paraId="4FE738A4" w14:textId="77777777" w:rsidR="003C3EE8" w:rsidRPr="007B192E"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materiał na podsypkę i do wypełnienia szczelin,</w:t>
      </w:r>
    </w:p>
    <w:p w14:paraId="7474DC58" w14:textId="77777777" w:rsidR="003C3EE8" w:rsidRPr="007B192E"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ewentualne krawężniki,</w:t>
      </w:r>
    </w:p>
    <w:p w14:paraId="423603F8" w14:textId="77777777" w:rsidR="003C3EE8" w:rsidRPr="007B192E"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woda,</w:t>
      </w:r>
    </w:p>
    <w:p w14:paraId="2D431F6E" w14:textId="77777777" w:rsidR="003C3EE8" w:rsidRPr="007B192E" w:rsidRDefault="003C3EE8" w:rsidP="00BA5651">
      <w:pPr>
        <w:widowControl/>
        <w:numPr>
          <w:ilvl w:val="0"/>
          <w:numId w:val="330"/>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ew. inne materiały.</w:t>
      </w:r>
    </w:p>
    <w:p w14:paraId="03198CBE" w14:textId="77777777" w:rsidR="003C3EE8" w:rsidRPr="007B192E"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2.2.3. P</w:t>
      </w:r>
      <w:r w:rsidRPr="007B192E">
        <w:rPr>
          <w:rFonts w:ascii="Arial" w:hAnsi="Arial" w:cs="Arial"/>
          <w:color w:val="000000" w:themeColor="text1"/>
          <w:sz w:val="18"/>
          <w:szCs w:val="18"/>
          <w:lang w:eastAsia="pl-PL"/>
        </w:rPr>
        <w:t>łyty wielootworowe</w:t>
      </w:r>
    </w:p>
    <w:p w14:paraId="0638F6F8"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Do wykonania nawierzchni należy wykorzystać płyty pochodzące z rozbiórki.</w:t>
      </w:r>
    </w:p>
    <w:p w14:paraId="52674670" w14:textId="77777777" w:rsidR="003C3EE8" w:rsidRPr="007B192E"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2.2.4. </w:t>
      </w:r>
      <w:r w:rsidRPr="007B192E">
        <w:rPr>
          <w:rFonts w:ascii="Arial" w:hAnsi="Arial" w:cs="Arial"/>
          <w:color w:val="000000" w:themeColor="text1"/>
          <w:sz w:val="18"/>
          <w:szCs w:val="18"/>
          <w:lang w:eastAsia="pl-PL"/>
        </w:rPr>
        <w:t>Materiał na podsypkę i do wypełnienia szczelin</w:t>
      </w:r>
    </w:p>
    <w:p w14:paraId="5F0605F3"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lastRenderedPageBreak/>
        <w:tab/>
        <w:t>Jeśli dokumentacja projektowa lub ST nie ustala inaczej, to na podsypkę i do wypełniania szczelin można stosować piasek odpowiadający wymaganiom PN-EN 13242:2004 [7].</w:t>
      </w:r>
    </w:p>
    <w:p w14:paraId="051F32F1"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Inne materiały, np. żużel, pospółkę, można stosować pod warunkiem akceptacji Inżyniera.</w:t>
      </w:r>
    </w:p>
    <w:p w14:paraId="18F1FE1A"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Składowanie materiału powinno się odbywać na podłożu równym, utwardzonym i odwodnionym, przy zabezpieczeniu materiału przed zanieczyszczeniem i zmieszaniem z innymi materiałami.</w:t>
      </w:r>
    </w:p>
    <w:p w14:paraId="16ADE7EA" w14:textId="77777777" w:rsidR="003C3EE8" w:rsidRPr="007B192E" w:rsidRDefault="003C3EE8" w:rsidP="003C3EE8">
      <w:pPr>
        <w:widowControl/>
        <w:tabs>
          <w:tab w:val="left" w:pos="851"/>
        </w:tabs>
        <w:suppressAutoHyphens w:val="0"/>
        <w:adjustRightInd w:val="0"/>
        <w:spacing w:before="120"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2.2.5. </w:t>
      </w:r>
      <w:r w:rsidRPr="007B192E">
        <w:rPr>
          <w:rFonts w:ascii="Arial" w:hAnsi="Arial" w:cs="Arial"/>
          <w:color w:val="000000" w:themeColor="text1"/>
          <w:sz w:val="18"/>
          <w:szCs w:val="18"/>
          <w:lang w:eastAsia="pl-PL"/>
        </w:rPr>
        <w:t>Woda</w:t>
      </w:r>
    </w:p>
    <w:p w14:paraId="28A6C5E4" w14:textId="77777777" w:rsidR="003C3EE8" w:rsidRPr="007B192E" w:rsidRDefault="003C3EE8" w:rsidP="003C3EE8">
      <w:pPr>
        <w:widowControl/>
        <w:tabs>
          <w:tab w:val="left" w:pos="709"/>
        </w:tabs>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Należy stosować, przy zagęszczaniu podsypki, każdą czystą wodę z rzek, jezior, stawów i innych zbiorników otwartych oraz wodę studzienną i wodociągową.</w:t>
      </w:r>
    </w:p>
    <w:p w14:paraId="2102730D" w14:textId="77777777" w:rsidR="003C3EE8" w:rsidRPr="007B192E" w:rsidRDefault="003C3EE8" w:rsidP="003C3EE8">
      <w:pPr>
        <w:widowControl/>
        <w:tabs>
          <w:tab w:val="left" w:pos="709"/>
        </w:tabs>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Nie należy stosować wody z widocznymi zanieczyszczeniami, np. śmieciami, roślinnością wodną, odpadami przemysłowymi, kanalizacyjnymi itp.</w:t>
      </w:r>
    </w:p>
    <w:p w14:paraId="76048E8A"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4" w:name="_Toc219531214"/>
      <w:r w:rsidRPr="007B192E">
        <w:rPr>
          <w:rFonts w:ascii="Arial" w:hAnsi="Arial" w:cs="Arial"/>
          <w:b/>
          <w:caps/>
          <w:color w:val="000000" w:themeColor="text1"/>
          <w:kern w:val="28"/>
          <w:sz w:val="18"/>
          <w:szCs w:val="18"/>
          <w:lang w:eastAsia="pl-PL"/>
        </w:rPr>
        <w:t>3. SPRZĘT</w:t>
      </w:r>
      <w:bookmarkEnd w:id="414"/>
    </w:p>
    <w:p w14:paraId="27DD35A7"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3.1. Ogólne wymagania dotyczące sprzętu</w:t>
      </w:r>
    </w:p>
    <w:p w14:paraId="6C600256" w14:textId="77777777" w:rsidR="003C3EE8" w:rsidRPr="007B192E" w:rsidRDefault="003C3EE8" w:rsidP="003C3EE8">
      <w:pPr>
        <w:widowControl/>
        <w:tabs>
          <w:tab w:val="right" w:leader="dot" w:pos="-1985"/>
          <w:tab w:val="left" w:pos="284"/>
        </w:tabs>
        <w:suppressAutoHyphens w:val="0"/>
        <w:adjustRightInd w:val="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ab/>
      </w:r>
      <w:r w:rsidRPr="007B192E">
        <w:rPr>
          <w:rFonts w:ascii="Arial" w:hAnsi="Arial" w:cs="Arial"/>
          <w:b/>
          <w:color w:val="000000" w:themeColor="text1"/>
          <w:sz w:val="18"/>
          <w:szCs w:val="18"/>
          <w:lang w:eastAsia="pl-PL"/>
        </w:rPr>
        <w:tab/>
      </w:r>
      <w:r w:rsidRPr="007B192E">
        <w:rPr>
          <w:rFonts w:ascii="Arial" w:hAnsi="Arial" w:cs="Arial"/>
          <w:color w:val="000000" w:themeColor="text1"/>
          <w:sz w:val="18"/>
          <w:szCs w:val="18"/>
          <w:lang w:eastAsia="pl-PL"/>
        </w:rPr>
        <w:t>Ogólne wymagania dotyczące sprzętu podano w ST D-M-00.00.00 „Wymagania ogólne” [1] pkt 3.</w:t>
      </w:r>
    </w:p>
    <w:p w14:paraId="3A467FB3"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3.2. Sprzęt stosowany do wykonania robót</w:t>
      </w:r>
    </w:p>
    <w:p w14:paraId="3D9DC394"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ab/>
      </w:r>
      <w:r w:rsidRPr="007B192E">
        <w:rPr>
          <w:rFonts w:ascii="Arial" w:hAnsi="Arial" w:cs="Arial"/>
          <w:color w:val="000000" w:themeColor="text1"/>
          <w:sz w:val="18"/>
          <w:szCs w:val="18"/>
          <w:lang w:eastAsia="pl-PL"/>
        </w:rPr>
        <w:t>Przy wykonywaniu robót Wykonawca w zależności od potrzeb, powinien wykazać się możliwością korzystania ze sprzętu dostosowanego do przyjętej metody robót, jak:</w:t>
      </w:r>
    </w:p>
    <w:p w14:paraId="6864DE87"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żurawie samochodowe lub samojezdne,</w:t>
      </w:r>
    </w:p>
    <w:p w14:paraId="00B9D21D"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walce ogumione,</w:t>
      </w:r>
    </w:p>
    <w:p w14:paraId="73BE59AE"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wibratory płytowe,</w:t>
      </w:r>
    </w:p>
    <w:p w14:paraId="68835C6C"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ubijaki,</w:t>
      </w:r>
    </w:p>
    <w:p w14:paraId="127D9C7D"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zbiorniki na wodę,</w:t>
      </w:r>
    </w:p>
    <w:p w14:paraId="77E9278C"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równiarki, koparki, ew. spycharki,</w:t>
      </w:r>
    </w:p>
    <w:p w14:paraId="469F1248" w14:textId="77777777" w:rsidR="003C3EE8" w:rsidRPr="007B192E" w:rsidRDefault="003C3EE8" w:rsidP="00BA5651">
      <w:pPr>
        <w:widowControl/>
        <w:numPr>
          <w:ilvl w:val="0"/>
          <w:numId w:val="331"/>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sprzęt transportowy.</w:t>
      </w:r>
    </w:p>
    <w:p w14:paraId="5F8D27B3"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Sprzęt powinien odpowiadać wymaganiom określonym w dokumentacji projektowej, ST, instrukcjach producentów lub propozycji Wykonawcy i powinien być zaakceptowany przez Inżyniera.</w:t>
      </w:r>
    </w:p>
    <w:p w14:paraId="4538EC2C"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15" w:name="_Toc219531215"/>
      <w:r w:rsidRPr="007B192E">
        <w:rPr>
          <w:rFonts w:ascii="Arial" w:hAnsi="Arial" w:cs="Arial"/>
          <w:b/>
          <w:caps/>
          <w:color w:val="000000" w:themeColor="text1"/>
          <w:kern w:val="28"/>
          <w:sz w:val="18"/>
          <w:szCs w:val="18"/>
          <w:lang w:eastAsia="pl-PL"/>
        </w:rPr>
        <w:t>4. TRANSPORT</w:t>
      </w:r>
      <w:bookmarkEnd w:id="415"/>
    </w:p>
    <w:p w14:paraId="33C92E46"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4.1. Ogólne wymagania dotyczące transportu</w:t>
      </w:r>
    </w:p>
    <w:p w14:paraId="4801088C" w14:textId="77777777" w:rsidR="003C3EE8" w:rsidRPr="007B192E" w:rsidRDefault="003C3EE8" w:rsidP="003C3EE8">
      <w:pPr>
        <w:widowControl/>
        <w:tabs>
          <w:tab w:val="right" w:leader="dot" w:pos="-1985"/>
          <w:tab w:val="left" w:pos="284"/>
        </w:tabs>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r>
      <w:r w:rsidRPr="007B192E">
        <w:rPr>
          <w:rFonts w:ascii="Arial" w:hAnsi="Arial" w:cs="Arial"/>
          <w:color w:val="000000" w:themeColor="text1"/>
          <w:sz w:val="18"/>
          <w:szCs w:val="18"/>
          <w:lang w:eastAsia="pl-PL"/>
        </w:rPr>
        <w:tab/>
        <w:t>Ogólne wymagania dotyczące transportu podano w ST D-M-00.00.00 „Wymagania ogólne” [1] pkt 4.</w:t>
      </w:r>
    </w:p>
    <w:p w14:paraId="6AB1C9E2"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4.2. Transport materiałów</w:t>
      </w:r>
    </w:p>
    <w:p w14:paraId="419AD9F0"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Materiały sypkie (piasek) można przewozić dowolnymi środkami transportu, w warunkach zabezpieczających je przed zanieczyszczeniem, zmieszaniem z innymi materiałami i nadmiernym zawilgoceniem.</w:t>
      </w:r>
    </w:p>
    <w:p w14:paraId="6CA7A92C"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Płyty nawierzchniowe można przewozić pojazdami otwartymi. Płyty można układać na drewnianych paletach w liczbie siedmiu sztuk spiętych taśmą polipropylenową zbrojoną dodatkowo w miejscu styku taśmy z płytą podkładkami z tworzywa sztucznego, aby zapobiec ewentualnemu przetarciu. Załadunku płyt na samochód dokonuje się przy pomocy lekkich żurawi lub wózków widłowych. W szczególnych przypadkach płyty można ładować ręcznie przy zastosowaniu pochylni.</w:t>
      </w:r>
    </w:p>
    <w:p w14:paraId="7711E6C8" w14:textId="77777777" w:rsidR="003C3EE8" w:rsidRPr="007B192E"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bookmarkStart w:id="416" w:name="_Toc219531216"/>
      <w:bookmarkStart w:id="417" w:name="_Toc199904823"/>
      <w:bookmarkStart w:id="418" w:name="_Toc144694239"/>
      <w:bookmarkStart w:id="419" w:name="_Toc124213277"/>
      <w:bookmarkStart w:id="420" w:name="_Toc18217006"/>
      <w:bookmarkStart w:id="421" w:name="_Toc421940500"/>
      <w:r w:rsidRPr="007B192E">
        <w:rPr>
          <w:rFonts w:ascii="Arial" w:hAnsi="Arial" w:cs="Arial"/>
          <w:b/>
          <w:caps/>
          <w:color w:val="000000" w:themeColor="text1"/>
          <w:kern w:val="28"/>
          <w:sz w:val="18"/>
          <w:szCs w:val="18"/>
          <w:lang w:eastAsia="pl-PL"/>
        </w:rPr>
        <w:t xml:space="preserve">5. </w:t>
      </w:r>
      <w:bookmarkEnd w:id="416"/>
      <w:bookmarkEnd w:id="417"/>
      <w:bookmarkEnd w:id="418"/>
      <w:bookmarkEnd w:id="419"/>
      <w:bookmarkEnd w:id="420"/>
      <w:bookmarkEnd w:id="421"/>
      <w:r w:rsidRPr="007B192E">
        <w:rPr>
          <w:rFonts w:ascii="Arial" w:hAnsi="Arial" w:cs="Arial"/>
          <w:b/>
          <w:caps/>
          <w:color w:val="000000" w:themeColor="text1"/>
          <w:kern w:val="28"/>
          <w:sz w:val="18"/>
          <w:szCs w:val="18"/>
          <w:lang w:eastAsia="pl-PL"/>
        </w:rPr>
        <w:t>WYKONANIE ROBÓT</w:t>
      </w:r>
    </w:p>
    <w:p w14:paraId="04CF72C8"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5.1. Ogólne zasady wykonania robót</w:t>
      </w:r>
    </w:p>
    <w:p w14:paraId="25731A54"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Ogólne zasady wykonania robót podano w ST D-M-00.00.00 „Wymagania ogólne” [1] pkt 5.</w:t>
      </w:r>
    </w:p>
    <w:p w14:paraId="4BC5E0C8"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5.2. Zasady wykonywania robót</w:t>
      </w:r>
    </w:p>
    <w:p w14:paraId="014D3173"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Sposób wykonania robót powinien być zgodny z dokumentacją projektową i ST. W przypadku braku wystarczających danych można korzystać z ustaleń podanych w niniejszej specyfikacji oraz z informacji podanych w załącznikach.</w:t>
      </w:r>
    </w:p>
    <w:p w14:paraId="096EC59F"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Podstawowe czynności przy wykonywaniu robót obejmują:</w:t>
      </w:r>
    </w:p>
    <w:p w14:paraId="79A02B1E" w14:textId="77777777" w:rsidR="003C3EE8" w:rsidRPr="007B192E" w:rsidRDefault="00FA7D95"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Pr>
          <w:rFonts w:ascii="Arial" w:hAnsi="Arial" w:cs="Arial"/>
          <w:color w:val="000000" w:themeColor="text1"/>
          <w:sz w:val="18"/>
          <w:szCs w:val="18"/>
          <w:lang w:eastAsia="pl-PL"/>
        </w:rPr>
        <w:t>roboty przygotowawcze,</w:t>
      </w:r>
    </w:p>
    <w:p w14:paraId="10A318BF" w14:textId="77777777" w:rsidR="003C3EE8" w:rsidRPr="007B192E" w:rsidRDefault="003C3EE8"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przygotowanie podłoża,</w:t>
      </w:r>
    </w:p>
    <w:p w14:paraId="5BF91666" w14:textId="77777777" w:rsidR="003C3EE8" w:rsidRPr="007B192E" w:rsidRDefault="003C3EE8"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ułożenie nawierzchni z płyt,</w:t>
      </w:r>
    </w:p>
    <w:p w14:paraId="7DDD3E0A" w14:textId="77777777" w:rsidR="003C3EE8" w:rsidRPr="007B192E" w:rsidRDefault="003C3EE8" w:rsidP="00BA5651">
      <w:pPr>
        <w:widowControl/>
        <w:numPr>
          <w:ilvl w:val="0"/>
          <w:numId w:val="332"/>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roboty wykończeniowe.</w:t>
      </w:r>
    </w:p>
    <w:p w14:paraId="2BA1F08F"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5.3. Roboty przygotowawcze</w:t>
      </w:r>
    </w:p>
    <w:p w14:paraId="7E965937"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Przed przystąpieniem do robót należy, na podstawie dokumentacji projektowej,  ST lub wskazań Inżyniera:</w:t>
      </w:r>
    </w:p>
    <w:p w14:paraId="68E986D1" w14:textId="77777777" w:rsidR="003C3EE8" w:rsidRPr="007B192E"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ustalić lokalizację terenu robót,</w:t>
      </w:r>
    </w:p>
    <w:p w14:paraId="61E5F93C" w14:textId="77777777" w:rsidR="003C3EE8" w:rsidRPr="007B192E"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przeprowadzić obliczenia i pomiary geodezyjne niezbędne do szczegółowego wytyczenia robót oraz ustalenia danych wysokościowych,</w:t>
      </w:r>
    </w:p>
    <w:p w14:paraId="4E974F8F" w14:textId="77777777" w:rsidR="003C3EE8" w:rsidRPr="007B192E"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usunąć przeszkody, np. drzewa, krzaki, obiekty, elementy dróg, ogrodzeń itd.,</w:t>
      </w:r>
    </w:p>
    <w:p w14:paraId="1DD3F5D8" w14:textId="77777777" w:rsidR="003C3EE8" w:rsidRPr="007B192E" w:rsidRDefault="003C3EE8" w:rsidP="00BA5651">
      <w:pPr>
        <w:widowControl/>
        <w:numPr>
          <w:ilvl w:val="0"/>
          <w:numId w:val="335"/>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zgromadzić wszystkie materiały potrzebne do robót.</w:t>
      </w:r>
    </w:p>
    <w:p w14:paraId="678B3197"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Zaleca się korzystanie z ustaleń ST D-01.00.00 [2] w zakresie niezbędnym do wykonania robót przygotowawczych oraz z ustaleń ST D-02.00.00 [3] przy występowaniu robót ziemnych.</w:t>
      </w:r>
    </w:p>
    <w:p w14:paraId="61FA4AB1"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lastRenderedPageBreak/>
        <w:t>5.4. Przygotowanie podłoża</w:t>
      </w:r>
    </w:p>
    <w:p w14:paraId="5A104429"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Koryto pod nawierzchnię zaleca się wykonywać bezpośrednio przed rozpoczęciem robót nawierzchniowych. Wcześniejsze wykonanie koryta jest możliwe za zgodą Inżyniera, w korzystnych warunkach atmosferycznych.</w:t>
      </w:r>
    </w:p>
    <w:p w14:paraId="3D13CD42"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Koryto można wykonywać ręcznie lub mechanicznie przy użyciu równiarek, koparek i spycharek. Grunt odspojony powinien być wykorzystany zgodnie z ustaleniami dokumentacji projektowej.</w:t>
      </w:r>
    </w:p>
    <w:p w14:paraId="3BB63A30"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Po oczyszczeniu wykonanego dna koryta ze wszelkich zanieczyszczeń, należy sprawdzić czy istniejące rzędne umożliwią uzyskanie, po profilowaniu, zaprojektowanych rzędnych podłoża. Zaleca się, aby rzędne koryta przed profilowaniem były o co najmniej 5 cm wyższe niż projektowane rzędne podłoża. Jeżeli powyższy warunek nie jest spełniony i występują zaniżenia poziomu w podłożu to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wskaźnika zagęszczenia 1,00.</w:t>
      </w:r>
    </w:p>
    <w:p w14:paraId="58E31BC7"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Profilowanie podłoża zaleca się wykonać równiarką. Ścięty grunt powinien być wykorzystany w sposób zaakceptowany przez Inżyniera. Po profilowaniu podłoża należy przystąpić do jego zagęszczania, które należy kontynuować do osiągnięcia wskaźnika zagęszczenia nie mniejszego od 1,00. Koryto po wyprofilowaniu i zagęszczeniu powinno być utrzymane w dobrym stanie.</w:t>
      </w:r>
    </w:p>
    <w:p w14:paraId="1BAD810E"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Jeżeli po wykonaniu robót związanych z profilowaniem i zagęszczeniem podłoża nastąpi przerwa w robotach i Wykonawca nie przystąpi natychmiast do układania nawierzchni, to powinien on zabezpieczyć podłoże przed nadmiernym zawilgoceniem, na przykład przez rozłożenie folii lub w inny sposób zaakceptowany przez Inżyniera. Jeżeli podłoże uległo nadmiernemu zawilgoceniu, to do układania nawierzchni można przystąpić dopiero po jego naturalnym osuszeniu.</w:t>
      </w:r>
    </w:p>
    <w:p w14:paraId="6A3CAECE"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5.5. Podsypka i warstwa odsączająca</w:t>
      </w:r>
    </w:p>
    <w:p w14:paraId="350B01EF"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W zależności od rodzaju gruntu w podłożu, przed położeniem płyt nawierzchniowych, można ułożyć w zależności od zaleceń dokumentacji projektowej:</w:t>
      </w:r>
    </w:p>
    <w:p w14:paraId="0255F349" w14:textId="77777777" w:rsidR="003C3EE8" w:rsidRPr="007B192E" w:rsidRDefault="003C3EE8" w:rsidP="00BA5651">
      <w:pPr>
        <w:widowControl/>
        <w:numPr>
          <w:ilvl w:val="0"/>
          <w:numId w:val="333"/>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10÷15 cm podsypki piaskowej na gruncie niepewnym</w:t>
      </w:r>
    </w:p>
    <w:p w14:paraId="3662F99B" w14:textId="77777777" w:rsidR="003C3EE8" w:rsidRPr="007B192E" w:rsidRDefault="003C3EE8" w:rsidP="00BA5651">
      <w:pPr>
        <w:widowControl/>
        <w:numPr>
          <w:ilvl w:val="0"/>
          <w:numId w:val="333"/>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20÷25 cm warstwy odsączającej, na gruncie </w:t>
      </w:r>
      <w:proofErr w:type="spellStart"/>
      <w:r w:rsidRPr="007B192E">
        <w:rPr>
          <w:rFonts w:ascii="Arial" w:hAnsi="Arial" w:cs="Arial"/>
          <w:color w:val="000000" w:themeColor="text1"/>
          <w:sz w:val="18"/>
          <w:szCs w:val="18"/>
          <w:lang w:eastAsia="pl-PL"/>
        </w:rPr>
        <w:t>wysadzinowym</w:t>
      </w:r>
      <w:proofErr w:type="spellEnd"/>
      <w:r w:rsidRPr="007B192E">
        <w:rPr>
          <w:rFonts w:ascii="Arial" w:hAnsi="Arial" w:cs="Arial"/>
          <w:color w:val="000000" w:themeColor="text1"/>
          <w:sz w:val="18"/>
          <w:szCs w:val="18"/>
          <w:lang w:eastAsia="pl-PL"/>
        </w:rPr>
        <w:t>,</w:t>
      </w:r>
    </w:p>
    <w:p w14:paraId="0E0E9119" w14:textId="77777777" w:rsidR="003C3EE8" w:rsidRPr="007B192E" w:rsidRDefault="003C3EE8" w:rsidP="00BA5651">
      <w:pPr>
        <w:widowControl/>
        <w:numPr>
          <w:ilvl w:val="0"/>
          <w:numId w:val="333"/>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3 cm, po zagęszczeniu, warstwy piaskowej wyrównawczej, na gruncie </w:t>
      </w:r>
      <w:proofErr w:type="spellStart"/>
      <w:r w:rsidRPr="007B192E">
        <w:rPr>
          <w:rFonts w:ascii="Arial" w:hAnsi="Arial" w:cs="Arial"/>
          <w:color w:val="000000" w:themeColor="text1"/>
          <w:sz w:val="18"/>
          <w:szCs w:val="18"/>
          <w:lang w:eastAsia="pl-PL"/>
        </w:rPr>
        <w:t>niewysadzinowym</w:t>
      </w:r>
      <w:proofErr w:type="spellEnd"/>
      <w:r w:rsidRPr="007B192E">
        <w:rPr>
          <w:rFonts w:ascii="Arial" w:hAnsi="Arial" w:cs="Arial"/>
          <w:color w:val="000000" w:themeColor="text1"/>
          <w:sz w:val="18"/>
          <w:szCs w:val="18"/>
          <w:lang w:eastAsia="pl-PL"/>
        </w:rPr>
        <w:t>.</w:t>
      </w:r>
    </w:p>
    <w:p w14:paraId="5FE111C5"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Piasek powinien być rozkładany przy użyciu równiarki, z zachowaniem wymaganych spadków i rzędnych wysokościowych. Grubość rozłożonej warstwy powinna być taka, aby po jej zagęszczeniu osiągnięto grubość projektowaną.</w:t>
      </w:r>
    </w:p>
    <w:p w14:paraId="58739A6A"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Natychmiast po końcowym wyprofilowaniu warstwy piaskowej należy przystąpić do jej zagęszczania, które należy rozpoczynać od krawędzi i przesuwać w kierunku osi drogi. W miejscach niedostępnych dla walców warstwę piaskową należy zagęszczać płytami wibracyjnymi i ubijakami mechanicznymi. Zagęszczanie należy kontynuować do osiągnięcia wskaźnika zagęszczenia nie mniejszego od 1,0 według normalnej próby </w:t>
      </w:r>
      <w:proofErr w:type="spellStart"/>
      <w:r w:rsidRPr="007B192E">
        <w:rPr>
          <w:rFonts w:ascii="Arial" w:hAnsi="Arial" w:cs="Arial"/>
          <w:color w:val="000000" w:themeColor="text1"/>
          <w:sz w:val="18"/>
          <w:szCs w:val="18"/>
          <w:lang w:eastAsia="pl-PL"/>
        </w:rPr>
        <w:t>Proctora</w:t>
      </w:r>
      <w:proofErr w:type="spellEnd"/>
      <w:r w:rsidRPr="007B192E">
        <w:rPr>
          <w:rFonts w:ascii="Arial" w:hAnsi="Arial" w:cs="Arial"/>
          <w:color w:val="000000" w:themeColor="text1"/>
          <w:sz w:val="18"/>
          <w:szCs w:val="18"/>
          <w:lang w:eastAsia="pl-PL"/>
        </w:rPr>
        <w:t>. Wilgotność materiału podczas zagęszczania powinna być równa wilgotności optymalnej z tolerancją od -20% do +10% jej wartości.</w:t>
      </w:r>
    </w:p>
    <w:p w14:paraId="65F7CB44"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5.6. Ułożenie nawierzchni z płyt prefabrykowanych</w:t>
      </w:r>
    </w:p>
    <w:p w14:paraId="6E3DEC15" w14:textId="77777777" w:rsidR="003C3EE8" w:rsidRPr="007B192E" w:rsidRDefault="003C3EE8" w:rsidP="003C3EE8">
      <w:pPr>
        <w:widowControl/>
        <w:suppressAutoHyphens w:val="0"/>
        <w:adjustRightInd w:val="0"/>
        <w:spacing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5.6.1. </w:t>
      </w:r>
      <w:r w:rsidRPr="007B192E">
        <w:rPr>
          <w:rFonts w:ascii="Arial" w:hAnsi="Arial" w:cs="Arial"/>
          <w:color w:val="000000" w:themeColor="text1"/>
          <w:sz w:val="18"/>
          <w:szCs w:val="18"/>
          <w:lang w:eastAsia="pl-PL"/>
        </w:rPr>
        <w:t>Sposób układania płyt</w:t>
      </w:r>
    </w:p>
    <w:p w14:paraId="5896CF8C"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Sposób układania płyt powinien być zgodny z dokumentacją projektową, ST lub wskazaniami Inżyniera.</w:t>
      </w:r>
    </w:p>
    <w:p w14:paraId="2CA519AF" w14:textId="77777777" w:rsidR="003C3EE8" w:rsidRPr="007B192E" w:rsidRDefault="003C3EE8" w:rsidP="003C3EE8">
      <w:pPr>
        <w:widowControl/>
        <w:suppressAutoHyphens w:val="0"/>
        <w:adjustRightInd w:val="0"/>
        <w:ind w:firstLine="567"/>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Płyty należy układać systemem płatowym, w którym płyty układa się na całej szerokości pasa ruchu.</w:t>
      </w:r>
    </w:p>
    <w:p w14:paraId="54D710A9"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Na łukach o promieniach większych (np. &gt;250 m) układy płyt są takie same jak na odcinkach prostych. Krzywiznę ułożonych płyt można uzyskać przez rozszerzenie szczelin od strony zewnętrznej łuku.</w:t>
      </w:r>
    </w:p>
    <w:p w14:paraId="59A7052D"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Na łukach o małych promieniach (np. &lt;250 m) nawierzchnię ułożyć w systemie płatowym na całym odcinku łuku, układając ją rzędami płyt równoległych do jednej ze stycznych odcinka prostego. Szerokość pełnej nawierzchni na łuku należy dostosować do jego promienia i długości pojazdów, które będą jeździły po drodze.</w:t>
      </w:r>
    </w:p>
    <w:p w14:paraId="777E6AC2"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Jeśli dokumentacja projektowa przewiduje mijanki przy drogach jednopasowych, wówczas można je wykonać z płyt nawierzchniowych, układając je równolegle do osi drogi poza pasem ruchu. Na odcinku wjazdu na mijankę i zjazdu z niej, w systemie pasowym układania płyt należy wypełnić nawierzchnią całą szerokość pasa ruchu.</w:t>
      </w:r>
    </w:p>
    <w:p w14:paraId="47D28565" w14:textId="77777777" w:rsidR="003C3EE8" w:rsidRPr="007B192E" w:rsidRDefault="003C3EE8" w:rsidP="003C3EE8">
      <w:pPr>
        <w:widowControl/>
        <w:suppressAutoHyphens w:val="0"/>
        <w:adjustRightInd w:val="0"/>
        <w:spacing w:before="120" w:after="120"/>
        <w:jc w:val="both"/>
        <w:rPr>
          <w:rFonts w:ascii="Arial" w:hAnsi="Arial" w:cs="Arial"/>
          <w:color w:val="000000" w:themeColor="text1"/>
          <w:sz w:val="18"/>
          <w:szCs w:val="18"/>
          <w:lang w:eastAsia="pl-PL"/>
        </w:rPr>
      </w:pPr>
      <w:r w:rsidRPr="007B192E">
        <w:rPr>
          <w:rFonts w:ascii="Arial" w:hAnsi="Arial" w:cs="Arial"/>
          <w:b/>
          <w:color w:val="000000" w:themeColor="text1"/>
          <w:sz w:val="18"/>
          <w:szCs w:val="18"/>
          <w:lang w:eastAsia="pl-PL"/>
        </w:rPr>
        <w:t xml:space="preserve">5.6.2. </w:t>
      </w:r>
      <w:r w:rsidRPr="007B192E">
        <w:rPr>
          <w:rFonts w:ascii="Arial" w:hAnsi="Arial" w:cs="Arial"/>
          <w:color w:val="000000" w:themeColor="text1"/>
          <w:sz w:val="18"/>
          <w:szCs w:val="18"/>
          <w:lang w:eastAsia="pl-PL"/>
        </w:rPr>
        <w:t xml:space="preserve"> Wykonanie nawierzchni</w:t>
      </w:r>
    </w:p>
    <w:p w14:paraId="72544356"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Układanie nawierzchni z płyt, na uprzednio przygotowanej podsypce piaskowej lub warstwie odsączającej, może odbywać się bezpośrednio ze środków transportowych lub z miejsca składowania, zwykle z pomocą żurawi samochodowych lub samojezdnych. Do podnoszenia płyt żurawiem mogą służyć </w:t>
      </w:r>
      <w:proofErr w:type="spellStart"/>
      <w:r w:rsidRPr="007B192E">
        <w:rPr>
          <w:rFonts w:ascii="Arial" w:hAnsi="Arial" w:cs="Arial"/>
          <w:color w:val="000000" w:themeColor="text1"/>
          <w:sz w:val="18"/>
          <w:szCs w:val="18"/>
          <w:lang w:eastAsia="pl-PL"/>
        </w:rPr>
        <w:t>zawiesia</w:t>
      </w:r>
      <w:proofErr w:type="spellEnd"/>
      <w:r w:rsidRPr="007B192E">
        <w:rPr>
          <w:rFonts w:ascii="Arial" w:hAnsi="Arial" w:cs="Arial"/>
          <w:color w:val="000000" w:themeColor="text1"/>
          <w:sz w:val="18"/>
          <w:szCs w:val="18"/>
          <w:lang w:eastAsia="pl-PL"/>
        </w:rPr>
        <w:t xml:space="preserve"> czterohakowe.</w:t>
      </w:r>
    </w:p>
    <w:p w14:paraId="25A83DAB"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Można stosować też ręczne układanie płyt o mniejszych wymiarach, przy pomocy pochylni ze środka transportowego, po której płyty zsuwane są bezpośrednio na miejsce ułożenia nawierzchni. Ten typ montażu wymaga zaostrzonych wymogów bezpieczeństwa pracy.</w:t>
      </w:r>
    </w:p>
    <w:p w14:paraId="425293AD"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Płyty żelbetowe należy układać tak, aby całą swoją powierzchnią przylegały do podłoża (podsypki, warstwy odsączającej). Powierzchnie płyt nie powinny wystawać lub być zagłębione względem siebie więcej niż 8 mm.</w:t>
      </w:r>
    </w:p>
    <w:p w14:paraId="74F8236B"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Jeśli dokumentacja projektowa zakłada zabezpieczenie przed </w:t>
      </w:r>
      <w:proofErr w:type="spellStart"/>
      <w:r w:rsidRPr="007B192E">
        <w:rPr>
          <w:rFonts w:ascii="Arial" w:hAnsi="Arial" w:cs="Arial"/>
          <w:color w:val="000000" w:themeColor="text1"/>
          <w:sz w:val="18"/>
          <w:szCs w:val="18"/>
          <w:lang w:eastAsia="pl-PL"/>
        </w:rPr>
        <w:t>klawiszowaniem</w:t>
      </w:r>
      <w:proofErr w:type="spellEnd"/>
      <w:r w:rsidRPr="007B192E">
        <w:rPr>
          <w:rFonts w:ascii="Arial" w:hAnsi="Arial" w:cs="Arial"/>
          <w:color w:val="000000" w:themeColor="text1"/>
          <w:sz w:val="18"/>
          <w:szCs w:val="18"/>
          <w:lang w:eastAsia="pl-PL"/>
        </w:rPr>
        <w:t xml:space="preserve"> mniejszych sąsiadujących płyt, to poszczególne płyty można łączyć ze sobą od czoła stalowymi prętami o średnicy około 14 mm i długości około 30 cm wkładanymi do przygotowanych w tym celu otworów w płytach.</w:t>
      </w:r>
    </w:p>
    <w:p w14:paraId="6E73BC53"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Szerokość szczelin między płytami nie powinna być większa od 10 mm. W celu zachowania równej szerokości szczelin, można stosować </w:t>
      </w:r>
      <w:proofErr w:type="spellStart"/>
      <w:r w:rsidRPr="007B192E">
        <w:rPr>
          <w:rFonts w:ascii="Arial" w:hAnsi="Arial" w:cs="Arial"/>
          <w:color w:val="000000" w:themeColor="text1"/>
          <w:sz w:val="18"/>
          <w:szCs w:val="18"/>
          <w:lang w:eastAsia="pl-PL"/>
        </w:rPr>
        <w:t>międzydystansowe</w:t>
      </w:r>
      <w:proofErr w:type="spellEnd"/>
      <w:r w:rsidRPr="007B192E">
        <w:rPr>
          <w:rFonts w:ascii="Arial" w:hAnsi="Arial" w:cs="Arial"/>
          <w:color w:val="000000" w:themeColor="text1"/>
          <w:sz w:val="18"/>
          <w:szCs w:val="18"/>
          <w:lang w:eastAsia="pl-PL"/>
        </w:rPr>
        <w:t xml:space="preserve"> wkładki </w:t>
      </w:r>
      <w:proofErr w:type="spellStart"/>
      <w:r w:rsidRPr="007B192E">
        <w:rPr>
          <w:rFonts w:ascii="Arial" w:hAnsi="Arial" w:cs="Arial"/>
          <w:color w:val="000000" w:themeColor="text1"/>
          <w:sz w:val="18"/>
          <w:szCs w:val="18"/>
          <w:lang w:eastAsia="pl-PL"/>
        </w:rPr>
        <w:t>międzypłytowe</w:t>
      </w:r>
      <w:proofErr w:type="spellEnd"/>
      <w:r w:rsidRPr="007B192E">
        <w:rPr>
          <w:rFonts w:ascii="Arial" w:hAnsi="Arial" w:cs="Arial"/>
          <w:color w:val="000000" w:themeColor="text1"/>
          <w:sz w:val="18"/>
          <w:szCs w:val="18"/>
          <w:lang w:eastAsia="pl-PL"/>
        </w:rPr>
        <w:t>.</w:t>
      </w:r>
    </w:p>
    <w:p w14:paraId="690CB11D"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Po ułożeniu nawierzchni, szczeliny wypełnia się przez zamulenie piaskiem na pełną grubość płyt. Zaleca się, aby piasek użyty do wypełnienia szczelin zawierał od 3 do 8% frakcji mniejszej od 0,05 mm. Dopuszcza się zastosowanie innego materiału do wypełnienia szczelin, np. drobnego żwiru, piasku kwarcowego itp.</w:t>
      </w:r>
    </w:p>
    <w:p w14:paraId="26F39435"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lastRenderedPageBreak/>
        <w:t>5.7. Roboty wykończeniowe</w:t>
      </w:r>
    </w:p>
    <w:p w14:paraId="69897398"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Roboty wykończeniowe powinny być zgodne z dokumentacją projektową i ST. Do robót wykończeniowych należą prace związane z dostosowaniem wykonanych robót do istniejących warunków terenowych, takie jak:</w:t>
      </w:r>
    </w:p>
    <w:p w14:paraId="59246CDA"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odtworzenie przeszkód czasowo usuniętych, </w:t>
      </w:r>
    </w:p>
    <w:p w14:paraId="6570D0D8"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oczyszczenie terenu robót z odpadów i usunięcie ich poza plac budowy,</w:t>
      </w:r>
    </w:p>
    <w:p w14:paraId="3408CCA8"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niezbędne uzupełnienia zniszczonej w czasie robót roślinności, tj. </w:t>
      </w:r>
      <w:proofErr w:type="spellStart"/>
      <w:r w:rsidRPr="007B192E">
        <w:rPr>
          <w:rFonts w:ascii="Arial" w:hAnsi="Arial" w:cs="Arial"/>
          <w:color w:val="000000" w:themeColor="text1"/>
          <w:sz w:val="18"/>
          <w:szCs w:val="18"/>
          <w:lang w:eastAsia="pl-PL"/>
        </w:rPr>
        <w:t>zatrawienia</w:t>
      </w:r>
      <w:proofErr w:type="spellEnd"/>
      <w:r w:rsidRPr="007B192E">
        <w:rPr>
          <w:rFonts w:ascii="Arial" w:hAnsi="Arial" w:cs="Arial"/>
          <w:color w:val="000000" w:themeColor="text1"/>
          <w:sz w:val="18"/>
          <w:szCs w:val="18"/>
          <w:lang w:eastAsia="pl-PL"/>
        </w:rPr>
        <w:t>, krzewów, ew. drzew,</w:t>
      </w:r>
    </w:p>
    <w:p w14:paraId="50A008DF"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roboty porządkujące otoczenie terenu robót.</w:t>
      </w:r>
    </w:p>
    <w:p w14:paraId="26812390"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22" w:name="_Toc219531217"/>
      <w:r w:rsidRPr="007B192E">
        <w:rPr>
          <w:rFonts w:ascii="Arial" w:hAnsi="Arial" w:cs="Arial"/>
          <w:b/>
          <w:caps/>
          <w:color w:val="000000" w:themeColor="text1"/>
          <w:kern w:val="28"/>
          <w:sz w:val="18"/>
          <w:szCs w:val="18"/>
          <w:lang w:eastAsia="pl-PL"/>
        </w:rPr>
        <w:t xml:space="preserve">6. </w:t>
      </w:r>
      <w:bookmarkEnd w:id="422"/>
      <w:r w:rsidRPr="007B192E">
        <w:rPr>
          <w:rFonts w:ascii="Arial" w:hAnsi="Arial" w:cs="Arial"/>
          <w:b/>
          <w:caps/>
          <w:color w:val="000000" w:themeColor="text1"/>
          <w:kern w:val="28"/>
          <w:sz w:val="18"/>
          <w:szCs w:val="18"/>
          <w:lang w:eastAsia="pl-PL"/>
        </w:rPr>
        <w:t>KONTROLA JAKOŚCI ROBÓT</w:t>
      </w:r>
    </w:p>
    <w:p w14:paraId="433E08E7"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6.1. Ogólne zasady kontroli jakości robót</w:t>
      </w:r>
    </w:p>
    <w:p w14:paraId="3DE86B99"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Ogólne zasady kontroli jakości robót podano w ST   D-M-00.00.00 „Wymagania ogólne” [1] pkt 6.</w:t>
      </w:r>
    </w:p>
    <w:p w14:paraId="187492B8"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6.2. Badania przed przystąpieniem do robót</w:t>
      </w:r>
    </w:p>
    <w:p w14:paraId="4B2D50EB"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Przed przystąpieniem do robót Wykonawca powinien:</w:t>
      </w:r>
    </w:p>
    <w:p w14:paraId="24862A6E"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4A167662"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ew. wykonać własne badania właściwości materiałów przeznaczonych do wykonania robót, określone przez Inżyniera,</w:t>
      </w:r>
    </w:p>
    <w:p w14:paraId="5AC85ED3"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sprawdzić cechy zewnętrzne gotowych materiałów prefabrykowanych.</w:t>
      </w:r>
    </w:p>
    <w:p w14:paraId="53EA9A98"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Wszystkie dokumenty oraz wyniki badań Wykonawca przedstawia Inżynierowi do akceptacji.</w:t>
      </w:r>
    </w:p>
    <w:p w14:paraId="6A39A02B"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6.3. Badania w czasie robót</w:t>
      </w:r>
    </w:p>
    <w:p w14:paraId="3FC2817D"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Częstotliwość oraz zakres badań i pomiarów, które należy wykonać w czasie robót podaje tablica 1. </w:t>
      </w:r>
    </w:p>
    <w:p w14:paraId="23EE7985" w14:textId="77777777" w:rsidR="003C3EE8" w:rsidRPr="007B192E" w:rsidRDefault="003C3EE8" w:rsidP="003C3EE8">
      <w:pPr>
        <w:widowControl/>
        <w:numPr>
          <w:ilvl w:val="12"/>
          <w:numId w:val="0"/>
        </w:numPr>
        <w:suppressAutoHyphens w:val="0"/>
        <w:adjustRightInd w:val="0"/>
        <w:spacing w:before="120" w:after="12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Tablica 1. Częstotliwość oraz zakres badań i pomiarów w czasie robót</w:t>
      </w:r>
    </w:p>
    <w:tbl>
      <w:tblPr>
        <w:tblW w:w="7590"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97"/>
        <w:gridCol w:w="3546"/>
        <w:gridCol w:w="1277"/>
        <w:gridCol w:w="2270"/>
      </w:tblGrid>
      <w:tr w:rsidR="004D7D23" w:rsidRPr="007B192E" w14:paraId="1342142F" w14:textId="77777777" w:rsidTr="004D7D23">
        <w:trPr>
          <w:jc w:val="center"/>
        </w:trPr>
        <w:tc>
          <w:tcPr>
            <w:tcW w:w="496" w:type="dxa"/>
            <w:tcBorders>
              <w:top w:val="single" w:sz="6" w:space="0" w:color="auto"/>
              <w:left w:val="single" w:sz="6" w:space="0" w:color="auto"/>
              <w:bottom w:val="single" w:sz="4" w:space="0" w:color="auto"/>
              <w:right w:val="single" w:sz="6" w:space="0" w:color="auto"/>
            </w:tcBorders>
            <w:hideMark/>
          </w:tcPr>
          <w:p w14:paraId="0EB8A661" w14:textId="77777777" w:rsidR="003C3EE8" w:rsidRPr="007B192E" w:rsidRDefault="003C3EE8" w:rsidP="004D7D23">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Lp.</w:t>
            </w:r>
          </w:p>
        </w:tc>
        <w:tc>
          <w:tcPr>
            <w:tcW w:w="3543" w:type="dxa"/>
            <w:tcBorders>
              <w:top w:val="single" w:sz="6" w:space="0" w:color="auto"/>
              <w:left w:val="single" w:sz="6" w:space="0" w:color="auto"/>
              <w:bottom w:val="single" w:sz="4" w:space="0" w:color="auto"/>
              <w:right w:val="single" w:sz="6" w:space="0" w:color="auto"/>
            </w:tcBorders>
            <w:hideMark/>
          </w:tcPr>
          <w:p w14:paraId="5CD3A084" w14:textId="77777777" w:rsidR="003C3EE8" w:rsidRPr="007B192E" w:rsidRDefault="003C3EE8" w:rsidP="004D7D23">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Wyszczególnienie robót</w:t>
            </w:r>
          </w:p>
        </w:tc>
        <w:tc>
          <w:tcPr>
            <w:tcW w:w="1276" w:type="dxa"/>
            <w:tcBorders>
              <w:top w:val="single" w:sz="6" w:space="0" w:color="auto"/>
              <w:left w:val="single" w:sz="6" w:space="0" w:color="auto"/>
              <w:bottom w:val="single" w:sz="4" w:space="0" w:color="auto"/>
              <w:right w:val="single" w:sz="6" w:space="0" w:color="auto"/>
            </w:tcBorders>
            <w:hideMark/>
          </w:tcPr>
          <w:p w14:paraId="3DC1DA85"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Częstotliwość badań</w:t>
            </w:r>
          </w:p>
        </w:tc>
        <w:tc>
          <w:tcPr>
            <w:tcW w:w="2268" w:type="dxa"/>
            <w:tcBorders>
              <w:top w:val="single" w:sz="6" w:space="0" w:color="auto"/>
              <w:left w:val="single" w:sz="6" w:space="0" w:color="auto"/>
              <w:bottom w:val="single" w:sz="4" w:space="0" w:color="auto"/>
              <w:right w:val="single" w:sz="6" w:space="0" w:color="auto"/>
            </w:tcBorders>
            <w:hideMark/>
          </w:tcPr>
          <w:p w14:paraId="50E8EFBD" w14:textId="77777777" w:rsidR="003C3EE8" w:rsidRPr="007B192E" w:rsidRDefault="003C3EE8" w:rsidP="004D7D23">
            <w:pPr>
              <w:widowControl/>
              <w:numPr>
                <w:ilvl w:val="12"/>
                <w:numId w:val="0"/>
              </w:numPr>
              <w:suppressAutoHyphens w:val="0"/>
              <w:adjustRightInd w:val="0"/>
              <w:spacing w:before="18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Wartości dopuszczalne</w:t>
            </w:r>
          </w:p>
        </w:tc>
      </w:tr>
      <w:tr w:rsidR="004D7D23" w:rsidRPr="007B192E" w14:paraId="6057A0C1" w14:textId="77777777" w:rsidTr="004D7D23">
        <w:trPr>
          <w:jc w:val="center"/>
        </w:trPr>
        <w:tc>
          <w:tcPr>
            <w:tcW w:w="496" w:type="dxa"/>
            <w:tcBorders>
              <w:top w:val="single" w:sz="4" w:space="0" w:color="auto"/>
              <w:left w:val="single" w:sz="6" w:space="0" w:color="auto"/>
              <w:bottom w:val="single" w:sz="6" w:space="0" w:color="auto"/>
              <w:right w:val="single" w:sz="6" w:space="0" w:color="auto"/>
            </w:tcBorders>
            <w:vAlign w:val="center"/>
            <w:hideMark/>
          </w:tcPr>
          <w:p w14:paraId="690CFF7A" w14:textId="77777777" w:rsidR="003C3EE8" w:rsidRPr="007B192E" w:rsidRDefault="003C3EE8" w:rsidP="004D7D23">
            <w:pPr>
              <w:widowControl/>
              <w:numPr>
                <w:ilvl w:val="12"/>
                <w:numId w:val="0"/>
              </w:numPr>
              <w:suppressAutoHyphens w:val="0"/>
              <w:adjustRightInd w:val="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1</w:t>
            </w:r>
          </w:p>
        </w:tc>
        <w:tc>
          <w:tcPr>
            <w:tcW w:w="3543" w:type="dxa"/>
            <w:tcBorders>
              <w:top w:val="single" w:sz="4" w:space="0" w:color="auto"/>
              <w:left w:val="single" w:sz="6" w:space="0" w:color="auto"/>
              <w:bottom w:val="single" w:sz="6" w:space="0" w:color="auto"/>
              <w:right w:val="single" w:sz="6" w:space="0" w:color="auto"/>
            </w:tcBorders>
            <w:vAlign w:val="center"/>
            <w:hideMark/>
          </w:tcPr>
          <w:p w14:paraId="32B1D233" w14:textId="77777777" w:rsidR="003C3EE8" w:rsidRPr="007B192E" w:rsidRDefault="003C3EE8" w:rsidP="004D7D23">
            <w:pPr>
              <w:widowControl/>
              <w:numPr>
                <w:ilvl w:val="12"/>
                <w:numId w:val="0"/>
              </w:numPr>
              <w:suppressAutoHyphens w:val="0"/>
              <w:adjustRightInd w:val="0"/>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Lokalizacja i zgodność granic terenu robót z dokumentacją projektową</w:t>
            </w:r>
          </w:p>
        </w:tc>
        <w:tc>
          <w:tcPr>
            <w:tcW w:w="1276" w:type="dxa"/>
            <w:tcBorders>
              <w:top w:val="single" w:sz="4" w:space="0" w:color="auto"/>
              <w:left w:val="single" w:sz="6" w:space="0" w:color="auto"/>
              <w:bottom w:val="single" w:sz="6" w:space="0" w:color="auto"/>
              <w:right w:val="single" w:sz="6" w:space="0" w:color="auto"/>
            </w:tcBorders>
            <w:vAlign w:val="center"/>
            <w:hideMark/>
          </w:tcPr>
          <w:p w14:paraId="6AD9B110" w14:textId="77777777" w:rsidR="003C3EE8" w:rsidRPr="007B192E" w:rsidRDefault="003C3EE8" w:rsidP="004D7D23">
            <w:pPr>
              <w:widowControl/>
              <w:numPr>
                <w:ilvl w:val="12"/>
                <w:numId w:val="0"/>
              </w:numPr>
              <w:suppressAutoHyphens w:val="0"/>
              <w:adjustRightInd w:val="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1 raz</w:t>
            </w:r>
          </w:p>
        </w:tc>
        <w:tc>
          <w:tcPr>
            <w:tcW w:w="2268" w:type="dxa"/>
            <w:tcBorders>
              <w:top w:val="single" w:sz="4" w:space="0" w:color="auto"/>
              <w:left w:val="single" w:sz="6" w:space="0" w:color="auto"/>
              <w:bottom w:val="single" w:sz="6" w:space="0" w:color="auto"/>
              <w:right w:val="single" w:sz="6" w:space="0" w:color="auto"/>
            </w:tcBorders>
            <w:vAlign w:val="center"/>
            <w:hideMark/>
          </w:tcPr>
          <w:p w14:paraId="3C6A980B" w14:textId="77777777" w:rsidR="003C3EE8" w:rsidRPr="007B192E" w:rsidRDefault="003C3EE8" w:rsidP="004D7D23">
            <w:pPr>
              <w:widowControl/>
              <w:numPr>
                <w:ilvl w:val="12"/>
                <w:numId w:val="0"/>
              </w:numPr>
              <w:suppressAutoHyphens w:val="0"/>
              <w:adjustRightInd w:val="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Wg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5 i dokumentacji projektowej </w:t>
            </w:r>
          </w:p>
        </w:tc>
      </w:tr>
      <w:tr w:rsidR="004D7D23" w:rsidRPr="007B192E" w14:paraId="27FDCEF1"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1CBF0640"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2</w:t>
            </w:r>
          </w:p>
        </w:tc>
        <w:tc>
          <w:tcPr>
            <w:tcW w:w="3543" w:type="dxa"/>
            <w:tcBorders>
              <w:top w:val="single" w:sz="6" w:space="0" w:color="auto"/>
              <w:left w:val="single" w:sz="6" w:space="0" w:color="auto"/>
              <w:bottom w:val="single" w:sz="6" w:space="0" w:color="auto"/>
              <w:right w:val="single" w:sz="6" w:space="0" w:color="auto"/>
            </w:tcBorders>
            <w:vAlign w:val="center"/>
            <w:hideMark/>
          </w:tcPr>
          <w:p w14:paraId="675F7B92" w14:textId="77777777" w:rsidR="003C3EE8" w:rsidRPr="007B192E"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Przygotowanie podłoża</w:t>
            </w:r>
          </w:p>
        </w:tc>
        <w:tc>
          <w:tcPr>
            <w:tcW w:w="1276" w:type="dxa"/>
            <w:tcBorders>
              <w:top w:val="single" w:sz="6" w:space="0" w:color="auto"/>
              <w:left w:val="single" w:sz="6" w:space="0" w:color="auto"/>
              <w:bottom w:val="single" w:sz="6" w:space="0" w:color="auto"/>
              <w:right w:val="single" w:sz="6" w:space="0" w:color="auto"/>
            </w:tcBorders>
            <w:vAlign w:val="center"/>
            <w:hideMark/>
          </w:tcPr>
          <w:p w14:paraId="55148454"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14:paraId="0F2560C3"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Wg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5.4</w:t>
            </w:r>
          </w:p>
        </w:tc>
      </w:tr>
      <w:tr w:rsidR="004D7D23" w:rsidRPr="007B192E" w14:paraId="1B66BDB9"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4EF8AC92"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tc>
        <w:tc>
          <w:tcPr>
            <w:tcW w:w="3543" w:type="dxa"/>
            <w:tcBorders>
              <w:top w:val="single" w:sz="6" w:space="0" w:color="auto"/>
              <w:left w:val="single" w:sz="6" w:space="0" w:color="auto"/>
              <w:bottom w:val="single" w:sz="6" w:space="0" w:color="auto"/>
              <w:right w:val="single" w:sz="6" w:space="0" w:color="auto"/>
            </w:tcBorders>
            <w:vAlign w:val="center"/>
            <w:hideMark/>
          </w:tcPr>
          <w:p w14:paraId="35013FA5" w14:textId="77777777" w:rsidR="003C3EE8" w:rsidRPr="007B192E"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Ułożenie podsypki i ew. ułożenie warstwy odsączającej</w:t>
            </w:r>
          </w:p>
        </w:tc>
        <w:tc>
          <w:tcPr>
            <w:tcW w:w="1276" w:type="dxa"/>
            <w:tcBorders>
              <w:top w:val="single" w:sz="6" w:space="0" w:color="auto"/>
              <w:left w:val="single" w:sz="6" w:space="0" w:color="auto"/>
              <w:bottom w:val="single" w:sz="6" w:space="0" w:color="auto"/>
              <w:right w:val="single" w:sz="6" w:space="0" w:color="auto"/>
            </w:tcBorders>
            <w:vAlign w:val="center"/>
            <w:hideMark/>
          </w:tcPr>
          <w:p w14:paraId="0BF37848"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14:paraId="165A25BF"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Wg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5.5</w:t>
            </w:r>
          </w:p>
        </w:tc>
      </w:tr>
      <w:tr w:rsidR="004D7D23" w:rsidRPr="007B192E" w14:paraId="3FCA2646"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4F891190"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4</w:t>
            </w:r>
          </w:p>
        </w:tc>
        <w:tc>
          <w:tcPr>
            <w:tcW w:w="3543" w:type="dxa"/>
            <w:tcBorders>
              <w:top w:val="single" w:sz="6" w:space="0" w:color="auto"/>
              <w:left w:val="single" w:sz="6" w:space="0" w:color="auto"/>
              <w:bottom w:val="single" w:sz="6" w:space="0" w:color="auto"/>
              <w:right w:val="single" w:sz="6" w:space="0" w:color="auto"/>
            </w:tcBorders>
            <w:vAlign w:val="center"/>
            <w:hideMark/>
          </w:tcPr>
          <w:p w14:paraId="5873935C" w14:textId="77777777" w:rsidR="003C3EE8" w:rsidRPr="007B192E"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Wykonanie nawierzchni</w:t>
            </w:r>
          </w:p>
        </w:tc>
        <w:tc>
          <w:tcPr>
            <w:tcW w:w="1276" w:type="dxa"/>
            <w:tcBorders>
              <w:top w:val="single" w:sz="6" w:space="0" w:color="auto"/>
              <w:left w:val="single" w:sz="6" w:space="0" w:color="auto"/>
              <w:bottom w:val="single" w:sz="6" w:space="0" w:color="auto"/>
              <w:right w:val="single" w:sz="6" w:space="0" w:color="auto"/>
            </w:tcBorders>
            <w:vAlign w:val="center"/>
            <w:hideMark/>
          </w:tcPr>
          <w:p w14:paraId="64E9064A"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Bieżąco</w:t>
            </w:r>
          </w:p>
        </w:tc>
        <w:tc>
          <w:tcPr>
            <w:tcW w:w="2268" w:type="dxa"/>
            <w:tcBorders>
              <w:top w:val="single" w:sz="6" w:space="0" w:color="auto"/>
              <w:left w:val="single" w:sz="6" w:space="0" w:color="auto"/>
              <w:bottom w:val="single" w:sz="6" w:space="0" w:color="auto"/>
              <w:right w:val="single" w:sz="6" w:space="0" w:color="auto"/>
            </w:tcBorders>
            <w:vAlign w:val="center"/>
            <w:hideMark/>
          </w:tcPr>
          <w:p w14:paraId="5AA324DD"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Wg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5.6</w:t>
            </w:r>
          </w:p>
        </w:tc>
      </w:tr>
      <w:tr w:rsidR="004D7D23" w:rsidRPr="007B192E" w14:paraId="5D79E4FA" w14:textId="77777777" w:rsidTr="004D7D23">
        <w:trPr>
          <w:jc w:val="center"/>
        </w:trPr>
        <w:tc>
          <w:tcPr>
            <w:tcW w:w="496" w:type="dxa"/>
            <w:tcBorders>
              <w:top w:val="single" w:sz="6" w:space="0" w:color="auto"/>
              <w:left w:val="single" w:sz="6" w:space="0" w:color="auto"/>
              <w:bottom w:val="single" w:sz="6" w:space="0" w:color="auto"/>
              <w:right w:val="single" w:sz="6" w:space="0" w:color="auto"/>
            </w:tcBorders>
            <w:vAlign w:val="center"/>
            <w:hideMark/>
          </w:tcPr>
          <w:p w14:paraId="492B2C29"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5</w:t>
            </w:r>
          </w:p>
        </w:tc>
        <w:tc>
          <w:tcPr>
            <w:tcW w:w="3543" w:type="dxa"/>
            <w:tcBorders>
              <w:top w:val="single" w:sz="6" w:space="0" w:color="auto"/>
              <w:left w:val="single" w:sz="6" w:space="0" w:color="auto"/>
              <w:bottom w:val="single" w:sz="6" w:space="0" w:color="auto"/>
              <w:right w:val="single" w:sz="6" w:space="0" w:color="auto"/>
            </w:tcBorders>
            <w:vAlign w:val="center"/>
            <w:hideMark/>
          </w:tcPr>
          <w:p w14:paraId="184A0DD8" w14:textId="77777777" w:rsidR="003C3EE8" w:rsidRPr="007B192E" w:rsidRDefault="003C3EE8" w:rsidP="004D7D23">
            <w:pPr>
              <w:widowControl/>
              <w:numPr>
                <w:ilvl w:val="12"/>
                <w:numId w:val="0"/>
              </w:numPr>
              <w:suppressAutoHyphens w:val="0"/>
              <w:adjustRightInd w:val="0"/>
              <w:spacing w:before="60" w:after="60"/>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Wykonanie robót wykończeniowych</w:t>
            </w:r>
          </w:p>
        </w:tc>
        <w:tc>
          <w:tcPr>
            <w:tcW w:w="1276" w:type="dxa"/>
            <w:tcBorders>
              <w:top w:val="single" w:sz="6" w:space="0" w:color="auto"/>
              <w:left w:val="single" w:sz="6" w:space="0" w:color="auto"/>
              <w:bottom w:val="single" w:sz="6" w:space="0" w:color="auto"/>
              <w:right w:val="single" w:sz="6" w:space="0" w:color="auto"/>
            </w:tcBorders>
            <w:vAlign w:val="center"/>
            <w:hideMark/>
          </w:tcPr>
          <w:p w14:paraId="6C01CEFD"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Ocena ciągła</w:t>
            </w:r>
          </w:p>
        </w:tc>
        <w:tc>
          <w:tcPr>
            <w:tcW w:w="2268" w:type="dxa"/>
            <w:tcBorders>
              <w:top w:val="single" w:sz="6" w:space="0" w:color="auto"/>
              <w:left w:val="single" w:sz="6" w:space="0" w:color="auto"/>
              <w:bottom w:val="single" w:sz="6" w:space="0" w:color="auto"/>
              <w:right w:val="single" w:sz="6" w:space="0" w:color="auto"/>
            </w:tcBorders>
            <w:vAlign w:val="center"/>
            <w:hideMark/>
          </w:tcPr>
          <w:p w14:paraId="1C6EB09B" w14:textId="77777777" w:rsidR="003C3EE8" w:rsidRPr="007B192E" w:rsidRDefault="003C3EE8" w:rsidP="004D7D23">
            <w:pPr>
              <w:widowControl/>
              <w:numPr>
                <w:ilvl w:val="12"/>
                <w:numId w:val="0"/>
              </w:numPr>
              <w:suppressAutoHyphens w:val="0"/>
              <w:adjustRightInd w:val="0"/>
              <w:spacing w:before="60" w:after="60"/>
              <w:jc w:val="center"/>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 xml:space="preserve">Wg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5.7</w:t>
            </w:r>
          </w:p>
        </w:tc>
      </w:tr>
    </w:tbl>
    <w:p w14:paraId="28522D47"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6.4. Badania po zakończeniu robót</w:t>
      </w:r>
    </w:p>
    <w:p w14:paraId="739FCA31"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Wykonana nawierzchnia z płyt prefabrykowanych powinna spełniać następujące wymagania:</w:t>
      </w:r>
    </w:p>
    <w:p w14:paraId="541CABFE" w14:textId="77777777" w:rsidR="003C3EE8" w:rsidRPr="007B192E"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oś nawierzchni w planie nie powinna być przesunięta w stosunku do osi projektowanej więcej niż ± 10 cm,</w:t>
      </w:r>
    </w:p>
    <w:p w14:paraId="6AFF0237" w14:textId="77777777" w:rsidR="003C3EE8" w:rsidRPr="007B192E"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szerokość nawierzchni nie powinna się różnić od szerokości projektowanej więcej niż ± 10 cm,</w:t>
      </w:r>
    </w:p>
    <w:p w14:paraId="5404FB1B" w14:textId="77777777" w:rsidR="003C3EE8" w:rsidRPr="007B192E"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nierówności podłużne nawierzchni, mierzone łatą 4-metrową, nie powinny przekraczać 1 cm,</w:t>
      </w:r>
    </w:p>
    <w:p w14:paraId="5E220FDA" w14:textId="77777777" w:rsidR="003C3EE8" w:rsidRPr="007B192E"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pochylenia poprzeczne nawierzchni powinny być zgodne z dokumentacją projektową z tolerancją ± 0,5%,</w:t>
      </w:r>
    </w:p>
    <w:p w14:paraId="5BC6FE41" w14:textId="77777777" w:rsidR="003C3EE8" w:rsidRPr="007B192E" w:rsidRDefault="003C3EE8" w:rsidP="00BA5651">
      <w:pPr>
        <w:widowControl/>
        <w:numPr>
          <w:ilvl w:val="0"/>
          <w:numId w:val="334"/>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różnice wysokościowe z rzędnymi projektowanymi nie powinny przekraczać +1 cm            i -2 cm.</w:t>
      </w:r>
    </w:p>
    <w:p w14:paraId="7C14D834"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23" w:name="_Toc219531218"/>
      <w:r w:rsidRPr="007B192E">
        <w:rPr>
          <w:rFonts w:ascii="Arial" w:hAnsi="Arial" w:cs="Arial"/>
          <w:b/>
          <w:caps/>
          <w:color w:val="000000" w:themeColor="text1"/>
          <w:kern w:val="28"/>
          <w:sz w:val="18"/>
          <w:szCs w:val="18"/>
          <w:lang w:eastAsia="pl-PL"/>
        </w:rPr>
        <w:t xml:space="preserve">7. </w:t>
      </w:r>
      <w:bookmarkEnd w:id="423"/>
      <w:r w:rsidRPr="007B192E">
        <w:rPr>
          <w:rFonts w:ascii="Arial" w:hAnsi="Arial" w:cs="Arial"/>
          <w:b/>
          <w:caps/>
          <w:color w:val="000000" w:themeColor="text1"/>
          <w:kern w:val="28"/>
          <w:sz w:val="18"/>
          <w:szCs w:val="18"/>
          <w:lang w:eastAsia="pl-PL"/>
        </w:rPr>
        <w:t>OBMIAR ROBÓT</w:t>
      </w:r>
    </w:p>
    <w:p w14:paraId="46B745DD"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7.1. Ogólne zasady obmiaru robót</w:t>
      </w:r>
    </w:p>
    <w:p w14:paraId="00001C9C"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Ogólne zasady obmiaru robót podano w ST  D-M-00.00.00 „Wymagania ogólne” [1] pkt 7.</w:t>
      </w:r>
    </w:p>
    <w:p w14:paraId="1F5640AD"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7.2. Jednostka obmiarowa</w:t>
      </w:r>
    </w:p>
    <w:p w14:paraId="4AFBE293"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Jednostką obmiarową jest m</w:t>
      </w:r>
      <w:r w:rsidRPr="007B192E">
        <w:rPr>
          <w:rFonts w:ascii="Arial" w:hAnsi="Arial" w:cs="Arial"/>
          <w:color w:val="000000" w:themeColor="text1"/>
          <w:sz w:val="18"/>
          <w:szCs w:val="18"/>
          <w:vertAlign w:val="superscript"/>
          <w:lang w:eastAsia="pl-PL"/>
        </w:rPr>
        <w:t>2</w:t>
      </w:r>
      <w:r w:rsidRPr="007B192E">
        <w:rPr>
          <w:rFonts w:ascii="Arial" w:hAnsi="Arial" w:cs="Arial"/>
          <w:color w:val="000000" w:themeColor="text1"/>
          <w:sz w:val="18"/>
          <w:szCs w:val="18"/>
          <w:lang w:eastAsia="pl-PL"/>
        </w:rPr>
        <w:t xml:space="preserve"> (metr kwadratowy) wykonanej nawierzchni z płyt prefabrykowanych.</w:t>
      </w:r>
    </w:p>
    <w:p w14:paraId="3C2FEBBB"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Jednostki obmiarowe robót towarzyszących, np. ustawienia krawężnika, są ustalone w odpowiednich ST wymienionych w </w:t>
      </w:r>
      <w:proofErr w:type="spellStart"/>
      <w:r w:rsidRPr="007B192E">
        <w:rPr>
          <w:rFonts w:ascii="Arial" w:hAnsi="Arial" w:cs="Arial"/>
          <w:color w:val="000000" w:themeColor="text1"/>
          <w:sz w:val="18"/>
          <w:szCs w:val="18"/>
          <w:lang w:eastAsia="pl-PL"/>
        </w:rPr>
        <w:t>pkcie</w:t>
      </w:r>
      <w:proofErr w:type="spellEnd"/>
      <w:r w:rsidRPr="007B192E">
        <w:rPr>
          <w:rFonts w:ascii="Arial" w:hAnsi="Arial" w:cs="Arial"/>
          <w:color w:val="000000" w:themeColor="text1"/>
          <w:sz w:val="18"/>
          <w:szCs w:val="18"/>
          <w:lang w:eastAsia="pl-PL"/>
        </w:rPr>
        <w:t xml:space="preserve"> 5.</w:t>
      </w:r>
    </w:p>
    <w:p w14:paraId="157345F8" w14:textId="77777777" w:rsidR="003C3EE8" w:rsidRPr="007B192E"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r w:rsidRPr="007B192E">
        <w:rPr>
          <w:rFonts w:ascii="Arial" w:hAnsi="Arial" w:cs="Arial"/>
          <w:b/>
          <w:caps/>
          <w:color w:val="000000" w:themeColor="text1"/>
          <w:kern w:val="28"/>
          <w:sz w:val="18"/>
          <w:szCs w:val="18"/>
          <w:lang w:eastAsia="pl-PL"/>
        </w:rPr>
        <w:t xml:space="preserve"> </w:t>
      </w:r>
      <w:bookmarkStart w:id="424" w:name="_Toc219531219"/>
      <w:r w:rsidRPr="007B192E">
        <w:rPr>
          <w:rFonts w:ascii="Arial" w:hAnsi="Arial" w:cs="Arial"/>
          <w:b/>
          <w:caps/>
          <w:color w:val="000000" w:themeColor="text1"/>
          <w:kern w:val="28"/>
          <w:sz w:val="18"/>
          <w:szCs w:val="18"/>
          <w:lang w:eastAsia="pl-PL"/>
        </w:rPr>
        <w:t xml:space="preserve">8. </w:t>
      </w:r>
      <w:bookmarkEnd w:id="424"/>
      <w:r w:rsidRPr="007B192E">
        <w:rPr>
          <w:rFonts w:ascii="Arial" w:hAnsi="Arial" w:cs="Arial"/>
          <w:b/>
          <w:caps/>
          <w:color w:val="000000" w:themeColor="text1"/>
          <w:kern w:val="28"/>
          <w:sz w:val="18"/>
          <w:szCs w:val="18"/>
          <w:lang w:eastAsia="pl-PL"/>
        </w:rPr>
        <w:t>ODBIÓR ROBÓT</w:t>
      </w:r>
    </w:p>
    <w:p w14:paraId="024FF731"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8.1. Ogólne zasady odbioru robót</w:t>
      </w:r>
    </w:p>
    <w:p w14:paraId="50CAB9D6"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Ogólne zasady odbioru robót podano w ST  D-M-00.00.00 „Wymagania ogólne” [1] pkt 8.</w:t>
      </w:r>
    </w:p>
    <w:p w14:paraId="0C4838F0"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Roboty uznaje się za wykonane zgodnie z dokumentacją projektową, ST i wymaganiami Inżyniera, jeżeli wszystkie pomiary i badania z zachowaniem tolerancji według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6 dały wyniki pozytywne.</w:t>
      </w:r>
    </w:p>
    <w:p w14:paraId="49BD12C6"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8.2. Odbiór robót zanikających i ulegających  zakryciu</w:t>
      </w:r>
    </w:p>
    <w:p w14:paraId="7586099F"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Odbiorowi robót zanikających i ulegających zakryciu podlegają:</w:t>
      </w:r>
    </w:p>
    <w:p w14:paraId="322C14D8"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ułożenie podsypki,</w:t>
      </w:r>
    </w:p>
    <w:p w14:paraId="60287483"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lastRenderedPageBreak/>
        <w:t>ew. ułożenie warstwy odsączającej.</w:t>
      </w:r>
    </w:p>
    <w:p w14:paraId="0B0AC1D3"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 xml:space="preserve">Odbiór tych robót powinien  być zgodny z wymaganiami </w:t>
      </w:r>
      <w:proofErr w:type="spellStart"/>
      <w:r w:rsidRPr="007B192E">
        <w:rPr>
          <w:rFonts w:ascii="Arial" w:hAnsi="Arial" w:cs="Arial"/>
          <w:color w:val="000000" w:themeColor="text1"/>
          <w:sz w:val="18"/>
          <w:szCs w:val="18"/>
          <w:lang w:eastAsia="pl-PL"/>
        </w:rPr>
        <w:t>pktu</w:t>
      </w:r>
      <w:proofErr w:type="spellEnd"/>
      <w:r w:rsidRPr="007B192E">
        <w:rPr>
          <w:rFonts w:ascii="Arial" w:hAnsi="Arial" w:cs="Arial"/>
          <w:color w:val="000000" w:themeColor="text1"/>
          <w:sz w:val="18"/>
          <w:szCs w:val="18"/>
          <w:lang w:eastAsia="pl-PL"/>
        </w:rPr>
        <w:t xml:space="preserve"> 8.2 D-M-00.00.00 „Wymagania ogólne” [1] oraz niniejszej ST.</w:t>
      </w:r>
    </w:p>
    <w:p w14:paraId="36BA7546" w14:textId="77777777" w:rsidR="003C3EE8" w:rsidRPr="007B192E" w:rsidRDefault="003C3EE8" w:rsidP="003C3EE8">
      <w:pPr>
        <w:keepNext/>
        <w:keepLines/>
        <w:widowControl/>
        <w:numPr>
          <w:ilvl w:val="12"/>
          <w:numId w:val="0"/>
        </w:numPr>
        <w:adjustRightInd w:val="0"/>
        <w:spacing w:before="240" w:after="120"/>
        <w:jc w:val="both"/>
        <w:outlineLvl w:val="0"/>
        <w:rPr>
          <w:rFonts w:ascii="Arial" w:hAnsi="Arial" w:cs="Arial"/>
          <w:b/>
          <w:caps/>
          <w:color w:val="000000" w:themeColor="text1"/>
          <w:kern w:val="28"/>
          <w:sz w:val="18"/>
          <w:szCs w:val="18"/>
          <w:lang w:eastAsia="pl-PL"/>
        </w:rPr>
      </w:pPr>
      <w:bookmarkStart w:id="425" w:name="_Toc219531220"/>
      <w:r w:rsidRPr="007B192E">
        <w:rPr>
          <w:rFonts w:ascii="Arial" w:hAnsi="Arial" w:cs="Arial"/>
          <w:b/>
          <w:caps/>
          <w:color w:val="000000" w:themeColor="text1"/>
          <w:kern w:val="28"/>
          <w:sz w:val="18"/>
          <w:szCs w:val="18"/>
          <w:lang w:eastAsia="pl-PL"/>
        </w:rPr>
        <w:t xml:space="preserve">9. </w:t>
      </w:r>
      <w:bookmarkEnd w:id="425"/>
      <w:r w:rsidRPr="007B192E">
        <w:rPr>
          <w:rFonts w:ascii="Arial" w:hAnsi="Arial" w:cs="Arial"/>
          <w:b/>
          <w:caps/>
          <w:color w:val="000000" w:themeColor="text1"/>
          <w:kern w:val="28"/>
          <w:sz w:val="18"/>
          <w:szCs w:val="18"/>
          <w:lang w:eastAsia="pl-PL"/>
        </w:rPr>
        <w:t>PODSTAWA PŁATNOŚCI</w:t>
      </w:r>
    </w:p>
    <w:p w14:paraId="2A31CC0F"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9.1. Ogólne ustalenia dotyczące podstawy płatności</w:t>
      </w:r>
    </w:p>
    <w:p w14:paraId="536E15D1"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Ogólne ustalenia dotyczące podstawy płatności podano w ST D-M-00.00.00 „Wymagania ogólne” [1] pkt 9.</w:t>
      </w:r>
    </w:p>
    <w:p w14:paraId="4147DFDF" w14:textId="77777777" w:rsidR="003C3EE8" w:rsidRPr="007B192E" w:rsidRDefault="003C3EE8" w:rsidP="003C3EE8">
      <w:pPr>
        <w:keepNext/>
        <w:widowControl/>
        <w:numPr>
          <w:ilvl w:val="12"/>
          <w:numId w:val="0"/>
        </w:numPr>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9.2. Cena jednostki obmiarowej</w:t>
      </w:r>
    </w:p>
    <w:p w14:paraId="7D644BE5" w14:textId="77777777" w:rsidR="003C3EE8" w:rsidRPr="007B192E" w:rsidRDefault="003C3EE8" w:rsidP="003C3EE8">
      <w:pPr>
        <w:widowControl/>
        <w:numPr>
          <w:ilvl w:val="12"/>
          <w:numId w:val="0"/>
        </w:numPr>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Cena wykonania  1 m</w:t>
      </w:r>
      <w:r w:rsidRPr="007B192E">
        <w:rPr>
          <w:rFonts w:ascii="Arial" w:hAnsi="Arial" w:cs="Arial"/>
          <w:color w:val="000000" w:themeColor="text1"/>
          <w:sz w:val="18"/>
          <w:szCs w:val="18"/>
          <w:vertAlign w:val="superscript"/>
          <w:lang w:eastAsia="pl-PL"/>
        </w:rPr>
        <w:t>2</w:t>
      </w:r>
      <w:r w:rsidRPr="007B192E">
        <w:rPr>
          <w:rFonts w:ascii="Arial" w:hAnsi="Arial" w:cs="Arial"/>
          <w:color w:val="000000" w:themeColor="text1"/>
          <w:sz w:val="18"/>
          <w:szCs w:val="18"/>
          <w:lang w:eastAsia="pl-PL"/>
        </w:rPr>
        <w:t xml:space="preserve"> nawierzchni z płyt prefabrykowanych obejmuje:</w:t>
      </w:r>
    </w:p>
    <w:p w14:paraId="0BC080E3"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prace pomiarowe i roboty przygotowawcze,</w:t>
      </w:r>
    </w:p>
    <w:p w14:paraId="731D3F22"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oznakowanie robót,</w:t>
      </w:r>
    </w:p>
    <w:p w14:paraId="440BDDCF"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przygotowanie  podłoża,</w:t>
      </w:r>
    </w:p>
    <w:p w14:paraId="16491BC1"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dostarczenie materiałów i sprzętu,</w:t>
      </w:r>
    </w:p>
    <w:p w14:paraId="0DBA6E84"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rozłożenie i zagęszczenie podsypki piaskowej,</w:t>
      </w:r>
    </w:p>
    <w:p w14:paraId="442E88A8"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ew. ułożenie warstwy odsączającej,</w:t>
      </w:r>
    </w:p>
    <w:p w14:paraId="483D728B"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wykonanie nawierzchni z płyt prefabrykowanych według wymagań dokumentacji projektowej, ST i specyfikacji technicznej,</w:t>
      </w:r>
    </w:p>
    <w:p w14:paraId="78600C58"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oczyszczenie terenu robót z odpadów i usunięcie ich poza plac budowy,</w:t>
      </w:r>
    </w:p>
    <w:p w14:paraId="17C6819C"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przeprowadzenie pomiarów i badań  wymaganych w  specyfikacji technicznej,</w:t>
      </w:r>
    </w:p>
    <w:p w14:paraId="3566F80B"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b/>
          <w:color w:val="000000" w:themeColor="text1"/>
          <w:sz w:val="18"/>
          <w:szCs w:val="18"/>
          <w:lang w:eastAsia="pl-PL"/>
        </w:rPr>
      </w:pPr>
      <w:r w:rsidRPr="007B192E">
        <w:rPr>
          <w:rFonts w:ascii="Arial" w:hAnsi="Arial" w:cs="Arial"/>
          <w:color w:val="000000" w:themeColor="text1"/>
          <w:sz w:val="18"/>
          <w:szCs w:val="18"/>
          <w:lang w:eastAsia="pl-PL"/>
        </w:rPr>
        <w:t>odwiezienie sprzętu.</w:t>
      </w:r>
    </w:p>
    <w:p w14:paraId="4A468494" w14:textId="77777777" w:rsidR="003C3EE8" w:rsidRPr="007B192E" w:rsidRDefault="003C3EE8" w:rsidP="003C3EE8">
      <w:pPr>
        <w:widowControl/>
        <w:suppressAutoHyphens w:val="0"/>
        <w:adjustRightInd w:val="0"/>
        <w:ind w:firstLine="709"/>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Cena wykonania 1 m</w:t>
      </w:r>
      <w:r w:rsidRPr="007B192E">
        <w:rPr>
          <w:rFonts w:ascii="Arial" w:hAnsi="Arial" w:cs="Arial"/>
          <w:color w:val="000000" w:themeColor="text1"/>
          <w:sz w:val="18"/>
          <w:szCs w:val="18"/>
          <w:vertAlign w:val="superscript"/>
          <w:lang w:eastAsia="pl-PL"/>
        </w:rPr>
        <w:t>2</w:t>
      </w:r>
      <w:r w:rsidRPr="007B192E">
        <w:rPr>
          <w:rFonts w:ascii="Arial" w:hAnsi="Arial" w:cs="Arial"/>
          <w:color w:val="000000" w:themeColor="text1"/>
          <w:sz w:val="18"/>
          <w:szCs w:val="18"/>
          <w:lang w:eastAsia="pl-PL"/>
        </w:rPr>
        <w:t xml:space="preserve"> nawierzchni z płyt nie obejmuje robót pomocniczych, np. ustawienia krawężników, które powinny być ujęte w innych pozycjach kosztorysowych.</w:t>
      </w:r>
    </w:p>
    <w:p w14:paraId="0E58FFA7"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9.3. Sposób rozliczenia robót tymczasowych i prac towarzyszących</w:t>
      </w:r>
    </w:p>
    <w:p w14:paraId="07547400" w14:textId="77777777" w:rsidR="003C3EE8" w:rsidRPr="007B192E" w:rsidRDefault="003C3EE8" w:rsidP="003C3EE8">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ab/>
        <w:t>Cena wykonania robót określonych niniejszą ST obejmuje:</w:t>
      </w:r>
    </w:p>
    <w:p w14:paraId="4DF2DEAB"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roboty tymczasowe, które są potrzebne do wykonania robót podstawowych, ale nie są przekazywane Zamawiającemu i są usuwane po wykonaniu robót podstawowych,</w:t>
      </w:r>
    </w:p>
    <w:p w14:paraId="79552893" w14:textId="77777777" w:rsidR="003C3EE8" w:rsidRPr="007B192E" w:rsidRDefault="003C3EE8" w:rsidP="003C3EE8">
      <w:pPr>
        <w:widowControl/>
        <w:numPr>
          <w:ilvl w:val="0"/>
          <w:numId w:val="196"/>
        </w:numPr>
        <w:suppressAutoHyphens w:val="0"/>
        <w:autoSpaceDN w:val="0"/>
        <w:adjustRightInd w:val="0"/>
        <w:jc w:val="both"/>
        <w:textAlignment w:val="auto"/>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prace towarzyszące, które są niezbędne do wykonania robót podstawowych, niezaliczane do robót tymczasowych, jak geodezyjne wytyczenie robót itd.</w:t>
      </w:r>
    </w:p>
    <w:p w14:paraId="5302832A" w14:textId="77777777" w:rsidR="003C3EE8" w:rsidRPr="007B192E" w:rsidRDefault="003C3EE8" w:rsidP="003C3EE8">
      <w:pPr>
        <w:keepNext/>
        <w:keepLines/>
        <w:widowControl/>
        <w:adjustRightInd w:val="0"/>
        <w:spacing w:before="240" w:after="120"/>
        <w:jc w:val="both"/>
        <w:outlineLvl w:val="0"/>
        <w:rPr>
          <w:rFonts w:ascii="Arial" w:hAnsi="Arial" w:cs="Arial"/>
          <w:b/>
          <w:caps/>
          <w:color w:val="000000" w:themeColor="text1"/>
          <w:kern w:val="28"/>
          <w:sz w:val="18"/>
          <w:szCs w:val="18"/>
          <w:lang w:eastAsia="pl-PL"/>
        </w:rPr>
      </w:pPr>
      <w:bookmarkStart w:id="426" w:name="_Toc219531221"/>
      <w:r w:rsidRPr="007B192E">
        <w:rPr>
          <w:rFonts w:ascii="Arial" w:hAnsi="Arial" w:cs="Arial"/>
          <w:b/>
          <w:caps/>
          <w:color w:val="000000" w:themeColor="text1"/>
          <w:kern w:val="28"/>
          <w:sz w:val="18"/>
          <w:szCs w:val="18"/>
          <w:lang w:eastAsia="pl-PL"/>
        </w:rPr>
        <w:t xml:space="preserve">10. </w:t>
      </w:r>
      <w:bookmarkEnd w:id="426"/>
      <w:r w:rsidRPr="007B192E">
        <w:rPr>
          <w:rFonts w:ascii="Arial" w:hAnsi="Arial" w:cs="Arial"/>
          <w:b/>
          <w:caps/>
          <w:color w:val="000000" w:themeColor="text1"/>
          <w:kern w:val="28"/>
          <w:sz w:val="18"/>
          <w:szCs w:val="18"/>
          <w:lang w:eastAsia="pl-PL"/>
        </w:rPr>
        <w:t>PRZEPISY ZWIĄZANE</w:t>
      </w:r>
    </w:p>
    <w:p w14:paraId="226ED487"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10.1. Specyfikacje techniczne (ST)</w:t>
      </w:r>
    </w:p>
    <w:tbl>
      <w:tblPr>
        <w:tblW w:w="0" w:type="auto"/>
        <w:tblInd w:w="70" w:type="dxa"/>
        <w:tblLayout w:type="fixed"/>
        <w:tblCellMar>
          <w:left w:w="70" w:type="dxa"/>
          <w:right w:w="70" w:type="dxa"/>
        </w:tblCellMar>
        <w:tblLook w:val="04A0" w:firstRow="1" w:lastRow="0" w:firstColumn="1" w:lastColumn="0" w:noHBand="0" w:noVBand="1"/>
      </w:tblPr>
      <w:tblGrid>
        <w:gridCol w:w="426"/>
        <w:gridCol w:w="1842"/>
        <w:gridCol w:w="5172"/>
      </w:tblGrid>
      <w:tr w:rsidR="004D7D23" w:rsidRPr="007B192E" w14:paraId="22DC3067" w14:textId="77777777" w:rsidTr="004D7D23">
        <w:tc>
          <w:tcPr>
            <w:tcW w:w="426" w:type="dxa"/>
            <w:hideMark/>
          </w:tcPr>
          <w:p w14:paraId="10DBF299"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1.</w:t>
            </w:r>
          </w:p>
        </w:tc>
        <w:tc>
          <w:tcPr>
            <w:tcW w:w="1842" w:type="dxa"/>
            <w:hideMark/>
          </w:tcPr>
          <w:p w14:paraId="60F689DB"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D-M-00.00.00</w:t>
            </w:r>
          </w:p>
        </w:tc>
        <w:tc>
          <w:tcPr>
            <w:tcW w:w="5172" w:type="dxa"/>
            <w:hideMark/>
          </w:tcPr>
          <w:p w14:paraId="6D139230"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Wymagania ogólne</w:t>
            </w:r>
          </w:p>
        </w:tc>
      </w:tr>
      <w:tr w:rsidR="004D7D23" w:rsidRPr="007B192E" w14:paraId="79AE1A70" w14:textId="77777777" w:rsidTr="004D7D23">
        <w:tc>
          <w:tcPr>
            <w:tcW w:w="426" w:type="dxa"/>
            <w:hideMark/>
          </w:tcPr>
          <w:p w14:paraId="7439A7B9"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2.</w:t>
            </w:r>
          </w:p>
        </w:tc>
        <w:tc>
          <w:tcPr>
            <w:tcW w:w="1842" w:type="dxa"/>
            <w:hideMark/>
          </w:tcPr>
          <w:p w14:paraId="62E448E9"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D-01.00.00</w:t>
            </w:r>
          </w:p>
        </w:tc>
        <w:tc>
          <w:tcPr>
            <w:tcW w:w="5172" w:type="dxa"/>
            <w:hideMark/>
          </w:tcPr>
          <w:p w14:paraId="6ACDF147"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Roboty przygotowawcze</w:t>
            </w:r>
          </w:p>
        </w:tc>
      </w:tr>
      <w:tr w:rsidR="004D7D23" w:rsidRPr="007B192E" w14:paraId="3E62B81C" w14:textId="77777777" w:rsidTr="004D7D23">
        <w:tc>
          <w:tcPr>
            <w:tcW w:w="426" w:type="dxa"/>
            <w:hideMark/>
          </w:tcPr>
          <w:p w14:paraId="27393F63"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3.</w:t>
            </w:r>
          </w:p>
        </w:tc>
        <w:tc>
          <w:tcPr>
            <w:tcW w:w="1842" w:type="dxa"/>
            <w:hideMark/>
          </w:tcPr>
          <w:p w14:paraId="5A4186D0"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D-02.00.00</w:t>
            </w:r>
          </w:p>
        </w:tc>
        <w:tc>
          <w:tcPr>
            <w:tcW w:w="5172" w:type="dxa"/>
            <w:hideMark/>
          </w:tcPr>
          <w:p w14:paraId="1EDDCF34"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Roboty ziemne</w:t>
            </w:r>
          </w:p>
        </w:tc>
      </w:tr>
      <w:tr w:rsidR="004D7D23" w:rsidRPr="007B192E" w14:paraId="43928585" w14:textId="77777777" w:rsidTr="004D7D23">
        <w:tc>
          <w:tcPr>
            <w:tcW w:w="426" w:type="dxa"/>
          </w:tcPr>
          <w:p w14:paraId="6C3DE92E"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p>
        </w:tc>
        <w:tc>
          <w:tcPr>
            <w:tcW w:w="1842" w:type="dxa"/>
          </w:tcPr>
          <w:p w14:paraId="1E276FD7"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p>
        </w:tc>
        <w:tc>
          <w:tcPr>
            <w:tcW w:w="5172" w:type="dxa"/>
          </w:tcPr>
          <w:p w14:paraId="69FA54C2"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p>
        </w:tc>
      </w:tr>
      <w:tr w:rsidR="004D7D23" w:rsidRPr="007B192E" w14:paraId="5480AD40" w14:textId="77777777" w:rsidTr="004D7D23">
        <w:tc>
          <w:tcPr>
            <w:tcW w:w="426" w:type="dxa"/>
          </w:tcPr>
          <w:p w14:paraId="6719207F"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p>
        </w:tc>
        <w:tc>
          <w:tcPr>
            <w:tcW w:w="1842" w:type="dxa"/>
          </w:tcPr>
          <w:p w14:paraId="4A009887"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p>
        </w:tc>
        <w:tc>
          <w:tcPr>
            <w:tcW w:w="5172" w:type="dxa"/>
          </w:tcPr>
          <w:p w14:paraId="13E85E91"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p>
        </w:tc>
      </w:tr>
    </w:tbl>
    <w:p w14:paraId="67836283" w14:textId="77777777" w:rsidR="003C3EE8" w:rsidRPr="007B192E" w:rsidRDefault="003C3EE8" w:rsidP="003C3EE8">
      <w:pPr>
        <w:keepNext/>
        <w:widowControl/>
        <w:suppressAutoHyphens w:val="0"/>
        <w:adjustRightInd w:val="0"/>
        <w:spacing w:before="120" w:after="120"/>
        <w:jc w:val="both"/>
        <w:outlineLvl w:val="1"/>
        <w:rPr>
          <w:rFonts w:ascii="Arial" w:hAnsi="Arial" w:cs="Arial"/>
          <w:b/>
          <w:color w:val="000000" w:themeColor="text1"/>
          <w:sz w:val="18"/>
          <w:szCs w:val="18"/>
          <w:lang w:eastAsia="pl-PL"/>
        </w:rPr>
      </w:pPr>
      <w:r w:rsidRPr="007B192E">
        <w:rPr>
          <w:rFonts w:ascii="Arial" w:hAnsi="Arial" w:cs="Arial"/>
          <w:b/>
          <w:color w:val="000000" w:themeColor="text1"/>
          <w:sz w:val="18"/>
          <w:szCs w:val="18"/>
          <w:lang w:eastAsia="pl-PL"/>
        </w:rPr>
        <w:t>10.2. Normy</w:t>
      </w:r>
    </w:p>
    <w:tbl>
      <w:tblPr>
        <w:tblW w:w="0" w:type="auto"/>
        <w:tblInd w:w="108" w:type="dxa"/>
        <w:tblLook w:val="01E0" w:firstRow="1" w:lastRow="1" w:firstColumn="1" w:lastColumn="1" w:noHBand="0" w:noVBand="0"/>
      </w:tblPr>
      <w:tblGrid>
        <w:gridCol w:w="426"/>
        <w:gridCol w:w="1842"/>
        <w:gridCol w:w="5135"/>
      </w:tblGrid>
      <w:tr w:rsidR="004D7D23" w:rsidRPr="007B192E" w14:paraId="5C854EC4" w14:textId="77777777" w:rsidTr="004D7D23">
        <w:tc>
          <w:tcPr>
            <w:tcW w:w="426" w:type="dxa"/>
            <w:hideMark/>
          </w:tcPr>
          <w:p w14:paraId="36673BDE"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6.</w:t>
            </w:r>
          </w:p>
        </w:tc>
        <w:tc>
          <w:tcPr>
            <w:tcW w:w="1842" w:type="dxa"/>
            <w:hideMark/>
          </w:tcPr>
          <w:p w14:paraId="31708C4A"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PN-EN 206-1:2003</w:t>
            </w:r>
          </w:p>
        </w:tc>
        <w:tc>
          <w:tcPr>
            <w:tcW w:w="5135" w:type="dxa"/>
            <w:hideMark/>
          </w:tcPr>
          <w:p w14:paraId="45C2C827"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Beton – Część 1: Wymagania, właściwości, produkcja i zgodność (W okresie przejściowym można stosować PN-B-06250:1998 Beton zwykły)</w:t>
            </w:r>
          </w:p>
        </w:tc>
      </w:tr>
      <w:tr w:rsidR="004D7D23" w:rsidRPr="007B192E" w14:paraId="5F6B727B" w14:textId="77777777" w:rsidTr="004D7D23">
        <w:tc>
          <w:tcPr>
            <w:tcW w:w="426" w:type="dxa"/>
            <w:hideMark/>
          </w:tcPr>
          <w:p w14:paraId="012BA3CD"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7.</w:t>
            </w:r>
          </w:p>
        </w:tc>
        <w:tc>
          <w:tcPr>
            <w:tcW w:w="1842" w:type="dxa"/>
            <w:hideMark/>
          </w:tcPr>
          <w:p w14:paraId="0237A6D9"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PN-EN 13242:2004</w:t>
            </w:r>
          </w:p>
        </w:tc>
        <w:tc>
          <w:tcPr>
            <w:tcW w:w="5135" w:type="dxa"/>
            <w:hideMark/>
          </w:tcPr>
          <w:p w14:paraId="2C088F3A"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Kruszywa do niezwiązanych i związanych hydraulicznie materiałów stosowanych w obiektach budowlanych i budownictwie drogowym (W okresie przejściowym można stosować PN-B-11111:1996 Kruszywa mineralne. Kruszywa naturalne do nawierzchni drogowych. Żwir i mieszanka, PN-B-11112:1996 Kruszywa mineralne. Kruszywa łamane do nawierzchni drogowych, PN-B-11113:1996 Kruszywa mineralne. Kruszywa naturalne do nawierzchni drogowych. Piasek)</w:t>
            </w:r>
          </w:p>
        </w:tc>
      </w:tr>
      <w:tr w:rsidR="003C3EE8" w:rsidRPr="007B192E" w14:paraId="202D93D9" w14:textId="77777777" w:rsidTr="004D7D23">
        <w:tc>
          <w:tcPr>
            <w:tcW w:w="426" w:type="dxa"/>
            <w:hideMark/>
          </w:tcPr>
          <w:p w14:paraId="3813B209" w14:textId="77777777" w:rsidR="003C3EE8" w:rsidRPr="007B192E" w:rsidRDefault="003C3EE8" w:rsidP="004D7D23">
            <w:pPr>
              <w:widowControl/>
              <w:suppressAutoHyphens w:val="0"/>
              <w:adjustRightInd w:val="0"/>
              <w:jc w:val="right"/>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8.</w:t>
            </w:r>
          </w:p>
        </w:tc>
        <w:tc>
          <w:tcPr>
            <w:tcW w:w="1842" w:type="dxa"/>
            <w:hideMark/>
          </w:tcPr>
          <w:p w14:paraId="66A1E13A"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PN-B-06265:2004</w:t>
            </w:r>
          </w:p>
        </w:tc>
        <w:tc>
          <w:tcPr>
            <w:tcW w:w="5135" w:type="dxa"/>
            <w:hideMark/>
          </w:tcPr>
          <w:p w14:paraId="6B4A65BA" w14:textId="77777777" w:rsidR="003C3EE8" w:rsidRPr="007B192E" w:rsidRDefault="003C3EE8" w:rsidP="004D7D23">
            <w:pPr>
              <w:widowControl/>
              <w:suppressAutoHyphens w:val="0"/>
              <w:adjustRightInd w:val="0"/>
              <w:jc w:val="both"/>
              <w:rPr>
                <w:rFonts w:ascii="Arial" w:hAnsi="Arial" w:cs="Arial"/>
                <w:color w:val="000000" w:themeColor="text1"/>
                <w:sz w:val="18"/>
                <w:szCs w:val="18"/>
                <w:lang w:eastAsia="pl-PL"/>
              </w:rPr>
            </w:pPr>
            <w:r w:rsidRPr="007B192E">
              <w:rPr>
                <w:rFonts w:ascii="Arial" w:hAnsi="Arial" w:cs="Arial"/>
                <w:color w:val="000000" w:themeColor="text1"/>
                <w:sz w:val="18"/>
                <w:szCs w:val="18"/>
                <w:lang w:eastAsia="pl-PL"/>
              </w:rPr>
              <w:t>Krajowe uzupełnienie PN-EN 206-1:2003 - Beton – Część 1: Wymagania, właściwości, produkcja i zgodność</w:t>
            </w:r>
          </w:p>
        </w:tc>
      </w:tr>
    </w:tbl>
    <w:p w14:paraId="0F8DA84D" w14:textId="77777777" w:rsidR="003C3EE8" w:rsidRPr="007B192E" w:rsidRDefault="003C3EE8" w:rsidP="003C3EE8">
      <w:pPr>
        <w:rPr>
          <w:rFonts w:ascii="Arial" w:hAnsi="Arial" w:cs="Arial"/>
          <w:color w:val="000000" w:themeColor="text1"/>
          <w:sz w:val="18"/>
          <w:szCs w:val="18"/>
        </w:rPr>
      </w:pPr>
    </w:p>
    <w:p w14:paraId="487E5BDA" w14:textId="77777777" w:rsidR="003C3EE8" w:rsidRPr="007B192E" w:rsidRDefault="003C3EE8" w:rsidP="003C3EE8">
      <w:pPr>
        <w:pStyle w:val="Specyfikacje"/>
        <w:spacing w:after="0"/>
        <w:ind w:left="0"/>
        <w:rPr>
          <w:rFonts w:ascii="Arial" w:hAnsi="Arial" w:cs="Arial"/>
          <w:color w:val="000000" w:themeColor="text1"/>
          <w:sz w:val="18"/>
          <w:szCs w:val="18"/>
        </w:rPr>
      </w:pPr>
    </w:p>
    <w:p w14:paraId="329697C8" w14:textId="77777777" w:rsidR="003C3EE8" w:rsidRPr="007B192E" w:rsidRDefault="003C3EE8" w:rsidP="00E078E6">
      <w:pPr>
        <w:pStyle w:val="Specyfikacje"/>
        <w:spacing w:after="0"/>
        <w:ind w:left="0"/>
        <w:rPr>
          <w:rFonts w:ascii="Arial" w:hAnsi="Arial" w:cs="Arial"/>
          <w:color w:val="000000" w:themeColor="text1"/>
          <w:sz w:val="18"/>
        </w:rPr>
      </w:pPr>
    </w:p>
    <w:p w14:paraId="5649A879" w14:textId="77777777" w:rsidR="003C3EE8" w:rsidRPr="007B192E" w:rsidRDefault="003C3EE8" w:rsidP="00E078E6">
      <w:pPr>
        <w:pStyle w:val="Specyfikacje"/>
        <w:spacing w:after="0"/>
        <w:ind w:left="0"/>
        <w:rPr>
          <w:rFonts w:ascii="Arial" w:hAnsi="Arial" w:cs="Arial"/>
          <w:color w:val="000000" w:themeColor="text1"/>
          <w:sz w:val="18"/>
        </w:rPr>
      </w:pPr>
    </w:p>
    <w:p w14:paraId="62D11B79" w14:textId="77777777" w:rsidR="003C3EE8" w:rsidRPr="007B192E" w:rsidRDefault="003C3EE8" w:rsidP="00E078E6">
      <w:pPr>
        <w:pStyle w:val="Specyfikacje"/>
        <w:spacing w:after="0"/>
        <w:ind w:left="0"/>
        <w:rPr>
          <w:rFonts w:ascii="Arial" w:hAnsi="Arial" w:cs="Arial"/>
          <w:color w:val="000000" w:themeColor="text1"/>
          <w:sz w:val="18"/>
        </w:rPr>
      </w:pPr>
    </w:p>
    <w:p w14:paraId="0B17D1EB" w14:textId="77777777" w:rsidR="003C3EE8" w:rsidRPr="007B192E" w:rsidRDefault="003C3EE8" w:rsidP="00E078E6">
      <w:pPr>
        <w:pStyle w:val="Specyfikacje"/>
        <w:spacing w:after="0"/>
        <w:ind w:left="0"/>
        <w:rPr>
          <w:rFonts w:ascii="Arial" w:hAnsi="Arial" w:cs="Arial"/>
          <w:color w:val="000000" w:themeColor="text1"/>
          <w:sz w:val="18"/>
        </w:rPr>
      </w:pPr>
    </w:p>
    <w:p w14:paraId="2BDCD97F" w14:textId="77777777" w:rsidR="003C3EE8" w:rsidRPr="007B192E" w:rsidRDefault="003C3EE8" w:rsidP="00E078E6">
      <w:pPr>
        <w:pStyle w:val="Specyfikacje"/>
        <w:spacing w:after="0"/>
        <w:ind w:left="0"/>
        <w:rPr>
          <w:rFonts w:ascii="Arial" w:hAnsi="Arial" w:cs="Arial"/>
          <w:color w:val="000000" w:themeColor="text1"/>
          <w:sz w:val="18"/>
        </w:rPr>
      </w:pPr>
    </w:p>
    <w:p w14:paraId="5290AEA8" w14:textId="77777777" w:rsidR="003C3EE8" w:rsidRPr="007B192E" w:rsidRDefault="003C3EE8" w:rsidP="00E078E6">
      <w:pPr>
        <w:pStyle w:val="Specyfikacje"/>
        <w:spacing w:after="0"/>
        <w:ind w:left="0"/>
        <w:rPr>
          <w:rFonts w:ascii="Arial" w:hAnsi="Arial" w:cs="Arial"/>
          <w:color w:val="000000" w:themeColor="text1"/>
          <w:sz w:val="18"/>
        </w:rPr>
      </w:pPr>
    </w:p>
    <w:p w14:paraId="138954DA" w14:textId="77777777" w:rsidR="003C3EE8" w:rsidRPr="007B192E" w:rsidRDefault="003C3EE8" w:rsidP="00E078E6">
      <w:pPr>
        <w:pStyle w:val="Specyfikacje"/>
        <w:spacing w:after="0"/>
        <w:ind w:left="0"/>
        <w:rPr>
          <w:rFonts w:ascii="Arial" w:hAnsi="Arial" w:cs="Arial"/>
          <w:color w:val="000000" w:themeColor="text1"/>
          <w:sz w:val="18"/>
        </w:rPr>
      </w:pPr>
    </w:p>
    <w:p w14:paraId="1688DF4D" w14:textId="77777777" w:rsidR="003C3EE8" w:rsidRPr="007B192E" w:rsidRDefault="003C3EE8" w:rsidP="00E078E6">
      <w:pPr>
        <w:pStyle w:val="Specyfikacje"/>
        <w:spacing w:after="0"/>
        <w:ind w:left="0"/>
        <w:rPr>
          <w:rFonts w:ascii="Arial" w:hAnsi="Arial" w:cs="Arial"/>
          <w:color w:val="000000" w:themeColor="text1"/>
          <w:sz w:val="18"/>
        </w:rPr>
      </w:pPr>
    </w:p>
    <w:p w14:paraId="1BEB57FA" w14:textId="77777777" w:rsidR="003C3EE8" w:rsidRPr="007B192E" w:rsidRDefault="003C3EE8" w:rsidP="00E078E6">
      <w:pPr>
        <w:pStyle w:val="Specyfikacje"/>
        <w:spacing w:after="0"/>
        <w:ind w:left="0"/>
        <w:rPr>
          <w:rFonts w:ascii="Arial" w:hAnsi="Arial" w:cs="Arial"/>
          <w:color w:val="000000" w:themeColor="text1"/>
          <w:sz w:val="18"/>
        </w:rPr>
      </w:pPr>
    </w:p>
    <w:sectPr w:rsidR="003C3EE8" w:rsidRPr="007B192E" w:rsidSect="005C1362">
      <w:footerReference w:type="default" r:id="rId49"/>
      <w:pgSz w:w="11906" w:h="16838"/>
      <w:pgMar w:top="851" w:right="1134" w:bottom="1134" w:left="1474" w:header="708" w:footer="720" w:gutter="0"/>
      <w:cols w:space="708"/>
      <w:docGrid w:linePitch="36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F8A0E5B" w14:textId="77777777" w:rsidR="00AD2F51" w:rsidRDefault="00AD2F51">
      <w:r>
        <w:separator/>
      </w:r>
    </w:p>
  </w:endnote>
  <w:endnote w:type="continuationSeparator" w:id="0">
    <w:p w14:paraId="70313E6B" w14:textId="77777777" w:rsidR="00AD2F51" w:rsidRDefault="00AD2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00"/>
    <w:family w:val="auto"/>
    <w:pitch w:val="variable"/>
    <w:sig w:usb0="00000003" w:usb1="10008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w:panose1 w:val="020B0604020202020204"/>
    <w:charset w:val="EE"/>
    <w:family w:val="swiss"/>
    <w:pitch w:val="variable"/>
    <w:sig w:usb0="E0002EFF" w:usb1="C000785B" w:usb2="00000009" w:usb3="00000000" w:csb0="000001FF" w:csb1="00000000"/>
  </w:font>
  <w:font w:name="OpenSymbol">
    <w:altName w:val="Calibri"/>
    <w:charset w:val="00"/>
    <w:family w:val="auto"/>
    <w:pitch w:val="variable"/>
    <w:sig w:usb0="800000AF" w:usb1="1001ECEA" w:usb2="00000000" w:usb3="00000000" w:csb0="00000001" w:csb1="00000000"/>
  </w:font>
  <w:font w:name="Times-Roman">
    <w:altName w:val="Times New Roman"/>
    <w:panose1 w:val="00000000000000000000"/>
    <w:charset w:val="00"/>
    <w:family w:val="auto"/>
    <w:notTrueType/>
    <w:pitch w:val="default"/>
    <w:sig w:usb0="00000003" w:usb1="00000000" w:usb2="00000000" w:usb3="00000000" w:csb0="00000001" w:csb1="00000000"/>
  </w:font>
  <w:font w:name="OpenSymbol, 'Arial Unicode MS'">
    <w:altName w:val="Times New Roman"/>
    <w:charset w:val="00"/>
    <w:family w:val="auto"/>
    <w:pitch w:val="default"/>
  </w:font>
  <w:font w:name="Letter Gothic">
    <w:panose1 w:val="00000000000000000000"/>
    <w:charset w:val="00"/>
    <w:family w:val="modern"/>
    <w:notTrueType/>
    <w:pitch w:val="fixed"/>
    <w:sig w:usb0="00000003" w:usb1="00000000" w:usb2="00000000" w:usb3="00000000" w:csb0="00000001" w:csb1="00000000"/>
  </w:font>
  <w:font w:name="font393">
    <w:altName w:val="MS Mincho"/>
    <w:charset w:val="80"/>
    <w:family w:val="auto"/>
    <w:pitch w:val="default"/>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Antique Olive">
    <w:panose1 w:val="00000000000000000000"/>
    <w:charset w:val="00"/>
    <w:family w:val="swiss"/>
    <w:notTrueType/>
    <w:pitch w:val="variable"/>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HG Mincho Light J">
    <w:altName w:val="Times New Roman"/>
    <w:charset w:val="00"/>
    <w:family w:val="auto"/>
    <w:pitch w:val="variable"/>
  </w:font>
  <w:font w:name="Bookman Old Style">
    <w:panose1 w:val="02050604050505020204"/>
    <w:charset w:val="EE"/>
    <w:family w:val="roman"/>
    <w:pitch w:val="variable"/>
    <w:sig w:usb0="000002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Comic Sans MS">
    <w:panose1 w:val="030F0702030302020204"/>
    <w:charset w:val="EE"/>
    <w:family w:val="script"/>
    <w:pitch w:val="variable"/>
    <w:sig w:usb0="00000287" w:usb1="00000013"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Andale Sans UI">
    <w:altName w:val="Arial Unicode MS"/>
    <w:charset w:val="EE"/>
    <w:family w:val="swiss"/>
    <w:pitch w:val="variable"/>
    <w:sig w:usb0="00000287" w:usb1="00000000" w:usb2="00000000" w:usb3="00000000" w:csb0="0000009F" w:csb1="00000000"/>
  </w:font>
  <w:font w:name="NewsGothEU">
    <w:altName w:val="News Goth EU"/>
    <w:panose1 w:val="00000000000000000000"/>
    <w:charset w:val="EE"/>
    <w:family w:val="swiss"/>
    <w:notTrueType/>
    <w:pitch w:val="default"/>
    <w:sig w:usb0="00000005" w:usb1="00000000" w:usb2="00000000" w:usb3="00000000" w:csb0="00000002" w:csb1="00000000"/>
  </w:font>
  <w:font w:name="TimesNewRoman">
    <w:altName w:val="Yu Gothic"/>
    <w:panose1 w:val="00000000000000000000"/>
    <w:charset w:val="80"/>
    <w:family w:val="auto"/>
    <w:notTrueType/>
    <w:pitch w:val="default"/>
    <w:sig w:usb0="00000001" w:usb1="09070000" w:usb2="00000010" w:usb3="00000000" w:csb0="000A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9E2671" w14:textId="77777777" w:rsidR="00AD2F51" w:rsidRPr="00574E55" w:rsidRDefault="00AD2F51" w:rsidP="00890A09">
    <w:pPr>
      <w:pStyle w:val="Stopka"/>
      <w:rPr>
        <w:rFonts w:ascii="Arial" w:hAnsi="Arial" w:cs="Arial"/>
        <w:color w:val="000000"/>
        <w:sz w:val="16"/>
        <w:szCs w:val="16"/>
        <w:lang w:eastAsia="pl-PL"/>
      </w:rPr>
    </w:pPr>
    <w:r>
      <w:rPr>
        <w:rFonts w:ascii="Arial" w:hAnsi="Arial" w:cs="Arial"/>
        <w:sz w:val="16"/>
        <w:szCs w:val="16"/>
      </w:rPr>
      <w:t>Przebudowa sieci wodociągowej  w ul. Wincentego Kadłubka</w:t>
    </w:r>
    <w:r>
      <w:rPr>
        <w:rFonts w:ascii="Arial" w:hAnsi="Arial" w:cs="Arial"/>
        <w:color w:val="000000"/>
        <w:sz w:val="16"/>
        <w:szCs w:val="16"/>
        <w:lang w:eastAsia="pl-PL"/>
      </w:rPr>
      <w:t xml:space="preserve"> w Szczecinie.</w:t>
    </w:r>
    <w:r w:rsidRPr="00890A09">
      <w:tab/>
    </w:r>
    <w:r w:rsidRPr="003A0C7C">
      <w:rPr>
        <w:rFonts w:ascii="Arial" w:hAnsi="Arial" w:cs="Arial"/>
        <w:sz w:val="20"/>
      </w:rPr>
      <w:t xml:space="preserve">Strona </w:t>
    </w:r>
    <w:r w:rsidRPr="003A0C7C">
      <w:rPr>
        <w:rFonts w:ascii="Arial" w:hAnsi="Arial" w:cs="Arial"/>
        <w:sz w:val="20"/>
      </w:rPr>
      <w:fldChar w:fldCharType="begin"/>
    </w:r>
    <w:r w:rsidRPr="003A0C7C">
      <w:rPr>
        <w:rFonts w:ascii="Arial" w:hAnsi="Arial" w:cs="Arial"/>
        <w:sz w:val="20"/>
      </w:rPr>
      <w:instrText>PAGE   \* MERGEFORMAT</w:instrText>
    </w:r>
    <w:r w:rsidRPr="003A0C7C">
      <w:rPr>
        <w:rFonts w:ascii="Arial" w:hAnsi="Arial" w:cs="Arial"/>
        <w:sz w:val="20"/>
      </w:rPr>
      <w:fldChar w:fldCharType="separate"/>
    </w:r>
    <w:r w:rsidR="00CC122D">
      <w:rPr>
        <w:rFonts w:ascii="Arial" w:hAnsi="Arial" w:cs="Arial"/>
        <w:noProof/>
        <w:sz w:val="20"/>
      </w:rPr>
      <w:t>32</w:t>
    </w:r>
    <w:r w:rsidRPr="003A0C7C">
      <w:rPr>
        <w:rFonts w:ascii="Arial" w:hAnsi="Arial" w:cs="Arial"/>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6FED6F" w14:textId="77777777" w:rsidR="00AD2F51" w:rsidRDefault="00AD2F51">
      <w:r>
        <w:separator/>
      </w:r>
    </w:p>
  </w:footnote>
  <w:footnote w:type="continuationSeparator" w:id="0">
    <w:p w14:paraId="37A62000" w14:textId="77777777" w:rsidR="00AD2F51" w:rsidRDefault="00AD2F5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9A8A1574"/>
    <w:styleLink w:val="WW8Num922"/>
    <w:lvl w:ilvl="0">
      <w:numFmt w:val="bullet"/>
      <w:lvlText w:val="*"/>
      <w:lvlJc w:val="left"/>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
    <w:lvl w:ilvl="0">
      <w:start w:val="1"/>
      <w:numFmt w:val="none"/>
      <w:suff w:val="nothing"/>
      <w:lvlText w:val=""/>
      <w:lvlJc w:val="left"/>
      <w:pPr>
        <w:tabs>
          <w:tab w:val="num" w:pos="0"/>
        </w:tabs>
        <w:ind w:left="0" w:firstLine="0"/>
      </w:pPr>
    </w:lvl>
    <w:lvl w:ilvl="1">
      <w:numFmt w:val="none"/>
      <w:suff w:val="nothing"/>
      <w:lvlText w:val=""/>
      <w:lvlJc w:val="left"/>
      <w:pPr>
        <w:tabs>
          <w:tab w:val="num" w:pos="0"/>
        </w:tabs>
        <w:ind w:left="0" w:firstLine="0"/>
      </w:pPr>
    </w:lvl>
    <w:lvl w:ilvl="2">
      <w:numFmt w:val="none"/>
      <w:suff w:val="nothing"/>
      <w:lvlText w:val=""/>
      <w:lvlJc w:val="left"/>
      <w:pPr>
        <w:tabs>
          <w:tab w:val="num" w:pos="0"/>
        </w:tabs>
        <w:ind w:left="0" w:firstLine="0"/>
      </w:pPr>
    </w:lvl>
    <w:lvl w:ilvl="3">
      <w:numFmt w:val="none"/>
      <w:suff w:val="nothing"/>
      <w:lvlText w:val=""/>
      <w:lvlJc w:val="left"/>
      <w:pPr>
        <w:tabs>
          <w:tab w:val="num" w:pos="0"/>
        </w:tabs>
        <w:ind w:left="0" w:firstLine="0"/>
      </w:pPr>
    </w:lvl>
    <w:lvl w:ilvl="4">
      <w:numFmt w:val="none"/>
      <w:suff w:val="nothing"/>
      <w:lvlText w:val=""/>
      <w:lvlJc w:val="left"/>
      <w:pPr>
        <w:tabs>
          <w:tab w:val="num" w:pos="0"/>
        </w:tabs>
        <w:ind w:left="0" w:firstLine="0"/>
      </w:pPr>
    </w:lvl>
    <w:lvl w:ilvl="5">
      <w:numFmt w:val="none"/>
      <w:suff w:val="nothing"/>
      <w:lvlText w:val=""/>
      <w:lvlJc w:val="left"/>
      <w:pPr>
        <w:tabs>
          <w:tab w:val="num" w:pos="0"/>
        </w:tabs>
        <w:ind w:left="0" w:firstLine="0"/>
      </w:pPr>
    </w:lvl>
    <w:lvl w:ilvl="6">
      <w:numFmt w:val="none"/>
      <w:suff w:val="nothing"/>
      <w:lvlText w:val=""/>
      <w:lvlJc w:val="left"/>
      <w:pPr>
        <w:tabs>
          <w:tab w:val="num" w:pos="0"/>
        </w:tabs>
        <w:ind w:left="0" w:firstLine="0"/>
      </w:pPr>
    </w:lvl>
    <w:lvl w:ilvl="7">
      <w:numFmt w:val="none"/>
      <w:suff w:val="nothing"/>
      <w:lvlText w:val=""/>
      <w:lvlJc w:val="left"/>
      <w:pPr>
        <w:tabs>
          <w:tab w:val="num" w:pos="0"/>
        </w:tabs>
        <w:ind w:left="0" w:firstLine="0"/>
      </w:pPr>
    </w:lvl>
    <w:lvl w:ilvl="8">
      <w:numFmt w:val="none"/>
      <w:suff w:val="nothing"/>
      <w:lvlText w:val=""/>
      <w:lvlJc w:val="left"/>
      <w:pPr>
        <w:tabs>
          <w:tab w:val="num" w:pos="0"/>
        </w:tabs>
        <w:ind w:left="0" w:firstLine="0"/>
      </w:pPr>
    </w:lvl>
  </w:abstractNum>
  <w:abstractNum w:abstractNumId="3" w15:restartNumberingAfterBreak="0">
    <w:nsid w:val="00000003"/>
    <w:multiLevelType w:val="singleLevel"/>
    <w:tmpl w:val="00000003"/>
    <w:name w:val="WW8Num2"/>
    <w:lvl w:ilvl="0">
      <w:numFmt w:val="decimal"/>
      <w:suff w:val="nothing"/>
      <w:lvlText w:val="*%1"/>
      <w:lvlJc w:val="left"/>
      <w:pPr>
        <w:tabs>
          <w:tab w:val="num" w:pos="0"/>
        </w:tabs>
        <w:ind w:left="0" w:firstLine="0"/>
      </w:pPr>
    </w:lvl>
  </w:abstractNum>
  <w:abstractNum w:abstractNumId="4" w15:restartNumberingAfterBreak="0">
    <w:nsid w:val="00000004"/>
    <w:multiLevelType w:val="singleLevel"/>
    <w:tmpl w:val="00000004"/>
    <w:name w:val="WW8Num9"/>
    <w:lvl w:ilvl="0">
      <w:start w:val="1"/>
      <w:numFmt w:val="bullet"/>
      <w:pStyle w:val="Wypunktowanie"/>
      <w:lvlText w:val=""/>
      <w:lvlJc w:val="left"/>
      <w:pPr>
        <w:tabs>
          <w:tab w:val="num" w:pos="644"/>
        </w:tabs>
        <w:ind w:left="644" w:hanging="360"/>
      </w:pPr>
      <w:rPr>
        <w:rFonts w:ascii="Symbol" w:hAnsi="Symbol" w:cs="StarSymbol"/>
        <w:sz w:val="18"/>
        <w:szCs w:val="18"/>
      </w:rPr>
    </w:lvl>
  </w:abstractNum>
  <w:abstractNum w:abstractNumId="5" w15:restartNumberingAfterBreak="0">
    <w:nsid w:val="0000000A"/>
    <w:multiLevelType w:val="singleLevel"/>
    <w:tmpl w:val="0000000A"/>
    <w:name w:val="WW8Num16"/>
    <w:styleLink w:val="WW8Num1912"/>
    <w:lvl w:ilvl="0">
      <w:start w:val="1"/>
      <w:numFmt w:val="bullet"/>
      <w:lvlText w:val="q"/>
      <w:lvlJc w:val="left"/>
      <w:pPr>
        <w:tabs>
          <w:tab w:val="num" w:pos="0"/>
        </w:tabs>
        <w:ind w:left="0" w:firstLine="0"/>
      </w:pPr>
      <w:rPr>
        <w:rFonts w:ascii="Wingdings" w:hAnsi="Wingdings"/>
        <w:sz w:val="16"/>
      </w:rPr>
    </w:lvl>
  </w:abstractNum>
  <w:abstractNum w:abstractNumId="6" w15:restartNumberingAfterBreak="0">
    <w:nsid w:val="0000000B"/>
    <w:multiLevelType w:val="singleLevel"/>
    <w:tmpl w:val="0000000B"/>
    <w:name w:val="WW8Num17"/>
    <w:styleLink w:val="WW8Num333"/>
    <w:lvl w:ilvl="0">
      <w:start w:val="1"/>
      <w:numFmt w:val="bullet"/>
      <w:lvlText w:val="q"/>
      <w:lvlJc w:val="left"/>
      <w:pPr>
        <w:tabs>
          <w:tab w:val="num" w:pos="0"/>
        </w:tabs>
        <w:ind w:left="0" w:firstLine="0"/>
      </w:pPr>
      <w:rPr>
        <w:rFonts w:ascii="Wingdings" w:hAnsi="Wingdings"/>
        <w:sz w:val="16"/>
      </w:rPr>
    </w:lvl>
  </w:abstractNum>
  <w:abstractNum w:abstractNumId="7" w15:restartNumberingAfterBreak="0">
    <w:nsid w:val="0000000C"/>
    <w:multiLevelType w:val="singleLevel"/>
    <w:tmpl w:val="0000000C"/>
    <w:name w:val="WW8Num18"/>
    <w:styleLink w:val="WW8Num842"/>
    <w:lvl w:ilvl="0">
      <w:start w:val="1"/>
      <w:numFmt w:val="bullet"/>
      <w:lvlText w:val="q"/>
      <w:lvlJc w:val="left"/>
      <w:pPr>
        <w:tabs>
          <w:tab w:val="num" w:pos="0"/>
        </w:tabs>
        <w:ind w:left="0" w:firstLine="0"/>
      </w:pPr>
      <w:rPr>
        <w:rFonts w:ascii="Wingdings" w:hAnsi="Wingdings"/>
        <w:sz w:val="16"/>
      </w:rPr>
    </w:lvl>
  </w:abstractNum>
  <w:abstractNum w:abstractNumId="8" w15:restartNumberingAfterBreak="0">
    <w:nsid w:val="0000000D"/>
    <w:multiLevelType w:val="multilevel"/>
    <w:tmpl w:val="0000000D"/>
    <w:name w:val="WW8Num19"/>
    <w:styleLink w:val="WW8Num2711"/>
    <w:lvl w:ilvl="0">
      <w:start w:val="1"/>
      <w:numFmt w:val="bullet"/>
      <w:pStyle w:val="111Nagwek3Znak"/>
      <w:lvlText w:val=""/>
      <w:lvlJc w:val="left"/>
      <w:pPr>
        <w:tabs>
          <w:tab w:val="num" w:pos="0"/>
        </w:tabs>
        <w:ind w:left="0" w:firstLine="0"/>
      </w:pPr>
      <w:rPr>
        <w:rFonts w:ascii="Wingdings 2" w:hAnsi="Wingdings 2"/>
        <w:sz w:val="16"/>
        <w:szCs w:val="16"/>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decimal"/>
      <w:lvlText w:val="%4.."/>
      <w:lvlJc w:val="left"/>
      <w:pPr>
        <w:tabs>
          <w:tab w:val="num" w:pos="0"/>
        </w:tabs>
        <w:ind w:left="0" w:firstLine="0"/>
      </w:pPr>
    </w:lvl>
    <w:lvl w:ilvl="4">
      <w:start w:val="1"/>
      <w:numFmt w:val="decimal"/>
      <w:lvlText w:val="%5..."/>
      <w:lvlJc w:val="left"/>
      <w:pPr>
        <w:tabs>
          <w:tab w:val="num" w:pos="0"/>
        </w:tabs>
        <w:ind w:left="0" w:firstLine="0"/>
      </w:pPr>
    </w:lvl>
    <w:lvl w:ilvl="5">
      <w:start w:val="1"/>
      <w:numFmt w:val="decimal"/>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decimal"/>
      <w:lvlText w:val="%8...."/>
      <w:lvlJc w:val="left"/>
      <w:pPr>
        <w:tabs>
          <w:tab w:val="num" w:pos="0"/>
        </w:tabs>
        <w:ind w:left="0" w:firstLine="0"/>
      </w:pPr>
    </w:lvl>
    <w:lvl w:ilvl="8">
      <w:start w:val="1"/>
      <w:numFmt w:val="decimal"/>
      <w:lvlText w:val="%9....."/>
      <w:lvlJc w:val="left"/>
      <w:pPr>
        <w:tabs>
          <w:tab w:val="num" w:pos="0"/>
        </w:tabs>
        <w:ind w:left="0" w:firstLine="0"/>
      </w:pPr>
    </w:lvl>
  </w:abstractNum>
  <w:abstractNum w:abstractNumId="9" w15:restartNumberingAfterBreak="0">
    <w:nsid w:val="0000000E"/>
    <w:multiLevelType w:val="multilevel"/>
    <w:tmpl w:val="0000000E"/>
    <w:name w:val="WW8Num20"/>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0000000F"/>
    <w:multiLevelType w:val="multilevel"/>
    <w:tmpl w:val="0000000F"/>
    <w:name w:val="WW8Num21"/>
    <w:styleLink w:val="WW8Num5811"/>
    <w:lvl w:ilvl="0">
      <w:start w:val="1"/>
      <w:numFmt w:val="bullet"/>
      <w:lvlText w:val="q"/>
      <w:lvlJc w:val="left"/>
      <w:pPr>
        <w:tabs>
          <w:tab w:val="num" w:pos="0"/>
        </w:tabs>
        <w:ind w:left="0" w:firstLine="0"/>
      </w:pPr>
      <w:rPr>
        <w:rFonts w:ascii="Wingdings" w:hAnsi="Wingdings"/>
        <w:sz w:val="20"/>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00000010"/>
    <w:multiLevelType w:val="singleLevel"/>
    <w:tmpl w:val="00000010"/>
    <w:name w:val="WW8Num22"/>
    <w:styleLink w:val="WW8Num20112"/>
    <w:lvl w:ilvl="0">
      <w:start w:val="1"/>
      <w:numFmt w:val="bullet"/>
      <w:lvlText w:val="q"/>
      <w:lvlJc w:val="left"/>
      <w:pPr>
        <w:tabs>
          <w:tab w:val="num" w:pos="0"/>
        </w:tabs>
        <w:ind w:left="0" w:firstLine="0"/>
      </w:pPr>
      <w:rPr>
        <w:rFonts w:ascii="Wingdings" w:hAnsi="Wingdings"/>
        <w:sz w:val="16"/>
      </w:rPr>
    </w:lvl>
  </w:abstractNum>
  <w:abstractNum w:abstractNumId="12" w15:restartNumberingAfterBreak="0">
    <w:nsid w:val="00000011"/>
    <w:multiLevelType w:val="singleLevel"/>
    <w:tmpl w:val="00000011"/>
    <w:name w:val="WW8Num23"/>
    <w:styleLink w:val="WW8Num583"/>
    <w:lvl w:ilvl="0">
      <w:start w:val="1"/>
      <w:numFmt w:val="bullet"/>
      <w:lvlText w:val="q"/>
      <w:lvlJc w:val="left"/>
      <w:pPr>
        <w:tabs>
          <w:tab w:val="num" w:pos="0"/>
        </w:tabs>
        <w:ind w:left="0" w:firstLine="0"/>
      </w:pPr>
      <w:rPr>
        <w:rFonts w:ascii="Wingdings" w:hAnsi="Wingdings"/>
        <w:sz w:val="16"/>
      </w:rPr>
    </w:lvl>
  </w:abstractNum>
  <w:abstractNum w:abstractNumId="13" w15:restartNumberingAfterBreak="0">
    <w:nsid w:val="00000012"/>
    <w:multiLevelType w:val="singleLevel"/>
    <w:tmpl w:val="00000012"/>
    <w:name w:val="WW8Num24"/>
    <w:lvl w:ilvl="0">
      <w:start w:val="1"/>
      <w:numFmt w:val="bullet"/>
      <w:lvlText w:val="q"/>
      <w:lvlJc w:val="left"/>
      <w:pPr>
        <w:tabs>
          <w:tab w:val="num" w:pos="0"/>
        </w:tabs>
        <w:ind w:left="0" w:firstLine="0"/>
      </w:pPr>
      <w:rPr>
        <w:rFonts w:ascii="Wingdings" w:hAnsi="Wingdings"/>
        <w:sz w:val="16"/>
      </w:rPr>
    </w:lvl>
  </w:abstractNum>
  <w:abstractNum w:abstractNumId="14" w15:restartNumberingAfterBreak="0">
    <w:nsid w:val="00000013"/>
    <w:multiLevelType w:val="singleLevel"/>
    <w:tmpl w:val="00000013"/>
    <w:name w:val="WW8Num25"/>
    <w:lvl w:ilvl="0">
      <w:start w:val="1"/>
      <w:numFmt w:val="bullet"/>
      <w:lvlText w:val="q"/>
      <w:lvlJc w:val="left"/>
      <w:pPr>
        <w:tabs>
          <w:tab w:val="num" w:pos="0"/>
        </w:tabs>
        <w:ind w:left="0" w:firstLine="0"/>
      </w:pPr>
      <w:rPr>
        <w:rFonts w:ascii="Wingdings" w:hAnsi="Wingdings"/>
        <w:sz w:val="16"/>
      </w:rPr>
    </w:lvl>
  </w:abstractNum>
  <w:abstractNum w:abstractNumId="15" w15:restartNumberingAfterBreak="0">
    <w:nsid w:val="00000014"/>
    <w:multiLevelType w:val="multilevel"/>
    <w:tmpl w:val="00000014"/>
    <w:name w:val="WW8Num26"/>
    <w:styleLink w:val="WW8Num663"/>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00000015"/>
    <w:multiLevelType w:val="singleLevel"/>
    <w:tmpl w:val="00000015"/>
    <w:name w:val="WW8Num27"/>
    <w:lvl w:ilvl="0">
      <w:start w:val="1"/>
      <w:numFmt w:val="bullet"/>
      <w:lvlText w:val="q"/>
      <w:lvlJc w:val="left"/>
      <w:pPr>
        <w:tabs>
          <w:tab w:val="num" w:pos="0"/>
        </w:tabs>
        <w:ind w:left="0" w:firstLine="0"/>
      </w:pPr>
      <w:rPr>
        <w:rFonts w:ascii="Wingdings" w:hAnsi="Wingdings"/>
        <w:sz w:val="16"/>
      </w:rPr>
    </w:lvl>
  </w:abstractNum>
  <w:abstractNum w:abstractNumId="17" w15:restartNumberingAfterBreak="0">
    <w:nsid w:val="00000016"/>
    <w:multiLevelType w:val="multilevel"/>
    <w:tmpl w:val="00000016"/>
    <w:name w:val="WW8Num28"/>
    <w:styleLink w:val="WW8Num463"/>
    <w:lvl w:ilvl="0">
      <w:start w:val="1"/>
      <w:numFmt w:val="bullet"/>
      <w:lvlText w:val="q"/>
      <w:lvlJc w:val="left"/>
      <w:pPr>
        <w:tabs>
          <w:tab w:val="num" w:pos="0"/>
        </w:tabs>
        <w:ind w:left="0" w:firstLine="0"/>
      </w:pPr>
      <w:rPr>
        <w:rFonts w:ascii="Wingdings" w:hAnsi="Wingdings"/>
        <w:sz w:val="16"/>
      </w:rPr>
    </w:lvl>
    <w:lvl w:ilvl="1">
      <w:start w:val="1"/>
      <w:numFmt w:val="decimal"/>
      <w:lvlText w:val="%1.%2."/>
      <w:lvlJc w:val="left"/>
      <w:pPr>
        <w:tabs>
          <w:tab w:val="num" w:pos="0"/>
        </w:tabs>
        <w:ind w:left="0" w:firstLine="0"/>
      </w:pPr>
      <w:rPr>
        <w:rFonts w:ascii="Wingdings" w:hAnsi="Wingdings"/>
        <w:sz w:val="16"/>
      </w:r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18" w15:restartNumberingAfterBreak="0">
    <w:nsid w:val="00000017"/>
    <w:multiLevelType w:val="multilevel"/>
    <w:tmpl w:val="00000017"/>
    <w:name w:val="WW8Num29"/>
    <w:lvl w:ilvl="0">
      <w:start w:val="1"/>
      <w:numFmt w:val="bullet"/>
      <w:lvlText w:val="-"/>
      <w:lvlJc w:val="left"/>
      <w:pPr>
        <w:tabs>
          <w:tab w:val="num" w:pos="0"/>
        </w:tabs>
        <w:ind w:left="0" w:firstLine="0"/>
      </w:pPr>
      <w:rPr>
        <w:rFonts w:ascii="Symbol" w:hAnsi="Symbol"/>
        <w:sz w:val="16"/>
      </w:rPr>
    </w:lvl>
    <w:lvl w:ilvl="1">
      <w:start w:val="1"/>
      <w:numFmt w:val="bullet"/>
      <w:lvlText w:val="q"/>
      <w:lvlJc w:val="left"/>
      <w:pPr>
        <w:tabs>
          <w:tab w:val="num" w:pos="0"/>
        </w:tabs>
        <w:ind w:left="0" w:firstLine="0"/>
      </w:pPr>
      <w:rPr>
        <w:rFonts w:ascii="Wingdings" w:hAnsi="Wingdings"/>
        <w:sz w:val="16"/>
      </w:rPr>
    </w:lvl>
    <w:lvl w:ilvl="2">
      <w:start w:val="1"/>
      <w:numFmt w:val="bullet"/>
      <w:lvlText w:val="§"/>
      <w:lvlJc w:val="left"/>
      <w:pPr>
        <w:tabs>
          <w:tab w:val="num" w:pos="0"/>
        </w:tabs>
        <w:ind w:left="0" w:firstLine="0"/>
      </w:pPr>
      <w:rPr>
        <w:rFonts w:ascii="Wingdings" w:hAnsi="Wingdings"/>
      </w:rPr>
    </w:lvl>
    <w:lvl w:ilvl="3">
      <w:start w:val="1"/>
      <w:numFmt w:val="bullet"/>
      <w:lvlText w:val="·"/>
      <w:lvlJc w:val="left"/>
      <w:pPr>
        <w:tabs>
          <w:tab w:val="num" w:pos="0"/>
        </w:tabs>
        <w:ind w:left="0" w:firstLine="0"/>
      </w:pPr>
      <w:rPr>
        <w:rFonts w:ascii="Symbol" w:hAnsi="Symbol"/>
        <w:sz w:val="16"/>
      </w:rPr>
    </w:lvl>
    <w:lvl w:ilvl="4">
      <w:start w:val="1"/>
      <w:numFmt w:val="bullet"/>
      <w:lvlText w:val="o"/>
      <w:lvlJc w:val="left"/>
      <w:pPr>
        <w:tabs>
          <w:tab w:val="num" w:pos="0"/>
        </w:tabs>
        <w:ind w:left="0" w:firstLine="0"/>
      </w:pPr>
      <w:rPr>
        <w:rFonts w:ascii="Courier New" w:hAnsi="Courier New" w:cs="Courier New"/>
      </w:rPr>
    </w:lvl>
    <w:lvl w:ilvl="5">
      <w:start w:val="1"/>
      <w:numFmt w:val="bullet"/>
      <w:lvlText w:val="§"/>
      <w:lvlJc w:val="left"/>
      <w:pPr>
        <w:tabs>
          <w:tab w:val="num" w:pos="0"/>
        </w:tabs>
        <w:ind w:left="0" w:firstLine="0"/>
      </w:pPr>
      <w:rPr>
        <w:rFonts w:ascii="Wingdings" w:hAnsi="Wingdings"/>
      </w:rPr>
    </w:lvl>
    <w:lvl w:ilvl="6">
      <w:start w:val="1"/>
      <w:numFmt w:val="bullet"/>
      <w:lvlText w:val="·"/>
      <w:lvlJc w:val="left"/>
      <w:pPr>
        <w:tabs>
          <w:tab w:val="num" w:pos="0"/>
        </w:tabs>
        <w:ind w:left="0" w:firstLine="0"/>
      </w:pPr>
      <w:rPr>
        <w:rFonts w:ascii="Symbol" w:hAnsi="Symbol"/>
        <w:sz w:val="16"/>
      </w:rPr>
    </w:lvl>
    <w:lvl w:ilvl="7">
      <w:start w:val="1"/>
      <w:numFmt w:val="bullet"/>
      <w:lvlText w:val="o"/>
      <w:lvlJc w:val="left"/>
      <w:pPr>
        <w:tabs>
          <w:tab w:val="num" w:pos="0"/>
        </w:tabs>
        <w:ind w:left="0" w:firstLine="0"/>
      </w:pPr>
      <w:rPr>
        <w:rFonts w:ascii="Courier New" w:hAnsi="Courier New" w:cs="Courier New"/>
      </w:rPr>
    </w:lvl>
    <w:lvl w:ilvl="8">
      <w:start w:val="1"/>
      <w:numFmt w:val="bullet"/>
      <w:lvlText w:val="§"/>
      <w:lvlJc w:val="left"/>
      <w:pPr>
        <w:tabs>
          <w:tab w:val="num" w:pos="0"/>
        </w:tabs>
        <w:ind w:left="0" w:firstLine="0"/>
      </w:pPr>
      <w:rPr>
        <w:rFonts w:ascii="Wingdings" w:hAnsi="Wingdings"/>
      </w:rPr>
    </w:lvl>
  </w:abstractNum>
  <w:abstractNum w:abstractNumId="19" w15:restartNumberingAfterBreak="0">
    <w:nsid w:val="00000019"/>
    <w:multiLevelType w:val="multilevel"/>
    <w:tmpl w:val="51942E6E"/>
    <w:name w:val="WW8Num31"/>
    <w:styleLink w:val="WW8Num1011"/>
    <w:lvl w:ilvl="0">
      <w:start w:val="1"/>
      <w:numFmt w:val="bullet"/>
      <w:lvlText w:val="q"/>
      <w:lvlJc w:val="left"/>
      <w:pPr>
        <w:tabs>
          <w:tab w:val="num" w:pos="360"/>
        </w:tabs>
        <w:ind w:left="360" w:hanging="360"/>
      </w:pPr>
      <w:rPr>
        <w:rFonts w:ascii="Wingdings" w:hAnsi="Wingdings"/>
        <w:sz w:val="16"/>
      </w:rPr>
    </w:lvl>
    <w:lvl w:ilvl="1">
      <w:start w:val="1"/>
      <w:numFmt w:val="bullet"/>
      <w:lvlText w:val=""/>
      <w:lvlJc w:val="left"/>
      <w:pPr>
        <w:tabs>
          <w:tab w:val="num" w:pos="720"/>
        </w:tabs>
        <w:ind w:left="720" w:hanging="360"/>
      </w:pPr>
      <w:rPr>
        <w:rFonts w:ascii="Symbol" w:hAnsi="Symbol"/>
        <w:sz w:val="16"/>
      </w:rPr>
    </w:lvl>
    <w:lvl w:ilvl="2">
      <w:start w:val="1"/>
      <w:numFmt w:val="bullet"/>
      <w:lvlText w:val=""/>
      <w:lvlJc w:val="left"/>
      <w:pPr>
        <w:tabs>
          <w:tab w:val="num" w:pos="1080"/>
        </w:tabs>
        <w:ind w:left="1080" w:hanging="360"/>
      </w:pPr>
      <w:rPr>
        <w:rFonts w:ascii="Symbol" w:hAnsi="Symbol"/>
        <w:sz w:val="16"/>
      </w:rPr>
    </w:lvl>
    <w:lvl w:ilvl="3">
      <w:start w:val="1"/>
      <w:numFmt w:val="bullet"/>
      <w:lvlText w:val=""/>
      <w:lvlJc w:val="left"/>
      <w:pPr>
        <w:tabs>
          <w:tab w:val="num" w:pos="1440"/>
        </w:tabs>
        <w:ind w:left="1440" w:hanging="360"/>
      </w:pPr>
      <w:rPr>
        <w:rFonts w:ascii="Symbol" w:hAnsi="Symbol"/>
        <w:sz w:val="16"/>
      </w:rPr>
    </w:lvl>
    <w:lvl w:ilvl="4">
      <w:start w:val="1"/>
      <w:numFmt w:val="bullet"/>
      <w:lvlText w:val=""/>
      <w:lvlJc w:val="left"/>
      <w:pPr>
        <w:tabs>
          <w:tab w:val="num" w:pos="1800"/>
        </w:tabs>
        <w:ind w:left="1800" w:hanging="360"/>
      </w:pPr>
      <w:rPr>
        <w:rFonts w:ascii="Symbol" w:hAnsi="Symbol"/>
        <w:sz w:val="16"/>
      </w:rPr>
    </w:lvl>
    <w:lvl w:ilvl="5">
      <w:start w:val="1"/>
      <w:numFmt w:val="bullet"/>
      <w:lvlText w:val=""/>
      <w:lvlJc w:val="left"/>
      <w:pPr>
        <w:tabs>
          <w:tab w:val="num" w:pos="2160"/>
        </w:tabs>
        <w:ind w:left="2160" w:hanging="360"/>
      </w:pPr>
      <w:rPr>
        <w:rFonts w:ascii="Symbol" w:hAnsi="Symbol"/>
        <w:sz w:val="16"/>
      </w:rPr>
    </w:lvl>
    <w:lvl w:ilvl="6">
      <w:start w:val="1"/>
      <w:numFmt w:val="bullet"/>
      <w:lvlText w:val=""/>
      <w:lvlJc w:val="left"/>
      <w:pPr>
        <w:tabs>
          <w:tab w:val="num" w:pos="2520"/>
        </w:tabs>
        <w:ind w:left="2520" w:hanging="360"/>
      </w:pPr>
      <w:rPr>
        <w:rFonts w:ascii="Symbol" w:hAnsi="Symbol"/>
        <w:sz w:val="16"/>
      </w:rPr>
    </w:lvl>
    <w:lvl w:ilvl="7">
      <w:start w:val="1"/>
      <w:numFmt w:val="bullet"/>
      <w:lvlText w:val=""/>
      <w:lvlJc w:val="left"/>
      <w:pPr>
        <w:tabs>
          <w:tab w:val="num" w:pos="2880"/>
        </w:tabs>
        <w:ind w:left="2880" w:hanging="360"/>
      </w:pPr>
      <w:rPr>
        <w:rFonts w:ascii="Symbol" w:hAnsi="Symbol"/>
        <w:sz w:val="16"/>
      </w:rPr>
    </w:lvl>
    <w:lvl w:ilvl="8">
      <w:start w:val="1"/>
      <w:numFmt w:val="bullet"/>
      <w:lvlText w:val=""/>
      <w:lvlJc w:val="left"/>
      <w:pPr>
        <w:tabs>
          <w:tab w:val="num" w:pos="3240"/>
        </w:tabs>
        <w:ind w:left="3240" w:hanging="360"/>
      </w:pPr>
      <w:rPr>
        <w:rFonts w:ascii="Symbol" w:hAnsi="Symbol"/>
        <w:sz w:val="16"/>
      </w:rPr>
    </w:lvl>
  </w:abstractNum>
  <w:abstractNum w:abstractNumId="20" w15:restartNumberingAfterBreak="0">
    <w:nsid w:val="0000001A"/>
    <w:multiLevelType w:val="singleLevel"/>
    <w:tmpl w:val="0000001A"/>
    <w:name w:val="WW8Num32"/>
    <w:lvl w:ilvl="0">
      <w:start w:val="1"/>
      <w:numFmt w:val="bullet"/>
      <w:lvlText w:val="q"/>
      <w:lvlJc w:val="left"/>
      <w:pPr>
        <w:tabs>
          <w:tab w:val="num" w:pos="0"/>
        </w:tabs>
        <w:ind w:left="0" w:firstLine="0"/>
      </w:pPr>
      <w:rPr>
        <w:rFonts w:ascii="Wingdings" w:hAnsi="Wingdings"/>
        <w:sz w:val="16"/>
      </w:rPr>
    </w:lvl>
  </w:abstractNum>
  <w:abstractNum w:abstractNumId="21" w15:restartNumberingAfterBreak="0">
    <w:nsid w:val="0000001B"/>
    <w:multiLevelType w:val="singleLevel"/>
    <w:tmpl w:val="0000001B"/>
    <w:name w:val="WW8Num33"/>
    <w:lvl w:ilvl="0">
      <w:start w:val="1"/>
      <w:numFmt w:val="bullet"/>
      <w:lvlText w:val="q"/>
      <w:lvlJc w:val="left"/>
      <w:pPr>
        <w:tabs>
          <w:tab w:val="num" w:pos="0"/>
        </w:tabs>
        <w:ind w:left="0" w:firstLine="0"/>
      </w:pPr>
      <w:rPr>
        <w:rFonts w:ascii="Wingdings" w:hAnsi="Wingdings"/>
        <w:sz w:val="16"/>
      </w:rPr>
    </w:lvl>
  </w:abstractNum>
  <w:abstractNum w:abstractNumId="22" w15:restartNumberingAfterBreak="0">
    <w:nsid w:val="0000001C"/>
    <w:multiLevelType w:val="multilevel"/>
    <w:tmpl w:val="0000001C"/>
    <w:name w:val="WW8Num35"/>
    <w:styleLink w:val="WW8Num763"/>
    <w:lvl w:ilvl="0">
      <w:start w:val="1"/>
      <w:numFmt w:val="bullet"/>
      <w:lvlText w:val=""/>
      <w:lvlJc w:val="left"/>
      <w:pPr>
        <w:tabs>
          <w:tab w:val="num" w:pos="1440"/>
        </w:tabs>
        <w:ind w:left="1440" w:hanging="36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15:restartNumberingAfterBreak="0">
    <w:nsid w:val="0000001D"/>
    <w:multiLevelType w:val="singleLevel"/>
    <w:tmpl w:val="0000001D"/>
    <w:name w:val="WW8Num36"/>
    <w:lvl w:ilvl="0">
      <w:start w:val="1"/>
      <w:numFmt w:val="bullet"/>
      <w:lvlText w:val=""/>
      <w:lvlJc w:val="left"/>
      <w:pPr>
        <w:tabs>
          <w:tab w:val="num" w:pos="704"/>
        </w:tabs>
        <w:ind w:left="704" w:hanging="284"/>
      </w:pPr>
      <w:rPr>
        <w:rFonts w:ascii="Wingdings" w:hAnsi="Wingdings"/>
        <w:sz w:val="16"/>
      </w:rPr>
    </w:lvl>
  </w:abstractNum>
  <w:abstractNum w:abstractNumId="24" w15:restartNumberingAfterBreak="0">
    <w:nsid w:val="00000020"/>
    <w:multiLevelType w:val="multilevel"/>
    <w:tmpl w:val="00000020"/>
    <w:name w:val="WW8Num39"/>
    <w:lvl w:ilvl="0">
      <w:start w:val="1"/>
      <w:numFmt w:val="bullet"/>
      <w:lvlText w:val=""/>
      <w:lvlJc w:val="left"/>
      <w:pPr>
        <w:tabs>
          <w:tab w:val="num" w:pos="720"/>
        </w:tabs>
        <w:ind w:left="720" w:hanging="360"/>
      </w:pPr>
      <w:rPr>
        <w:rFonts w:ascii="Wingdings" w:hAnsi="Wingdings"/>
        <w:sz w:val="16"/>
      </w:rPr>
    </w:lvl>
    <w:lvl w:ilvl="1">
      <w:start w:val="1"/>
      <w:numFmt w:val="bullet"/>
      <w:lvlText w:val=""/>
      <w:lvlJc w:val="left"/>
      <w:pPr>
        <w:tabs>
          <w:tab w:val="num" w:pos="1080"/>
        </w:tabs>
        <w:ind w:left="1080" w:hanging="360"/>
      </w:pPr>
      <w:rPr>
        <w:rFonts w:ascii="Wingdings" w:hAnsi="Wingdings"/>
        <w:sz w:val="16"/>
      </w:rPr>
    </w:lvl>
    <w:lvl w:ilvl="2">
      <w:start w:val="1"/>
      <w:numFmt w:val="bullet"/>
      <w:lvlText w:val=""/>
      <w:lvlJc w:val="left"/>
      <w:pPr>
        <w:tabs>
          <w:tab w:val="num" w:pos="1440"/>
        </w:tabs>
        <w:ind w:left="1440" w:hanging="360"/>
      </w:pPr>
      <w:rPr>
        <w:rFonts w:ascii="Wingdings" w:hAnsi="Wingdings"/>
        <w:sz w:val="16"/>
      </w:rPr>
    </w:lvl>
    <w:lvl w:ilvl="3">
      <w:start w:val="1"/>
      <w:numFmt w:val="bullet"/>
      <w:lvlText w:val=""/>
      <w:lvlJc w:val="left"/>
      <w:pPr>
        <w:tabs>
          <w:tab w:val="num" w:pos="1800"/>
        </w:tabs>
        <w:ind w:left="1800" w:hanging="360"/>
      </w:pPr>
      <w:rPr>
        <w:rFonts w:ascii="Wingdings" w:hAnsi="Wingdings"/>
        <w:sz w:val="16"/>
      </w:rPr>
    </w:lvl>
    <w:lvl w:ilvl="4">
      <w:start w:val="1"/>
      <w:numFmt w:val="bullet"/>
      <w:lvlText w:val=""/>
      <w:lvlJc w:val="left"/>
      <w:pPr>
        <w:tabs>
          <w:tab w:val="num" w:pos="2160"/>
        </w:tabs>
        <w:ind w:left="2160" w:hanging="360"/>
      </w:pPr>
      <w:rPr>
        <w:rFonts w:ascii="Wingdings" w:hAnsi="Wingdings"/>
        <w:sz w:val="16"/>
      </w:rPr>
    </w:lvl>
    <w:lvl w:ilvl="5">
      <w:start w:val="1"/>
      <w:numFmt w:val="bullet"/>
      <w:lvlText w:val=""/>
      <w:lvlJc w:val="left"/>
      <w:pPr>
        <w:tabs>
          <w:tab w:val="num" w:pos="2520"/>
        </w:tabs>
        <w:ind w:left="2520" w:hanging="360"/>
      </w:pPr>
      <w:rPr>
        <w:rFonts w:ascii="Wingdings" w:hAnsi="Wingdings"/>
        <w:sz w:val="16"/>
      </w:rPr>
    </w:lvl>
    <w:lvl w:ilvl="6">
      <w:start w:val="1"/>
      <w:numFmt w:val="bullet"/>
      <w:lvlText w:val=""/>
      <w:lvlJc w:val="left"/>
      <w:pPr>
        <w:tabs>
          <w:tab w:val="num" w:pos="2880"/>
        </w:tabs>
        <w:ind w:left="2880" w:hanging="360"/>
      </w:pPr>
      <w:rPr>
        <w:rFonts w:ascii="Wingdings" w:hAnsi="Wingdings"/>
        <w:sz w:val="16"/>
      </w:rPr>
    </w:lvl>
    <w:lvl w:ilvl="7">
      <w:start w:val="1"/>
      <w:numFmt w:val="bullet"/>
      <w:lvlText w:val=""/>
      <w:lvlJc w:val="left"/>
      <w:pPr>
        <w:tabs>
          <w:tab w:val="num" w:pos="3240"/>
        </w:tabs>
        <w:ind w:left="3240" w:hanging="360"/>
      </w:pPr>
      <w:rPr>
        <w:rFonts w:ascii="Wingdings" w:hAnsi="Wingdings"/>
        <w:sz w:val="16"/>
      </w:rPr>
    </w:lvl>
    <w:lvl w:ilvl="8">
      <w:start w:val="1"/>
      <w:numFmt w:val="bullet"/>
      <w:lvlText w:val=""/>
      <w:lvlJc w:val="left"/>
      <w:pPr>
        <w:tabs>
          <w:tab w:val="num" w:pos="3600"/>
        </w:tabs>
        <w:ind w:left="3600" w:hanging="360"/>
      </w:pPr>
      <w:rPr>
        <w:rFonts w:ascii="Wingdings" w:hAnsi="Wingdings"/>
        <w:sz w:val="16"/>
      </w:rPr>
    </w:lvl>
  </w:abstractNum>
  <w:abstractNum w:abstractNumId="25" w15:restartNumberingAfterBreak="0">
    <w:nsid w:val="00000022"/>
    <w:multiLevelType w:val="multilevel"/>
    <w:tmpl w:val="00000022"/>
    <w:name w:val="WW8Num42"/>
    <w:lvl w:ilvl="0">
      <w:start w:val="1"/>
      <w:numFmt w:val="bullet"/>
      <w:lvlText w:val="q"/>
      <w:lvlJc w:val="left"/>
      <w:pPr>
        <w:tabs>
          <w:tab w:val="num" w:pos="0"/>
        </w:tabs>
        <w:ind w:left="0" w:firstLine="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6" w15:restartNumberingAfterBreak="0">
    <w:nsid w:val="00000024"/>
    <w:multiLevelType w:val="multilevel"/>
    <w:tmpl w:val="00000024"/>
    <w:name w:val="WW8Num44"/>
    <w:lvl w:ilvl="0">
      <w:start w:val="1"/>
      <w:numFmt w:val="bullet"/>
      <w:lvlText w:val=""/>
      <w:lvlJc w:val="left"/>
      <w:pPr>
        <w:tabs>
          <w:tab w:val="num" w:pos="720"/>
        </w:tabs>
        <w:ind w:left="720" w:hanging="360"/>
      </w:pPr>
      <w:rPr>
        <w:rFonts w:ascii="Wingdings" w:hAnsi="Wingdings"/>
        <w:sz w:val="16"/>
      </w:rPr>
    </w:lvl>
    <w:lvl w:ilvl="1">
      <w:start w:val="1"/>
      <w:numFmt w:val="bullet"/>
      <w:lvlText w:val=""/>
      <w:lvlJc w:val="left"/>
      <w:pPr>
        <w:tabs>
          <w:tab w:val="num" w:pos="1080"/>
        </w:tabs>
        <w:ind w:left="1080" w:hanging="360"/>
      </w:pPr>
      <w:rPr>
        <w:rFonts w:ascii="Wingdings" w:hAnsi="Wingdings"/>
        <w:sz w:val="16"/>
      </w:rPr>
    </w:lvl>
    <w:lvl w:ilvl="2">
      <w:start w:val="1"/>
      <w:numFmt w:val="bullet"/>
      <w:lvlText w:val=""/>
      <w:lvlJc w:val="left"/>
      <w:pPr>
        <w:tabs>
          <w:tab w:val="num" w:pos="1440"/>
        </w:tabs>
        <w:ind w:left="1440" w:hanging="360"/>
      </w:pPr>
      <w:rPr>
        <w:rFonts w:ascii="Wingdings" w:hAnsi="Wingdings"/>
        <w:sz w:val="16"/>
      </w:rPr>
    </w:lvl>
    <w:lvl w:ilvl="3">
      <w:start w:val="1"/>
      <w:numFmt w:val="bullet"/>
      <w:lvlText w:val=""/>
      <w:lvlJc w:val="left"/>
      <w:pPr>
        <w:tabs>
          <w:tab w:val="num" w:pos="1800"/>
        </w:tabs>
        <w:ind w:left="1800" w:hanging="360"/>
      </w:pPr>
      <w:rPr>
        <w:rFonts w:ascii="Wingdings" w:hAnsi="Wingdings"/>
        <w:sz w:val="16"/>
      </w:rPr>
    </w:lvl>
    <w:lvl w:ilvl="4">
      <w:start w:val="1"/>
      <w:numFmt w:val="bullet"/>
      <w:lvlText w:val=""/>
      <w:lvlJc w:val="left"/>
      <w:pPr>
        <w:tabs>
          <w:tab w:val="num" w:pos="2160"/>
        </w:tabs>
        <w:ind w:left="2160" w:hanging="360"/>
      </w:pPr>
      <w:rPr>
        <w:rFonts w:ascii="Wingdings" w:hAnsi="Wingdings"/>
        <w:sz w:val="16"/>
      </w:rPr>
    </w:lvl>
    <w:lvl w:ilvl="5">
      <w:start w:val="1"/>
      <w:numFmt w:val="bullet"/>
      <w:lvlText w:val=""/>
      <w:lvlJc w:val="left"/>
      <w:pPr>
        <w:tabs>
          <w:tab w:val="num" w:pos="2520"/>
        </w:tabs>
        <w:ind w:left="2520" w:hanging="360"/>
      </w:pPr>
      <w:rPr>
        <w:rFonts w:ascii="Wingdings" w:hAnsi="Wingdings"/>
        <w:sz w:val="16"/>
      </w:rPr>
    </w:lvl>
    <w:lvl w:ilvl="6">
      <w:start w:val="1"/>
      <w:numFmt w:val="bullet"/>
      <w:lvlText w:val=""/>
      <w:lvlJc w:val="left"/>
      <w:pPr>
        <w:tabs>
          <w:tab w:val="num" w:pos="2880"/>
        </w:tabs>
        <w:ind w:left="2880" w:hanging="360"/>
      </w:pPr>
      <w:rPr>
        <w:rFonts w:ascii="Wingdings" w:hAnsi="Wingdings"/>
        <w:sz w:val="16"/>
      </w:rPr>
    </w:lvl>
    <w:lvl w:ilvl="7">
      <w:start w:val="1"/>
      <w:numFmt w:val="bullet"/>
      <w:lvlText w:val=""/>
      <w:lvlJc w:val="left"/>
      <w:pPr>
        <w:tabs>
          <w:tab w:val="num" w:pos="3240"/>
        </w:tabs>
        <w:ind w:left="3240" w:hanging="360"/>
      </w:pPr>
      <w:rPr>
        <w:rFonts w:ascii="Wingdings" w:hAnsi="Wingdings"/>
        <w:sz w:val="16"/>
      </w:rPr>
    </w:lvl>
    <w:lvl w:ilvl="8">
      <w:start w:val="1"/>
      <w:numFmt w:val="bullet"/>
      <w:lvlText w:val=""/>
      <w:lvlJc w:val="left"/>
      <w:pPr>
        <w:tabs>
          <w:tab w:val="num" w:pos="3600"/>
        </w:tabs>
        <w:ind w:left="3600" w:hanging="360"/>
      </w:pPr>
      <w:rPr>
        <w:rFonts w:ascii="Wingdings" w:hAnsi="Wingdings"/>
        <w:sz w:val="16"/>
      </w:rPr>
    </w:lvl>
  </w:abstractNum>
  <w:abstractNum w:abstractNumId="27" w15:restartNumberingAfterBreak="0">
    <w:nsid w:val="00000025"/>
    <w:multiLevelType w:val="multilevel"/>
    <w:tmpl w:val="00000025"/>
    <w:name w:val="WW8Num45"/>
    <w:lvl w:ilvl="0">
      <w:start w:val="1"/>
      <w:numFmt w:val="bullet"/>
      <w:lvlText w:val=""/>
      <w:lvlJc w:val="left"/>
      <w:pPr>
        <w:tabs>
          <w:tab w:val="num" w:pos="717"/>
        </w:tabs>
        <w:ind w:left="717" w:hanging="360"/>
      </w:pPr>
      <w:rPr>
        <w:rFonts w:ascii="Wingdings" w:hAnsi="Wingdings"/>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8" w15:restartNumberingAfterBreak="0">
    <w:nsid w:val="00000028"/>
    <w:multiLevelType w:val="multilevel"/>
    <w:tmpl w:val="00000028"/>
    <w:name w:val="WW8Num48"/>
    <w:lvl w:ilvl="0">
      <w:start w:val="1"/>
      <w:numFmt w:val="bullet"/>
      <w:lvlText w:val="-"/>
      <w:lvlJc w:val="left"/>
      <w:pPr>
        <w:tabs>
          <w:tab w:val="num" w:pos="0"/>
        </w:tabs>
        <w:ind w:left="0" w:firstLine="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9" w15:restartNumberingAfterBreak="0">
    <w:nsid w:val="0000002A"/>
    <w:multiLevelType w:val="multilevel"/>
    <w:tmpl w:val="0000002A"/>
    <w:name w:val="WW8Num52"/>
    <w:styleLink w:val="WW8Num2011"/>
    <w:lvl w:ilvl="0">
      <w:start w:val="1"/>
      <w:numFmt w:val="bullet"/>
      <w:pStyle w:val="Listapunktowana1"/>
      <w:lvlText w:val="←"/>
      <w:lvlJc w:val="left"/>
      <w:pPr>
        <w:tabs>
          <w:tab w:val="num" w:pos="360"/>
        </w:tabs>
        <w:ind w:left="360" w:hanging="36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0" w15:restartNumberingAfterBreak="0">
    <w:nsid w:val="0000002B"/>
    <w:multiLevelType w:val="multilevel"/>
    <w:tmpl w:val="0000002B"/>
    <w:name w:val="WW8Num53"/>
    <w:styleLink w:val="WW8Num16121"/>
    <w:lvl w:ilvl="0">
      <w:start w:val="1"/>
      <w:numFmt w:val="bullet"/>
      <w:pStyle w:val="Listapunktowana2"/>
      <w:lvlText w:val="←"/>
      <w:lvlJc w:val="left"/>
      <w:pPr>
        <w:tabs>
          <w:tab w:val="num" w:pos="360"/>
        </w:tabs>
        <w:ind w:left="360" w:hanging="360"/>
      </w:pPr>
      <w:rPr>
        <w:rFonts w:ascii="Symbol" w:hAnsi="Symbol"/>
        <w:sz w:val="1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1" w15:restartNumberingAfterBreak="0">
    <w:nsid w:val="0000002C"/>
    <w:multiLevelType w:val="multilevel"/>
    <w:tmpl w:val="0000002C"/>
    <w:name w:val="WW8Num57"/>
    <w:lvl w:ilvl="0">
      <w:start w:val="1"/>
      <w:numFmt w:val="bullet"/>
      <w:lvlText w:val=""/>
      <w:lvlJc w:val="left"/>
      <w:pPr>
        <w:tabs>
          <w:tab w:val="num" w:pos="720"/>
        </w:tabs>
        <w:ind w:left="720" w:hanging="360"/>
      </w:pPr>
      <w:rPr>
        <w:rFonts w:ascii="Symbol" w:hAnsi="Symbol"/>
        <w:sz w:val="16"/>
      </w:rPr>
    </w:lvl>
    <w:lvl w:ilvl="1">
      <w:start w:val="1"/>
      <w:numFmt w:val="bullet"/>
      <w:lvlText w:val=""/>
      <w:lvlJc w:val="left"/>
      <w:pPr>
        <w:tabs>
          <w:tab w:val="num" w:pos="1080"/>
        </w:tabs>
        <w:ind w:left="1080" w:hanging="360"/>
      </w:pPr>
      <w:rPr>
        <w:rFonts w:ascii="Symbol" w:hAnsi="Symbol"/>
        <w:sz w:val="16"/>
      </w:rPr>
    </w:lvl>
    <w:lvl w:ilvl="2">
      <w:start w:val="1"/>
      <w:numFmt w:val="bullet"/>
      <w:lvlText w:val=""/>
      <w:lvlJc w:val="left"/>
      <w:pPr>
        <w:tabs>
          <w:tab w:val="num" w:pos="1440"/>
        </w:tabs>
        <w:ind w:left="1440" w:hanging="360"/>
      </w:pPr>
      <w:rPr>
        <w:rFonts w:ascii="Symbol" w:hAnsi="Symbol"/>
        <w:sz w:val="16"/>
      </w:rPr>
    </w:lvl>
    <w:lvl w:ilvl="3">
      <w:start w:val="1"/>
      <w:numFmt w:val="bullet"/>
      <w:lvlText w:val=""/>
      <w:lvlJc w:val="left"/>
      <w:pPr>
        <w:tabs>
          <w:tab w:val="num" w:pos="1800"/>
        </w:tabs>
        <w:ind w:left="1800" w:hanging="360"/>
      </w:pPr>
      <w:rPr>
        <w:rFonts w:ascii="Symbol" w:hAnsi="Symbol"/>
        <w:sz w:val="16"/>
      </w:rPr>
    </w:lvl>
    <w:lvl w:ilvl="4">
      <w:start w:val="1"/>
      <w:numFmt w:val="bullet"/>
      <w:lvlText w:val=""/>
      <w:lvlJc w:val="left"/>
      <w:pPr>
        <w:tabs>
          <w:tab w:val="num" w:pos="2160"/>
        </w:tabs>
        <w:ind w:left="2160" w:hanging="360"/>
      </w:pPr>
      <w:rPr>
        <w:rFonts w:ascii="Symbol" w:hAnsi="Symbol"/>
        <w:sz w:val="16"/>
      </w:rPr>
    </w:lvl>
    <w:lvl w:ilvl="5">
      <w:start w:val="1"/>
      <w:numFmt w:val="bullet"/>
      <w:lvlText w:val=""/>
      <w:lvlJc w:val="left"/>
      <w:pPr>
        <w:tabs>
          <w:tab w:val="num" w:pos="2520"/>
        </w:tabs>
        <w:ind w:left="2520" w:hanging="360"/>
      </w:pPr>
      <w:rPr>
        <w:rFonts w:ascii="Symbol" w:hAnsi="Symbol"/>
        <w:sz w:val="16"/>
      </w:rPr>
    </w:lvl>
    <w:lvl w:ilvl="6">
      <w:start w:val="1"/>
      <w:numFmt w:val="bullet"/>
      <w:lvlText w:val=""/>
      <w:lvlJc w:val="left"/>
      <w:pPr>
        <w:tabs>
          <w:tab w:val="num" w:pos="2880"/>
        </w:tabs>
        <w:ind w:left="2880" w:hanging="360"/>
      </w:pPr>
      <w:rPr>
        <w:rFonts w:ascii="Symbol" w:hAnsi="Symbol"/>
        <w:sz w:val="16"/>
      </w:rPr>
    </w:lvl>
    <w:lvl w:ilvl="7">
      <w:start w:val="1"/>
      <w:numFmt w:val="bullet"/>
      <w:lvlText w:val=""/>
      <w:lvlJc w:val="left"/>
      <w:pPr>
        <w:tabs>
          <w:tab w:val="num" w:pos="3240"/>
        </w:tabs>
        <w:ind w:left="3240" w:hanging="360"/>
      </w:pPr>
      <w:rPr>
        <w:rFonts w:ascii="Symbol" w:hAnsi="Symbol"/>
        <w:sz w:val="16"/>
      </w:rPr>
    </w:lvl>
    <w:lvl w:ilvl="8">
      <w:start w:val="1"/>
      <w:numFmt w:val="bullet"/>
      <w:lvlText w:val=""/>
      <w:lvlJc w:val="left"/>
      <w:pPr>
        <w:tabs>
          <w:tab w:val="num" w:pos="3600"/>
        </w:tabs>
        <w:ind w:left="3600" w:hanging="360"/>
      </w:pPr>
      <w:rPr>
        <w:rFonts w:ascii="Symbol" w:hAnsi="Symbol"/>
        <w:sz w:val="16"/>
      </w:rPr>
    </w:lvl>
  </w:abstractNum>
  <w:abstractNum w:abstractNumId="32" w15:restartNumberingAfterBreak="0">
    <w:nsid w:val="0000002D"/>
    <w:multiLevelType w:val="singleLevel"/>
    <w:tmpl w:val="0000002D"/>
    <w:name w:val="WW8Num60"/>
    <w:styleLink w:val="WW8Num48"/>
    <w:lvl w:ilvl="0">
      <w:start w:val="1"/>
      <w:numFmt w:val="bullet"/>
      <w:pStyle w:val="Listapunktowana31"/>
      <w:lvlText w:val=""/>
      <w:lvlJc w:val="left"/>
      <w:pPr>
        <w:tabs>
          <w:tab w:val="num" w:pos="0"/>
        </w:tabs>
        <w:ind w:left="720" w:hanging="360"/>
      </w:pPr>
      <w:rPr>
        <w:rFonts w:ascii="Wingdings" w:hAnsi="Wingdings"/>
        <w:sz w:val="16"/>
      </w:rPr>
    </w:lvl>
  </w:abstractNum>
  <w:abstractNum w:abstractNumId="33" w15:restartNumberingAfterBreak="0">
    <w:nsid w:val="0000002E"/>
    <w:multiLevelType w:val="multilevel"/>
    <w:tmpl w:val="0000002E"/>
    <w:name w:val="WW8Num69"/>
    <w:lvl w:ilvl="0">
      <w:start w:val="1"/>
      <w:numFmt w:val="bullet"/>
      <w:lvlText w:val=""/>
      <w:lvlJc w:val="left"/>
      <w:pPr>
        <w:tabs>
          <w:tab w:val="num" w:pos="720"/>
        </w:tabs>
        <w:ind w:left="720" w:hanging="360"/>
      </w:pPr>
      <w:rPr>
        <w:rFonts w:ascii="Symbol" w:hAnsi="Symbol"/>
        <w:sz w:val="16"/>
      </w:rPr>
    </w:lvl>
    <w:lvl w:ilvl="1">
      <w:start w:val="1"/>
      <w:numFmt w:val="bullet"/>
      <w:lvlText w:val=""/>
      <w:lvlJc w:val="left"/>
      <w:pPr>
        <w:tabs>
          <w:tab w:val="num" w:pos="1080"/>
        </w:tabs>
        <w:ind w:left="1080" w:hanging="360"/>
      </w:pPr>
      <w:rPr>
        <w:rFonts w:ascii="Symbol" w:hAnsi="Symbol"/>
        <w:sz w:val="16"/>
      </w:rPr>
    </w:lvl>
    <w:lvl w:ilvl="2">
      <w:start w:val="1"/>
      <w:numFmt w:val="bullet"/>
      <w:lvlText w:val=""/>
      <w:lvlJc w:val="left"/>
      <w:pPr>
        <w:tabs>
          <w:tab w:val="num" w:pos="1440"/>
        </w:tabs>
        <w:ind w:left="1440" w:hanging="360"/>
      </w:pPr>
      <w:rPr>
        <w:rFonts w:ascii="Symbol" w:hAnsi="Symbol"/>
        <w:sz w:val="16"/>
      </w:rPr>
    </w:lvl>
    <w:lvl w:ilvl="3">
      <w:start w:val="1"/>
      <w:numFmt w:val="bullet"/>
      <w:lvlText w:val=""/>
      <w:lvlJc w:val="left"/>
      <w:pPr>
        <w:tabs>
          <w:tab w:val="num" w:pos="1800"/>
        </w:tabs>
        <w:ind w:left="1800" w:hanging="360"/>
      </w:pPr>
      <w:rPr>
        <w:rFonts w:ascii="Symbol" w:hAnsi="Symbol"/>
        <w:sz w:val="16"/>
      </w:rPr>
    </w:lvl>
    <w:lvl w:ilvl="4">
      <w:start w:val="1"/>
      <w:numFmt w:val="bullet"/>
      <w:lvlText w:val=""/>
      <w:lvlJc w:val="left"/>
      <w:pPr>
        <w:tabs>
          <w:tab w:val="num" w:pos="2160"/>
        </w:tabs>
        <w:ind w:left="2160" w:hanging="360"/>
      </w:pPr>
      <w:rPr>
        <w:rFonts w:ascii="Symbol" w:hAnsi="Symbol"/>
        <w:sz w:val="16"/>
      </w:rPr>
    </w:lvl>
    <w:lvl w:ilvl="5">
      <w:start w:val="1"/>
      <w:numFmt w:val="bullet"/>
      <w:lvlText w:val=""/>
      <w:lvlJc w:val="left"/>
      <w:pPr>
        <w:tabs>
          <w:tab w:val="num" w:pos="2520"/>
        </w:tabs>
        <w:ind w:left="2520" w:hanging="360"/>
      </w:pPr>
      <w:rPr>
        <w:rFonts w:ascii="Symbol" w:hAnsi="Symbol"/>
        <w:sz w:val="16"/>
      </w:rPr>
    </w:lvl>
    <w:lvl w:ilvl="6">
      <w:start w:val="1"/>
      <w:numFmt w:val="bullet"/>
      <w:lvlText w:val=""/>
      <w:lvlJc w:val="left"/>
      <w:pPr>
        <w:tabs>
          <w:tab w:val="num" w:pos="2880"/>
        </w:tabs>
        <w:ind w:left="2880" w:hanging="360"/>
      </w:pPr>
      <w:rPr>
        <w:rFonts w:ascii="Symbol" w:hAnsi="Symbol"/>
        <w:sz w:val="16"/>
      </w:rPr>
    </w:lvl>
    <w:lvl w:ilvl="7">
      <w:start w:val="1"/>
      <w:numFmt w:val="bullet"/>
      <w:lvlText w:val=""/>
      <w:lvlJc w:val="left"/>
      <w:pPr>
        <w:tabs>
          <w:tab w:val="num" w:pos="3240"/>
        </w:tabs>
        <w:ind w:left="3240" w:hanging="360"/>
      </w:pPr>
      <w:rPr>
        <w:rFonts w:ascii="Symbol" w:hAnsi="Symbol"/>
        <w:sz w:val="16"/>
      </w:rPr>
    </w:lvl>
    <w:lvl w:ilvl="8">
      <w:start w:val="1"/>
      <w:numFmt w:val="bullet"/>
      <w:lvlText w:val=""/>
      <w:lvlJc w:val="left"/>
      <w:pPr>
        <w:tabs>
          <w:tab w:val="num" w:pos="3600"/>
        </w:tabs>
        <w:ind w:left="3600" w:hanging="360"/>
      </w:pPr>
      <w:rPr>
        <w:rFonts w:ascii="Symbol" w:hAnsi="Symbol"/>
        <w:sz w:val="16"/>
      </w:rPr>
    </w:lvl>
  </w:abstractNum>
  <w:abstractNum w:abstractNumId="34" w15:restartNumberingAfterBreak="0">
    <w:nsid w:val="00000041"/>
    <w:multiLevelType w:val="singleLevel"/>
    <w:tmpl w:val="00000041"/>
    <w:name w:val="WW8Num124"/>
    <w:styleLink w:val="WW8Num22112"/>
    <w:lvl w:ilvl="0">
      <w:start w:val="1"/>
      <w:numFmt w:val="decimal"/>
      <w:pStyle w:val="listaliczby"/>
      <w:lvlText w:val="%1."/>
      <w:lvlJc w:val="left"/>
      <w:pPr>
        <w:tabs>
          <w:tab w:val="num" w:pos="284"/>
        </w:tabs>
        <w:ind w:left="709" w:hanging="709"/>
      </w:pPr>
      <w:rPr>
        <w:sz w:val="24"/>
        <w:szCs w:val="24"/>
      </w:rPr>
    </w:lvl>
  </w:abstractNum>
  <w:abstractNum w:abstractNumId="35" w15:restartNumberingAfterBreak="0">
    <w:nsid w:val="00000042"/>
    <w:multiLevelType w:val="singleLevel"/>
    <w:tmpl w:val="00000042"/>
    <w:name w:val="WW8Num128"/>
    <w:styleLink w:val="WW8Num223"/>
    <w:lvl w:ilvl="0">
      <w:start w:val="1"/>
      <w:numFmt w:val="bullet"/>
      <w:pStyle w:val="listakreski"/>
      <w:lvlText w:val="-"/>
      <w:lvlJc w:val="left"/>
      <w:pPr>
        <w:tabs>
          <w:tab w:val="num" w:pos="993"/>
        </w:tabs>
        <w:ind w:left="2268" w:hanging="283"/>
      </w:pPr>
      <w:rPr>
        <w:rFonts w:ascii="Arial" w:hAnsi="Arial"/>
      </w:rPr>
    </w:lvl>
  </w:abstractNum>
  <w:abstractNum w:abstractNumId="36" w15:restartNumberingAfterBreak="0">
    <w:nsid w:val="00000043"/>
    <w:multiLevelType w:val="multilevel"/>
    <w:tmpl w:val="00000043"/>
    <w:name w:val="WW8Num135"/>
    <w:styleLink w:val="WW8Num293"/>
    <w:lvl w:ilvl="0">
      <w:start w:val="1"/>
      <w:numFmt w:val="decimal"/>
      <w:pStyle w:val="Poziom1"/>
      <w:lvlText w:val="%1."/>
      <w:lvlJc w:val="left"/>
      <w:pPr>
        <w:tabs>
          <w:tab w:val="num" w:pos="709"/>
        </w:tabs>
        <w:ind w:left="0" w:firstLine="0"/>
      </w:pPr>
      <w:rPr>
        <w:rFonts w:ascii="Arial" w:hAnsi="Arial" w:cs="Arial"/>
        <w:b/>
        <w:i w:val="0"/>
        <w:sz w:val="20"/>
        <w:szCs w:val="20"/>
      </w:rPr>
    </w:lvl>
    <w:lvl w:ilvl="1">
      <w:start w:val="1"/>
      <w:numFmt w:val="decimal"/>
      <w:lvlText w:val="%1.%2."/>
      <w:lvlJc w:val="left"/>
      <w:pPr>
        <w:tabs>
          <w:tab w:val="num" w:pos="965"/>
        </w:tabs>
        <w:ind w:left="426" w:firstLine="0"/>
      </w:pPr>
      <w:rPr>
        <w:b/>
      </w:rPr>
    </w:lvl>
    <w:lvl w:ilvl="2">
      <w:start w:val="1"/>
      <w:numFmt w:val="decimal"/>
      <w:lvlText w:val="%1.%2.%3."/>
      <w:lvlJc w:val="left"/>
      <w:pPr>
        <w:tabs>
          <w:tab w:val="num" w:pos="709"/>
        </w:tabs>
        <w:ind w:left="709" w:hanging="709"/>
      </w:pPr>
      <w:rPr>
        <w:rFonts w:ascii="Times New Roman" w:hAnsi="Times New Roman"/>
        <w:b w:val="0"/>
        <w:i w:val="0"/>
        <w:sz w:val="24"/>
        <w:szCs w:val="24"/>
      </w:rPr>
    </w:lvl>
    <w:lvl w:ilvl="3">
      <w:start w:val="1"/>
      <w:numFmt w:val="decimal"/>
      <w:lvlText w:val="%1.%2.%3.%4."/>
      <w:lvlJc w:val="left"/>
      <w:pPr>
        <w:tabs>
          <w:tab w:val="num" w:pos="992"/>
        </w:tabs>
        <w:ind w:left="1134" w:hanging="1134"/>
      </w:pPr>
      <w:rPr>
        <w:b w:val="0"/>
        <w:i w:val="0"/>
      </w:rPr>
    </w:lvl>
    <w:lvl w:ilvl="4">
      <w:start w:val="1"/>
      <w:numFmt w:val="decimal"/>
      <w:lvlText w:val="%1.%2.%3.%4.%5."/>
      <w:lvlJc w:val="left"/>
      <w:pPr>
        <w:tabs>
          <w:tab w:val="num" w:pos="3912"/>
        </w:tabs>
        <w:ind w:left="3912" w:hanging="1080"/>
      </w:pPr>
      <w:rPr>
        <w:b/>
      </w:rPr>
    </w:lvl>
    <w:lvl w:ilvl="5">
      <w:start w:val="1"/>
      <w:numFmt w:val="decimal"/>
      <w:lvlText w:val="%1.%2.%3.%4.%5.%6."/>
      <w:lvlJc w:val="left"/>
      <w:pPr>
        <w:tabs>
          <w:tab w:val="num" w:pos="4980"/>
        </w:tabs>
        <w:ind w:left="4980" w:hanging="1440"/>
      </w:pPr>
      <w:rPr>
        <w:b/>
      </w:rPr>
    </w:lvl>
    <w:lvl w:ilvl="6">
      <w:start w:val="1"/>
      <w:numFmt w:val="decimal"/>
      <w:lvlText w:val="%1.%2.%3.%4.%5.%6.%7."/>
      <w:lvlJc w:val="left"/>
      <w:pPr>
        <w:tabs>
          <w:tab w:val="num" w:pos="5688"/>
        </w:tabs>
        <w:ind w:left="5688" w:hanging="1440"/>
      </w:pPr>
      <w:rPr>
        <w:b/>
      </w:rPr>
    </w:lvl>
    <w:lvl w:ilvl="7">
      <w:start w:val="1"/>
      <w:numFmt w:val="decimal"/>
      <w:lvlText w:val="%1.%2.%3.%4.%5.%6.%7.%8."/>
      <w:lvlJc w:val="left"/>
      <w:pPr>
        <w:tabs>
          <w:tab w:val="num" w:pos="6756"/>
        </w:tabs>
        <w:ind w:left="6756" w:hanging="1800"/>
      </w:pPr>
      <w:rPr>
        <w:b/>
      </w:rPr>
    </w:lvl>
    <w:lvl w:ilvl="8">
      <w:start w:val="1"/>
      <w:numFmt w:val="decimal"/>
      <w:lvlText w:val="%1.%2.%3.%4.%5.%6.%7.%8.%9."/>
      <w:lvlJc w:val="left"/>
      <w:pPr>
        <w:tabs>
          <w:tab w:val="num" w:pos="7824"/>
        </w:tabs>
        <w:ind w:left="7824" w:hanging="2160"/>
      </w:pPr>
      <w:rPr>
        <w:b/>
      </w:rPr>
    </w:lvl>
  </w:abstractNum>
  <w:abstractNum w:abstractNumId="37" w15:restartNumberingAfterBreak="0">
    <w:nsid w:val="00000044"/>
    <w:multiLevelType w:val="singleLevel"/>
    <w:tmpl w:val="00000044"/>
    <w:name w:val="WW8Num149"/>
    <w:styleLink w:val="WW8Num76112"/>
    <w:lvl w:ilvl="0">
      <w:start w:val="1"/>
      <w:numFmt w:val="lowerLetter"/>
      <w:pStyle w:val="listalitery"/>
      <w:lvlText w:val="%1)"/>
      <w:lvlJc w:val="left"/>
      <w:pPr>
        <w:tabs>
          <w:tab w:val="num" w:pos="0"/>
        </w:tabs>
        <w:ind w:left="720" w:hanging="360"/>
      </w:pPr>
    </w:lvl>
  </w:abstractNum>
  <w:abstractNum w:abstractNumId="38" w15:restartNumberingAfterBreak="0">
    <w:nsid w:val="002E150F"/>
    <w:multiLevelType w:val="multilevel"/>
    <w:tmpl w:val="5F360A8A"/>
    <w:styleLink w:val="WW8Num2111"/>
    <w:lvl w:ilvl="0">
      <w:start w:val="1"/>
      <w:numFmt w:val="lowerLetter"/>
      <w:lvlText w:val="%1)"/>
      <w:lvlJc w:val="left"/>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9" w15:restartNumberingAfterBreak="0">
    <w:nsid w:val="0046253D"/>
    <w:multiLevelType w:val="multilevel"/>
    <w:tmpl w:val="42C622BE"/>
    <w:styleLink w:val="WW8Num47"/>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40" w15:restartNumberingAfterBreak="0">
    <w:nsid w:val="00A26284"/>
    <w:multiLevelType w:val="hybridMultilevel"/>
    <w:tmpl w:val="9C28258C"/>
    <w:lvl w:ilvl="0" w:tplc="D23CF50E">
      <w:start w:val="1"/>
      <w:numFmt w:val="decimal"/>
      <w:lvlText w:val="%1)"/>
      <w:lvlJc w:val="left"/>
      <w:pPr>
        <w:ind w:left="468" w:hanging="360"/>
      </w:pPr>
      <w:rPr>
        <w:rFonts w:hint="default"/>
      </w:rPr>
    </w:lvl>
    <w:lvl w:ilvl="1" w:tplc="04150019" w:tentative="1">
      <w:start w:val="1"/>
      <w:numFmt w:val="lowerLetter"/>
      <w:lvlText w:val="%2."/>
      <w:lvlJc w:val="left"/>
      <w:pPr>
        <w:ind w:left="1188" w:hanging="360"/>
      </w:pPr>
    </w:lvl>
    <w:lvl w:ilvl="2" w:tplc="0415001B" w:tentative="1">
      <w:start w:val="1"/>
      <w:numFmt w:val="lowerRoman"/>
      <w:lvlText w:val="%3."/>
      <w:lvlJc w:val="right"/>
      <w:pPr>
        <w:ind w:left="1908" w:hanging="180"/>
      </w:pPr>
    </w:lvl>
    <w:lvl w:ilvl="3" w:tplc="0415000F" w:tentative="1">
      <w:start w:val="1"/>
      <w:numFmt w:val="decimal"/>
      <w:lvlText w:val="%4."/>
      <w:lvlJc w:val="left"/>
      <w:pPr>
        <w:ind w:left="2628" w:hanging="360"/>
      </w:pPr>
    </w:lvl>
    <w:lvl w:ilvl="4" w:tplc="04150019" w:tentative="1">
      <w:start w:val="1"/>
      <w:numFmt w:val="lowerLetter"/>
      <w:lvlText w:val="%5."/>
      <w:lvlJc w:val="left"/>
      <w:pPr>
        <w:ind w:left="3348" w:hanging="360"/>
      </w:pPr>
    </w:lvl>
    <w:lvl w:ilvl="5" w:tplc="0415001B" w:tentative="1">
      <w:start w:val="1"/>
      <w:numFmt w:val="lowerRoman"/>
      <w:lvlText w:val="%6."/>
      <w:lvlJc w:val="right"/>
      <w:pPr>
        <w:ind w:left="4068" w:hanging="180"/>
      </w:pPr>
    </w:lvl>
    <w:lvl w:ilvl="6" w:tplc="0415000F" w:tentative="1">
      <w:start w:val="1"/>
      <w:numFmt w:val="decimal"/>
      <w:lvlText w:val="%7."/>
      <w:lvlJc w:val="left"/>
      <w:pPr>
        <w:ind w:left="4788" w:hanging="360"/>
      </w:pPr>
    </w:lvl>
    <w:lvl w:ilvl="7" w:tplc="04150019" w:tentative="1">
      <w:start w:val="1"/>
      <w:numFmt w:val="lowerLetter"/>
      <w:lvlText w:val="%8."/>
      <w:lvlJc w:val="left"/>
      <w:pPr>
        <w:ind w:left="5508" w:hanging="360"/>
      </w:pPr>
    </w:lvl>
    <w:lvl w:ilvl="8" w:tplc="0415001B" w:tentative="1">
      <w:start w:val="1"/>
      <w:numFmt w:val="lowerRoman"/>
      <w:lvlText w:val="%9."/>
      <w:lvlJc w:val="right"/>
      <w:pPr>
        <w:ind w:left="6228" w:hanging="180"/>
      </w:pPr>
    </w:lvl>
  </w:abstractNum>
  <w:abstractNum w:abstractNumId="41" w15:restartNumberingAfterBreak="0">
    <w:nsid w:val="00F614AA"/>
    <w:multiLevelType w:val="multilevel"/>
    <w:tmpl w:val="CCD6D356"/>
    <w:styleLink w:val="WW8Num36"/>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42" w15:restartNumberingAfterBreak="0">
    <w:nsid w:val="018C7E4B"/>
    <w:multiLevelType w:val="multilevel"/>
    <w:tmpl w:val="BA421474"/>
    <w:styleLink w:val="WW8Num24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3" w15:restartNumberingAfterBreak="0">
    <w:nsid w:val="01DF66B2"/>
    <w:multiLevelType w:val="multilevel"/>
    <w:tmpl w:val="2FAE7C38"/>
    <w:styleLink w:val="WW8Num1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4" w15:restartNumberingAfterBreak="0">
    <w:nsid w:val="0226219A"/>
    <w:multiLevelType w:val="singleLevel"/>
    <w:tmpl w:val="05FE254A"/>
    <w:lvl w:ilvl="0">
      <w:start w:val="1"/>
      <w:numFmt w:val="lowerLetter"/>
      <w:lvlText w:val="%1)"/>
      <w:legacy w:legacy="1" w:legacySpace="0" w:legacyIndent="283"/>
      <w:lvlJc w:val="left"/>
      <w:pPr>
        <w:ind w:left="983" w:hanging="283"/>
      </w:pPr>
    </w:lvl>
  </w:abstractNum>
  <w:abstractNum w:abstractNumId="45" w15:restartNumberingAfterBreak="0">
    <w:nsid w:val="02617BE1"/>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trike w:val="0"/>
        <w:dstrike w:val="0"/>
        <w:sz w:val="20"/>
        <w:u w:val="none"/>
        <w:effect w:val="none"/>
      </w:rPr>
    </w:lvl>
  </w:abstractNum>
  <w:abstractNum w:abstractNumId="46" w15:restartNumberingAfterBreak="0">
    <w:nsid w:val="02ED5F13"/>
    <w:multiLevelType w:val="multilevel"/>
    <w:tmpl w:val="72EEAD2C"/>
    <w:styleLink w:val="WW8Num1"/>
    <w:lvl w:ilvl="0">
      <w:numFmt w:val="bullet"/>
      <w:pStyle w:val="Listapunktowana"/>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7" w15:restartNumberingAfterBreak="0">
    <w:nsid w:val="038819D2"/>
    <w:multiLevelType w:val="multilevel"/>
    <w:tmpl w:val="8348F38C"/>
    <w:styleLink w:val="WW8Num16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48" w15:restartNumberingAfterBreak="0">
    <w:nsid w:val="04A022F9"/>
    <w:multiLevelType w:val="hybridMultilevel"/>
    <w:tmpl w:val="CFB4ACDE"/>
    <w:styleLink w:val="WW8Num88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04C35DDB"/>
    <w:multiLevelType w:val="multilevel"/>
    <w:tmpl w:val="C6D4681A"/>
    <w:styleLink w:val="WW8Num881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50" w15:restartNumberingAfterBreak="0">
    <w:nsid w:val="055B25BD"/>
    <w:multiLevelType w:val="multilevel"/>
    <w:tmpl w:val="1E7E49B2"/>
    <w:styleLink w:val="WW8Num272"/>
    <w:lvl w:ilvl="0">
      <w:numFmt w:val="bullet"/>
      <w:lvlText w:val=""/>
      <w:lvlJc w:val="left"/>
      <w:rPr>
        <w:rFonts w:ascii="Symbol" w:hAnsi="Symbol"/>
      </w:rPr>
    </w:lvl>
    <w:lvl w:ilvl="1">
      <w:numFmt w:val="bullet"/>
      <w:lvlText w:val=""/>
      <w:lvlJc w:val="left"/>
      <w:pPr>
        <w:ind w:left="360" w:hanging="360"/>
      </w:pPr>
      <w:rPr>
        <w:rFonts w:ascii="Symbol" w:hAnsi="Symbol"/>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1" w15:restartNumberingAfterBreak="0">
    <w:nsid w:val="05A06A7C"/>
    <w:multiLevelType w:val="multilevel"/>
    <w:tmpl w:val="E8F0E6BC"/>
    <w:styleLink w:val="WWNum3"/>
    <w:lvl w:ilvl="0">
      <w:numFmt w:val="bullet"/>
      <w:lvlText w:val=""/>
      <w:lvlJc w:val="left"/>
      <w:pPr>
        <w:ind w:left="0" w:firstLine="0"/>
      </w:pPr>
      <w:rPr>
        <w:rFonts w:ascii="Symbol" w:hAnsi="Symbol"/>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52" w15:restartNumberingAfterBreak="0">
    <w:nsid w:val="05B35A23"/>
    <w:multiLevelType w:val="multilevel"/>
    <w:tmpl w:val="52ECB886"/>
    <w:styleLink w:val="WW8Num4622"/>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3" w15:restartNumberingAfterBreak="0">
    <w:nsid w:val="07667D50"/>
    <w:multiLevelType w:val="hybridMultilevel"/>
    <w:tmpl w:val="75687F20"/>
    <w:styleLink w:val="WW8Num383"/>
    <w:lvl w:ilvl="0" w:tplc="6B365518">
      <w:start w:val="1"/>
      <w:numFmt w:val="bullet"/>
      <w:pStyle w:val="Lista1ST"/>
      <w:lvlText w:val=""/>
      <w:lvlJc w:val="left"/>
      <w:pPr>
        <w:tabs>
          <w:tab w:val="num" w:pos="1004"/>
        </w:tabs>
        <w:ind w:left="1004"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0770018B"/>
    <w:multiLevelType w:val="hybridMultilevel"/>
    <w:tmpl w:val="CDACB7D4"/>
    <w:styleLink w:val="WW8Num302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 w15:restartNumberingAfterBreak="0">
    <w:nsid w:val="077E10E5"/>
    <w:multiLevelType w:val="hybridMultilevel"/>
    <w:tmpl w:val="B53C5D3C"/>
    <w:styleLink w:val="WW8Num21011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 w15:restartNumberingAfterBreak="0">
    <w:nsid w:val="07852A22"/>
    <w:multiLevelType w:val="hybridMultilevel"/>
    <w:tmpl w:val="508460D2"/>
    <w:styleLink w:val="WW8Num2522"/>
    <w:lvl w:ilvl="0" w:tplc="04150017">
      <w:start w:val="1"/>
      <w:numFmt w:val="lowerLetter"/>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7" w15:restartNumberingAfterBreak="0">
    <w:nsid w:val="07C24591"/>
    <w:multiLevelType w:val="multilevel"/>
    <w:tmpl w:val="BA087CFC"/>
    <w:styleLink w:val="WW8Num162"/>
    <w:lvl w:ilvl="0">
      <w:start w:val="1"/>
      <w:numFmt w:val="bullet"/>
      <w:lvlText w:val=""/>
      <w:lvlJc w:val="left"/>
      <w:rPr>
        <w:rFonts w:ascii="Symbol" w:hAnsi="Symbol" w:hint="default"/>
      </w:rPr>
    </w:lvl>
    <w:lvl w:ilvl="1">
      <w:numFmt w:val="bullet"/>
      <w:lvlText w:val="o"/>
      <w:lvlJc w:val="left"/>
      <w:pPr>
        <w:ind w:left="-3960" w:hanging="360"/>
      </w:pPr>
      <w:rPr>
        <w:rFonts w:ascii="Courier New" w:hAnsi="Courier New"/>
      </w:rPr>
    </w:lvl>
    <w:lvl w:ilvl="2">
      <w:numFmt w:val="bullet"/>
      <w:lvlText w:val=""/>
      <w:lvlJc w:val="left"/>
      <w:pPr>
        <w:ind w:left="-324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1800" w:hanging="360"/>
      </w:pPr>
      <w:rPr>
        <w:rFonts w:ascii="Courier New" w:hAnsi="Courier New"/>
      </w:rPr>
    </w:lvl>
    <w:lvl w:ilvl="5">
      <w:numFmt w:val="bullet"/>
      <w:lvlText w:val=""/>
      <w:lvlJc w:val="left"/>
      <w:pPr>
        <w:ind w:left="-1080" w:hanging="360"/>
      </w:pPr>
      <w:rPr>
        <w:rFonts w:ascii="Wingdings" w:hAnsi="Wingdings"/>
      </w:rPr>
    </w:lvl>
    <w:lvl w:ilvl="6">
      <w:numFmt w:val="bullet"/>
      <w:lvlText w:val=""/>
      <w:lvlJc w:val="left"/>
      <w:pPr>
        <w:ind w:left="-360" w:hanging="360"/>
      </w:pPr>
      <w:rPr>
        <w:rFonts w:ascii="Symbol" w:hAnsi="Symbol"/>
      </w:rPr>
    </w:lvl>
    <w:lvl w:ilvl="7">
      <w:numFmt w:val="bullet"/>
      <w:lvlText w:val="o"/>
      <w:lvlJc w:val="left"/>
      <w:pPr>
        <w:ind w:left="360" w:hanging="360"/>
      </w:pPr>
      <w:rPr>
        <w:rFonts w:ascii="Courier New" w:hAnsi="Courier New"/>
      </w:rPr>
    </w:lvl>
    <w:lvl w:ilvl="8">
      <w:numFmt w:val="bullet"/>
      <w:lvlText w:val=""/>
      <w:lvlJc w:val="left"/>
      <w:pPr>
        <w:ind w:left="1080" w:hanging="360"/>
      </w:pPr>
      <w:rPr>
        <w:rFonts w:ascii="Wingdings" w:hAnsi="Wingdings"/>
      </w:rPr>
    </w:lvl>
  </w:abstractNum>
  <w:abstractNum w:abstractNumId="58" w15:restartNumberingAfterBreak="0">
    <w:nsid w:val="088D342C"/>
    <w:multiLevelType w:val="multilevel"/>
    <w:tmpl w:val="AA2E3B40"/>
    <w:styleLink w:val="WW8Num3411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59" w15:restartNumberingAfterBreak="0">
    <w:nsid w:val="08AE1D16"/>
    <w:multiLevelType w:val="hybridMultilevel"/>
    <w:tmpl w:val="2ADC9F5A"/>
    <w:styleLink w:val="WW8Num83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09204342"/>
    <w:multiLevelType w:val="multilevel"/>
    <w:tmpl w:val="4B324D62"/>
    <w:styleLink w:val="WW8Num31"/>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1" w15:restartNumberingAfterBreak="0">
    <w:nsid w:val="0A0F216E"/>
    <w:multiLevelType w:val="singleLevel"/>
    <w:tmpl w:val="FE908656"/>
    <w:lvl w:ilvl="0">
      <w:start w:val="1"/>
      <w:numFmt w:val="lowerLetter"/>
      <w:lvlText w:val="%1)"/>
      <w:legacy w:legacy="1" w:legacySpace="0" w:legacyIndent="283"/>
      <w:lvlJc w:val="left"/>
      <w:pPr>
        <w:ind w:left="283" w:hanging="283"/>
      </w:pPr>
    </w:lvl>
  </w:abstractNum>
  <w:abstractNum w:abstractNumId="62" w15:restartNumberingAfterBreak="0">
    <w:nsid w:val="0A591776"/>
    <w:multiLevelType w:val="hybridMultilevel"/>
    <w:tmpl w:val="72C4438C"/>
    <w:styleLink w:val="WW8Num273"/>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0AFF0782"/>
    <w:multiLevelType w:val="multilevel"/>
    <w:tmpl w:val="7FA43C58"/>
    <w:styleLink w:val="WW8Num19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4" w15:restartNumberingAfterBreak="0">
    <w:nsid w:val="0B5E3888"/>
    <w:multiLevelType w:val="multilevel"/>
    <w:tmpl w:val="999203D6"/>
    <w:styleLink w:val="WW8Num82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5" w15:restartNumberingAfterBreak="0">
    <w:nsid w:val="0B6137F3"/>
    <w:multiLevelType w:val="multilevel"/>
    <w:tmpl w:val="57B4034C"/>
    <w:styleLink w:val="WW8Num24112"/>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66" w15:restartNumberingAfterBreak="0">
    <w:nsid w:val="0BA277A5"/>
    <w:multiLevelType w:val="hybridMultilevel"/>
    <w:tmpl w:val="735E728E"/>
    <w:styleLink w:val="WW8Num24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0C18331B"/>
    <w:multiLevelType w:val="hybridMultilevel"/>
    <w:tmpl w:val="03761B16"/>
    <w:styleLink w:val="WW8Num72"/>
    <w:lvl w:ilvl="0" w:tplc="DF0C7486">
      <w:start w:val="1"/>
      <w:numFmt w:val="lowerLetter"/>
      <w:lvlText w:val="%1)"/>
      <w:lvlJc w:val="left"/>
      <w:pPr>
        <w:tabs>
          <w:tab w:val="num" w:pos="0"/>
        </w:tabs>
        <w:ind w:left="283" w:hanging="283"/>
      </w:pPr>
      <w:rPr>
        <w:rFonts w:hint="default"/>
      </w:rPr>
    </w:lvl>
    <w:lvl w:ilvl="1" w:tplc="D410FAD4">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8" w15:restartNumberingAfterBreak="0">
    <w:nsid w:val="0C6E1186"/>
    <w:multiLevelType w:val="multilevel"/>
    <w:tmpl w:val="D39A361E"/>
    <w:styleLink w:val="WW8Num1212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69"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0CA07C62"/>
    <w:multiLevelType w:val="multilevel"/>
    <w:tmpl w:val="2A4858F4"/>
    <w:styleLink w:val="WW8Num112"/>
    <w:lvl w:ilvl="0">
      <w:start w:val="4"/>
      <w:numFmt w:val="decimal"/>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71" w15:restartNumberingAfterBreak="0">
    <w:nsid w:val="0CB1228D"/>
    <w:multiLevelType w:val="hybridMultilevel"/>
    <w:tmpl w:val="5F7A27E0"/>
    <w:styleLink w:val="WW8Num8013"/>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72" w15:restartNumberingAfterBreak="0">
    <w:nsid w:val="0CF13403"/>
    <w:multiLevelType w:val="multilevel"/>
    <w:tmpl w:val="3460BF0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73" w15:restartNumberingAfterBreak="0">
    <w:nsid w:val="0CF25725"/>
    <w:multiLevelType w:val="hybridMultilevel"/>
    <w:tmpl w:val="EA22D3CC"/>
    <w:styleLink w:val="WW8Num26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0CFC63E5"/>
    <w:multiLevelType w:val="multilevel"/>
    <w:tmpl w:val="0CF2009E"/>
    <w:styleLink w:val="WW8Num39"/>
    <w:lvl w:ilvl="0">
      <w:numFmt w:val="bullet"/>
      <w:lvlText w:val="-"/>
      <w:lvlJc w:val="left"/>
      <w:pPr>
        <w:ind w:left="644"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5" w15:restartNumberingAfterBreak="0">
    <w:nsid w:val="0DDF5EDB"/>
    <w:multiLevelType w:val="hybridMultilevel"/>
    <w:tmpl w:val="90A8F20A"/>
    <w:styleLink w:val="WW8Num3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0E7F3DE0"/>
    <w:multiLevelType w:val="multilevel"/>
    <w:tmpl w:val="B05C42DA"/>
    <w:styleLink w:val="WW8Num193"/>
    <w:lvl w:ilvl="0">
      <w:start w:val="1"/>
      <w:numFmt w:val="decimal"/>
      <w:pStyle w:val="01Tytu1"/>
      <w:lvlText w:val="%1."/>
      <w:lvlJc w:val="left"/>
      <w:pPr>
        <w:ind w:left="360" w:hanging="360"/>
      </w:pPr>
    </w:lvl>
    <w:lvl w:ilvl="1">
      <w:start w:val="1"/>
      <w:numFmt w:val="decimal"/>
      <w:pStyle w:val="01Tytu2"/>
      <w:lvlText w:val="%1.%2."/>
      <w:lvlJc w:val="left"/>
      <w:pPr>
        <w:ind w:left="792" w:hanging="432"/>
      </w:pPr>
      <w:rPr>
        <w:i w:val="0"/>
        <w:iC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01Tytu3"/>
      <w:lvlText w:val="%1.%2.%3."/>
      <w:lvlJc w:val="left"/>
      <w:pPr>
        <w:ind w:left="1224" w:hanging="504"/>
      </w:pPr>
      <w:rPr>
        <w:b/>
        <w:bCs/>
      </w:rPr>
    </w:lvl>
    <w:lvl w:ilvl="3">
      <w:start w:val="1"/>
      <w:numFmt w:val="decimal"/>
      <w:pStyle w:val="01Tytu4"/>
      <w:lvlText w:val="%1.%2.%3.%4."/>
      <w:lvlJc w:val="left"/>
      <w:pPr>
        <w:ind w:left="1728" w:hanging="648"/>
      </w:pPr>
      <w:rPr>
        <w:b/>
        <w:bCs/>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0F6F4E38"/>
    <w:multiLevelType w:val="hybridMultilevel"/>
    <w:tmpl w:val="46E656AC"/>
    <w:styleLink w:val="WW8Num1101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15:restartNumberingAfterBreak="0">
    <w:nsid w:val="0F822E1A"/>
    <w:multiLevelType w:val="multilevel"/>
    <w:tmpl w:val="B3A205AA"/>
    <w:styleLink w:val="WW8Num42"/>
    <w:lvl w:ilvl="0">
      <w:numFmt w:val="bullet"/>
      <w:lvlText w:val=""/>
      <w:lvlJc w:val="left"/>
      <w:rPr>
        <w:rFonts w:ascii="Symbol" w:hAnsi="Symbol"/>
      </w:rPr>
    </w:lvl>
    <w:lvl w:ilvl="1">
      <w:start w:val="1"/>
      <w:numFmt w:val="decimal"/>
      <w:lvlText w:val="%2."/>
      <w:lvlJc w:val="left"/>
      <w:pPr>
        <w:ind w:left="1440" w:hanging="360"/>
      </w:p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9" w15:restartNumberingAfterBreak="0">
    <w:nsid w:val="0FE91A4D"/>
    <w:multiLevelType w:val="multilevel"/>
    <w:tmpl w:val="E500C578"/>
    <w:styleLink w:val="WW8Num662"/>
    <w:lvl w:ilvl="0">
      <w:start w:val="1"/>
      <w:numFmt w:val="bullet"/>
      <w:lvlText w:val=""/>
      <w:lvlJc w:val="left"/>
      <w:pPr>
        <w:ind w:left="1080" w:hanging="360"/>
      </w:pPr>
      <w:rPr>
        <w:rFonts w:ascii="Symbol" w:hAnsi="Symbol" w:hint="default"/>
      </w:rPr>
    </w:lvl>
    <w:lvl w:ilvl="1">
      <w:numFmt w:val="bullet"/>
      <w:lvlText w:val="-"/>
      <w:lvlJc w:val="left"/>
      <w:pPr>
        <w:ind w:left="1440" w:hanging="360"/>
      </w:pPr>
      <w:rPr>
        <w:rFonts w:ascii="Times New Roman" w:hAnsi="Times New Roman" w:cs="Times New Roman"/>
      </w:r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80" w15:restartNumberingAfterBreak="0">
    <w:nsid w:val="10176CEA"/>
    <w:multiLevelType w:val="hybridMultilevel"/>
    <w:tmpl w:val="14A8E040"/>
    <w:styleLink w:val="WW8Num822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1" w15:restartNumberingAfterBreak="0">
    <w:nsid w:val="1028080D"/>
    <w:multiLevelType w:val="multilevel"/>
    <w:tmpl w:val="249CF7AA"/>
    <w:styleLink w:val="WWNum21"/>
    <w:lvl w:ilvl="0">
      <w:start w:val="1"/>
      <w:numFmt w:val="decimal"/>
      <w:lvlText w:val="%1."/>
      <w:lvlJc w:val="left"/>
      <w:pPr>
        <w:ind w:left="2912" w:hanging="360"/>
      </w:pPr>
      <w:rPr>
        <w:rFonts w:hint="default"/>
        <w:color w:val="auto"/>
      </w:rPr>
    </w:lvl>
    <w:lvl w:ilvl="1">
      <w:start w:val="1"/>
      <w:numFmt w:val="decimal"/>
      <w:isLgl/>
      <w:lvlText w:val="%1.%2."/>
      <w:lvlJc w:val="left"/>
      <w:pPr>
        <w:ind w:left="1146" w:hanging="720"/>
      </w:pPr>
      <w:rPr>
        <w:rFonts w:hint="default"/>
        <w:b/>
      </w:rPr>
    </w:lvl>
    <w:lvl w:ilvl="2">
      <w:start w:val="1"/>
      <w:numFmt w:val="decimal"/>
      <w:isLgl/>
      <w:lvlText w:val="%1.%2.%3."/>
      <w:lvlJc w:val="left"/>
      <w:pPr>
        <w:ind w:left="1212" w:hanging="720"/>
      </w:pPr>
      <w:rPr>
        <w:rFonts w:hint="default"/>
      </w:rPr>
    </w:lvl>
    <w:lvl w:ilvl="3">
      <w:start w:val="1"/>
      <w:numFmt w:val="decimal"/>
      <w:isLgl/>
      <w:lvlText w:val="%1.%2.%3.%4."/>
      <w:lvlJc w:val="left"/>
      <w:pPr>
        <w:ind w:left="1638"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130" w:hanging="144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622" w:hanging="1800"/>
      </w:pPr>
      <w:rPr>
        <w:rFonts w:hint="default"/>
      </w:rPr>
    </w:lvl>
    <w:lvl w:ilvl="8">
      <w:start w:val="1"/>
      <w:numFmt w:val="decimal"/>
      <w:isLgl/>
      <w:lvlText w:val="%1.%2.%3.%4.%5.%6.%7.%8.%9."/>
      <w:lvlJc w:val="left"/>
      <w:pPr>
        <w:ind w:left="2688" w:hanging="1800"/>
      </w:pPr>
      <w:rPr>
        <w:rFonts w:hint="default"/>
      </w:rPr>
    </w:lvl>
  </w:abstractNum>
  <w:abstractNum w:abstractNumId="82" w15:restartNumberingAfterBreak="0">
    <w:nsid w:val="106C3683"/>
    <w:multiLevelType w:val="multilevel"/>
    <w:tmpl w:val="11CAD7A2"/>
    <w:styleLink w:val="WW8Num88"/>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3" w15:restartNumberingAfterBreak="0">
    <w:nsid w:val="10B1771A"/>
    <w:multiLevelType w:val="multilevel"/>
    <w:tmpl w:val="D00607F2"/>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0F234CA"/>
    <w:multiLevelType w:val="multilevel"/>
    <w:tmpl w:val="B9603C42"/>
    <w:styleLink w:val="WW8Num76"/>
    <w:lvl w:ilvl="0">
      <w:numFmt w:val="bullet"/>
      <w:lvlText w:val=""/>
      <w:lvlJc w:val="left"/>
      <w:rPr>
        <w:rFonts w:ascii="Symbol" w:hAnsi="Symbol"/>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85" w15:restartNumberingAfterBreak="0">
    <w:nsid w:val="114956AB"/>
    <w:multiLevelType w:val="multilevel"/>
    <w:tmpl w:val="4A5E782E"/>
    <w:styleLink w:val="WW8Num41"/>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6" w15:restartNumberingAfterBreak="0">
    <w:nsid w:val="1151112B"/>
    <w:multiLevelType w:val="multilevel"/>
    <w:tmpl w:val="C192A53C"/>
    <w:styleLink w:val="WW8Num81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7" w15:restartNumberingAfterBreak="0">
    <w:nsid w:val="11620668"/>
    <w:multiLevelType w:val="multilevel"/>
    <w:tmpl w:val="7446013C"/>
    <w:styleLink w:val="WW8Num762"/>
    <w:lvl w:ilvl="0">
      <w:start w:val="1"/>
      <w:numFmt w:val="bullet"/>
      <w:lvlText w:val=""/>
      <w:lvlJc w:val="left"/>
      <w:pPr>
        <w:ind w:left="927"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88" w15:restartNumberingAfterBreak="0">
    <w:nsid w:val="11A04A8A"/>
    <w:multiLevelType w:val="multilevel"/>
    <w:tmpl w:val="92FA0EA4"/>
    <w:styleLink w:val="WW8Num8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89" w15:restartNumberingAfterBreak="0">
    <w:nsid w:val="11B336DA"/>
    <w:multiLevelType w:val="multilevel"/>
    <w:tmpl w:val="6F2699B2"/>
    <w:styleLink w:val="WW8Num14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0" w15:restartNumberingAfterBreak="0">
    <w:nsid w:val="12086076"/>
    <w:multiLevelType w:val="multilevel"/>
    <w:tmpl w:val="D20CCB90"/>
    <w:styleLink w:val="WW8Num25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1" w15:restartNumberingAfterBreak="0">
    <w:nsid w:val="128075AC"/>
    <w:multiLevelType w:val="multilevel"/>
    <w:tmpl w:val="1E867650"/>
    <w:styleLink w:val="WW8Num1811"/>
    <w:lvl w:ilvl="0">
      <w:start w:val="10"/>
      <w:numFmt w:val="decimal"/>
      <w:lvlText w:val="%1."/>
      <w:lvlJc w:val="left"/>
      <w:pPr>
        <w:ind w:left="397" w:hanging="397"/>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2" w15:restartNumberingAfterBreak="0">
    <w:nsid w:val="129475A3"/>
    <w:multiLevelType w:val="multilevel"/>
    <w:tmpl w:val="3F7E4494"/>
    <w:styleLink w:val="WW8Num3021"/>
    <w:lvl w:ilvl="0">
      <w:start w:val="1"/>
      <w:numFmt w:val="bullet"/>
      <w:lvlText w:val=""/>
      <w:lvlJc w:val="left"/>
      <w:pPr>
        <w:ind w:left="283" w:hanging="283"/>
      </w:pPr>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3"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4" w15:restartNumberingAfterBreak="0">
    <w:nsid w:val="13747CF1"/>
    <w:multiLevelType w:val="multilevel"/>
    <w:tmpl w:val="D80498C2"/>
    <w:styleLink w:val="WW8Num263"/>
    <w:lvl w:ilvl="0">
      <w:start w:val="1"/>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5" w15:restartNumberingAfterBreak="0">
    <w:nsid w:val="14301A05"/>
    <w:multiLevelType w:val="hybridMultilevel"/>
    <w:tmpl w:val="B9F8F1F2"/>
    <w:lvl w:ilvl="0" w:tplc="04150001">
      <w:start w:val="1"/>
      <w:numFmt w:val="lowerLetter"/>
      <w:lvlText w:val="%1)"/>
      <w:lvlJc w:val="left"/>
      <w:pPr>
        <w:tabs>
          <w:tab w:val="num" w:pos="1080"/>
        </w:tabs>
        <w:ind w:left="1080" w:hanging="360"/>
      </w:pPr>
      <w:rPr>
        <w:rFonts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96"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4BE63DC"/>
    <w:multiLevelType w:val="multilevel"/>
    <w:tmpl w:val="5B3A340A"/>
    <w:styleLink w:val="WW8Num37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8" w15:restartNumberingAfterBreak="0">
    <w:nsid w:val="15081245"/>
    <w:multiLevelType w:val="multilevel"/>
    <w:tmpl w:val="0A3AD2D8"/>
    <w:styleLink w:val="WW8Num2101"/>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99" w15:restartNumberingAfterBreak="0">
    <w:nsid w:val="151D40E0"/>
    <w:multiLevelType w:val="multilevel"/>
    <w:tmpl w:val="4C2A350E"/>
    <w:styleLink w:val="WW8StyleNum1"/>
    <w:lvl w:ilvl="0">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0" w15:restartNumberingAfterBreak="0">
    <w:nsid w:val="15784108"/>
    <w:multiLevelType w:val="hybridMultilevel"/>
    <w:tmpl w:val="489E559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254830"/>
    <w:multiLevelType w:val="hybridMultilevel"/>
    <w:tmpl w:val="E16802A6"/>
    <w:styleLink w:val="WW8Num8122"/>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2" w15:restartNumberingAfterBreak="0">
    <w:nsid w:val="16992C89"/>
    <w:multiLevelType w:val="multilevel"/>
    <w:tmpl w:val="5E08AFBC"/>
    <w:styleLink w:val="WW8Num37"/>
    <w:lvl w:ilvl="0">
      <w:start w:val="1"/>
      <w:numFmt w:val="decimal"/>
      <w:lvlText w:val="2.2.%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3" w15:restartNumberingAfterBreak="0">
    <w:nsid w:val="16B261AC"/>
    <w:multiLevelType w:val="multilevel"/>
    <w:tmpl w:val="7BACF8C2"/>
    <w:styleLink w:val="WW8Num1412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4"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5" w15:restartNumberingAfterBreak="0">
    <w:nsid w:val="185F2BED"/>
    <w:multiLevelType w:val="multilevel"/>
    <w:tmpl w:val="0BE0FA36"/>
    <w:styleLink w:val="WW8Num217"/>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6" w15:restartNumberingAfterBreak="0">
    <w:nsid w:val="19AC1705"/>
    <w:multiLevelType w:val="multilevel"/>
    <w:tmpl w:val="DD2EB330"/>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07" w15:restartNumberingAfterBreak="0">
    <w:nsid w:val="19F74138"/>
    <w:multiLevelType w:val="multilevel"/>
    <w:tmpl w:val="E8EAEE18"/>
    <w:styleLink w:val="WW8Num62"/>
    <w:lvl w:ilvl="0">
      <w:start w:val="1"/>
      <w:numFmt w:val="lowerLetter"/>
      <w:lvlText w:val="%1)"/>
      <w:lvlJc w:val="left"/>
      <w:pPr>
        <w:ind w:left="587" w:hanging="360"/>
      </w:p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08" w15:restartNumberingAfterBreak="0">
    <w:nsid w:val="19FE6730"/>
    <w:multiLevelType w:val="hybridMultilevel"/>
    <w:tmpl w:val="EBF4B580"/>
    <w:styleLink w:val="WW8Num23111"/>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15:restartNumberingAfterBreak="0">
    <w:nsid w:val="1A3A4CFF"/>
    <w:multiLevelType w:val="multilevel"/>
    <w:tmpl w:val="223CB85E"/>
    <w:styleLink w:val="WW8Num831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0" w15:restartNumberingAfterBreak="0">
    <w:nsid w:val="1A514ED3"/>
    <w:multiLevelType w:val="multilevel"/>
    <w:tmpl w:val="546ABC46"/>
    <w:styleLink w:val="WW8Num10"/>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1" w15:restartNumberingAfterBreak="0">
    <w:nsid w:val="1B025409"/>
    <w:multiLevelType w:val="multilevel"/>
    <w:tmpl w:val="DD00CB26"/>
    <w:styleLink w:val="WW8Num302"/>
    <w:lvl w:ilvl="0">
      <w:start w:val="1"/>
      <w:numFmt w:val="bullet"/>
      <w:lvlText w:val=""/>
      <w:lvlJc w:val="left"/>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2" w15:restartNumberingAfterBreak="0">
    <w:nsid w:val="1B901607"/>
    <w:multiLevelType w:val="multilevel"/>
    <w:tmpl w:val="9F807532"/>
    <w:styleLink w:val="WW8Num84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3" w15:restartNumberingAfterBreak="0">
    <w:nsid w:val="1C360D3D"/>
    <w:multiLevelType w:val="multilevel"/>
    <w:tmpl w:val="21C4A09E"/>
    <w:styleLink w:val="WW8Num3221"/>
    <w:lvl w:ilvl="0">
      <w:start w:val="25"/>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4" w15:restartNumberingAfterBreak="0">
    <w:nsid w:val="1C6F03A0"/>
    <w:multiLevelType w:val="multilevel"/>
    <w:tmpl w:val="9CCCDE6C"/>
    <w:styleLink w:val="WW8Num19122"/>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15" w15:restartNumberingAfterBreak="0">
    <w:nsid w:val="1D39418F"/>
    <w:multiLevelType w:val="multilevel"/>
    <w:tmpl w:val="A5C85980"/>
    <w:styleLink w:val="WW8Num38"/>
    <w:lvl w:ilvl="0">
      <w:start w:val="2"/>
      <w:numFmt w:val="decimal"/>
      <w:lvlText w:val="2.2.%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6" w15:restartNumberingAfterBreak="0">
    <w:nsid w:val="1DBC68E5"/>
    <w:multiLevelType w:val="multilevel"/>
    <w:tmpl w:val="3028D01A"/>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17" w15:restartNumberingAfterBreak="0">
    <w:nsid w:val="1EA300D8"/>
    <w:multiLevelType w:val="hybridMultilevel"/>
    <w:tmpl w:val="09E280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1EC46FE1"/>
    <w:multiLevelType w:val="multilevel"/>
    <w:tmpl w:val="E8EAEE18"/>
    <w:styleLink w:val="WW8Num102"/>
    <w:lvl w:ilvl="0">
      <w:start w:val="1"/>
      <w:numFmt w:val="lowerLetter"/>
      <w:lvlText w:val="%1)"/>
      <w:lvlJc w:val="left"/>
      <w:pPr>
        <w:ind w:left="360" w:hanging="360"/>
      </w:pPr>
    </w:lvl>
    <w:lvl w:ilvl="1">
      <w:numFmt w:val="bullet"/>
      <w:lvlText w:val="o"/>
      <w:lvlJc w:val="left"/>
      <w:pPr>
        <w:ind w:left="1213" w:hanging="360"/>
      </w:pPr>
      <w:rPr>
        <w:rFonts w:ascii="Courier New" w:hAnsi="Courier New"/>
      </w:rPr>
    </w:lvl>
    <w:lvl w:ilvl="2">
      <w:numFmt w:val="bullet"/>
      <w:lvlText w:val=""/>
      <w:lvlJc w:val="left"/>
      <w:pPr>
        <w:ind w:left="1933" w:hanging="360"/>
      </w:pPr>
      <w:rPr>
        <w:rFonts w:ascii="Wingdings" w:hAnsi="Wingdings"/>
      </w:rPr>
    </w:lvl>
    <w:lvl w:ilvl="3">
      <w:numFmt w:val="bullet"/>
      <w:lvlText w:val=""/>
      <w:lvlJc w:val="left"/>
      <w:pPr>
        <w:ind w:left="2653" w:hanging="360"/>
      </w:pPr>
      <w:rPr>
        <w:rFonts w:ascii="Symbol" w:hAnsi="Symbol"/>
      </w:rPr>
    </w:lvl>
    <w:lvl w:ilvl="4">
      <w:numFmt w:val="bullet"/>
      <w:lvlText w:val="o"/>
      <w:lvlJc w:val="left"/>
      <w:pPr>
        <w:ind w:left="3373" w:hanging="360"/>
      </w:pPr>
      <w:rPr>
        <w:rFonts w:ascii="Courier New" w:hAnsi="Courier New"/>
      </w:rPr>
    </w:lvl>
    <w:lvl w:ilvl="5">
      <w:numFmt w:val="bullet"/>
      <w:lvlText w:val=""/>
      <w:lvlJc w:val="left"/>
      <w:pPr>
        <w:ind w:left="4093" w:hanging="360"/>
      </w:pPr>
      <w:rPr>
        <w:rFonts w:ascii="Wingdings" w:hAnsi="Wingdings"/>
      </w:rPr>
    </w:lvl>
    <w:lvl w:ilvl="6">
      <w:numFmt w:val="bullet"/>
      <w:lvlText w:val=""/>
      <w:lvlJc w:val="left"/>
      <w:pPr>
        <w:ind w:left="4813" w:hanging="360"/>
      </w:pPr>
      <w:rPr>
        <w:rFonts w:ascii="Symbol" w:hAnsi="Symbol"/>
      </w:rPr>
    </w:lvl>
    <w:lvl w:ilvl="7">
      <w:numFmt w:val="bullet"/>
      <w:lvlText w:val="o"/>
      <w:lvlJc w:val="left"/>
      <w:pPr>
        <w:ind w:left="5533" w:hanging="360"/>
      </w:pPr>
      <w:rPr>
        <w:rFonts w:ascii="Courier New" w:hAnsi="Courier New"/>
      </w:rPr>
    </w:lvl>
    <w:lvl w:ilvl="8">
      <w:numFmt w:val="bullet"/>
      <w:lvlText w:val=""/>
      <w:lvlJc w:val="left"/>
      <w:pPr>
        <w:ind w:left="6253" w:hanging="360"/>
      </w:pPr>
      <w:rPr>
        <w:rFonts w:ascii="Wingdings" w:hAnsi="Wingdings"/>
      </w:rPr>
    </w:lvl>
  </w:abstractNum>
  <w:abstractNum w:abstractNumId="119" w15:restartNumberingAfterBreak="0">
    <w:nsid w:val="1F617FF0"/>
    <w:multiLevelType w:val="hybridMultilevel"/>
    <w:tmpl w:val="FF74C008"/>
    <w:styleLink w:val="WW8Num881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FA37769"/>
    <w:multiLevelType w:val="multilevel"/>
    <w:tmpl w:val="7FF8AFA8"/>
    <w:styleLink w:val="WW8Num8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1" w15:restartNumberingAfterBreak="0">
    <w:nsid w:val="20186C68"/>
    <w:multiLevelType w:val="hybridMultilevel"/>
    <w:tmpl w:val="1FEA97EC"/>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21277AE4"/>
    <w:multiLevelType w:val="multilevel"/>
    <w:tmpl w:val="B8BA396C"/>
    <w:styleLink w:val="WW8StyleNum11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3"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4" w15:restartNumberingAfterBreak="0">
    <w:nsid w:val="21FD2F05"/>
    <w:multiLevelType w:val="multilevel"/>
    <w:tmpl w:val="3C4E0160"/>
    <w:styleLink w:val="WW8StyleNum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5"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6" w15:restartNumberingAfterBreak="0">
    <w:nsid w:val="222F1758"/>
    <w:multiLevelType w:val="multilevel"/>
    <w:tmpl w:val="C520F658"/>
    <w:styleLink w:val="WW8Num622"/>
    <w:lvl w:ilvl="0">
      <w:start w:val="1"/>
      <w:numFmt w:val="bullet"/>
      <w:lvlText w:val=""/>
      <w:lvlJc w:val="left"/>
      <w:rPr>
        <w:rFonts w:ascii="Symbol" w:hAnsi="Symbol" w:hint="default"/>
      </w:rPr>
    </w:lvl>
    <w:lvl w:ilvl="1">
      <w:start w:val="1"/>
      <w:numFmt w:val="bullet"/>
      <w:lvlText w:val=""/>
      <w:lvlJc w:val="left"/>
      <w:rPr>
        <w:rFonts w:ascii="Symbol" w:hAnsi="Symbol" w:hint="default"/>
      </w:rPr>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7" w15:restartNumberingAfterBreak="0">
    <w:nsid w:val="23203556"/>
    <w:multiLevelType w:val="hybridMultilevel"/>
    <w:tmpl w:val="BA12F13E"/>
    <w:lvl w:ilvl="0" w:tplc="B3DC9560">
      <w:start w:val="1"/>
      <w:numFmt w:val="bullet"/>
      <w:lvlText w:val="–"/>
      <w:lvlJc w:val="left"/>
      <w:pPr>
        <w:ind w:left="720" w:hanging="360"/>
      </w:pPr>
      <w:rPr>
        <w:rFonts w:ascii="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15:restartNumberingAfterBreak="0">
    <w:nsid w:val="234A0A9B"/>
    <w:multiLevelType w:val="multilevel"/>
    <w:tmpl w:val="0466302E"/>
    <w:styleLink w:val="WW8StyleNum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29" w15:restartNumberingAfterBreak="0">
    <w:nsid w:val="238316AF"/>
    <w:multiLevelType w:val="multilevel"/>
    <w:tmpl w:val="C9D21DBA"/>
    <w:styleLink w:val="WW8Num3521"/>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0" w15:restartNumberingAfterBreak="0">
    <w:nsid w:val="23CF6543"/>
    <w:multiLevelType w:val="hybridMultilevel"/>
    <w:tmpl w:val="117031CC"/>
    <w:lvl w:ilvl="0" w:tplc="0478AA8C">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5073300"/>
    <w:multiLevelType w:val="hybridMultilevel"/>
    <w:tmpl w:val="7D8CDA90"/>
    <w:styleLink w:val="WW8Num802"/>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2" w15:restartNumberingAfterBreak="0">
    <w:nsid w:val="251B2DBE"/>
    <w:multiLevelType w:val="hybridMultilevel"/>
    <w:tmpl w:val="1AF20920"/>
    <w:styleLink w:val="WW8Num2622"/>
    <w:lvl w:ilvl="0" w:tplc="6902F2B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3" w15:restartNumberingAfterBreak="0">
    <w:nsid w:val="254344AC"/>
    <w:multiLevelType w:val="hybridMultilevel"/>
    <w:tmpl w:val="717053B2"/>
    <w:styleLink w:val="WW8Num11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4" w15:restartNumberingAfterBreak="0">
    <w:nsid w:val="259D3984"/>
    <w:multiLevelType w:val="multilevel"/>
    <w:tmpl w:val="7886309E"/>
    <w:styleLink w:val="WW8Num582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35" w15:restartNumberingAfterBreak="0">
    <w:nsid w:val="25FD21F6"/>
    <w:multiLevelType w:val="singleLevel"/>
    <w:tmpl w:val="200CC5EC"/>
    <w:styleLink w:val="WW8Num712"/>
    <w:lvl w:ilvl="0">
      <w:start w:val="1"/>
      <w:numFmt w:val="lowerLetter"/>
      <w:lvlText w:val="%1)"/>
      <w:legacy w:legacy="1" w:legacySpace="0" w:legacyIndent="283"/>
      <w:lvlJc w:val="left"/>
      <w:pPr>
        <w:ind w:left="983" w:hanging="283"/>
      </w:pPr>
    </w:lvl>
  </w:abstractNum>
  <w:abstractNum w:abstractNumId="136" w15:restartNumberingAfterBreak="0">
    <w:nsid w:val="26357EE0"/>
    <w:multiLevelType w:val="hybridMultilevel"/>
    <w:tmpl w:val="5A46CB6C"/>
    <w:styleLink w:val="WW8Num8213"/>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37" w15:restartNumberingAfterBreak="0">
    <w:nsid w:val="26931FB7"/>
    <w:multiLevelType w:val="multilevel"/>
    <w:tmpl w:val="B314A064"/>
    <w:styleLink w:val="WW8Num332"/>
    <w:lvl w:ilvl="0">
      <w:start w:val="1"/>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138"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0" w15:restartNumberingAfterBreak="0">
    <w:nsid w:val="275D48C7"/>
    <w:multiLevelType w:val="multilevel"/>
    <w:tmpl w:val="776E294C"/>
    <w:styleLink w:val="WW8Num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1" w15:restartNumberingAfterBreak="0">
    <w:nsid w:val="27757338"/>
    <w:multiLevelType w:val="hybridMultilevel"/>
    <w:tmpl w:val="EBE0B8C0"/>
    <w:styleLink w:val="WW8Num292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2" w15:restartNumberingAfterBreak="0">
    <w:nsid w:val="27814031"/>
    <w:multiLevelType w:val="multilevel"/>
    <w:tmpl w:val="A878A7FA"/>
    <w:styleLink w:val="WW8Num342"/>
    <w:lvl w:ilvl="0">
      <w:start w:val="1"/>
      <w:numFmt w:val="none"/>
      <w:lvlText w:val="%1"/>
      <w:lvlJc w:val="left"/>
    </w:lvl>
    <w:lvl w:ilvl="1">
      <w:numFmt w:val="none"/>
      <w:lvlText w:val="%2"/>
      <w:lvlJc w:val="left"/>
    </w:lvl>
    <w:lvl w:ilvl="2">
      <w:numFmt w:val="none"/>
      <w:lvlText w:val="%3"/>
      <w:lvlJc w:val="left"/>
    </w:lvl>
    <w:lvl w:ilvl="3">
      <w:numFmt w:val="none"/>
      <w:lvlText w:val="%4"/>
      <w:lvlJc w:val="left"/>
    </w:lvl>
    <w:lvl w:ilvl="4">
      <w:numFmt w:val="none"/>
      <w:lvlText w:val="%5"/>
      <w:lvlJc w:val="left"/>
    </w:lvl>
    <w:lvl w:ilvl="5">
      <w:numFmt w:val="none"/>
      <w:lvlText w:val="%6"/>
      <w:lvlJc w:val="left"/>
    </w:lvl>
    <w:lvl w:ilvl="6">
      <w:numFmt w:val="none"/>
      <w:lvlText w:val="%7"/>
      <w:lvlJc w:val="left"/>
    </w:lvl>
    <w:lvl w:ilvl="7">
      <w:numFmt w:val="none"/>
      <w:lvlText w:val="%8"/>
      <w:lvlJc w:val="left"/>
    </w:lvl>
    <w:lvl w:ilvl="8">
      <w:numFmt w:val="none"/>
      <w:lvlText w:val="%9"/>
      <w:lvlJc w:val="left"/>
    </w:lvl>
  </w:abstractNum>
  <w:abstractNum w:abstractNumId="143" w15:restartNumberingAfterBreak="0">
    <w:nsid w:val="27D85245"/>
    <w:multiLevelType w:val="multilevel"/>
    <w:tmpl w:val="B5843BE0"/>
    <w:styleLink w:val="WW8Num15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4" w15:restartNumberingAfterBreak="0">
    <w:nsid w:val="28086BEC"/>
    <w:multiLevelType w:val="multilevel"/>
    <w:tmpl w:val="F45290CA"/>
    <w:styleLink w:val="WW8Num241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45" w15:restartNumberingAfterBreak="0">
    <w:nsid w:val="28D826C1"/>
    <w:multiLevelType w:val="multilevel"/>
    <w:tmpl w:val="8BB08782"/>
    <w:styleLink w:val="WW8Num292"/>
    <w:lvl w:ilvl="0">
      <w:start w:val="1"/>
      <w:numFmt w:val="bullet"/>
      <w:lvlText w:val=""/>
      <w:lvlJc w:val="left"/>
      <w:pPr>
        <w:ind w:left="283" w:hanging="283"/>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46" w15:restartNumberingAfterBreak="0">
    <w:nsid w:val="29096A43"/>
    <w:multiLevelType w:val="multilevel"/>
    <w:tmpl w:val="D0807EEA"/>
    <w:styleLink w:val="WW8Num44"/>
    <w:lvl w:ilvl="0">
      <w:numFmt w:val="bullet"/>
      <w:lvlText w:val=""/>
      <w:lvlJc w:val="left"/>
      <w:pPr>
        <w:ind w:left="1080" w:firstLine="0"/>
      </w:pPr>
      <w:rPr>
        <w:rFonts w:ascii="Symbol" w:hAnsi="Symbol"/>
      </w:rPr>
    </w:lvl>
    <w:lvl w:ilvl="1">
      <w:numFmt w:val="bullet"/>
      <w:lvlText w:val="o"/>
      <w:lvlJc w:val="left"/>
      <w:pPr>
        <w:ind w:left="2520" w:hanging="360"/>
      </w:pPr>
      <w:rPr>
        <w:rFonts w:ascii="Courier New" w:hAnsi="Courier New"/>
      </w:rPr>
    </w:lvl>
    <w:lvl w:ilvl="2">
      <w:numFmt w:val="bullet"/>
      <w:lvlText w:val=""/>
      <w:lvlJc w:val="left"/>
      <w:pPr>
        <w:ind w:left="3240" w:hanging="360"/>
      </w:pPr>
      <w:rPr>
        <w:rFonts w:ascii="Wingdings" w:hAnsi="Wingdings"/>
      </w:rPr>
    </w:lvl>
    <w:lvl w:ilvl="3">
      <w:numFmt w:val="bullet"/>
      <w:lvlText w:val=""/>
      <w:lvlJc w:val="left"/>
      <w:pPr>
        <w:ind w:left="3960" w:hanging="360"/>
      </w:pPr>
      <w:rPr>
        <w:rFonts w:ascii="Symbol" w:hAnsi="Symbol"/>
      </w:rPr>
    </w:lvl>
    <w:lvl w:ilvl="4">
      <w:numFmt w:val="bullet"/>
      <w:lvlText w:val="o"/>
      <w:lvlJc w:val="left"/>
      <w:pPr>
        <w:ind w:left="4680" w:hanging="360"/>
      </w:pPr>
      <w:rPr>
        <w:rFonts w:ascii="Courier New" w:hAnsi="Courier New"/>
      </w:rPr>
    </w:lvl>
    <w:lvl w:ilvl="5">
      <w:numFmt w:val="bullet"/>
      <w:lvlText w:val=""/>
      <w:lvlJc w:val="left"/>
      <w:pPr>
        <w:ind w:left="5400" w:hanging="360"/>
      </w:pPr>
      <w:rPr>
        <w:rFonts w:ascii="Wingdings" w:hAnsi="Wingdings"/>
      </w:rPr>
    </w:lvl>
    <w:lvl w:ilvl="6">
      <w:numFmt w:val="bullet"/>
      <w:lvlText w:val=""/>
      <w:lvlJc w:val="left"/>
      <w:pPr>
        <w:ind w:left="6120" w:hanging="360"/>
      </w:pPr>
      <w:rPr>
        <w:rFonts w:ascii="Symbol" w:hAnsi="Symbol"/>
      </w:rPr>
    </w:lvl>
    <w:lvl w:ilvl="7">
      <w:numFmt w:val="bullet"/>
      <w:lvlText w:val="o"/>
      <w:lvlJc w:val="left"/>
      <w:pPr>
        <w:ind w:left="6840" w:hanging="360"/>
      </w:pPr>
      <w:rPr>
        <w:rFonts w:ascii="Courier New" w:hAnsi="Courier New"/>
      </w:rPr>
    </w:lvl>
    <w:lvl w:ilvl="8">
      <w:numFmt w:val="bullet"/>
      <w:lvlText w:val=""/>
      <w:lvlJc w:val="left"/>
      <w:pPr>
        <w:ind w:left="7560" w:hanging="360"/>
      </w:pPr>
      <w:rPr>
        <w:rFonts w:ascii="Wingdings" w:hAnsi="Wingdings"/>
      </w:rPr>
    </w:lvl>
  </w:abstractNum>
  <w:abstractNum w:abstractNumId="147" w15:restartNumberingAfterBreak="0">
    <w:nsid w:val="29554AF3"/>
    <w:multiLevelType w:val="hybridMultilevel"/>
    <w:tmpl w:val="206050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295D1C75"/>
    <w:multiLevelType w:val="multilevel"/>
    <w:tmpl w:val="42C622BE"/>
    <w:styleLink w:val="WW8Num85"/>
    <w:lvl w:ilvl="0">
      <w:start w:val="1"/>
      <w:numFmt w:val="bullet"/>
      <w:lvlText w:val=""/>
      <w:lvlJc w:val="left"/>
      <w:pPr>
        <w:ind w:left="2487" w:hanging="360"/>
      </w:pPr>
      <w:rPr>
        <w:rFonts w:ascii="Symbol" w:hAnsi="Symbol" w:hint="default"/>
      </w:rPr>
    </w:lvl>
    <w:lvl w:ilvl="1">
      <w:start w:val="1"/>
      <w:numFmt w:val="lowerLetter"/>
      <w:lvlText w:val="%2."/>
      <w:lvlJc w:val="left"/>
      <w:pPr>
        <w:ind w:left="3567" w:hanging="360"/>
      </w:pPr>
    </w:lvl>
    <w:lvl w:ilvl="2">
      <w:start w:val="1"/>
      <w:numFmt w:val="lowerRoman"/>
      <w:lvlText w:val="%3."/>
      <w:lvlJc w:val="right"/>
      <w:pPr>
        <w:ind w:left="4287" w:hanging="2160"/>
      </w:pPr>
    </w:lvl>
    <w:lvl w:ilvl="3">
      <w:start w:val="1"/>
      <w:numFmt w:val="decimal"/>
      <w:lvlText w:val="%4."/>
      <w:lvlJc w:val="left"/>
      <w:pPr>
        <w:ind w:left="5007" w:hanging="360"/>
      </w:pPr>
    </w:lvl>
    <w:lvl w:ilvl="4">
      <w:start w:val="1"/>
      <w:numFmt w:val="lowerLetter"/>
      <w:lvlText w:val="%5."/>
      <w:lvlJc w:val="left"/>
      <w:pPr>
        <w:ind w:left="5727" w:hanging="360"/>
      </w:pPr>
    </w:lvl>
    <w:lvl w:ilvl="5">
      <w:start w:val="1"/>
      <w:numFmt w:val="lowerRoman"/>
      <w:lvlText w:val="%6."/>
      <w:lvlJc w:val="right"/>
      <w:pPr>
        <w:ind w:left="6447" w:hanging="4320"/>
      </w:pPr>
    </w:lvl>
    <w:lvl w:ilvl="6">
      <w:start w:val="1"/>
      <w:numFmt w:val="decimal"/>
      <w:lvlText w:val="%7."/>
      <w:lvlJc w:val="left"/>
      <w:pPr>
        <w:ind w:left="7167" w:hanging="360"/>
      </w:pPr>
    </w:lvl>
    <w:lvl w:ilvl="7">
      <w:start w:val="1"/>
      <w:numFmt w:val="lowerLetter"/>
      <w:lvlText w:val="%8."/>
      <w:lvlJc w:val="left"/>
      <w:pPr>
        <w:ind w:left="7887" w:hanging="360"/>
      </w:pPr>
    </w:lvl>
    <w:lvl w:ilvl="8">
      <w:start w:val="1"/>
      <w:numFmt w:val="lowerRoman"/>
      <w:lvlText w:val="%9."/>
      <w:lvlJc w:val="right"/>
      <w:pPr>
        <w:ind w:left="8607" w:hanging="6480"/>
      </w:pPr>
    </w:lvl>
  </w:abstractNum>
  <w:abstractNum w:abstractNumId="149" w15:restartNumberingAfterBreak="0">
    <w:nsid w:val="2A4A091C"/>
    <w:multiLevelType w:val="multilevel"/>
    <w:tmpl w:val="4A0AB626"/>
    <w:lvl w:ilvl="0">
      <w:start w:val="7"/>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0" w15:restartNumberingAfterBreak="0">
    <w:nsid w:val="2AA6532F"/>
    <w:multiLevelType w:val="multilevel"/>
    <w:tmpl w:val="143A786E"/>
    <w:styleLink w:val="WW8Num115"/>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1" w15:restartNumberingAfterBreak="0">
    <w:nsid w:val="2AC46EF3"/>
    <w:multiLevelType w:val="multilevel"/>
    <w:tmpl w:val="5978C3E4"/>
    <w:styleLink w:val="WW8Num173"/>
    <w:lvl w:ilvl="0">
      <w:numFmt w:val="bullet"/>
      <w:lvlText w:val=""/>
      <w:lvlJc w:val="left"/>
      <w:pPr>
        <w:ind w:left="360" w:hanging="360"/>
      </w:pPr>
      <w:rPr>
        <w:rFonts w:ascii="Symbol" w:hAnsi="Symbol"/>
        <w:sz w:val="16"/>
        <w:szCs w:val="16"/>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sz w:val="16"/>
        <w:szCs w:val="16"/>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sz w:val="16"/>
        <w:szCs w:val="16"/>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52" w15:restartNumberingAfterBreak="0">
    <w:nsid w:val="2AEC5B91"/>
    <w:multiLevelType w:val="singleLevel"/>
    <w:tmpl w:val="662ADDA6"/>
    <w:lvl w:ilvl="0">
      <w:start w:val="1"/>
      <w:numFmt w:val="bullet"/>
      <w:lvlText w:val="-"/>
      <w:lvlJc w:val="left"/>
      <w:pPr>
        <w:tabs>
          <w:tab w:val="num" w:pos="1004"/>
        </w:tabs>
        <w:ind w:left="360" w:hanging="360"/>
      </w:pPr>
      <w:rPr>
        <w:rFonts w:ascii="Arial" w:hAnsi="Arial" w:hint="default"/>
        <w:sz w:val="22"/>
      </w:rPr>
    </w:lvl>
  </w:abstractNum>
  <w:abstractNum w:abstractNumId="153" w15:restartNumberingAfterBreak="0">
    <w:nsid w:val="2B0F2224"/>
    <w:multiLevelType w:val="hybridMultilevel"/>
    <w:tmpl w:val="E7F646EC"/>
    <w:styleLink w:val="WW8Num8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4" w15:restartNumberingAfterBreak="0">
    <w:nsid w:val="2B7F5786"/>
    <w:multiLevelType w:val="hybridMultilevel"/>
    <w:tmpl w:val="CDF818E2"/>
    <w:styleLink w:val="WW8Num52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15:restartNumberingAfterBreak="0">
    <w:nsid w:val="2B970CB7"/>
    <w:multiLevelType w:val="hybridMultilevel"/>
    <w:tmpl w:val="E3969548"/>
    <w:styleLink w:val="WW8Num210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C5F00CD"/>
    <w:multiLevelType w:val="multilevel"/>
    <w:tmpl w:val="D740670E"/>
    <w:styleLink w:val="WW8Num33"/>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57" w15:restartNumberingAfterBreak="0">
    <w:nsid w:val="2CC42449"/>
    <w:multiLevelType w:val="multilevel"/>
    <w:tmpl w:val="FCC001DC"/>
    <w:styleLink w:val="WW8Num92"/>
    <w:lvl w:ilvl="0">
      <w:start w:val="1"/>
      <w:numFmt w:val="bullet"/>
      <w:lvlText w:val="–"/>
      <w:lvlJc w:val="left"/>
      <w:pPr>
        <w:ind w:left="284" w:firstLine="0"/>
      </w:pPr>
      <w:rPr>
        <w:rFonts w:ascii="Times New Roman" w:hAnsi="Times New Roman" w:cs="Times New Roman"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58" w15:restartNumberingAfterBreak="0">
    <w:nsid w:val="2CE87AA0"/>
    <w:multiLevelType w:val="hybridMultilevel"/>
    <w:tmpl w:val="373A165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59" w15:restartNumberingAfterBreak="0">
    <w:nsid w:val="2DF30A6F"/>
    <w:multiLevelType w:val="singleLevel"/>
    <w:tmpl w:val="05FE254A"/>
    <w:lvl w:ilvl="0">
      <w:start w:val="1"/>
      <w:numFmt w:val="lowerLetter"/>
      <w:lvlText w:val="%1)"/>
      <w:legacy w:legacy="1" w:legacySpace="0" w:legacyIndent="283"/>
      <w:lvlJc w:val="left"/>
      <w:pPr>
        <w:ind w:left="283" w:hanging="283"/>
      </w:pPr>
    </w:lvl>
  </w:abstractNum>
  <w:abstractNum w:abstractNumId="160" w15:restartNumberingAfterBreak="0">
    <w:nsid w:val="2E6D4F57"/>
    <w:multiLevelType w:val="hybridMultilevel"/>
    <w:tmpl w:val="DEE81174"/>
    <w:styleLink w:val="WW8Num812"/>
    <w:lvl w:ilvl="0" w:tplc="0E88EBD2">
      <w:start w:val="1"/>
      <w:numFmt w:val="decimal"/>
      <w:lvlText w:val="%1)"/>
      <w:lvlJc w:val="right"/>
      <w:pPr>
        <w:tabs>
          <w:tab w:val="num" w:pos="720"/>
        </w:tabs>
        <w:ind w:left="720" w:hanging="360"/>
      </w:pPr>
      <w:rPr>
        <w:rFonts w:hint="default"/>
        <w:b w:val="0"/>
        <w:i w:val="0"/>
        <w:sz w:val="24"/>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1" w15:restartNumberingAfterBreak="0">
    <w:nsid w:val="2E9538D5"/>
    <w:multiLevelType w:val="hybridMultilevel"/>
    <w:tmpl w:val="6B147BAC"/>
    <w:styleLink w:val="WW8Num24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62" w15:restartNumberingAfterBreak="0">
    <w:nsid w:val="2EA357AC"/>
    <w:multiLevelType w:val="multilevel"/>
    <w:tmpl w:val="61EAD142"/>
    <w:styleLink w:val="WW8Num202"/>
    <w:lvl w:ilvl="0">
      <w:numFmt w:val="bullet"/>
      <w:lvlText w:val=""/>
      <w:lvlJc w:val="left"/>
      <w:pPr>
        <w:ind w:left="360" w:hanging="360"/>
      </w:pPr>
      <w:rPr>
        <w:rFonts w:ascii="Symbol" w:hAnsi="Symbol"/>
        <w:sz w:val="16"/>
        <w:szCs w:val="16"/>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sz w:val="16"/>
        <w:szCs w:val="16"/>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sz w:val="16"/>
        <w:szCs w:val="16"/>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163" w15:restartNumberingAfterBreak="0">
    <w:nsid w:val="2EFF37F4"/>
    <w:multiLevelType w:val="multilevel"/>
    <w:tmpl w:val="7AE4FB1C"/>
    <w:styleLink w:val="WW8StyleNum"/>
    <w:lvl w:ilvl="0">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64" w15:restartNumberingAfterBreak="0">
    <w:nsid w:val="2F592FEE"/>
    <w:multiLevelType w:val="hybridMultilevel"/>
    <w:tmpl w:val="0D18A630"/>
    <w:lvl w:ilvl="0" w:tplc="B3DC9560">
      <w:start w:val="1"/>
      <w:numFmt w:val="bullet"/>
      <w:lvlText w:val="–"/>
      <w:lvlJc w:val="left"/>
      <w:pPr>
        <w:tabs>
          <w:tab w:val="num" w:pos="737"/>
        </w:tabs>
        <w:ind w:left="737" w:hanging="377"/>
      </w:pPr>
      <w:rPr>
        <w:rFonts w:ascii="Times New Roman" w:hAnsi="Times New Roman" w:cs="Times New Roman"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5" w15:restartNumberingAfterBreak="0">
    <w:nsid w:val="31682659"/>
    <w:multiLevelType w:val="hybridMultilevel"/>
    <w:tmpl w:val="CFCC7924"/>
    <w:styleLink w:val="WW8Num80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66" w15:restartNumberingAfterBreak="0">
    <w:nsid w:val="318871F5"/>
    <w:multiLevelType w:val="hybridMultilevel"/>
    <w:tmpl w:val="105E6A5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32330036"/>
    <w:multiLevelType w:val="multilevel"/>
    <w:tmpl w:val="4D868C80"/>
    <w:styleLink w:val="WW8Num132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68" w15:restartNumberingAfterBreak="0">
    <w:nsid w:val="324B3546"/>
    <w:multiLevelType w:val="hybridMultilevel"/>
    <w:tmpl w:val="16B0E12C"/>
    <w:styleLink w:val="WW8Num251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329241C1"/>
    <w:multiLevelType w:val="hybridMultilevel"/>
    <w:tmpl w:val="7A847542"/>
    <w:styleLink w:val="WW8Num314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0" w15:restartNumberingAfterBreak="0">
    <w:nsid w:val="334931DE"/>
    <w:multiLevelType w:val="hybridMultilevel"/>
    <w:tmpl w:val="9C28258C"/>
    <w:lvl w:ilvl="0" w:tplc="D23CF50E">
      <w:start w:val="1"/>
      <w:numFmt w:val="decimal"/>
      <w:lvlText w:val="%1)"/>
      <w:lvlJc w:val="left"/>
      <w:pPr>
        <w:ind w:left="468" w:hanging="360"/>
      </w:pPr>
      <w:rPr>
        <w:rFonts w:hint="default"/>
      </w:rPr>
    </w:lvl>
    <w:lvl w:ilvl="1" w:tplc="04150019" w:tentative="1">
      <w:start w:val="1"/>
      <w:numFmt w:val="lowerLetter"/>
      <w:lvlText w:val="%2."/>
      <w:lvlJc w:val="left"/>
      <w:pPr>
        <w:ind w:left="1188" w:hanging="360"/>
      </w:pPr>
    </w:lvl>
    <w:lvl w:ilvl="2" w:tplc="0415001B" w:tentative="1">
      <w:start w:val="1"/>
      <w:numFmt w:val="lowerRoman"/>
      <w:lvlText w:val="%3."/>
      <w:lvlJc w:val="right"/>
      <w:pPr>
        <w:ind w:left="1908" w:hanging="180"/>
      </w:pPr>
    </w:lvl>
    <w:lvl w:ilvl="3" w:tplc="0415000F" w:tentative="1">
      <w:start w:val="1"/>
      <w:numFmt w:val="decimal"/>
      <w:lvlText w:val="%4."/>
      <w:lvlJc w:val="left"/>
      <w:pPr>
        <w:ind w:left="2628" w:hanging="360"/>
      </w:pPr>
    </w:lvl>
    <w:lvl w:ilvl="4" w:tplc="04150019" w:tentative="1">
      <w:start w:val="1"/>
      <w:numFmt w:val="lowerLetter"/>
      <w:lvlText w:val="%5."/>
      <w:lvlJc w:val="left"/>
      <w:pPr>
        <w:ind w:left="3348" w:hanging="360"/>
      </w:pPr>
    </w:lvl>
    <w:lvl w:ilvl="5" w:tplc="0415001B" w:tentative="1">
      <w:start w:val="1"/>
      <w:numFmt w:val="lowerRoman"/>
      <w:lvlText w:val="%6."/>
      <w:lvlJc w:val="right"/>
      <w:pPr>
        <w:ind w:left="4068" w:hanging="180"/>
      </w:pPr>
    </w:lvl>
    <w:lvl w:ilvl="6" w:tplc="0415000F" w:tentative="1">
      <w:start w:val="1"/>
      <w:numFmt w:val="decimal"/>
      <w:lvlText w:val="%7."/>
      <w:lvlJc w:val="left"/>
      <w:pPr>
        <w:ind w:left="4788" w:hanging="360"/>
      </w:pPr>
    </w:lvl>
    <w:lvl w:ilvl="7" w:tplc="04150019" w:tentative="1">
      <w:start w:val="1"/>
      <w:numFmt w:val="lowerLetter"/>
      <w:lvlText w:val="%8."/>
      <w:lvlJc w:val="left"/>
      <w:pPr>
        <w:ind w:left="5508" w:hanging="360"/>
      </w:pPr>
    </w:lvl>
    <w:lvl w:ilvl="8" w:tplc="0415001B" w:tentative="1">
      <w:start w:val="1"/>
      <w:numFmt w:val="lowerRoman"/>
      <w:lvlText w:val="%9."/>
      <w:lvlJc w:val="right"/>
      <w:pPr>
        <w:ind w:left="6228" w:hanging="180"/>
      </w:pPr>
    </w:lvl>
  </w:abstractNum>
  <w:abstractNum w:abstractNumId="171" w15:restartNumberingAfterBreak="0">
    <w:nsid w:val="33CB3C4F"/>
    <w:multiLevelType w:val="hybridMultilevel"/>
    <w:tmpl w:val="77F68340"/>
    <w:styleLink w:val="WW8Num2022"/>
    <w:lvl w:ilvl="0" w:tplc="6902F2B6">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2" w15:restartNumberingAfterBreak="0">
    <w:nsid w:val="346424B8"/>
    <w:multiLevelType w:val="singleLevel"/>
    <w:tmpl w:val="FE908656"/>
    <w:lvl w:ilvl="0">
      <w:start w:val="1"/>
      <w:numFmt w:val="lowerLetter"/>
      <w:lvlText w:val="%1)"/>
      <w:legacy w:legacy="1" w:legacySpace="0" w:legacyIndent="283"/>
      <w:lvlJc w:val="left"/>
      <w:pPr>
        <w:ind w:left="283" w:hanging="283"/>
      </w:pPr>
    </w:lvl>
  </w:abstractNum>
  <w:abstractNum w:abstractNumId="173" w15:restartNumberingAfterBreak="0">
    <w:nsid w:val="35596344"/>
    <w:multiLevelType w:val="multilevel"/>
    <w:tmpl w:val="CB842AF4"/>
    <w:styleLink w:val="WW8Num292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74" w15:restartNumberingAfterBreak="0">
    <w:nsid w:val="35635AA4"/>
    <w:multiLevelType w:val="singleLevel"/>
    <w:tmpl w:val="FBC66320"/>
    <w:styleLink w:val="WW8Num722"/>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75" w15:restartNumberingAfterBreak="0">
    <w:nsid w:val="35A36263"/>
    <w:multiLevelType w:val="multilevel"/>
    <w:tmpl w:val="592A3478"/>
    <w:styleLink w:val="WW8Num621"/>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76" w15:restartNumberingAfterBreak="0">
    <w:nsid w:val="35FB1FFD"/>
    <w:multiLevelType w:val="multilevel"/>
    <w:tmpl w:val="A6B86324"/>
    <w:styleLink w:val="WW8Num47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7" w15:restartNumberingAfterBreak="0">
    <w:nsid w:val="361A520B"/>
    <w:multiLevelType w:val="multilevel"/>
    <w:tmpl w:val="7E58682C"/>
    <w:styleLink w:val="WW8Num5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8" w15:restartNumberingAfterBreak="0">
    <w:nsid w:val="369B280A"/>
    <w:multiLevelType w:val="multilevel"/>
    <w:tmpl w:val="8F902A6C"/>
    <w:styleLink w:val="WW8Num1921"/>
    <w:lvl w:ilvl="0">
      <w:start w:val="1"/>
      <w:numFmt w:val="decimal"/>
      <w:lvlText w:val="%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79" w15:restartNumberingAfterBreak="0">
    <w:nsid w:val="37422B98"/>
    <w:multiLevelType w:val="hybridMultilevel"/>
    <w:tmpl w:val="4D10E410"/>
    <w:styleLink w:val="WW8Num2722"/>
    <w:lvl w:ilvl="0" w:tplc="A24856EC">
      <w:start w:val="1"/>
      <w:numFmt w:val="bullet"/>
      <w:lvlText w:val=""/>
      <w:lvlJc w:val="left"/>
      <w:pPr>
        <w:ind w:left="360" w:hanging="360"/>
      </w:pPr>
      <w:rPr>
        <w:rFonts w:ascii="Symbol" w:hAnsi="Symbol" w:hint="default"/>
      </w:rPr>
    </w:lvl>
    <w:lvl w:ilvl="1" w:tplc="09A8E392" w:tentative="1">
      <w:start w:val="1"/>
      <w:numFmt w:val="bullet"/>
      <w:lvlText w:val="o"/>
      <w:lvlJc w:val="left"/>
      <w:pPr>
        <w:ind w:left="1080" w:hanging="360"/>
      </w:pPr>
      <w:rPr>
        <w:rFonts w:ascii="Courier New" w:hAnsi="Courier New" w:cs="Courier New" w:hint="default"/>
      </w:rPr>
    </w:lvl>
    <w:lvl w:ilvl="2" w:tplc="F1088710" w:tentative="1">
      <w:start w:val="1"/>
      <w:numFmt w:val="bullet"/>
      <w:lvlText w:val=""/>
      <w:lvlJc w:val="left"/>
      <w:pPr>
        <w:ind w:left="1800" w:hanging="360"/>
      </w:pPr>
      <w:rPr>
        <w:rFonts w:ascii="Wingdings" w:hAnsi="Wingdings" w:hint="default"/>
      </w:rPr>
    </w:lvl>
    <w:lvl w:ilvl="3" w:tplc="DCB6CF9E" w:tentative="1">
      <w:start w:val="1"/>
      <w:numFmt w:val="bullet"/>
      <w:lvlText w:val=""/>
      <w:lvlJc w:val="left"/>
      <w:pPr>
        <w:ind w:left="2520" w:hanging="360"/>
      </w:pPr>
      <w:rPr>
        <w:rFonts w:ascii="Symbol" w:hAnsi="Symbol" w:hint="default"/>
      </w:rPr>
    </w:lvl>
    <w:lvl w:ilvl="4" w:tplc="6996149A" w:tentative="1">
      <w:start w:val="1"/>
      <w:numFmt w:val="bullet"/>
      <w:lvlText w:val="o"/>
      <w:lvlJc w:val="left"/>
      <w:pPr>
        <w:ind w:left="3240" w:hanging="360"/>
      </w:pPr>
      <w:rPr>
        <w:rFonts w:ascii="Courier New" w:hAnsi="Courier New" w:cs="Courier New" w:hint="default"/>
      </w:rPr>
    </w:lvl>
    <w:lvl w:ilvl="5" w:tplc="C6729E8A" w:tentative="1">
      <w:start w:val="1"/>
      <w:numFmt w:val="bullet"/>
      <w:lvlText w:val=""/>
      <w:lvlJc w:val="left"/>
      <w:pPr>
        <w:ind w:left="3960" w:hanging="360"/>
      </w:pPr>
      <w:rPr>
        <w:rFonts w:ascii="Wingdings" w:hAnsi="Wingdings" w:hint="default"/>
      </w:rPr>
    </w:lvl>
    <w:lvl w:ilvl="6" w:tplc="7A9293B8" w:tentative="1">
      <w:start w:val="1"/>
      <w:numFmt w:val="bullet"/>
      <w:lvlText w:val=""/>
      <w:lvlJc w:val="left"/>
      <w:pPr>
        <w:ind w:left="4680" w:hanging="360"/>
      </w:pPr>
      <w:rPr>
        <w:rFonts w:ascii="Symbol" w:hAnsi="Symbol" w:hint="default"/>
      </w:rPr>
    </w:lvl>
    <w:lvl w:ilvl="7" w:tplc="76AC252E" w:tentative="1">
      <w:start w:val="1"/>
      <w:numFmt w:val="bullet"/>
      <w:lvlText w:val="o"/>
      <w:lvlJc w:val="left"/>
      <w:pPr>
        <w:ind w:left="5400" w:hanging="360"/>
      </w:pPr>
      <w:rPr>
        <w:rFonts w:ascii="Courier New" w:hAnsi="Courier New" w:cs="Courier New" w:hint="default"/>
      </w:rPr>
    </w:lvl>
    <w:lvl w:ilvl="8" w:tplc="9EEE8070" w:tentative="1">
      <w:start w:val="1"/>
      <w:numFmt w:val="bullet"/>
      <w:lvlText w:val=""/>
      <w:lvlJc w:val="left"/>
      <w:pPr>
        <w:ind w:left="6120" w:hanging="360"/>
      </w:pPr>
      <w:rPr>
        <w:rFonts w:ascii="Wingdings" w:hAnsi="Wingdings" w:hint="default"/>
      </w:rPr>
    </w:lvl>
  </w:abstractNum>
  <w:abstractNum w:abstractNumId="180"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81" w15:restartNumberingAfterBreak="0">
    <w:nsid w:val="37AF723D"/>
    <w:multiLevelType w:val="hybridMultilevel"/>
    <w:tmpl w:val="A702873C"/>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82"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3" w15:restartNumberingAfterBreak="0">
    <w:nsid w:val="38E4363F"/>
    <w:multiLevelType w:val="hybridMultilevel"/>
    <w:tmpl w:val="9A448A54"/>
    <w:styleLink w:val="WW8Num84"/>
    <w:lvl w:ilvl="0" w:tplc="FC24846C">
      <w:start w:val="4"/>
      <w:numFmt w:val="bullet"/>
      <w:lvlText w:val="-"/>
      <w:lvlJc w:val="left"/>
      <w:pPr>
        <w:ind w:left="720" w:hanging="360"/>
      </w:pPr>
      <w:rPr>
        <w:rFonts w:ascii="Times New Roman" w:eastAsia="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393F6E0A"/>
    <w:multiLevelType w:val="multilevel"/>
    <w:tmpl w:val="AC9EA3A6"/>
    <w:styleLink w:val="WW8Num82"/>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5" w15:restartNumberingAfterBreak="0">
    <w:nsid w:val="39775C9A"/>
    <w:multiLevelType w:val="hybridMultilevel"/>
    <w:tmpl w:val="E27A0914"/>
    <w:lvl w:ilvl="0" w:tplc="04150011">
      <w:start w:val="1"/>
      <w:numFmt w:val="decimal"/>
      <w:lvlText w:val="%1)"/>
      <w:lvlJc w:val="left"/>
      <w:pPr>
        <w:ind w:left="643"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6" w15:restartNumberingAfterBreak="0">
    <w:nsid w:val="398D1A64"/>
    <w:multiLevelType w:val="multilevel"/>
    <w:tmpl w:val="8AF09948"/>
    <w:styleLink w:val="WW8Num883"/>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7" w15:restartNumberingAfterBreak="0">
    <w:nsid w:val="39ED075A"/>
    <w:multiLevelType w:val="multilevel"/>
    <w:tmpl w:val="530C42F6"/>
    <w:styleLink w:val="WW8Num2422"/>
    <w:lvl w:ilvl="0">
      <w:start w:val="1"/>
      <w:numFmt w:val="lowerLetter"/>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88" w15:restartNumberingAfterBreak="0">
    <w:nsid w:val="3A4B1192"/>
    <w:multiLevelType w:val="hybridMultilevel"/>
    <w:tmpl w:val="E27A091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9" w15:restartNumberingAfterBreak="0">
    <w:nsid w:val="3A4D4D60"/>
    <w:multiLevelType w:val="multilevel"/>
    <w:tmpl w:val="277C0CDE"/>
    <w:styleLink w:val="WWNum11"/>
    <w:lvl w:ilvl="0">
      <w:start w:val="1"/>
      <w:numFmt w:val="decimal"/>
      <w:lvlText w:val="%1."/>
      <w:lvlJc w:val="left"/>
      <w:pPr>
        <w:ind w:left="0" w:firstLine="0"/>
      </w:pPr>
    </w:lvl>
    <w:lvl w:ilvl="1">
      <w:start w:val="1"/>
      <w:numFmt w:val="decimal"/>
      <w:lvlText w:val="%1.%2."/>
      <w:lvlJc w:val="left"/>
      <w:pPr>
        <w:ind w:left="0" w:firstLine="0"/>
      </w:pPr>
      <w:rPr>
        <w:b/>
      </w:r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190" w15:restartNumberingAfterBreak="0">
    <w:nsid w:val="3AD369EE"/>
    <w:multiLevelType w:val="multilevel"/>
    <w:tmpl w:val="475AA728"/>
    <w:styleLink w:val="WW8Num81113"/>
    <w:lvl w:ilvl="0">
      <w:start w:val="1"/>
      <w:numFmt w:val="decimal"/>
      <w:lvlText w:val="%1."/>
      <w:lvlJc w:val="left"/>
      <w:rPr>
        <w:sz w:val="20"/>
        <w:szCs w:val="20"/>
      </w:rPr>
    </w:lvl>
    <w:lvl w:ilvl="1">
      <w:start w:val="1"/>
      <w:numFmt w:val="decimal"/>
      <w:lvlText w:val="%2."/>
      <w:lvlJc w:val="left"/>
      <w:rPr>
        <w:sz w:val="20"/>
        <w:szCs w:val="20"/>
      </w:rPr>
    </w:lvl>
    <w:lvl w:ilvl="2">
      <w:start w:val="1"/>
      <w:numFmt w:val="decimal"/>
      <w:lvlText w:val="%3."/>
      <w:lvlJc w:val="left"/>
      <w:rPr>
        <w:sz w:val="20"/>
        <w:szCs w:val="20"/>
      </w:rPr>
    </w:lvl>
    <w:lvl w:ilvl="3">
      <w:start w:val="1"/>
      <w:numFmt w:val="decimal"/>
      <w:lvlText w:val="%4."/>
      <w:lvlJc w:val="left"/>
      <w:rPr>
        <w:sz w:val="20"/>
        <w:szCs w:val="20"/>
      </w:rPr>
    </w:lvl>
    <w:lvl w:ilvl="4">
      <w:start w:val="1"/>
      <w:numFmt w:val="decimal"/>
      <w:lvlText w:val="%5."/>
      <w:lvlJc w:val="left"/>
      <w:rPr>
        <w:sz w:val="20"/>
        <w:szCs w:val="20"/>
      </w:rPr>
    </w:lvl>
    <w:lvl w:ilvl="5">
      <w:start w:val="1"/>
      <w:numFmt w:val="decimal"/>
      <w:lvlText w:val="%6."/>
      <w:lvlJc w:val="left"/>
      <w:rPr>
        <w:sz w:val="20"/>
        <w:szCs w:val="20"/>
      </w:rPr>
    </w:lvl>
    <w:lvl w:ilvl="6">
      <w:start w:val="1"/>
      <w:numFmt w:val="decimal"/>
      <w:lvlText w:val="%7."/>
      <w:lvlJc w:val="left"/>
      <w:rPr>
        <w:sz w:val="20"/>
        <w:szCs w:val="20"/>
      </w:rPr>
    </w:lvl>
    <w:lvl w:ilvl="7">
      <w:start w:val="1"/>
      <w:numFmt w:val="decimal"/>
      <w:lvlText w:val="%8."/>
      <w:lvlJc w:val="left"/>
      <w:rPr>
        <w:sz w:val="20"/>
        <w:szCs w:val="20"/>
      </w:rPr>
    </w:lvl>
    <w:lvl w:ilvl="8">
      <w:start w:val="1"/>
      <w:numFmt w:val="decimal"/>
      <w:lvlText w:val="%9."/>
      <w:lvlJc w:val="left"/>
      <w:rPr>
        <w:sz w:val="20"/>
        <w:szCs w:val="20"/>
      </w:rPr>
    </w:lvl>
  </w:abstractNum>
  <w:abstractNum w:abstractNumId="191" w15:restartNumberingAfterBreak="0">
    <w:nsid w:val="3C357127"/>
    <w:multiLevelType w:val="hybridMultilevel"/>
    <w:tmpl w:val="8CC86660"/>
    <w:lvl w:ilvl="0" w:tplc="662ADDA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2"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3D1511E7"/>
    <w:multiLevelType w:val="multilevel"/>
    <w:tmpl w:val="10168C16"/>
    <w:styleLink w:val="WW8Num652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4" w15:restartNumberingAfterBreak="0">
    <w:nsid w:val="3D535F46"/>
    <w:multiLevelType w:val="hybridMultilevel"/>
    <w:tmpl w:val="FD64A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3DF23A5B"/>
    <w:multiLevelType w:val="hybridMultilevel"/>
    <w:tmpl w:val="09E280B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6" w15:restartNumberingAfterBreak="0">
    <w:nsid w:val="3F0570C6"/>
    <w:multiLevelType w:val="multilevel"/>
    <w:tmpl w:val="7A0A31D2"/>
    <w:styleLink w:val="WW8Num21011"/>
    <w:lvl w:ilvl="0">
      <w:start w:val="1"/>
      <w:numFmt w:val="bullet"/>
      <w:lvlText w:val=""/>
      <w:lvlJc w:val="left"/>
      <w:pPr>
        <w:ind w:left="927" w:hanging="360"/>
      </w:pPr>
      <w:rPr>
        <w:rFonts w:ascii="Symbol" w:hAnsi="Symbol" w:hint="default"/>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197" w15:restartNumberingAfterBreak="0">
    <w:nsid w:val="3F7A7ECD"/>
    <w:multiLevelType w:val="multilevel"/>
    <w:tmpl w:val="B75AAD00"/>
    <w:styleLink w:val="WW8Num3822"/>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8"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9" w15:restartNumberingAfterBreak="0">
    <w:nsid w:val="42377B73"/>
    <w:multiLevelType w:val="multilevel"/>
    <w:tmpl w:val="7BE80688"/>
    <w:styleLink w:val="WW8Num222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0" w15:restartNumberingAfterBreak="0">
    <w:nsid w:val="42F3333F"/>
    <w:multiLevelType w:val="multilevel"/>
    <w:tmpl w:val="DA28DDEE"/>
    <w:styleLink w:val="WW8Num124"/>
    <w:lvl w:ilvl="0">
      <w:start w:val="1"/>
      <w:numFmt w:val="bullet"/>
      <w:lvlText w:val=""/>
      <w:lvlJc w:val="left"/>
      <w:pPr>
        <w:ind w:left="360" w:hanging="360"/>
      </w:pPr>
      <w:rPr>
        <w:rFonts w:ascii="Symbol" w:hAnsi="Symbol" w:hint="default"/>
        <w:sz w:val="24"/>
        <w:szCs w:val="24"/>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01" w15:restartNumberingAfterBreak="0">
    <w:nsid w:val="43933266"/>
    <w:multiLevelType w:val="multilevel"/>
    <w:tmpl w:val="556C7784"/>
    <w:styleLink w:val="WW8Num342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2" w15:restartNumberingAfterBreak="0">
    <w:nsid w:val="444F5333"/>
    <w:multiLevelType w:val="multilevel"/>
    <w:tmpl w:val="59546B32"/>
    <w:styleLink w:val="WW8Num81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3" w15:restartNumberingAfterBreak="0">
    <w:nsid w:val="44635412"/>
    <w:multiLevelType w:val="hybridMultilevel"/>
    <w:tmpl w:val="EBD03E6C"/>
    <w:styleLink w:val="WW8Num213"/>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4" w15:restartNumberingAfterBreak="0">
    <w:nsid w:val="44861583"/>
    <w:multiLevelType w:val="multilevel"/>
    <w:tmpl w:val="EDAEEA12"/>
    <w:styleLink w:val="WW8Num2101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5" w15:restartNumberingAfterBreak="0">
    <w:nsid w:val="44901C5B"/>
    <w:multiLevelType w:val="hybridMultilevel"/>
    <w:tmpl w:val="230E14F8"/>
    <w:styleLink w:val="WW8StyleNum13"/>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6"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207" w15:restartNumberingAfterBreak="0">
    <w:nsid w:val="45546813"/>
    <w:multiLevelType w:val="multilevel"/>
    <w:tmpl w:val="DF3A2FB8"/>
    <w:styleLink w:val="WW8Num2321"/>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08"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9" w15:restartNumberingAfterBreak="0">
    <w:nsid w:val="47704AB6"/>
    <w:multiLevelType w:val="multilevel"/>
    <w:tmpl w:val="6E8C6246"/>
    <w:styleLink w:val="WW8Num212"/>
    <w:lvl w:ilvl="0">
      <w:start w:val="1"/>
      <w:numFmt w:val="bullet"/>
      <w:lvlText w:val=""/>
      <w:lvlJc w:val="left"/>
      <w:pPr>
        <w:ind w:left="360" w:hanging="360"/>
      </w:pPr>
      <w:rPr>
        <w:rFonts w:ascii="Symbol" w:hAnsi="Symbol" w:hint="default"/>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Times New Roman" w:eastAsia="Times New Roman" w:hAnsi="Times New Roman" w:cs="Times New Roman"/>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10" w15:restartNumberingAfterBreak="0">
    <w:nsid w:val="4793083B"/>
    <w:multiLevelType w:val="multilevel"/>
    <w:tmpl w:val="CF825304"/>
    <w:styleLink w:val="WW8Num1512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11" w15:restartNumberingAfterBreak="0">
    <w:nsid w:val="48413623"/>
    <w:multiLevelType w:val="multilevel"/>
    <w:tmpl w:val="48787D28"/>
    <w:styleLink w:val="WW8Num183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2" w15:restartNumberingAfterBreak="0">
    <w:nsid w:val="487A302D"/>
    <w:multiLevelType w:val="multilevel"/>
    <w:tmpl w:val="E9805336"/>
    <w:styleLink w:val="WW8Num2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3"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4" w15:restartNumberingAfterBreak="0">
    <w:nsid w:val="48BF0960"/>
    <w:multiLevelType w:val="multilevel"/>
    <w:tmpl w:val="935473EE"/>
    <w:styleLink w:val="WW8Num58"/>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5" w15:restartNumberingAfterBreak="0">
    <w:nsid w:val="498006F1"/>
    <w:multiLevelType w:val="multilevel"/>
    <w:tmpl w:val="1652A438"/>
    <w:styleLink w:val="WW8Num21011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6" w15:restartNumberingAfterBreak="0">
    <w:nsid w:val="49A62E31"/>
    <w:multiLevelType w:val="hybridMultilevel"/>
    <w:tmpl w:val="B888B0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49D1092B"/>
    <w:multiLevelType w:val="hybridMultilevel"/>
    <w:tmpl w:val="DB1A1D9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18" w15:restartNumberingAfterBreak="0">
    <w:nsid w:val="4A0A2717"/>
    <w:multiLevelType w:val="multilevel"/>
    <w:tmpl w:val="968AADB8"/>
    <w:styleLink w:val="WW8Num46"/>
    <w:lvl w:ilvl="0">
      <w:numFmt w:val="bullet"/>
      <w:lvlText w:val=""/>
      <w:lvlJc w:val="left"/>
      <w:rPr>
        <w:rFonts w:ascii="Symbol" w:hAnsi="Symbol" w:cs="Times New Roman"/>
        <w:b w:val="0"/>
        <w:i w:val="0"/>
        <w:sz w:val="20"/>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19" w15:restartNumberingAfterBreak="0">
    <w:nsid w:val="4A933DB7"/>
    <w:multiLevelType w:val="multilevel"/>
    <w:tmpl w:val="E42C238E"/>
    <w:styleLink w:val="WW8Num16"/>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0" w15:restartNumberingAfterBreak="0">
    <w:nsid w:val="4B0669E5"/>
    <w:multiLevelType w:val="multilevel"/>
    <w:tmpl w:val="B7FE0190"/>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21" w15:restartNumberingAfterBreak="0">
    <w:nsid w:val="4B792C13"/>
    <w:multiLevelType w:val="singleLevel"/>
    <w:tmpl w:val="200CC5EC"/>
    <w:styleLink w:val="WW8Num1412"/>
    <w:lvl w:ilvl="0">
      <w:start w:val="1"/>
      <w:numFmt w:val="lowerLetter"/>
      <w:lvlText w:val="%1)"/>
      <w:legacy w:legacy="1" w:legacySpace="0" w:legacyIndent="283"/>
      <w:lvlJc w:val="left"/>
      <w:pPr>
        <w:ind w:left="283" w:hanging="283"/>
      </w:pPr>
    </w:lvl>
  </w:abstractNum>
  <w:abstractNum w:abstractNumId="222" w15:restartNumberingAfterBreak="0">
    <w:nsid w:val="4C4944BA"/>
    <w:multiLevelType w:val="singleLevel"/>
    <w:tmpl w:val="6902F2B6"/>
    <w:lvl w:ilvl="0">
      <w:start w:val="1"/>
      <w:numFmt w:val="bullet"/>
      <w:lvlText w:val=""/>
      <w:lvlJc w:val="left"/>
      <w:rPr>
        <w:rFonts w:ascii="Symbol" w:hAnsi="Symbol" w:hint="default"/>
      </w:rPr>
    </w:lvl>
  </w:abstractNum>
  <w:abstractNum w:abstractNumId="223" w15:restartNumberingAfterBreak="0">
    <w:nsid w:val="4D160E03"/>
    <w:multiLevelType w:val="multilevel"/>
    <w:tmpl w:val="16E6FE84"/>
    <w:styleLink w:val="WW8Num34111"/>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4" w15:restartNumberingAfterBreak="0">
    <w:nsid w:val="4D881796"/>
    <w:multiLevelType w:val="multilevel"/>
    <w:tmpl w:val="346200C8"/>
    <w:styleLink w:val="WW8Num8412"/>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5" w15:restartNumberingAfterBreak="0">
    <w:nsid w:val="4E850BCA"/>
    <w:multiLevelType w:val="multilevel"/>
    <w:tmpl w:val="ED8E0D1E"/>
    <w:styleLink w:val="WW8Num172"/>
    <w:lvl w:ilvl="0">
      <w:numFmt w:val="decimal"/>
      <w:lvlText w:val="*%1"/>
      <w:lvlJc w:val="left"/>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26" w15:restartNumberingAfterBreak="0">
    <w:nsid w:val="4F56611A"/>
    <w:multiLevelType w:val="multilevel"/>
    <w:tmpl w:val="FC60B47A"/>
    <w:styleLink w:val="WW8Num7622"/>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7"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50936858"/>
    <w:multiLevelType w:val="multilevel"/>
    <w:tmpl w:val="6CA46136"/>
    <w:styleLink w:val="WW8Num1022"/>
    <w:lvl w:ilvl="0">
      <w:start w:val="2"/>
      <w:numFmt w:val="decimal"/>
      <w:lvlText w:val="%1."/>
      <w:lvlJc w:val="left"/>
      <w:pPr>
        <w:tabs>
          <w:tab w:val="num" w:pos="540"/>
        </w:tabs>
        <w:ind w:left="540" w:hanging="540"/>
      </w:pPr>
      <w:rPr>
        <w:rFonts w:hint="default"/>
        <w:b/>
      </w:rPr>
    </w:lvl>
    <w:lvl w:ilvl="1">
      <w:start w:val="2"/>
      <w:numFmt w:val="decimal"/>
      <w:lvlText w:val="%1.%2."/>
      <w:lvlJc w:val="left"/>
      <w:pPr>
        <w:tabs>
          <w:tab w:val="num" w:pos="540"/>
        </w:tabs>
        <w:ind w:left="540" w:hanging="540"/>
      </w:pPr>
      <w:rPr>
        <w:rFonts w:hint="default"/>
        <w:b/>
      </w:rPr>
    </w:lvl>
    <w:lvl w:ilvl="2">
      <w:start w:val="7"/>
      <w:numFmt w:val="decimal"/>
      <w:lvlText w:val="%1.%2.%3."/>
      <w:lvlJc w:val="left"/>
      <w:pPr>
        <w:tabs>
          <w:tab w:val="num" w:pos="720"/>
        </w:tabs>
        <w:ind w:left="720" w:hanging="720"/>
      </w:pPr>
      <w:rPr>
        <w:rFonts w:hint="default"/>
        <w:b/>
      </w:rPr>
    </w:lvl>
    <w:lvl w:ilvl="3">
      <w:start w:val="1"/>
      <w:numFmt w:val="decimalZero"/>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080"/>
        </w:tabs>
        <w:ind w:left="1080" w:hanging="108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440"/>
        </w:tabs>
        <w:ind w:left="1440" w:hanging="1440"/>
      </w:pPr>
      <w:rPr>
        <w:rFonts w:hint="default"/>
        <w:b/>
      </w:rPr>
    </w:lvl>
  </w:abstractNum>
  <w:abstractNum w:abstractNumId="229" w15:restartNumberingAfterBreak="0">
    <w:nsid w:val="50F92870"/>
    <w:multiLevelType w:val="multilevel"/>
    <w:tmpl w:val="A6B86324"/>
    <w:styleLink w:val="WW8Num7121"/>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0" w15:restartNumberingAfterBreak="0">
    <w:nsid w:val="512E27DB"/>
    <w:multiLevelType w:val="hybridMultilevel"/>
    <w:tmpl w:val="699271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1" w15:restartNumberingAfterBreak="0">
    <w:nsid w:val="515312BC"/>
    <w:multiLevelType w:val="multilevel"/>
    <w:tmpl w:val="F012A1BA"/>
    <w:styleLink w:val="WW8Num1512"/>
    <w:lvl w:ilvl="0">
      <w:numFmt w:val="bullet"/>
      <w:lvlText w:val=""/>
      <w:lvlJc w:val="left"/>
      <w:rPr>
        <w:rFonts w:ascii="Symbol" w:hAnsi="Symbol" w:cs="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2" w15:restartNumberingAfterBreak="0">
    <w:nsid w:val="518B0556"/>
    <w:multiLevelType w:val="multilevel"/>
    <w:tmpl w:val="93B4D8E8"/>
    <w:styleLink w:val="WW8Num8422"/>
    <w:lvl w:ilvl="0">
      <w:start w:val="1"/>
      <w:numFmt w:val="decimal"/>
      <w:lvlText w:val="%1."/>
      <w:lvlJc w:val="left"/>
      <w:pPr>
        <w:tabs>
          <w:tab w:val="num" w:pos="709"/>
        </w:tabs>
        <w:ind w:left="0" w:firstLine="0"/>
      </w:pPr>
      <w:rPr>
        <w:rFonts w:ascii="Times New Roman" w:hAnsi="Times New Roman" w:hint="default"/>
        <w:b/>
        <w:i w:val="0"/>
        <w:sz w:val="28"/>
        <w:szCs w:val="24"/>
      </w:rPr>
    </w:lvl>
    <w:lvl w:ilvl="1">
      <w:start w:val="1"/>
      <w:numFmt w:val="decimal"/>
      <w:lvlText w:val="%1.%2."/>
      <w:lvlJc w:val="left"/>
      <w:pPr>
        <w:tabs>
          <w:tab w:val="num" w:pos="539"/>
        </w:tabs>
        <w:ind w:left="0" w:firstLine="0"/>
      </w:pPr>
      <w:rPr>
        <w:rFonts w:hint="default"/>
        <w:b/>
      </w:rPr>
    </w:lvl>
    <w:lvl w:ilvl="2">
      <w:start w:val="1"/>
      <w:numFmt w:val="decimal"/>
      <w:lvlText w:val="%1.%2.%3."/>
      <w:lvlJc w:val="left"/>
      <w:pPr>
        <w:tabs>
          <w:tab w:val="num" w:pos="709"/>
        </w:tabs>
        <w:ind w:left="709" w:hanging="709"/>
      </w:pPr>
      <w:rPr>
        <w:rFonts w:ascii="Times New Roman" w:hAnsi="Times New Roman" w:hint="default"/>
        <w:b w:val="0"/>
        <w:i w:val="0"/>
        <w:sz w:val="24"/>
        <w:szCs w:val="24"/>
      </w:rPr>
    </w:lvl>
    <w:lvl w:ilvl="3">
      <w:start w:val="1"/>
      <w:numFmt w:val="decimal"/>
      <w:lvlText w:val="%1.%2.%3.%4."/>
      <w:lvlJc w:val="left"/>
      <w:pPr>
        <w:tabs>
          <w:tab w:val="num" w:pos="992"/>
        </w:tabs>
        <w:ind w:left="1134" w:hanging="1134"/>
      </w:pPr>
      <w:rPr>
        <w:rFonts w:hint="default"/>
        <w:b w:val="0"/>
        <w:i w:val="0"/>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233"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51C65259"/>
    <w:multiLevelType w:val="multilevel"/>
    <w:tmpl w:val="CDDCEB60"/>
    <w:styleLink w:val="WW8Num80"/>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5" w15:restartNumberingAfterBreak="0">
    <w:nsid w:val="51CA0B07"/>
    <w:multiLevelType w:val="multilevel"/>
    <w:tmpl w:val="65AAAC48"/>
    <w:styleLink w:val="WW8Num804"/>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6" w15:restartNumberingAfterBreak="0">
    <w:nsid w:val="52427960"/>
    <w:multiLevelType w:val="multilevel"/>
    <w:tmpl w:val="6F2699B2"/>
    <w:styleLink w:val="WW8Num23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37" w15:restartNumberingAfterBreak="0">
    <w:nsid w:val="533316D7"/>
    <w:multiLevelType w:val="multilevel"/>
    <w:tmpl w:val="C1E2AC5C"/>
    <w:styleLink w:val="WW8Num15"/>
    <w:lvl w:ilvl="0">
      <w:numFmt w:val="bullet"/>
      <w:lvlText w:val="–"/>
      <w:lvlJc w:val="left"/>
      <w:rPr>
        <w:rFonts w:ascii="Times New Roman" w:hAnsi="Times New Roman" w:cs="Times New Roman"/>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8" w15:restartNumberingAfterBreak="0">
    <w:nsid w:val="534661C7"/>
    <w:multiLevelType w:val="hybridMultilevel"/>
    <w:tmpl w:val="1EC49B68"/>
    <w:lvl w:ilvl="0" w:tplc="A38A6516">
      <w:start w:val="1"/>
      <w:numFmt w:val="lowerLetter"/>
      <w:lvlText w:val="%1)"/>
      <w:lvlJc w:val="left"/>
      <w:pPr>
        <w:tabs>
          <w:tab w:val="num" w:pos="644"/>
        </w:tabs>
        <w:ind w:left="644" w:hanging="360"/>
      </w:pPr>
      <w:rPr>
        <w:rFonts w:hint="default"/>
      </w:rPr>
    </w:lvl>
    <w:lvl w:ilvl="1" w:tplc="8578E680" w:tentative="1">
      <w:start w:val="1"/>
      <w:numFmt w:val="bullet"/>
      <w:lvlText w:val="o"/>
      <w:lvlJc w:val="left"/>
      <w:pPr>
        <w:tabs>
          <w:tab w:val="num" w:pos="1364"/>
        </w:tabs>
        <w:ind w:left="1364" w:hanging="360"/>
      </w:pPr>
      <w:rPr>
        <w:rFonts w:ascii="Courier New" w:hAnsi="Courier New" w:cs="Courier New" w:hint="default"/>
      </w:rPr>
    </w:lvl>
    <w:lvl w:ilvl="2" w:tplc="3D401A4A" w:tentative="1">
      <w:start w:val="1"/>
      <w:numFmt w:val="bullet"/>
      <w:lvlText w:val=""/>
      <w:lvlJc w:val="left"/>
      <w:pPr>
        <w:tabs>
          <w:tab w:val="num" w:pos="2084"/>
        </w:tabs>
        <w:ind w:left="2084" w:hanging="360"/>
      </w:pPr>
      <w:rPr>
        <w:rFonts w:ascii="Wingdings" w:hAnsi="Wingdings" w:hint="default"/>
      </w:rPr>
    </w:lvl>
    <w:lvl w:ilvl="3" w:tplc="CBFADE62" w:tentative="1">
      <w:start w:val="1"/>
      <w:numFmt w:val="bullet"/>
      <w:lvlText w:val=""/>
      <w:lvlJc w:val="left"/>
      <w:pPr>
        <w:tabs>
          <w:tab w:val="num" w:pos="2804"/>
        </w:tabs>
        <w:ind w:left="2804" w:hanging="360"/>
      </w:pPr>
      <w:rPr>
        <w:rFonts w:ascii="Symbol" w:hAnsi="Symbol" w:hint="default"/>
      </w:rPr>
    </w:lvl>
    <w:lvl w:ilvl="4" w:tplc="DEC27000" w:tentative="1">
      <w:start w:val="1"/>
      <w:numFmt w:val="bullet"/>
      <w:lvlText w:val="o"/>
      <w:lvlJc w:val="left"/>
      <w:pPr>
        <w:tabs>
          <w:tab w:val="num" w:pos="3524"/>
        </w:tabs>
        <w:ind w:left="3524" w:hanging="360"/>
      </w:pPr>
      <w:rPr>
        <w:rFonts w:ascii="Courier New" w:hAnsi="Courier New" w:cs="Courier New" w:hint="default"/>
      </w:rPr>
    </w:lvl>
    <w:lvl w:ilvl="5" w:tplc="213C52FE" w:tentative="1">
      <w:start w:val="1"/>
      <w:numFmt w:val="bullet"/>
      <w:lvlText w:val=""/>
      <w:lvlJc w:val="left"/>
      <w:pPr>
        <w:tabs>
          <w:tab w:val="num" w:pos="4244"/>
        </w:tabs>
        <w:ind w:left="4244" w:hanging="360"/>
      </w:pPr>
      <w:rPr>
        <w:rFonts w:ascii="Wingdings" w:hAnsi="Wingdings" w:hint="default"/>
      </w:rPr>
    </w:lvl>
    <w:lvl w:ilvl="6" w:tplc="73202A5E" w:tentative="1">
      <w:start w:val="1"/>
      <w:numFmt w:val="bullet"/>
      <w:lvlText w:val=""/>
      <w:lvlJc w:val="left"/>
      <w:pPr>
        <w:tabs>
          <w:tab w:val="num" w:pos="4964"/>
        </w:tabs>
        <w:ind w:left="4964" w:hanging="360"/>
      </w:pPr>
      <w:rPr>
        <w:rFonts w:ascii="Symbol" w:hAnsi="Symbol" w:hint="default"/>
      </w:rPr>
    </w:lvl>
    <w:lvl w:ilvl="7" w:tplc="E1865E16" w:tentative="1">
      <w:start w:val="1"/>
      <w:numFmt w:val="bullet"/>
      <w:lvlText w:val="o"/>
      <w:lvlJc w:val="left"/>
      <w:pPr>
        <w:tabs>
          <w:tab w:val="num" w:pos="5684"/>
        </w:tabs>
        <w:ind w:left="5684" w:hanging="360"/>
      </w:pPr>
      <w:rPr>
        <w:rFonts w:ascii="Courier New" w:hAnsi="Courier New" w:cs="Courier New" w:hint="default"/>
      </w:rPr>
    </w:lvl>
    <w:lvl w:ilvl="8" w:tplc="0AD87F32" w:tentative="1">
      <w:start w:val="1"/>
      <w:numFmt w:val="bullet"/>
      <w:lvlText w:val=""/>
      <w:lvlJc w:val="left"/>
      <w:pPr>
        <w:tabs>
          <w:tab w:val="num" w:pos="6404"/>
        </w:tabs>
        <w:ind w:left="6404" w:hanging="360"/>
      </w:pPr>
      <w:rPr>
        <w:rFonts w:ascii="Wingdings" w:hAnsi="Wingdings" w:hint="default"/>
      </w:rPr>
    </w:lvl>
  </w:abstractNum>
  <w:abstractNum w:abstractNumId="239" w15:restartNumberingAfterBreak="0">
    <w:nsid w:val="536F08FA"/>
    <w:multiLevelType w:val="multilevel"/>
    <w:tmpl w:val="3C367270"/>
    <w:styleLink w:val="WW8Num1722"/>
    <w:lvl w:ilvl="0">
      <w:numFmt w:val="bullet"/>
      <w:lvlText w:val=""/>
      <w:lvlJc w:val="left"/>
      <w:rPr>
        <w:rFonts w:ascii="Symbol" w:hAnsi="Symbol"/>
      </w:rPr>
    </w:lvl>
    <w:lvl w:ilvl="1">
      <w:numFmt w:val="bullet"/>
      <w:lvlText w:val="◦"/>
      <w:lvlJc w:val="left"/>
      <w:rPr>
        <w:rFonts w:ascii="OpenSymbol, 'Arial Unicode MS'" w:hAnsi="OpenSymbol, 'Arial Unicode MS'" w:cs="OpenSymbol, 'Arial Unicode MS'"/>
      </w:rPr>
    </w:lvl>
    <w:lvl w:ilvl="2">
      <w:numFmt w:val="bullet"/>
      <w:lvlText w:val="▪"/>
      <w:lvlJc w:val="left"/>
      <w:rPr>
        <w:rFonts w:ascii="OpenSymbol, 'Arial Unicode MS'" w:hAnsi="OpenSymbol, 'Arial Unicode MS'" w:cs="OpenSymbol, 'Arial Unicode MS'"/>
      </w:rPr>
    </w:lvl>
    <w:lvl w:ilvl="3">
      <w:numFmt w:val="bullet"/>
      <w:lvlText w:val=""/>
      <w:lvlJc w:val="left"/>
      <w:rPr>
        <w:rFonts w:ascii="Symbol" w:hAnsi="Symbol"/>
      </w:rPr>
    </w:lvl>
    <w:lvl w:ilvl="4">
      <w:numFmt w:val="bullet"/>
      <w:lvlText w:val="◦"/>
      <w:lvlJc w:val="left"/>
      <w:rPr>
        <w:rFonts w:ascii="OpenSymbol, 'Arial Unicode MS'" w:hAnsi="OpenSymbol, 'Arial Unicode MS'" w:cs="OpenSymbol, 'Arial Unicode MS'"/>
      </w:rPr>
    </w:lvl>
    <w:lvl w:ilvl="5">
      <w:numFmt w:val="bullet"/>
      <w:lvlText w:val="▪"/>
      <w:lvlJc w:val="left"/>
      <w:rPr>
        <w:rFonts w:ascii="OpenSymbol, 'Arial Unicode MS'" w:hAnsi="OpenSymbol, 'Arial Unicode MS'" w:cs="OpenSymbol, 'Arial Unicode MS'"/>
      </w:rPr>
    </w:lvl>
    <w:lvl w:ilvl="6">
      <w:numFmt w:val="bullet"/>
      <w:lvlText w:val=""/>
      <w:lvlJc w:val="left"/>
      <w:rPr>
        <w:rFonts w:ascii="Symbol" w:hAnsi="Symbol"/>
      </w:rPr>
    </w:lvl>
    <w:lvl w:ilvl="7">
      <w:numFmt w:val="bullet"/>
      <w:lvlText w:val="◦"/>
      <w:lvlJc w:val="left"/>
      <w:rPr>
        <w:rFonts w:ascii="OpenSymbol, 'Arial Unicode MS'" w:hAnsi="OpenSymbol, 'Arial Unicode MS'" w:cs="OpenSymbol, 'Arial Unicode MS'"/>
      </w:rPr>
    </w:lvl>
    <w:lvl w:ilvl="8">
      <w:numFmt w:val="bullet"/>
      <w:lvlText w:val="▪"/>
      <w:lvlJc w:val="left"/>
      <w:rPr>
        <w:rFonts w:ascii="OpenSymbol, 'Arial Unicode MS'" w:hAnsi="OpenSymbol, 'Arial Unicode MS'" w:cs="OpenSymbol, 'Arial Unicode MS'"/>
      </w:rPr>
    </w:lvl>
  </w:abstractNum>
  <w:abstractNum w:abstractNumId="240" w15:restartNumberingAfterBreak="0">
    <w:nsid w:val="55F015F7"/>
    <w:multiLevelType w:val="hybridMultilevel"/>
    <w:tmpl w:val="EAEC1C78"/>
    <w:lvl w:ilvl="0" w:tplc="6902F2B6">
      <w:start w:val="1"/>
      <w:numFmt w:val="bullet"/>
      <w:lvlText w:val=""/>
      <w:lvlJc w:val="left"/>
      <w:pPr>
        <w:ind w:left="360" w:hanging="360"/>
      </w:pPr>
      <w:rPr>
        <w:rFonts w:ascii="Symbol" w:hAnsi="Symbo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41" w15:restartNumberingAfterBreak="0">
    <w:nsid w:val="566B0620"/>
    <w:multiLevelType w:val="multilevel"/>
    <w:tmpl w:val="3CF8410E"/>
    <w:styleLink w:val="WW8Num3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42" w15:restartNumberingAfterBreak="0">
    <w:nsid w:val="572B4421"/>
    <w:multiLevelType w:val="hybridMultilevel"/>
    <w:tmpl w:val="F64ECA7A"/>
    <w:styleLink w:val="WW8Num113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3" w15:restartNumberingAfterBreak="0">
    <w:nsid w:val="57995390"/>
    <w:multiLevelType w:val="multilevel"/>
    <w:tmpl w:val="FF74C480"/>
    <w:styleLink w:val="WW8Num30"/>
    <w:lvl w:ilvl="0">
      <w:numFmt w:val="bullet"/>
      <w:lvlText w:val="-"/>
      <w:lvlJc w:val="left"/>
      <w:rPr>
        <w:rFonts w:ascii="Symbol" w:hAnsi="Symbol"/>
        <w:b/>
        <w:i w:val="0"/>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4" w15:restartNumberingAfterBreak="0">
    <w:nsid w:val="579D6EBE"/>
    <w:multiLevelType w:val="multilevel"/>
    <w:tmpl w:val="5A12FF50"/>
    <w:styleLink w:val="WW8Num121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5" w15:restartNumberingAfterBreak="0">
    <w:nsid w:val="57D677DD"/>
    <w:multiLevelType w:val="multilevel"/>
    <w:tmpl w:val="1DB8A608"/>
    <w:styleLink w:val="WW8Num315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6" w15:restartNumberingAfterBreak="0">
    <w:nsid w:val="5857552C"/>
    <w:multiLevelType w:val="hybridMultilevel"/>
    <w:tmpl w:val="7A2A085C"/>
    <w:styleLink w:val="WW8Num1421"/>
    <w:lvl w:ilvl="0" w:tplc="D8DC3282">
      <w:start w:val="1"/>
      <w:numFmt w:val="lowerLetter"/>
      <w:lvlText w:val="%1)"/>
      <w:lvlJc w:val="left"/>
      <w:pPr>
        <w:ind w:left="360" w:hanging="360"/>
      </w:pPr>
    </w:lvl>
    <w:lvl w:ilvl="1" w:tplc="F0D6E3C2" w:tentative="1">
      <w:start w:val="1"/>
      <w:numFmt w:val="lowerLetter"/>
      <w:lvlText w:val="%2."/>
      <w:lvlJc w:val="left"/>
      <w:pPr>
        <w:ind w:left="1080" w:hanging="360"/>
      </w:pPr>
    </w:lvl>
    <w:lvl w:ilvl="2" w:tplc="3432BA26" w:tentative="1">
      <w:start w:val="1"/>
      <w:numFmt w:val="lowerRoman"/>
      <w:lvlText w:val="%3."/>
      <w:lvlJc w:val="right"/>
      <w:pPr>
        <w:ind w:left="1800" w:hanging="180"/>
      </w:pPr>
    </w:lvl>
    <w:lvl w:ilvl="3" w:tplc="E6BEB1F2" w:tentative="1">
      <w:start w:val="1"/>
      <w:numFmt w:val="decimal"/>
      <w:lvlText w:val="%4."/>
      <w:lvlJc w:val="left"/>
      <w:pPr>
        <w:ind w:left="2520" w:hanging="360"/>
      </w:pPr>
    </w:lvl>
    <w:lvl w:ilvl="4" w:tplc="0206E7C0" w:tentative="1">
      <w:start w:val="1"/>
      <w:numFmt w:val="lowerLetter"/>
      <w:lvlText w:val="%5."/>
      <w:lvlJc w:val="left"/>
      <w:pPr>
        <w:ind w:left="3240" w:hanging="360"/>
      </w:pPr>
    </w:lvl>
    <w:lvl w:ilvl="5" w:tplc="35A8C204" w:tentative="1">
      <w:start w:val="1"/>
      <w:numFmt w:val="lowerRoman"/>
      <w:lvlText w:val="%6."/>
      <w:lvlJc w:val="right"/>
      <w:pPr>
        <w:ind w:left="3960" w:hanging="180"/>
      </w:pPr>
    </w:lvl>
    <w:lvl w:ilvl="6" w:tplc="8C622F34" w:tentative="1">
      <w:start w:val="1"/>
      <w:numFmt w:val="decimal"/>
      <w:lvlText w:val="%7."/>
      <w:lvlJc w:val="left"/>
      <w:pPr>
        <w:ind w:left="4680" w:hanging="360"/>
      </w:pPr>
    </w:lvl>
    <w:lvl w:ilvl="7" w:tplc="560439D6" w:tentative="1">
      <w:start w:val="1"/>
      <w:numFmt w:val="lowerLetter"/>
      <w:lvlText w:val="%8."/>
      <w:lvlJc w:val="left"/>
      <w:pPr>
        <w:ind w:left="5400" w:hanging="360"/>
      </w:pPr>
    </w:lvl>
    <w:lvl w:ilvl="8" w:tplc="3E7466C6" w:tentative="1">
      <w:start w:val="1"/>
      <w:numFmt w:val="lowerRoman"/>
      <w:lvlText w:val="%9."/>
      <w:lvlJc w:val="right"/>
      <w:pPr>
        <w:ind w:left="6120" w:hanging="180"/>
      </w:pPr>
    </w:lvl>
  </w:abstractNum>
  <w:abstractNum w:abstractNumId="247" w15:restartNumberingAfterBreak="0">
    <w:nsid w:val="588248DF"/>
    <w:multiLevelType w:val="hybridMultilevel"/>
    <w:tmpl w:val="16B6C948"/>
    <w:lvl w:ilvl="0" w:tplc="04150001">
      <w:start w:val="1"/>
      <w:numFmt w:val="bullet"/>
      <w:lvlText w:val=""/>
      <w:lvlJc w:val="left"/>
      <w:pPr>
        <w:ind w:left="1068" w:hanging="360"/>
      </w:pPr>
      <w:rPr>
        <w:rFonts w:ascii="Symbol" w:hAnsi="Symbol"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48" w15:restartNumberingAfterBreak="0">
    <w:nsid w:val="591D6E78"/>
    <w:multiLevelType w:val="multilevel"/>
    <w:tmpl w:val="6AE69540"/>
    <w:styleLink w:val="WW8Num83"/>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9" w15:restartNumberingAfterBreak="0">
    <w:nsid w:val="5978128B"/>
    <w:multiLevelType w:val="multilevel"/>
    <w:tmpl w:val="03228EEE"/>
    <w:styleLink w:val="WW8Num54"/>
    <w:lvl w:ilvl="0">
      <w:start w:val="1"/>
      <w:numFmt w:val="lowerLetter"/>
      <w:lvlText w:val="%1)"/>
      <w:lvlJc w:val="left"/>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0" w15:restartNumberingAfterBreak="0">
    <w:nsid w:val="59850ECC"/>
    <w:multiLevelType w:val="multilevel"/>
    <w:tmpl w:val="DA28DDEE"/>
    <w:styleLink w:val="WW8Num315"/>
    <w:lvl w:ilvl="0">
      <w:start w:val="1"/>
      <w:numFmt w:val="bullet"/>
      <w:lvlText w:val=""/>
      <w:lvlJc w:val="left"/>
      <w:pPr>
        <w:ind w:left="36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51" w15:restartNumberingAfterBreak="0">
    <w:nsid w:val="59E9134A"/>
    <w:multiLevelType w:val="multilevel"/>
    <w:tmpl w:val="870EC1DA"/>
    <w:styleLink w:val="WW8Num322"/>
    <w:lvl w:ilvl="0">
      <w:numFmt w:val="bullet"/>
      <w:lvlText w:val=""/>
      <w:lvlJc w:val="left"/>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2" w15:restartNumberingAfterBreak="0">
    <w:nsid w:val="5B5347CF"/>
    <w:multiLevelType w:val="multilevel"/>
    <w:tmpl w:val="085E3D82"/>
    <w:styleLink w:val="WW8Num75"/>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3" w15:restartNumberingAfterBreak="0">
    <w:nsid w:val="5C851C53"/>
    <w:multiLevelType w:val="hybridMultilevel"/>
    <w:tmpl w:val="B908F112"/>
    <w:styleLink w:val="WW8Num882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4" w15:restartNumberingAfterBreak="0">
    <w:nsid w:val="5D1D676B"/>
    <w:multiLevelType w:val="hybridMultilevel"/>
    <w:tmpl w:val="89CE31D2"/>
    <w:styleLink w:val="WW8Num162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5" w15:restartNumberingAfterBreak="0">
    <w:nsid w:val="5D624649"/>
    <w:multiLevelType w:val="multilevel"/>
    <w:tmpl w:val="23EA144E"/>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6" w15:restartNumberingAfterBreak="0">
    <w:nsid w:val="5D9152B1"/>
    <w:multiLevelType w:val="multilevel"/>
    <w:tmpl w:val="34E45E1E"/>
    <w:styleLink w:val="WW8Num2021"/>
    <w:lvl w:ilvl="0">
      <w:numFmt w:val="bullet"/>
      <w:lvlText w:val=""/>
      <w:lvlJc w:val="left"/>
      <w:rPr>
        <w:rFonts w:ascii="Symbol" w:hAnsi="Symbol" w:cs="Times New Roman"/>
        <w:b w:val="0"/>
        <w:i w:val="0"/>
        <w:sz w:val="20"/>
        <w:u w:val="none"/>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57" w15:restartNumberingAfterBreak="0">
    <w:nsid w:val="5E0666DA"/>
    <w:multiLevelType w:val="hybridMultilevel"/>
    <w:tmpl w:val="3230D5E4"/>
    <w:lvl w:ilvl="0" w:tplc="D410FAD4">
      <w:start w:val="1"/>
      <w:numFmt w:val="bullet"/>
      <w:lvlText w:val="–"/>
      <w:lvlJc w:val="left"/>
      <w:pPr>
        <w:tabs>
          <w:tab w:val="num" w:pos="397"/>
        </w:tabs>
        <w:ind w:left="397" w:hanging="397"/>
      </w:pPr>
      <w:rPr>
        <w:rFonts w:ascii="Times New Roman" w:hAnsi="Times New Roman" w:cs="Times New Roman" w:hint="default"/>
      </w:rPr>
    </w:lvl>
    <w:lvl w:ilvl="1" w:tplc="DF0C7486">
      <w:start w:val="1"/>
      <w:numFmt w:val="lowerLetter"/>
      <w:lvlText w:val="%2)"/>
      <w:lvlJc w:val="left"/>
      <w:pPr>
        <w:tabs>
          <w:tab w:val="num" w:pos="1080"/>
        </w:tabs>
        <w:ind w:left="1363" w:hanging="28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58" w15:restartNumberingAfterBreak="0">
    <w:nsid w:val="5E147B69"/>
    <w:multiLevelType w:val="multilevel"/>
    <w:tmpl w:val="F4D433D6"/>
    <w:styleLink w:val="WW8Num1811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59" w15:restartNumberingAfterBreak="0">
    <w:nsid w:val="5E5779D7"/>
    <w:multiLevelType w:val="multilevel"/>
    <w:tmpl w:val="EF866E38"/>
    <w:styleLink w:val="WW8Num183"/>
    <w:lvl w:ilvl="0">
      <w:numFmt w:val="bullet"/>
      <w:lvlText w:val="-"/>
      <w:lvlJc w:val="left"/>
      <w:pPr>
        <w:ind w:left="360" w:hanging="360"/>
      </w:pPr>
      <w:rPr>
        <w:rFonts w:ascii="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0" w15:restartNumberingAfterBreak="0">
    <w:nsid w:val="5ECD160A"/>
    <w:multiLevelType w:val="multilevel"/>
    <w:tmpl w:val="C890D2EA"/>
    <w:styleLink w:val="WW8Num382"/>
    <w:lvl w:ilvl="0">
      <w:start w:val="1"/>
      <w:numFmt w:val="bullet"/>
      <w:lvlText w:val=""/>
      <w:lvlJc w:val="left"/>
      <w:pPr>
        <w:ind w:left="360" w:hanging="360"/>
      </w:pPr>
      <w:rPr>
        <w:rFonts w:ascii="Symbol" w:hAnsi="Symbol" w:hint="default"/>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61" w15:restartNumberingAfterBreak="0">
    <w:nsid w:val="5F0504B0"/>
    <w:multiLevelType w:val="multilevel"/>
    <w:tmpl w:val="E622599E"/>
    <w:styleLink w:val="WW8Num652"/>
    <w:lvl w:ilvl="0">
      <w:start w:val="1"/>
      <w:numFmt w:val="bullet"/>
      <w:lvlText w:val=""/>
      <w:lvlJc w:val="left"/>
      <w:pPr>
        <w:ind w:left="360" w:hanging="360"/>
      </w:pPr>
      <w:rPr>
        <w:rFonts w:ascii="Symbol" w:hAnsi="Symbol" w:hint="default"/>
      </w:rPr>
    </w:lvl>
    <w:lvl w:ilvl="1">
      <w:numFmt w:val="bullet"/>
      <w:lvlText w:val="o"/>
      <w:lvlJc w:val="left"/>
      <w:pPr>
        <w:ind w:left="1080" w:hanging="360"/>
      </w:pPr>
      <w:rPr>
        <w:rFonts w:ascii="Courier New" w:hAnsi="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262" w15:restartNumberingAfterBreak="0">
    <w:nsid w:val="5F835EC4"/>
    <w:multiLevelType w:val="hybridMultilevel"/>
    <w:tmpl w:val="E200C482"/>
    <w:lvl w:ilvl="0" w:tplc="6BE4A9E2">
      <w:start w:val="81"/>
      <w:numFmt w:val="decimal"/>
      <w:lvlText w:val="%1. "/>
      <w:lvlJc w:val="left"/>
      <w:pPr>
        <w:ind w:left="1146" w:hanging="360"/>
      </w:pPr>
      <w:rPr>
        <w:rFonts w:ascii="Times New Roman" w:hAnsi="Times New Roman" w:cs="Times New Roman" w:hint="default"/>
        <w:b w:val="0"/>
        <w:i w:val="0"/>
        <w:caps w:val="0"/>
        <w:strike w:val="0"/>
        <w:dstrike w:val="0"/>
        <w:outline w:val="0"/>
        <w:shadow w:val="0"/>
        <w:emboss w:val="0"/>
        <w:imprint w:val="0"/>
        <w:vanish w:val="0"/>
        <w:sz w:val="20"/>
        <w:szCs w:val="20"/>
        <w:u w:val="none"/>
        <w:vertAlign w:val="baseline"/>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63" w15:restartNumberingAfterBreak="0">
    <w:nsid w:val="5FA2184E"/>
    <w:multiLevelType w:val="multilevel"/>
    <w:tmpl w:val="0EE8441A"/>
    <w:styleLink w:val="WW8Num232"/>
    <w:lvl w:ilvl="0">
      <w:numFmt w:val="bullet"/>
      <w:lvlText w:val=""/>
      <w:lvlJc w:val="left"/>
      <w:rPr>
        <w:rFonts w:ascii="Symbol" w:hAnsi="Symbol"/>
      </w:rPr>
    </w:lvl>
    <w:lvl w:ilvl="1">
      <w:start w:val="1"/>
      <w:numFmt w:val="bullet"/>
      <w:lvlText w:val=""/>
      <w:lvlJc w:val="left"/>
      <w:pPr>
        <w:ind w:left="1440" w:hanging="360"/>
      </w:pPr>
      <w:rPr>
        <w:rFonts w:ascii="Symbol" w:hAnsi="Symbol" w:hint="default"/>
        <w:b/>
        <w:i w:val="0"/>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64" w15:restartNumberingAfterBreak="0">
    <w:nsid w:val="5FA75DB5"/>
    <w:multiLevelType w:val="multilevel"/>
    <w:tmpl w:val="402E7B00"/>
    <w:styleLink w:val="WW8Num3811"/>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5" w15:restartNumberingAfterBreak="0">
    <w:nsid w:val="5FC95E46"/>
    <w:multiLevelType w:val="multilevel"/>
    <w:tmpl w:val="D2FEF2AC"/>
    <w:lvl w:ilvl="0">
      <w:start w:val="1"/>
      <w:numFmt w:val="decimal"/>
      <w:pStyle w:val="Moj1"/>
      <w:lvlText w:val="%1."/>
      <w:lvlJc w:val="left"/>
      <w:pPr>
        <w:ind w:left="720" w:hanging="360"/>
      </w:pPr>
      <w:rPr>
        <w:b/>
        <w:bCs w:val="0"/>
        <w:i w:val="0"/>
        <w:iCs w:val="0"/>
        <w:caps w:val="0"/>
        <w:smallCaps w:val="0"/>
        <w:strike w:val="0"/>
        <w:dstrike w:val="0"/>
        <w:noProof w:val="0"/>
        <w:vanish w:val="0"/>
        <w:color w:val="000000"/>
        <w:spacing w:val="0"/>
        <w:kern w:val="0"/>
        <w:position w:val="0"/>
        <w:u w:val="none"/>
        <w:vertAlign w:val="baseline"/>
        <w:em w:val="none"/>
        <w:lang w:val="pl-PL"/>
      </w:rPr>
    </w:lvl>
    <w:lvl w:ilvl="1">
      <w:start w:val="1"/>
      <w:numFmt w:val="decimal"/>
      <w:pStyle w:val="Moj2"/>
      <w:isLgl/>
      <w:lvlText w:val="%1.%2."/>
      <w:lvlJc w:val="left"/>
      <w:pPr>
        <w:ind w:left="1211" w:hanging="360"/>
      </w:pPr>
      <w:rPr>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Moj3"/>
      <w:isLgl/>
      <w:lvlText w:val="%1.%2.%3."/>
      <w:lvlJc w:val="left"/>
      <w:pPr>
        <w:ind w:left="1212" w:hanging="720"/>
      </w:pPr>
      <w:rPr>
        <w:b/>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266" w15:restartNumberingAfterBreak="0">
    <w:nsid w:val="5FE87F12"/>
    <w:multiLevelType w:val="multilevel"/>
    <w:tmpl w:val="373422E4"/>
    <w:styleLink w:val="WW8Num833"/>
    <w:lvl w:ilvl="0">
      <w:start w:val="1"/>
      <w:numFmt w:val="lowerLetter"/>
      <w:lvlText w:val="%1)"/>
      <w:lvlJc w:val="left"/>
      <w:rPr>
        <w:rFonts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7" w15:restartNumberingAfterBreak="0">
    <w:nsid w:val="5FFD26FE"/>
    <w:multiLevelType w:val="multilevel"/>
    <w:tmpl w:val="4C20B514"/>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68" w15:restartNumberingAfterBreak="0">
    <w:nsid w:val="60526F70"/>
    <w:multiLevelType w:val="multilevel"/>
    <w:tmpl w:val="C4A46ADA"/>
    <w:styleLink w:val="WW8Num35"/>
    <w:lvl w:ilvl="0">
      <w:numFmt w:val="bullet"/>
      <w:lvlText w:val=""/>
      <w:lvlJc w:val="left"/>
      <w:rPr>
        <w:rFonts w:ascii="Symbol" w:hAnsi="Symbol" w:cs="Times New Roman"/>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69" w15:restartNumberingAfterBreak="0">
    <w:nsid w:val="60A61D16"/>
    <w:multiLevelType w:val="hybridMultilevel"/>
    <w:tmpl w:val="394C6468"/>
    <w:styleLink w:val="WW8Num8113"/>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0" w15:restartNumberingAfterBreak="0">
    <w:nsid w:val="610B3D2A"/>
    <w:multiLevelType w:val="hybridMultilevel"/>
    <w:tmpl w:val="6EDA3B12"/>
    <w:styleLink w:val="WW8Num2013"/>
    <w:lvl w:ilvl="0" w:tplc="FFFFFFFF">
      <w:start w:val="1"/>
      <w:numFmt w:val="bullet"/>
      <w:pStyle w:val="listakropki"/>
      <w:lvlText w:val="•"/>
      <w:lvlJc w:val="left"/>
      <w:pPr>
        <w:tabs>
          <w:tab w:val="num" w:pos="709"/>
        </w:tabs>
        <w:ind w:left="2409" w:hanging="283"/>
      </w:pPr>
      <w:rPr>
        <w:rFonts w:ascii="Times New Roman" w:hAnsi="Times New Roman" w:cs="Times New Roman" w:hint="default"/>
        <w:sz w:val="24"/>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1" w15:restartNumberingAfterBreak="0">
    <w:nsid w:val="61111C3E"/>
    <w:multiLevelType w:val="hybridMultilevel"/>
    <w:tmpl w:val="78A01DD0"/>
    <w:lvl w:ilvl="0" w:tplc="F51CD81E">
      <w:start w:val="1"/>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2" w15:restartNumberingAfterBreak="0">
    <w:nsid w:val="617A61F7"/>
    <w:multiLevelType w:val="multilevel"/>
    <w:tmpl w:val="18B8C522"/>
    <w:styleLink w:val="WW8Num132"/>
    <w:lvl w:ilvl="0">
      <w:numFmt w:val="bullet"/>
      <w:lvlText w:val=""/>
      <w:lvlJc w:val="left"/>
      <w:pPr>
        <w:ind w:left="927" w:hanging="360"/>
      </w:pPr>
      <w:rPr>
        <w:rFonts w:ascii="Wingdings" w:hAnsi="Wingdings"/>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273" w15:restartNumberingAfterBreak="0">
    <w:nsid w:val="61E97311"/>
    <w:multiLevelType w:val="multilevel"/>
    <w:tmpl w:val="6C685E26"/>
    <w:styleLink w:val="WW8Num852"/>
    <w:lvl w:ilvl="0">
      <w:numFmt w:val="bullet"/>
      <w:lvlText w:val="-"/>
      <w:lvlJc w:val="left"/>
      <w:pPr>
        <w:ind w:left="283" w:hanging="283"/>
      </w:pPr>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4" w15:restartNumberingAfterBreak="0">
    <w:nsid w:val="62095031"/>
    <w:multiLevelType w:val="hybridMultilevel"/>
    <w:tmpl w:val="4FA60234"/>
    <w:styleLink w:val="WW8Num29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75" w15:restartNumberingAfterBreak="0">
    <w:nsid w:val="623718E7"/>
    <w:multiLevelType w:val="hybridMultilevel"/>
    <w:tmpl w:val="004EF254"/>
    <w:styleLink w:val="WW8Num6513"/>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6" w15:restartNumberingAfterBreak="0">
    <w:nsid w:val="635D2D97"/>
    <w:multiLevelType w:val="multilevel"/>
    <w:tmpl w:val="8C3C7B50"/>
    <w:styleLink w:val="WW8Num261"/>
    <w:lvl w:ilvl="0">
      <w:start w:val="24"/>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7" w15:restartNumberingAfterBreak="0">
    <w:nsid w:val="636868B4"/>
    <w:multiLevelType w:val="multilevel"/>
    <w:tmpl w:val="16E22804"/>
    <w:styleLink w:val="WW8Num352"/>
    <w:lvl w:ilvl="0">
      <w:start w:val="1"/>
      <w:numFmt w:val="bullet"/>
      <w:lvlText w:val=""/>
      <w:lvlJc w:val="left"/>
      <w:pPr>
        <w:ind w:left="360" w:hanging="360"/>
      </w:pPr>
      <w:rPr>
        <w:rFonts w:ascii="Symbol" w:hAnsi="Symbol" w:hint="default"/>
      </w:rPr>
    </w:lvl>
    <w:lvl w:ilvl="1">
      <w:numFmt w:val="bullet"/>
      <w:lvlText w:val="o"/>
      <w:lvlJc w:val="left"/>
      <w:pPr>
        <w:ind w:left="1723" w:hanging="360"/>
      </w:pPr>
      <w:rPr>
        <w:rFonts w:ascii="Letter Gothic" w:hAnsi="Letter Gothic"/>
      </w:rPr>
    </w:lvl>
    <w:lvl w:ilvl="2">
      <w:numFmt w:val="bullet"/>
      <w:lvlText w:val=""/>
      <w:lvlJc w:val="left"/>
      <w:pPr>
        <w:ind w:left="2443" w:hanging="360"/>
      </w:pPr>
      <w:rPr>
        <w:rFonts w:ascii="Wingdings" w:hAnsi="Wingdings"/>
      </w:rPr>
    </w:lvl>
    <w:lvl w:ilvl="3">
      <w:numFmt w:val="bullet"/>
      <w:lvlText w:val=""/>
      <w:lvlJc w:val="left"/>
      <w:pPr>
        <w:ind w:left="3163" w:hanging="360"/>
      </w:pPr>
      <w:rPr>
        <w:rFonts w:ascii="Symbol" w:hAnsi="Symbol"/>
      </w:rPr>
    </w:lvl>
    <w:lvl w:ilvl="4">
      <w:numFmt w:val="bullet"/>
      <w:lvlText w:val="o"/>
      <w:lvlJc w:val="left"/>
      <w:pPr>
        <w:ind w:left="3883" w:hanging="360"/>
      </w:pPr>
      <w:rPr>
        <w:rFonts w:ascii="Letter Gothic" w:hAnsi="Letter Gothic"/>
      </w:rPr>
    </w:lvl>
    <w:lvl w:ilvl="5">
      <w:numFmt w:val="bullet"/>
      <w:lvlText w:val=""/>
      <w:lvlJc w:val="left"/>
      <w:pPr>
        <w:ind w:left="4603" w:hanging="360"/>
      </w:pPr>
      <w:rPr>
        <w:rFonts w:ascii="Wingdings" w:hAnsi="Wingdings"/>
      </w:rPr>
    </w:lvl>
    <w:lvl w:ilvl="6">
      <w:numFmt w:val="bullet"/>
      <w:lvlText w:val=""/>
      <w:lvlJc w:val="left"/>
      <w:pPr>
        <w:ind w:left="5323" w:hanging="360"/>
      </w:pPr>
      <w:rPr>
        <w:rFonts w:ascii="Symbol" w:hAnsi="Symbol"/>
      </w:rPr>
    </w:lvl>
    <w:lvl w:ilvl="7">
      <w:numFmt w:val="bullet"/>
      <w:lvlText w:val="o"/>
      <w:lvlJc w:val="left"/>
      <w:pPr>
        <w:ind w:left="6043" w:hanging="360"/>
      </w:pPr>
      <w:rPr>
        <w:rFonts w:ascii="Letter Gothic" w:hAnsi="Letter Gothic"/>
      </w:rPr>
    </w:lvl>
    <w:lvl w:ilvl="8">
      <w:numFmt w:val="bullet"/>
      <w:lvlText w:val=""/>
      <w:lvlJc w:val="left"/>
      <w:pPr>
        <w:ind w:left="6763" w:hanging="360"/>
      </w:pPr>
      <w:rPr>
        <w:rFonts w:ascii="Wingdings" w:hAnsi="Wingdings"/>
      </w:rPr>
    </w:lvl>
  </w:abstractNum>
  <w:abstractNum w:abstractNumId="278" w15:restartNumberingAfterBreak="0">
    <w:nsid w:val="645D7FB2"/>
    <w:multiLevelType w:val="multilevel"/>
    <w:tmpl w:val="408824AE"/>
    <w:styleLink w:val="WW8Num1831"/>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79" w15:restartNumberingAfterBreak="0">
    <w:nsid w:val="660221FA"/>
    <w:multiLevelType w:val="hybridMultilevel"/>
    <w:tmpl w:val="5366077E"/>
    <w:lvl w:ilvl="0" w:tplc="7B98ECAA">
      <w:start w:val="2"/>
      <w:numFmt w:val="lowerLetter"/>
      <w:lvlText w:val="%1)"/>
      <w:lvlJc w:val="left"/>
      <w:pPr>
        <w:tabs>
          <w:tab w:val="num" w:pos="1077"/>
        </w:tabs>
        <w:ind w:left="136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80" w15:restartNumberingAfterBreak="0">
    <w:nsid w:val="669A7939"/>
    <w:multiLevelType w:val="multilevel"/>
    <w:tmpl w:val="80769E32"/>
    <w:styleLink w:val="WW8Num2613"/>
    <w:lvl w:ilvl="0">
      <w:numFmt w:val="bullet"/>
      <w:lvlText w:val=""/>
      <w:lvlJc w:val="left"/>
      <w:rPr>
        <w:rFonts w:ascii="Symbol" w:hAnsi="Symbol"/>
      </w:rPr>
    </w:lvl>
    <w:lvl w:ilvl="1">
      <w:numFmt w:val="bullet"/>
      <w:lvlText w:val=""/>
      <w:lvlJc w:val="left"/>
      <w:pPr>
        <w:ind w:left="1440" w:hanging="360"/>
      </w:pPr>
      <w:rPr>
        <w:rFonts w:ascii="Wingdings" w:hAnsi="Wingdings"/>
      </w:rPr>
    </w:lvl>
    <w:lvl w:ilvl="2">
      <w:numFmt w:val="bullet"/>
      <w:lvlText w:val="-"/>
      <w:lvlJc w:val="left"/>
      <w:pPr>
        <w:ind w:left="2160" w:hanging="360"/>
      </w:pPr>
      <w:rPr>
        <w:rFonts w:ascii="Times New Roman" w:eastAsia="Times New Roman" w:hAnsi="Times New Roman" w:cs="Times New Roman"/>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81" w15:restartNumberingAfterBreak="0">
    <w:nsid w:val="673B1017"/>
    <w:multiLevelType w:val="hybridMultilevel"/>
    <w:tmpl w:val="ECD691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683E5287"/>
    <w:multiLevelType w:val="multilevel"/>
    <w:tmpl w:val="BBAA0DF2"/>
    <w:styleLink w:val="WW8Num373"/>
    <w:lvl w:ilvl="0">
      <w:start w:val="1"/>
      <w:numFmt w:val="bullet"/>
      <w:lvlText w:val=""/>
      <w:lvlJc w:val="left"/>
      <w:pPr>
        <w:tabs>
          <w:tab w:val="num" w:pos="1004"/>
        </w:tabs>
        <w:ind w:left="360" w:hanging="360"/>
      </w:pPr>
      <w:rPr>
        <w:rFonts w:ascii="Symbol" w:hAnsi="Symbol"/>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83" w15:restartNumberingAfterBreak="0">
    <w:nsid w:val="68793B64"/>
    <w:multiLevelType w:val="multilevel"/>
    <w:tmpl w:val="5CD48440"/>
    <w:styleLink w:val="WW8Num58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84" w15:restartNumberingAfterBreak="0">
    <w:nsid w:val="687A6D37"/>
    <w:multiLevelType w:val="multilevel"/>
    <w:tmpl w:val="18D4BC4A"/>
    <w:lvl w:ilvl="0">
      <w:start w:val="1"/>
      <w:numFmt w:val="bullet"/>
      <w:lvlText w:val=""/>
      <w:lvlJc w:val="left"/>
      <w:pPr>
        <w:tabs>
          <w:tab w:val="num" w:pos="709"/>
        </w:tabs>
        <w:ind w:left="0" w:firstLine="0"/>
      </w:pPr>
      <w:rPr>
        <w:rFonts w:ascii="Symbol" w:hAnsi="Symbol" w:hint="default"/>
        <w:b/>
        <w:i w:val="0"/>
        <w:sz w:val="20"/>
        <w:szCs w:val="24"/>
      </w:rPr>
    </w:lvl>
    <w:lvl w:ilvl="1">
      <w:start w:val="1"/>
      <w:numFmt w:val="decimal"/>
      <w:lvlText w:val="%1.%2."/>
      <w:lvlJc w:val="left"/>
      <w:pPr>
        <w:tabs>
          <w:tab w:val="num" w:pos="539"/>
        </w:tabs>
        <w:ind w:left="0" w:firstLine="0"/>
      </w:pPr>
      <w:rPr>
        <w:rFonts w:hint="default"/>
        <w:b/>
      </w:rPr>
    </w:lvl>
    <w:lvl w:ilvl="2">
      <w:start w:val="1"/>
      <w:numFmt w:val="bullet"/>
      <w:lvlText w:val=""/>
      <w:lvlJc w:val="left"/>
      <w:pPr>
        <w:tabs>
          <w:tab w:val="num" w:pos="709"/>
        </w:tabs>
        <w:ind w:left="709" w:hanging="709"/>
      </w:pPr>
      <w:rPr>
        <w:rFonts w:ascii="Symbol" w:hAnsi="Symbol" w:hint="default"/>
        <w:b w:val="0"/>
        <w:i w:val="0"/>
        <w:sz w:val="24"/>
        <w:szCs w:val="24"/>
      </w:rPr>
    </w:lvl>
    <w:lvl w:ilvl="3">
      <w:start w:val="1"/>
      <w:numFmt w:val="decimal"/>
      <w:lvlText w:val="%1.%2.%3.%4."/>
      <w:lvlJc w:val="left"/>
      <w:pPr>
        <w:tabs>
          <w:tab w:val="num" w:pos="992"/>
        </w:tabs>
        <w:ind w:left="1134" w:hanging="1134"/>
      </w:pPr>
      <w:rPr>
        <w:rFonts w:hint="default"/>
        <w:b w:val="0"/>
        <w:i w:val="0"/>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980"/>
        </w:tabs>
        <w:ind w:left="4980" w:hanging="144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756"/>
        </w:tabs>
        <w:ind w:left="6756" w:hanging="1800"/>
      </w:pPr>
      <w:rPr>
        <w:rFonts w:hint="default"/>
        <w:b/>
      </w:rPr>
    </w:lvl>
    <w:lvl w:ilvl="8">
      <w:start w:val="1"/>
      <w:numFmt w:val="decimal"/>
      <w:lvlText w:val="%1.%2.%3.%4.%5.%6.%7.%8.%9."/>
      <w:lvlJc w:val="left"/>
      <w:pPr>
        <w:tabs>
          <w:tab w:val="num" w:pos="7824"/>
        </w:tabs>
        <w:ind w:left="7824" w:hanging="2160"/>
      </w:pPr>
      <w:rPr>
        <w:rFonts w:hint="default"/>
        <w:b/>
      </w:rPr>
    </w:lvl>
  </w:abstractNum>
  <w:abstractNum w:abstractNumId="285" w15:restartNumberingAfterBreak="0">
    <w:nsid w:val="68EC77B0"/>
    <w:multiLevelType w:val="hybridMultilevel"/>
    <w:tmpl w:val="FD86C1A8"/>
    <w:styleLink w:val="WW8Num8313"/>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6" w15:restartNumberingAfterBreak="0">
    <w:nsid w:val="695C484F"/>
    <w:multiLevelType w:val="multilevel"/>
    <w:tmpl w:val="D80498C2"/>
    <w:lvl w:ilvl="0">
      <w:start w:val="1"/>
      <w:numFmt w:val="decimal"/>
      <w:lvlText w:val="%1."/>
      <w:lvlJc w:val="left"/>
      <w:pPr>
        <w:ind w:left="660" w:hanging="660"/>
      </w:pPr>
      <w:rPr>
        <w:rFonts w:hint="default"/>
      </w:rPr>
    </w:lvl>
    <w:lvl w:ilvl="1">
      <w:start w:val="5"/>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7" w15:restartNumberingAfterBreak="0">
    <w:nsid w:val="69B05FBE"/>
    <w:multiLevelType w:val="multilevel"/>
    <w:tmpl w:val="072ECEAE"/>
    <w:styleLink w:val="WW8Num2122"/>
    <w:lvl w:ilvl="0">
      <w:start w:val="1"/>
      <w:numFmt w:val="bullet"/>
      <w:lvlText w:val=""/>
      <w:lvlJc w:val="left"/>
      <w:pPr>
        <w:ind w:left="644"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88" w15:restartNumberingAfterBreak="0">
    <w:nsid w:val="6A074A09"/>
    <w:multiLevelType w:val="multilevel"/>
    <w:tmpl w:val="0C24232C"/>
    <w:styleLink w:val="WW8Num262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89" w15:restartNumberingAfterBreak="0">
    <w:nsid w:val="6A8718EF"/>
    <w:multiLevelType w:val="hybridMultilevel"/>
    <w:tmpl w:val="7D50F170"/>
    <w:styleLink w:val="WW8Num2103"/>
    <w:lvl w:ilvl="0" w:tplc="A1F01430">
      <w:start w:val="1"/>
      <w:numFmt w:val="decimal"/>
      <w:lvlText w:val="%1)"/>
      <w:lvlJc w:val="left"/>
      <w:pPr>
        <w:tabs>
          <w:tab w:val="num" w:pos="720"/>
        </w:tabs>
        <w:ind w:left="720" w:hanging="360"/>
      </w:pPr>
      <w:rPr>
        <w:rFonts w:ascii="Times New Roman" w:hAnsi="Times New Roman" w:cs="Times New Roman" w:hint="default"/>
        <w:b w:val="0"/>
        <w:i w:val="0"/>
        <w:sz w:val="20"/>
        <w:u w:val="none"/>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90" w15:restartNumberingAfterBreak="0">
    <w:nsid w:val="6B212CF2"/>
    <w:multiLevelType w:val="hybridMultilevel"/>
    <w:tmpl w:val="07EC4F34"/>
    <w:lvl w:ilvl="0" w:tplc="C09A6D26">
      <w:start w:val="1"/>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1" w15:restartNumberingAfterBreak="0">
    <w:nsid w:val="6B4B5EC7"/>
    <w:multiLevelType w:val="multilevel"/>
    <w:tmpl w:val="0415001F"/>
    <w:styleLink w:val="WW8Num314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2"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6D1C2D24"/>
    <w:multiLevelType w:val="multilevel"/>
    <w:tmpl w:val="001A1ECC"/>
    <w:styleLink w:val="WW8Num222"/>
    <w:lvl w:ilvl="0">
      <w:start w:val="1"/>
      <w:numFmt w:val="decimal"/>
      <w:lvlText w:val="/%1/"/>
      <w:lvlJc w:val="left"/>
      <w:pPr>
        <w:ind w:left="1080" w:hanging="360"/>
      </w:pPr>
    </w:lvl>
    <w:lvl w:ilvl="1">
      <w:start w:val="1"/>
      <w:numFmt w:val="lowerLetter"/>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294" w15:restartNumberingAfterBreak="0">
    <w:nsid w:val="6D2273DF"/>
    <w:multiLevelType w:val="hybridMultilevel"/>
    <w:tmpl w:val="FF086CC2"/>
    <w:styleLink w:val="WW8Num231"/>
    <w:lvl w:ilvl="0" w:tplc="FC24846C">
      <w:start w:val="4"/>
      <w:numFmt w:val="bullet"/>
      <w:lvlText w:val="-"/>
      <w:lvlJc w:val="left"/>
      <w:pPr>
        <w:ind w:left="720" w:hanging="360"/>
      </w:pPr>
      <w:rPr>
        <w:rFonts w:ascii="Times New Roman" w:eastAsia="Times New Roman" w:hAnsi="Times New Roman" w:cs="Times New Roman"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5" w15:restartNumberingAfterBreak="0">
    <w:nsid w:val="6D9E11EF"/>
    <w:multiLevelType w:val="multilevel"/>
    <w:tmpl w:val="44804980"/>
    <w:styleLink w:val="WW8Num34"/>
    <w:lvl w:ilvl="0">
      <w:numFmt w:val="bullet"/>
      <w:lvlText w:val=""/>
      <w:lvlJc w:val="left"/>
      <w:pPr>
        <w:ind w:left="284" w:firstLine="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96" w15:restartNumberingAfterBreak="0">
    <w:nsid w:val="6E405FEF"/>
    <w:multiLevelType w:val="multilevel"/>
    <w:tmpl w:val="B9E8A6C4"/>
    <w:styleLink w:val="WW8Num8"/>
    <w:lvl w:ilvl="0">
      <w:start w:val="1"/>
      <w:numFmt w:val="bullet"/>
      <w:lvlText w:val=""/>
      <w:lvlJc w:val="left"/>
      <w:rPr>
        <w:rFonts w:ascii="Symbol" w:hAnsi="Symbol" w:hint="default"/>
      </w:rPr>
    </w:lvl>
    <w:lvl w:ilvl="1">
      <w:numFmt w:val="bullet"/>
      <w:lvlText w:val="–"/>
      <w:lvlJc w:val="left"/>
      <w:rPr>
        <w:rFonts w:ascii="Times New Roman" w:hAnsi="Times New Roman" w:cs="Times New Roman"/>
      </w:rPr>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97" w15:restartNumberingAfterBreak="0">
    <w:nsid w:val="6E99257C"/>
    <w:multiLevelType w:val="multilevel"/>
    <w:tmpl w:val="6B029730"/>
    <w:styleLink w:val="WW8Num66"/>
    <w:lvl w:ilvl="0">
      <w:start w:val="1"/>
      <w:numFmt w:val="decimal"/>
      <w:lvlText w:val="%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8" w15:restartNumberingAfterBreak="0">
    <w:nsid w:val="6F5A1E72"/>
    <w:multiLevelType w:val="hybridMultilevel"/>
    <w:tmpl w:val="4ADC5470"/>
    <w:styleLink w:val="WW8Num3322"/>
    <w:lvl w:ilvl="0" w:tplc="C7CC80D4">
      <w:start w:val="1"/>
      <w:numFmt w:val="bullet"/>
      <w:lvlText w:val=""/>
      <w:lvlJc w:val="left"/>
      <w:pPr>
        <w:ind w:left="360" w:hanging="360"/>
      </w:pPr>
      <w:rPr>
        <w:rFonts w:ascii="Symbol" w:hAnsi="Symbol" w:hint="default"/>
      </w:rPr>
    </w:lvl>
    <w:lvl w:ilvl="1" w:tplc="B016E3B4" w:tentative="1">
      <w:start w:val="1"/>
      <w:numFmt w:val="bullet"/>
      <w:lvlText w:val="o"/>
      <w:lvlJc w:val="left"/>
      <w:pPr>
        <w:ind w:left="1080" w:hanging="360"/>
      </w:pPr>
      <w:rPr>
        <w:rFonts w:ascii="Courier New" w:hAnsi="Courier New" w:cs="Courier New" w:hint="default"/>
      </w:rPr>
    </w:lvl>
    <w:lvl w:ilvl="2" w:tplc="EE2003EC" w:tentative="1">
      <w:start w:val="1"/>
      <w:numFmt w:val="bullet"/>
      <w:lvlText w:val=""/>
      <w:lvlJc w:val="left"/>
      <w:pPr>
        <w:ind w:left="1800" w:hanging="360"/>
      </w:pPr>
      <w:rPr>
        <w:rFonts w:ascii="Wingdings" w:hAnsi="Wingdings" w:hint="default"/>
      </w:rPr>
    </w:lvl>
    <w:lvl w:ilvl="3" w:tplc="DF3A594C" w:tentative="1">
      <w:start w:val="1"/>
      <w:numFmt w:val="bullet"/>
      <w:lvlText w:val=""/>
      <w:lvlJc w:val="left"/>
      <w:pPr>
        <w:ind w:left="2520" w:hanging="360"/>
      </w:pPr>
      <w:rPr>
        <w:rFonts w:ascii="Symbol" w:hAnsi="Symbol" w:hint="default"/>
      </w:rPr>
    </w:lvl>
    <w:lvl w:ilvl="4" w:tplc="423665CE" w:tentative="1">
      <w:start w:val="1"/>
      <w:numFmt w:val="bullet"/>
      <w:lvlText w:val="o"/>
      <w:lvlJc w:val="left"/>
      <w:pPr>
        <w:ind w:left="3240" w:hanging="360"/>
      </w:pPr>
      <w:rPr>
        <w:rFonts w:ascii="Courier New" w:hAnsi="Courier New" w:cs="Courier New" w:hint="default"/>
      </w:rPr>
    </w:lvl>
    <w:lvl w:ilvl="5" w:tplc="25AE0908" w:tentative="1">
      <w:start w:val="1"/>
      <w:numFmt w:val="bullet"/>
      <w:lvlText w:val=""/>
      <w:lvlJc w:val="left"/>
      <w:pPr>
        <w:ind w:left="3960" w:hanging="360"/>
      </w:pPr>
      <w:rPr>
        <w:rFonts w:ascii="Wingdings" w:hAnsi="Wingdings" w:hint="default"/>
      </w:rPr>
    </w:lvl>
    <w:lvl w:ilvl="6" w:tplc="C2ACCE5A" w:tentative="1">
      <w:start w:val="1"/>
      <w:numFmt w:val="bullet"/>
      <w:lvlText w:val=""/>
      <w:lvlJc w:val="left"/>
      <w:pPr>
        <w:ind w:left="4680" w:hanging="360"/>
      </w:pPr>
      <w:rPr>
        <w:rFonts w:ascii="Symbol" w:hAnsi="Symbol" w:hint="default"/>
      </w:rPr>
    </w:lvl>
    <w:lvl w:ilvl="7" w:tplc="05E80BFC" w:tentative="1">
      <w:start w:val="1"/>
      <w:numFmt w:val="bullet"/>
      <w:lvlText w:val="o"/>
      <w:lvlJc w:val="left"/>
      <w:pPr>
        <w:ind w:left="5400" w:hanging="360"/>
      </w:pPr>
      <w:rPr>
        <w:rFonts w:ascii="Courier New" w:hAnsi="Courier New" w:cs="Courier New" w:hint="default"/>
      </w:rPr>
    </w:lvl>
    <w:lvl w:ilvl="8" w:tplc="FE0E23F2" w:tentative="1">
      <w:start w:val="1"/>
      <w:numFmt w:val="bullet"/>
      <w:lvlText w:val=""/>
      <w:lvlJc w:val="left"/>
      <w:pPr>
        <w:ind w:left="6120" w:hanging="360"/>
      </w:pPr>
      <w:rPr>
        <w:rFonts w:ascii="Wingdings" w:hAnsi="Wingdings" w:hint="default"/>
      </w:rPr>
    </w:lvl>
  </w:abstractNum>
  <w:abstractNum w:abstractNumId="299" w15:restartNumberingAfterBreak="0">
    <w:nsid w:val="6FA55D15"/>
    <w:multiLevelType w:val="multilevel"/>
    <w:tmpl w:val="4EAC7AFA"/>
    <w:styleLink w:val="WW8Num411"/>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00" w15:restartNumberingAfterBreak="0">
    <w:nsid w:val="6FE57F5A"/>
    <w:multiLevelType w:val="multilevel"/>
    <w:tmpl w:val="F1B65882"/>
    <w:styleLink w:val="WW8Num80113"/>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1" w15:restartNumberingAfterBreak="0">
    <w:nsid w:val="70A5393F"/>
    <w:multiLevelType w:val="multilevel"/>
    <w:tmpl w:val="D2209230"/>
    <w:styleLink w:val="WW8Num462"/>
    <w:lvl w:ilvl="0">
      <w:start w:val="25"/>
      <w:numFmt w:val="decimal"/>
      <w:lvlText w:val="%1"/>
      <w:lvlJc w:val="left"/>
      <w:pPr>
        <w:ind w:left="1200" w:hanging="1200"/>
      </w:pPr>
    </w:lvl>
    <w:lvl w:ilvl="1">
      <w:start w:val="8"/>
      <w:numFmt w:val="decimal"/>
      <w:lvlText w:val="%1.%2"/>
      <w:lvlJc w:val="left"/>
      <w:pPr>
        <w:ind w:left="1678" w:hanging="1200"/>
      </w:pPr>
    </w:lvl>
    <w:lvl w:ilvl="2">
      <w:start w:val="1994"/>
      <w:numFmt w:val="decimal"/>
      <w:lvlText w:val="%1.%2.%3"/>
      <w:lvlJc w:val="left"/>
      <w:pPr>
        <w:ind w:left="2156" w:hanging="1200"/>
      </w:pPr>
    </w:lvl>
    <w:lvl w:ilvl="3">
      <w:start w:val="1"/>
      <w:numFmt w:val="decimal"/>
      <w:lvlText w:val="%1.%2.%3.%4"/>
      <w:lvlJc w:val="left"/>
      <w:pPr>
        <w:ind w:left="2634" w:hanging="1200"/>
      </w:pPr>
    </w:lvl>
    <w:lvl w:ilvl="4">
      <w:start w:val="1"/>
      <w:numFmt w:val="decimal"/>
      <w:lvlText w:val="%1.%2.%3.%4.%5"/>
      <w:lvlJc w:val="left"/>
      <w:pPr>
        <w:ind w:left="3112" w:hanging="1200"/>
      </w:pPr>
    </w:lvl>
    <w:lvl w:ilvl="5">
      <w:start w:val="1"/>
      <w:numFmt w:val="decimal"/>
      <w:lvlText w:val="%1.%2.%3.%4.%5.%6"/>
      <w:lvlJc w:val="left"/>
      <w:pPr>
        <w:ind w:left="3590" w:hanging="1200"/>
      </w:pPr>
    </w:lvl>
    <w:lvl w:ilvl="6">
      <w:start w:val="1"/>
      <w:numFmt w:val="decimal"/>
      <w:lvlText w:val="%1.%2.%3.%4.%5.%6.%7"/>
      <w:lvlJc w:val="left"/>
      <w:pPr>
        <w:ind w:left="4308" w:hanging="1440"/>
      </w:pPr>
    </w:lvl>
    <w:lvl w:ilvl="7">
      <w:start w:val="1"/>
      <w:numFmt w:val="decimal"/>
      <w:lvlText w:val="%1.%2.%3.%4.%5.%6.%7.%8"/>
      <w:lvlJc w:val="left"/>
      <w:pPr>
        <w:ind w:left="4786" w:hanging="1440"/>
      </w:pPr>
    </w:lvl>
    <w:lvl w:ilvl="8">
      <w:start w:val="1"/>
      <w:numFmt w:val="decimal"/>
      <w:lvlText w:val="%1.%2.%3.%4.%5.%6.%7.%8.%9"/>
      <w:lvlJc w:val="left"/>
      <w:pPr>
        <w:ind w:left="5264" w:hanging="1440"/>
      </w:pPr>
    </w:lvl>
  </w:abstractNum>
  <w:abstractNum w:abstractNumId="302" w15:restartNumberingAfterBreak="0">
    <w:nsid w:val="70F067F0"/>
    <w:multiLevelType w:val="multilevel"/>
    <w:tmpl w:val="74FC892E"/>
    <w:styleLink w:val="WW8Num316"/>
    <w:lvl w:ilvl="0">
      <w:start w:val="4"/>
      <w:numFmt w:val="decimal"/>
      <w:lvlText w:val="%1."/>
      <w:lvlJc w:val="cente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15:restartNumberingAfterBreak="0">
    <w:nsid w:val="71BB70D1"/>
    <w:multiLevelType w:val="multilevel"/>
    <w:tmpl w:val="B36CBEEE"/>
    <w:styleLink w:val="WW8Num1321"/>
    <w:lvl w:ilvl="0">
      <w:numFmt w:val="bullet"/>
      <w:lvlText w:val=""/>
      <w:lvlJc w:val="left"/>
      <w:rPr>
        <w:rFonts w:ascii="Symbol" w:hAnsi="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4" w15:restartNumberingAfterBreak="0">
    <w:nsid w:val="71F930D2"/>
    <w:multiLevelType w:val="singleLevel"/>
    <w:tmpl w:val="3F2E1C02"/>
    <w:lvl w:ilvl="0">
      <w:start w:val="3"/>
      <w:numFmt w:val="lowerLetter"/>
      <w:lvlText w:val="%1)"/>
      <w:legacy w:legacy="1" w:legacySpace="0" w:legacyIndent="283"/>
      <w:lvlJc w:val="left"/>
      <w:pPr>
        <w:ind w:left="983" w:hanging="283"/>
      </w:pPr>
    </w:lvl>
  </w:abstractNum>
  <w:abstractNum w:abstractNumId="305"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6" w15:restartNumberingAfterBreak="0">
    <w:nsid w:val="720E5650"/>
    <w:multiLevelType w:val="multilevel"/>
    <w:tmpl w:val="FE580A38"/>
    <w:styleLink w:val="WW8Num2721"/>
    <w:lvl w:ilvl="0">
      <w:start w:val="1"/>
      <w:numFmt w:val="lowerLetter"/>
      <w:lvlText w:val="%1)"/>
      <w:lvlJc w:val="left"/>
      <w:pPr>
        <w:ind w:left="283" w:hanging="283"/>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7" w15:restartNumberingAfterBreak="0">
    <w:nsid w:val="725D295C"/>
    <w:multiLevelType w:val="multilevel"/>
    <w:tmpl w:val="EFF06CB8"/>
    <w:styleLink w:val="WW8Num192"/>
    <w:lvl w:ilvl="0">
      <w:start w:val="1"/>
      <w:numFmt w:val="decimal"/>
      <w:lvlText w:val="%1)"/>
      <w:lvlJc w:val="left"/>
      <w:pPr>
        <w:ind w:left="644" w:hanging="360"/>
      </w:p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08"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9" w15:restartNumberingAfterBreak="0">
    <w:nsid w:val="742E6AE4"/>
    <w:multiLevelType w:val="multilevel"/>
    <w:tmpl w:val="0DB09C3A"/>
    <w:styleLink w:val="WW8Num262"/>
    <w:lvl w:ilvl="0">
      <w:numFmt w:val="bullet"/>
      <w:lvlText w:val=""/>
      <w:lvlJc w:val="left"/>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10" w15:restartNumberingAfterBreak="0">
    <w:nsid w:val="743863E0"/>
    <w:multiLevelType w:val="multilevel"/>
    <w:tmpl w:val="CC4064AC"/>
    <w:styleLink w:val="WW8Num2222"/>
    <w:lvl w:ilvl="0">
      <w:start w:val="7"/>
      <w:numFmt w:val="decimal"/>
      <w:lvlText w:val="%1."/>
      <w:lvlJc w:val="left"/>
      <w:rPr>
        <w:sz w:val="2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1" w15:restartNumberingAfterBreak="0">
    <w:nsid w:val="74A94636"/>
    <w:multiLevelType w:val="multilevel"/>
    <w:tmpl w:val="83829E6A"/>
    <w:styleLink w:val="WW8Num93"/>
    <w:lvl w:ilvl="0">
      <w:start w:val="1"/>
      <w:numFmt w:val="decimal"/>
      <w:lvlText w:val="%1"/>
      <w:lvlJc w:val="left"/>
      <w:pPr>
        <w:tabs>
          <w:tab w:val="num" w:pos="432"/>
        </w:tabs>
        <w:ind w:left="432" w:hanging="432"/>
      </w:pPr>
      <w:rPr>
        <w:rFonts w:ascii="font393" w:hAnsi="font393" w:hint="default"/>
        <w:b/>
        <w:sz w:val="28"/>
      </w:rPr>
    </w:lvl>
    <w:lvl w:ilvl="1">
      <w:start w:val="1"/>
      <w:numFmt w:val="decimal"/>
      <w:lvlText w:val="%1.%2"/>
      <w:lvlJc w:val="left"/>
      <w:pPr>
        <w:tabs>
          <w:tab w:val="num" w:pos="576"/>
        </w:tabs>
        <w:ind w:left="576" w:hanging="576"/>
      </w:pPr>
      <w:rPr>
        <w:rFonts w:ascii="font393" w:hAnsi="font393" w:hint="default"/>
        <w:sz w:val="24"/>
      </w:rPr>
    </w:lvl>
    <w:lvl w:ilvl="2">
      <w:start w:val="1"/>
      <w:numFmt w:val="decimal"/>
      <w:lvlText w:val="%1.%2.%3"/>
      <w:lvlJc w:val="left"/>
      <w:pPr>
        <w:tabs>
          <w:tab w:val="num" w:pos="720"/>
        </w:tabs>
        <w:ind w:left="720" w:hanging="720"/>
      </w:pPr>
      <w:rPr>
        <w:rFonts w:ascii="font393" w:hAnsi="font393" w:hint="default"/>
        <w:sz w:val="24"/>
      </w:rPr>
    </w:lvl>
    <w:lvl w:ilvl="3">
      <w:start w:val="1"/>
      <w:numFmt w:val="bullet"/>
      <w:lvlText w:val=""/>
      <w:lvlJc w:val="left"/>
      <w:pPr>
        <w:tabs>
          <w:tab w:val="num" w:pos="864"/>
        </w:tabs>
        <w:ind w:left="864" w:hanging="864"/>
      </w:pPr>
      <w:rPr>
        <w:rFonts w:ascii="Times New Roman" w:hAnsi="Times New Roman"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12" w15:restartNumberingAfterBreak="0">
    <w:nsid w:val="75587F7F"/>
    <w:multiLevelType w:val="multilevel"/>
    <w:tmpl w:val="E376B15A"/>
    <w:styleLink w:val="WWNum31"/>
    <w:lvl w:ilvl="0">
      <w:numFmt w:val="bullet"/>
      <w:lvlText w:val="-"/>
      <w:lvlJc w:val="left"/>
      <w:pPr>
        <w:ind w:left="0" w:firstLine="0"/>
      </w:pPr>
      <w:rPr>
        <w:rFonts w:ascii="Times New Roman" w:eastAsia="Times New Roman" w:hAnsi="Times New Roman" w:cs="Times New Roman"/>
      </w:rPr>
    </w:lvl>
    <w:lvl w:ilvl="1">
      <w:numFmt w:val="bullet"/>
      <w:lvlText w:val="o"/>
      <w:lvlJc w:val="left"/>
      <w:pPr>
        <w:ind w:left="0" w:firstLine="0"/>
      </w:pPr>
      <w:rPr>
        <w:rFonts w:ascii="Courier New" w:hAnsi="Courier New" w:cs="Courier New"/>
      </w:rPr>
    </w:lvl>
    <w:lvl w:ilvl="2">
      <w:numFmt w:val="bullet"/>
      <w:lvlText w:val=""/>
      <w:lvlJc w:val="left"/>
      <w:pPr>
        <w:ind w:left="0" w:firstLine="0"/>
      </w:pPr>
      <w:rPr>
        <w:rFonts w:ascii="Wingdings" w:hAnsi="Wingdings"/>
      </w:rPr>
    </w:lvl>
    <w:lvl w:ilvl="3">
      <w:numFmt w:val="bullet"/>
      <w:lvlText w:val=""/>
      <w:lvlJc w:val="left"/>
      <w:pPr>
        <w:ind w:left="0" w:firstLine="0"/>
      </w:pPr>
      <w:rPr>
        <w:rFonts w:ascii="Symbol" w:hAnsi="Symbol"/>
      </w:rPr>
    </w:lvl>
    <w:lvl w:ilvl="4">
      <w:numFmt w:val="bullet"/>
      <w:lvlText w:val="o"/>
      <w:lvlJc w:val="left"/>
      <w:pPr>
        <w:ind w:left="0" w:firstLine="0"/>
      </w:pPr>
      <w:rPr>
        <w:rFonts w:ascii="Courier New" w:hAnsi="Courier New" w:cs="Courier New"/>
      </w:rPr>
    </w:lvl>
    <w:lvl w:ilvl="5">
      <w:numFmt w:val="bullet"/>
      <w:lvlText w:val=""/>
      <w:lvlJc w:val="left"/>
      <w:pPr>
        <w:ind w:left="0" w:firstLine="0"/>
      </w:pPr>
      <w:rPr>
        <w:rFonts w:ascii="Wingdings" w:hAnsi="Wingdings"/>
      </w:rPr>
    </w:lvl>
    <w:lvl w:ilvl="6">
      <w:numFmt w:val="bullet"/>
      <w:lvlText w:val=""/>
      <w:lvlJc w:val="left"/>
      <w:pPr>
        <w:ind w:left="0" w:firstLine="0"/>
      </w:pPr>
      <w:rPr>
        <w:rFonts w:ascii="Symbol" w:hAnsi="Symbol"/>
      </w:rPr>
    </w:lvl>
    <w:lvl w:ilvl="7">
      <w:numFmt w:val="bullet"/>
      <w:lvlText w:val="o"/>
      <w:lvlJc w:val="left"/>
      <w:pPr>
        <w:ind w:left="0" w:firstLine="0"/>
      </w:pPr>
      <w:rPr>
        <w:rFonts w:ascii="Courier New" w:hAnsi="Courier New" w:cs="Courier New"/>
      </w:rPr>
    </w:lvl>
    <w:lvl w:ilvl="8">
      <w:numFmt w:val="bullet"/>
      <w:lvlText w:val=""/>
      <w:lvlJc w:val="left"/>
      <w:pPr>
        <w:ind w:left="0" w:firstLine="0"/>
      </w:pPr>
      <w:rPr>
        <w:rFonts w:ascii="Wingdings" w:hAnsi="Wingdings"/>
      </w:rPr>
    </w:lvl>
  </w:abstractNum>
  <w:abstractNum w:abstractNumId="313" w15:restartNumberingAfterBreak="0">
    <w:nsid w:val="756E5223"/>
    <w:multiLevelType w:val="hybridMultilevel"/>
    <w:tmpl w:val="B46E5782"/>
    <w:styleLink w:val="WW8Num213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4" w15:restartNumberingAfterBreak="0">
    <w:nsid w:val="75905C34"/>
    <w:multiLevelType w:val="singleLevel"/>
    <w:tmpl w:val="04150001"/>
    <w:lvl w:ilvl="0">
      <w:start w:val="1"/>
      <w:numFmt w:val="bullet"/>
      <w:lvlText w:val=""/>
      <w:lvlJc w:val="left"/>
      <w:pPr>
        <w:ind w:left="360" w:hanging="360"/>
      </w:pPr>
      <w:rPr>
        <w:rFonts w:ascii="Symbol" w:hAnsi="Symbol" w:hint="default"/>
      </w:rPr>
    </w:lvl>
  </w:abstractNum>
  <w:abstractNum w:abstractNumId="315" w15:restartNumberingAfterBreak="0">
    <w:nsid w:val="759A5F57"/>
    <w:multiLevelType w:val="multilevel"/>
    <w:tmpl w:val="9FDE9316"/>
    <w:styleLink w:val="WW8Num3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6" w15:restartNumberingAfterBreak="0">
    <w:nsid w:val="766435AB"/>
    <w:multiLevelType w:val="multilevel"/>
    <w:tmpl w:val="7BF00BE0"/>
    <w:styleLink w:val="WW8Num372"/>
    <w:lvl w:ilvl="0">
      <w:start w:val="1"/>
      <w:numFmt w:val="bullet"/>
      <w:lvlText w:val=""/>
      <w:lvlJc w:val="left"/>
      <w:pPr>
        <w:ind w:left="1080" w:hanging="360"/>
      </w:pPr>
      <w:rPr>
        <w:rFonts w:ascii="Symbol" w:hAnsi="Symbol" w:hint="default"/>
      </w:rPr>
    </w:lvl>
    <w:lvl w:ilvl="1">
      <w:start w:val="1"/>
      <w:numFmt w:val="decimal"/>
      <w:lvlText w:val="%2."/>
      <w:lvlJc w:val="left"/>
      <w:pPr>
        <w:ind w:left="1440" w:hanging="360"/>
      </w:pPr>
    </w:lvl>
    <w:lvl w:ilvl="2">
      <w:start w:val="1"/>
      <w:numFmt w:val="lowerRoman"/>
      <w:lvlText w:val="%3."/>
      <w:lvlJc w:val="right"/>
      <w:pPr>
        <w:ind w:left="2160" w:hanging="216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432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6480"/>
      </w:pPr>
    </w:lvl>
  </w:abstractNum>
  <w:abstractNum w:abstractNumId="317" w15:restartNumberingAfterBreak="0">
    <w:nsid w:val="76B7284B"/>
    <w:multiLevelType w:val="multilevel"/>
    <w:tmpl w:val="EF181180"/>
    <w:styleLink w:val="WW8Num65"/>
    <w:lvl w:ilvl="0">
      <w:numFmt w:val="bullet"/>
      <w:lvlText w:val="-"/>
      <w:lvlJc w:val="left"/>
      <w:rPr>
        <w:rFonts w:ascii="Symbol" w:hAnsi="Symbol"/>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8" w15:restartNumberingAfterBreak="0">
    <w:nsid w:val="78971966"/>
    <w:multiLevelType w:val="multilevel"/>
    <w:tmpl w:val="02641776"/>
    <w:styleLink w:val="WW8Num125"/>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19" w15:restartNumberingAfterBreak="0">
    <w:nsid w:val="78AA6AD8"/>
    <w:multiLevelType w:val="hybridMultilevel"/>
    <w:tmpl w:val="4F42FADE"/>
    <w:styleLink w:val="WW8Num1242"/>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20" w15:restartNumberingAfterBreak="0">
    <w:nsid w:val="78E95A57"/>
    <w:multiLevelType w:val="multilevel"/>
    <w:tmpl w:val="16A8B0F8"/>
    <w:styleLink w:val="WW8Num142"/>
    <w:lvl w:ilvl="0">
      <w:numFmt w:val="bullet"/>
      <w:lvlText w:val="-"/>
      <w:lvlJc w:val="left"/>
      <w:pPr>
        <w:ind w:left="720" w:hanging="360"/>
      </w:pPr>
      <w:rPr>
        <w:rFonts w:ascii="Times New Roman" w:eastAsia="Times New Roman" w:hAnsi="Times New Roman" w:cs="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1" w15:restartNumberingAfterBreak="0">
    <w:nsid w:val="78F06455"/>
    <w:multiLevelType w:val="multilevel"/>
    <w:tmpl w:val="B798B822"/>
    <w:styleLink w:val="WW8Num881"/>
    <w:lvl w:ilvl="0">
      <w:start w:val="1"/>
      <w:numFmt w:val="decimal"/>
      <w:lvlText w:val="1.4.%1. "/>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2" w15:restartNumberingAfterBreak="0">
    <w:nsid w:val="79230BAA"/>
    <w:multiLevelType w:val="hybridMultilevel"/>
    <w:tmpl w:val="64406316"/>
    <w:styleLink w:val="WW8Num912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3" w15:restartNumberingAfterBreak="0">
    <w:nsid w:val="79272A22"/>
    <w:multiLevelType w:val="multilevel"/>
    <w:tmpl w:val="111E3308"/>
    <w:styleLink w:val="WW8Num831"/>
    <w:lvl w:ilvl="0">
      <w:numFmt w:val="bullet"/>
      <w:lvlText w:val="-"/>
      <w:lvlJc w:val="left"/>
      <w:rPr>
        <w:rFonts w:ascii="Symbol" w:hAnsi="Symbol" w:cs="Symbol"/>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24" w15:restartNumberingAfterBreak="0">
    <w:nsid w:val="795A3835"/>
    <w:multiLevelType w:val="hybridMultilevel"/>
    <w:tmpl w:val="F65856A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25" w15:restartNumberingAfterBreak="0">
    <w:nsid w:val="79770C3B"/>
    <w:multiLevelType w:val="hybridMultilevel"/>
    <w:tmpl w:val="B590EE0E"/>
    <w:styleLink w:val="WW8Num3222"/>
    <w:lvl w:ilvl="0" w:tplc="064E17D2">
      <w:start w:val="1"/>
      <w:numFmt w:val="bullet"/>
      <w:lvlText w:val=""/>
      <w:lvlJc w:val="left"/>
      <w:pPr>
        <w:ind w:left="360" w:hanging="360"/>
      </w:pPr>
      <w:rPr>
        <w:rFonts w:ascii="Symbol" w:hAnsi="Symbol" w:hint="default"/>
      </w:rPr>
    </w:lvl>
    <w:lvl w:ilvl="1" w:tplc="1F2AE5E0" w:tentative="1">
      <w:start w:val="1"/>
      <w:numFmt w:val="bullet"/>
      <w:lvlText w:val="o"/>
      <w:lvlJc w:val="left"/>
      <w:pPr>
        <w:ind w:left="1080" w:hanging="360"/>
      </w:pPr>
      <w:rPr>
        <w:rFonts w:ascii="Courier New" w:hAnsi="Courier New" w:cs="Courier New" w:hint="default"/>
      </w:rPr>
    </w:lvl>
    <w:lvl w:ilvl="2" w:tplc="6A3605E6" w:tentative="1">
      <w:start w:val="1"/>
      <w:numFmt w:val="bullet"/>
      <w:lvlText w:val=""/>
      <w:lvlJc w:val="left"/>
      <w:pPr>
        <w:ind w:left="1800" w:hanging="360"/>
      </w:pPr>
      <w:rPr>
        <w:rFonts w:ascii="Wingdings" w:hAnsi="Wingdings" w:hint="default"/>
      </w:rPr>
    </w:lvl>
    <w:lvl w:ilvl="3" w:tplc="AD066B98" w:tentative="1">
      <w:start w:val="1"/>
      <w:numFmt w:val="bullet"/>
      <w:lvlText w:val=""/>
      <w:lvlJc w:val="left"/>
      <w:pPr>
        <w:ind w:left="2520" w:hanging="360"/>
      </w:pPr>
      <w:rPr>
        <w:rFonts w:ascii="Symbol" w:hAnsi="Symbol" w:hint="default"/>
      </w:rPr>
    </w:lvl>
    <w:lvl w:ilvl="4" w:tplc="06100690" w:tentative="1">
      <w:start w:val="1"/>
      <w:numFmt w:val="bullet"/>
      <w:lvlText w:val="o"/>
      <w:lvlJc w:val="left"/>
      <w:pPr>
        <w:ind w:left="3240" w:hanging="360"/>
      </w:pPr>
      <w:rPr>
        <w:rFonts w:ascii="Courier New" w:hAnsi="Courier New" w:cs="Courier New" w:hint="default"/>
      </w:rPr>
    </w:lvl>
    <w:lvl w:ilvl="5" w:tplc="458EA99A" w:tentative="1">
      <w:start w:val="1"/>
      <w:numFmt w:val="bullet"/>
      <w:lvlText w:val=""/>
      <w:lvlJc w:val="left"/>
      <w:pPr>
        <w:ind w:left="3960" w:hanging="360"/>
      </w:pPr>
      <w:rPr>
        <w:rFonts w:ascii="Wingdings" w:hAnsi="Wingdings" w:hint="default"/>
      </w:rPr>
    </w:lvl>
    <w:lvl w:ilvl="6" w:tplc="04EE63B2" w:tentative="1">
      <w:start w:val="1"/>
      <w:numFmt w:val="bullet"/>
      <w:lvlText w:val=""/>
      <w:lvlJc w:val="left"/>
      <w:pPr>
        <w:ind w:left="4680" w:hanging="360"/>
      </w:pPr>
      <w:rPr>
        <w:rFonts w:ascii="Symbol" w:hAnsi="Symbol" w:hint="default"/>
      </w:rPr>
    </w:lvl>
    <w:lvl w:ilvl="7" w:tplc="027E0718" w:tentative="1">
      <w:start w:val="1"/>
      <w:numFmt w:val="bullet"/>
      <w:lvlText w:val="o"/>
      <w:lvlJc w:val="left"/>
      <w:pPr>
        <w:ind w:left="5400" w:hanging="360"/>
      </w:pPr>
      <w:rPr>
        <w:rFonts w:ascii="Courier New" w:hAnsi="Courier New" w:cs="Courier New" w:hint="default"/>
      </w:rPr>
    </w:lvl>
    <w:lvl w:ilvl="8" w:tplc="94A64870" w:tentative="1">
      <w:start w:val="1"/>
      <w:numFmt w:val="bullet"/>
      <w:lvlText w:val=""/>
      <w:lvlJc w:val="left"/>
      <w:pPr>
        <w:ind w:left="6120" w:hanging="360"/>
      </w:pPr>
      <w:rPr>
        <w:rFonts w:ascii="Wingdings" w:hAnsi="Wingdings" w:hint="default"/>
      </w:rPr>
    </w:lvl>
  </w:abstractNum>
  <w:abstractNum w:abstractNumId="326" w15:restartNumberingAfterBreak="0">
    <w:nsid w:val="79DB07C7"/>
    <w:multiLevelType w:val="multilevel"/>
    <w:tmpl w:val="3C0AC268"/>
    <w:styleLink w:val="WW8Num314"/>
    <w:lvl w:ilvl="0">
      <w:numFmt w:val="bullet"/>
      <w:lvlText w:val=""/>
      <w:lvlJc w:val="left"/>
      <w:pPr>
        <w:ind w:left="284" w:firstLine="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27" w15:restartNumberingAfterBreak="0">
    <w:nsid w:val="79E76649"/>
    <w:multiLevelType w:val="hybridMultilevel"/>
    <w:tmpl w:val="AD04E02C"/>
    <w:lvl w:ilvl="0" w:tplc="DF0C7486">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28" w15:restartNumberingAfterBreak="0">
    <w:nsid w:val="7AA67F3C"/>
    <w:multiLevelType w:val="multilevel"/>
    <w:tmpl w:val="F3E40E5A"/>
    <w:styleLink w:val="WW8Num252"/>
    <w:lvl w:ilvl="0">
      <w:numFmt w:val="bullet"/>
      <w:lvlText w:val="-"/>
      <w:lvlJc w:val="left"/>
      <w:pPr>
        <w:ind w:left="360" w:hanging="360"/>
      </w:pPr>
      <w:rPr>
        <w:rFonts w:ascii="Times New Roman" w:hAnsi="Times New Roman" w:cs="Times New Roman"/>
      </w:rPr>
    </w:lvl>
    <w:lvl w:ilvl="1">
      <w:numFmt w:val="bullet"/>
      <w:lvlText w:val="o"/>
      <w:lvlJc w:val="left"/>
      <w:pPr>
        <w:ind w:left="1156" w:hanging="360"/>
      </w:pPr>
      <w:rPr>
        <w:rFonts w:ascii="Courier New" w:hAnsi="Courier New"/>
      </w:rPr>
    </w:lvl>
    <w:lvl w:ilvl="2">
      <w:numFmt w:val="bullet"/>
      <w:lvlText w:val=""/>
      <w:lvlJc w:val="left"/>
      <w:pPr>
        <w:ind w:left="1876" w:hanging="360"/>
      </w:pPr>
      <w:rPr>
        <w:rFonts w:ascii="Wingdings" w:hAnsi="Wingdings"/>
      </w:rPr>
    </w:lvl>
    <w:lvl w:ilvl="3">
      <w:numFmt w:val="bullet"/>
      <w:lvlText w:val=""/>
      <w:lvlJc w:val="left"/>
      <w:pPr>
        <w:ind w:left="2596" w:hanging="360"/>
      </w:pPr>
      <w:rPr>
        <w:rFonts w:ascii="Symbol" w:hAnsi="Symbol"/>
      </w:rPr>
    </w:lvl>
    <w:lvl w:ilvl="4">
      <w:numFmt w:val="bullet"/>
      <w:lvlText w:val="o"/>
      <w:lvlJc w:val="left"/>
      <w:pPr>
        <w:ind w:left="3316" w:hanging="360"/>
      </w:pPr>
      <w:rPr>
        <w:rFonts w:ascii="Courier New" w:hAnsi="Courier New"/>
      </w:rPr>
    </w:lvl>
    <w:lvl w:ilvl="5">
      <w:numFmt w:val="bullet"/>
      <w:lvlText w:val=""/>
      <w:lvlJc w:val="left"/>
      <w:pPr>
        <w:ind w:left="4036" w:hanging="360"/>
      </w:pPr>
      <w:rPr>
        <w:rFonts w:ascii="Wingdings" w:hAnsi="Wingdings"/>
      </w:rPr>
    </w:lvl>
    <w:lvl w:ilvl="6">
      <w:numFmt w:val="bullet"/>
      <w:lvlText w:val=""/>
      <w:lvlJc w:val="left"/>
      <w:pPr>
        <w:ind w:left="4756" w:hanging="360"/>
      </w:pPr>
      <w:rPr>
        <w:rFonts w:ascii="Symbol" w:hAnsi="Symbol"/>
      </w:rPr>
    </w:lvl>
    <w:lvl w:ilvl="7">
      <w:numFmt w:val="bullet"/>
      <w:lvlText w:val="o"/>
      <w:lvlJc w:val="left"/>
      <w:pPr>
        <w:ind w:left="5476" w:hanging="360"/>
      </w:pPr>
      <w:rPr>
        <w:rFonts w:ascii="Courier New" w:hAnsi="Courier New"/>
      </w:rPr>
    </w:lvl>
    <w:lvl w:ilvl="8">
      <w:numFmt w:val="bullet"/>
      <w:lvlText w:val=""/>
      <w:lvlJc w:val="left"/>
      <w:pPr>
        <w:ind w:left="6196" w:hanging="360"/>
      </w:pPr>
      <w:rPr>
        <w:rFonts w:ascii="Wingdings" w:hAnsi="Wingdings"/>
      </w:rPr>
    </w:lvl>
  </w:abstractNum>
  <w:abstractNum w:abstractNumId="329" w15:restartNumberingAfterBreak="0">
    <w:nsid w:val="7AB374BE"/>
    <w:multiLevelType w:val="hybridMultilevel"/>
    <w:tmpl w:val="F7367868"/>
    <w:styleLink w:val="WW8StyleNum22"/>
    <w:lvl w:ilvl="0" w:tplc="56241CB6">
      <w:start w:val="25"/>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0" w15:restartNumberingAfterBreak="0">
    <w:nsid w:val="7AF30CD4"/>
    <w:multiLevelType w:val="multilevel"/>
    <w:tmpl w:val="9BD02028"/>
    <w:styleLink w:val="WW8Num5822"/>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1"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32" w15:restartNumberingAfterBreak="0">
    <w:nsid w:val="7C232B92"/>
    <w:multiLevelType w:val="hybridMultilevel"/>
    <w:tmpl w:val="6A76D24E"/>
    <w:styleLink w:val="WW8Num18111"/>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3" w15:restartNumberingAfterBreak="0">
    <w:nsid w:val="7C66346E"/>
    <w:multiLevelType w:val="multilevel"/>
    <w:tmpl w:val="241A55CE"/>
    <w:styleLink w:val="WW8Num40"/>
    <w:lvl w:ilvl="0">
      <w:numFmt w:val="bullet"/>
      <w:lvlText w:val=""/>
      <w:lvlJc w:val="left"/>
      <w:pPr>
        <w:ind w:left="360" w:hanging="360"/>
      </w:pPr>
      <w:rPr>
        <w:rFonts w:ascii="Wingdings" w:hAnsi="Wingdings"/>
      </w:rPr>
    </w:lvl>
    <w:lvl w:ilvl="1">
      <w:start w:val="1"/>
      <w:numFmt w:val="decimal"/>
      <w:lvlText w:val="%2."/>
      <w:lvlJc w:val="left"/>
      <w:pPr>
        <w:ind w:left="567" w:hanging="283"/>
      </w:pPr>
    </w:lvl>
    <w:lvl w:ilvl="2">
      <w:start w:val="1"/>
      <w:numFmt w:val="decimal"/>
      <w:lvlText w:val="%3."/>
      <w:lvlJc w:val="left"/>
      <w:pPr>
        <w:ind w:left="850" w:hanging="283"/>
      </w:pPr>
    </w:lvl>
    <w:lvl w:ilvl="3">
      <w:start w:val="1"/>
      <w:numFmt w:val="decimal"/>
      <w:lvlText w:val="%4."/>
      <w:lvlJc w:val="left"/>
      <w:pPr>
        <w:ind w:left="1134" w:hanging="283"/>
      </w:pPr>
    </w:lvl>
    <w:lvl w:ilvl="4">
      <w:start w:val="1"/>
      <w:numFmt w:val="decimal"/>
      <w:lvlText w:val="%5."/>
      <w:lvlJc w:val="left"/>
      <w:pPr>
        <w:ind w:left="1417" w:hanging="283"/>
      </w:pPr>
    </w:lvl>
    <w:lvl w:ilvl="5">
      <w:start w:val="1"/>
      <w:numFmt w:val="decimal"/>
      <w:lvlText w:val="%6."/>
      <w:lvlJc w:val="left"/>
      <w:pPr>
        <w:ind w:left="1701" w:hanging="283"/>
      </w:pPr>
    </w:lvl>
    <w:lvl w:ilvl="6">
      <w:start w:val="1"/>
      <w:numFmt w:val="decimal"/>
      <w:lvlText w:val="%7."/>
      <w:lvlJc w:val="left"/>
      <w:pPr>
        <w:ind w:left="1984" w:hanging="283"/>
      </w:pPr>
    </w:lvl>
    <w:lvl w:ilvl="7">
      <w:start w:val="1"/>
      <w:numFmt w:val="decimal"/>
      <w:lvlText w:val="%8."/>
      <w:lvlJc w:val="left"/>
      <w:pPr>
        <w:ind w:left="2268" w:hanging="283"/>
      </w:pPr>
    </w:lvl>
    <w:lvl w:ilvl="8">
      <w:start w:val="1"/>
      <w:numFmt w:val="decimal"/>
      <w:lvlText w:val="%9."/>
      <w:lvlJc w:val="left"/>
      <w:pPr>
        <w:ind w:left="2551" w:hanging="283"/>
      </w:pPr>
    </w:lvl>
  </w:abstractNum>
  <w:abstractNum w:abstractNumId="334" w15:restartNumberingAfterBreak="0">
    <w:nsid w:val="7C9412BB"/>
    <w:multiLevelType w:val="multilevel"/>
    <w:tmpl w:val="01F44D4E"/>
    <w:lvl w:ilvl="0">
      <w:start w:val="6"/>
      <w:numFmt w:val="decimal"/>
      <w:lvlText w:val="%1."/>
      <w:lvlJc w:val="left"/>
      <w:pPr>
        <w:ind w:left="283" w:hanging="283"/>
      </w:pPr>
      <w:rPr>
        <w:rFonts w:hint="default"/>
      </w:rPr>
    </w:lvl>
    <w:lvl w:ilvl="1">
      <w:start w:val="1"/>
      <w:numFmt w:val="decimal"/>
      <w:isLgl/>
      <w:lvlText w:val="%1.%2"/>
      <w:lvlJc w:val="left"/>
      <w:pPr>
        <w:ind w:left="405" w:hanging="40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720" w:hanging="72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35" w15:restartNumberingAfterBreak="0">
    <w:nsid w:val="7C9E156B"/>
    <w:multiLevelType w:val="hybridMultilevel"/>
    <w:tmpl w:val="AD785238"/>
    <w:styleLink w:val="WW8Num141"/>
    <w:lvl w:ilvl="0" w:tplc="FC24846C">
      <w:start w:val="4"/>
      <w:numFmt w:val="bullet"/>
      <w:lvlText w:val="-"/>
      <w:lvlJc w:val="left"/>
      <w:pPr>
        <w:ind w:left="1428" w:hanging="360"/>
      </w:pPr>
      <w:rPr>
        <w:rFonts w:ascii="Times New Roman" w:eastAsia="Times New Roman" w:hAnsi="Times New Roman" w:cs="Times New Roman" w:hint="default"/>
        <w:color w:val="auto"/>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336" w15:restartNumberingAfterBreak="0">
    <w:nsid w:val="7CE24741"/>
    <w:multiLevelType w:val="multilevel"/>
    <w:tmpl w:val="7F905B1E"/>
    <w:styleLink w:val="WW8Num6622"/>
    <w:lvl w:ilvl="0">
      <w:start w:val="1"/>
      <w:numFmt w:val="lowerLetter"/>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37" w15:restartNumberingAfterBreak="0">
    <w:nsid w:val="7E3229EC"/>
    <w:multiLevelType w:val="hybridMultilevel"/>
    <w:tmpl w:val="1A6266A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7F205598"/>
    <w:multiLevelType w:val="singleLevel"/>
    <w:tmpl w:val="05FE254A"/>
    <w:lvl w:ilvl="0">
      <w:start w:val="1"/>
      <w:numFmt w:val="lowerLetter"/>
      <w:lvlText w:val="%1)"/>
      <w:legacy w:legacy="1" w:legacySpace="0" w:legacyIndent="283"/>
      <w:lvlJc w:val="left"/>
      <w:pPr>
        <w:ind w:left="283" w:hanging="283"/>
      </w:pPr>
    </w:lvl>
  </w:abstractNum>
  <w:abstractNum w:abstractNumId="339" w15:restartNumberingAfterBreak="0">
    <w:nsid w:val="7F2D4548"/>
    <w:multiLevelType w:val="multilevel"/>
    <w:tmpl w:val="7446013C"/>
    <w:styleLink w:val="WW8Num152"/>
    <w:lvl w:ilvl="0">
      <w:start w:val="1"/>
      <w:numFmt w:val="bullet"/>
      <w:lvlText w:val=""/>
      <w:lvlJc w:val="left"/>
      <w:pPr>
        <w:ind w:left="927" w:hanging="360"/>
      </w:pPr>
      <w:rPr>
        <w:rFonts w:ascii="Symbol" w:hAnsi="Symbol" w:hint="default"/>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40" w15:restartNumberingAfterBreak="0">
    <w:nsid w:val="7F635875"/>
    <w:multiLevelType w:val="multilevel"/>
    <w:tmpl w:val="1C58DD8C"/>
    <w:lvl w:ilvl="0">
      <w:start w:val="10"/>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b/>
      </w:rPr>
    </w:lvl>
    <w:lvl w:ilvl="2">
      <w:start w:val="1"/>
      <w:numFmt w:val="decimal"/>
      <w:lvlText w:val="%1.%2.%3."/>
      <w:lvlJc w:val="left"/>
      <w:pPr>
        <w:tabs>
          <w:tab w:val="num" w:pos="1224"/>
        </w:tabs>
        <w:ind w:left="1224" w:hanging="504"/>
      </w:pPr>
      <w:rPr>
        <w:rFonts w:hint="default"/>
        <w:b w:val="0"/>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341" w15:restartNumberingAfterBreak="0">
    <w:nsid w:val="7FAE0B27"/>
    <w:multiLevelType w:val="multilevel"/>
    <w:tmpl w:val="F552E118"/>
    <w:styleLink w:val="WW8Num3522"/>
    <w:lvl w:ilvl="0">
      <w:start w:val="1"/>
      <w:numFmt w:val="bullet"/>
      <w:lvlText w:val=""/>
      <w:lvlJc w:val="left"/>
      <w:rPr>
        <w:rFonts w:ascii="Symbol" w:hAnsi="Symbol" w:hint="default"/>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num w:numId="1" w16cid:durableId="1330282346">
    <w:abstractNumId w:val="4"/>
  </w:num>
  <w:num w:numId="2" w16cid:durableId="1428041677">
    <w:abstractNumId w:val="151"/>
  </w:num>
  <w:num w:numId="3" w16cid:durableId="2002347416">
    <w:abstractNumId w:val="114"/>
  </w:num>
  <w:num w:numId="4" w16cid:durableId="237596144">
    <w:abstractNumId w:val="76"/>
  </w:num>
  <w:num w:numId="5" w16cid:durableId="1629820501">
    <w:abstractNumId w:val="232"/>
  </w:num>
  <w:num w:numId="6" w16cid:durableId="1066729940">
    <w:abstractNumId w:val="284"/>
  </w:num>
  <w:num w:numId="7" w16cid:durableId="662464820">
    <w:abstractNumId w:val="35"/>
  </w:num>
  <w:num w:numId="8" w16cid:durableId="1308704357">
    <w:abstractNumId w:val="191"/>
  </w:num>
  <w:num w:numId="9" w16cid:durableId="811599854">
    <w:abstractNumId w:val="37"/>
  </w:num>
  <w:num w:numId="10" w16cid:durableId="1093041836">
    <w:abstractNumId w:val="270"/>
  </w:num>
  <w:num w:numId="11" w16cid:durableId="822619237">
    <w:abstractNumId w:val="94"/>
  </w:num>
  <w:num w:numId="12" w16cid:durableId="1532525122">
    <w:abstractNumId w:val="62"/>
  </w:num>
  <w:num w:numId="13" w16cid:durableId="1434205171">
    <w:abstractNumId w:val="322"/>
  </w:num>
  <w:num w:numId="14" w16cid:durableId="2143767962">
    <w:abstractNumId w:val="36"/>
  </w:num>
  <w:num w:numId="15" w16cid:durableId="887111466">
    <w:abstractNumId w:val="34"/>
  </w:num>
  <w:num w:numId="16" w16cid:durableId="1411393653">
    <w:abstractNumId w:val="286"/>
  </w:num>
  <w:num w:numId="17" w16cid:durableId="777607698">
    <w:abstractNumId w:val="5"/>
  </w:num>
  <w:num w:numId="18" w16cid:durableId="592936302">
    <w:abstractNumId w:val="6"/>
  </w:num>
  <w:num w:numId="19" w16cid:durableId="1507790463">
    <w:abstractNumId w:val="7"/>
  </w:num>
  <w:num w:numId="20" w16cid:durableId="1095248203">
    <w:abstractNumId w:val="8"/>
  </w:num>
  <w:num w:numId="21" w16cid:durableId="698625747">
    <w:abstractNumId w:val="10"/>
  </w:num>
  <w:num w:numId="22" w16cid:durableId="1579365493">
    <w:abstractNumId w:val="11"/>
  </w:num>
  <w:num w:numId="23" w16cid:durableId="548221408">
    <w:abstractNumId w:val="12"/>
  </w:num>
  <w:num w:numId="24" w16cid:durableId="807937048">
    <w:abstractNumId w:val="15"/>
  </w:num>
  <w:num w:numId="25" w16cid:durableId="726805209">
    <w:abstractNumId w:val="17"/>
  </w:num>
  <w:num w:numId="26" w16cid:durableId="1511408028">
    <w:abstractNumId w:val="19"/>
  </w:num>
  <w:num w:numId="27" w16cid:durableId="2142383682">
    <w:abstractNumId w:val="22"/>
  </w:num>
  <w:num w:numId="28" w16cid:durableId="1825849449">
    <w:abstractNumId w:val="282"/>
  </w:num>
  <w:num w:numId="29" w16cid:durableId="256140834">
    <w:abstractNumId w:val="53"/>
  </w:num>
  <w:num w:numId="30" w16cid:durableId="859196014">
    <w:abstractNumId w:val="1"/>
  </w:num>
  <w:num w:numId="31" w16cid:durableId="1653828939">
    <w:abstractNumId w:val="29"/>
  </w:num>
  <w:num w:numId="32" w16cid:durableId="1631549420">
    <w:abstractNumId w:val="30"/>
  </w:num>
  <w:num w:numId="33" w16cid:durableId="253049708">
    <w:abstractNumId w:val="32"/>
  </w:num>
  <w:num w:numId="34" w16cid:durableId="2041542928">
    <w:abstractNumId w:val="311"/>
  </w:num>
  <w:num w:numId="35" w16cid:durableId="1347094504">
    <w:abstractNumId w:val="318"/>
  </w:num>
  <w:num w:numId="36" w16cid:durableId="1885824161">
    <w:abstractNumId w:val="229"/>
  </w:num>
  <w:num w:numId="37" w16cid:durableId="725106998">
    <w:abstractNumId w:val="47"/>
  </w:num>
  <w:num w:numId="38" w16cid:durableId="255599551">
    <w:abstractNumId w:val="341"/>
  </w:num>
  <w:num w:numId="39" w16cid:durableId="1257979116">
    <w:abstractNumId w:val="252"/>
  </w:num>
  <w:num w:numId="40" w16cid:durableId="116800708">
    <w:abstractNumId w:val="105"/>
  </w:num>
  <w:num w:numId="41" w16cid:durableId="980158499">
    <w:abstractNumId w:val="212"/>
  </w:num>
  <w:num w:numId="42" w16cid:durableId="744959853">
    <w:abstractNumId w:val="235"/>
  </w:num>
  <w:num w:numId="43" w16cid:durableId="770590046">
    <w:abstractNumId w:val="202"/>
  </w:num>
  <w:num w:numId="44" w16cid:durableId="467161740">
    <w:abstractNumId w:val="64"/>
  </w:num>
  <w:num w:numId="45" w16cid:durableId="767774518">
    <w:abstractNumId w:val="266"/>
  </w:num>
  <w:num w:numId="46" w16cid:durableId="1580408292">
    <w:abstractNumId w:val="124"/>
  </w:num>
  <w:num w:numId="47" w16cid:durableId="1471435054">
    <w:abstractNumId w:val="150"/>
  </w:num>
  <w:num w:numId="48" w16cid:durableId="855851910">
    <w:abstractNumId w:val="186"/>
  </w:num>
  <w:num w:numId="49" w16cid:durableId="248202255">
    <w:abstractNumId w:val="243"/>
  </w:num>
  <w:num w:numId="50" w16cid:durableId="1842315103">
    <w:abstractNumId w:val="60"/>
  </w:num>
  <w:num w:numId="51" w16cid:durableId="1365256538">
    <w:abstractNumId w:val="315"/>
  </w:num>
  <w:num w:numId="52" w16cid:durableId="1090466924">
    <w:abstractNumId w:val="156"/>
  </w:num>
  <w:num w:numId="53" w16cid:durableId="967010919">
    <w:abstractNumId w:val="89"/>
  </w:num>
  <w:num w:numId="54" w16cid:durableId="1993678664">
    <w:abstractNumId w:val="43"/>
  </w:num>
  <w:num w:numId="55" w16cid:durableId="1607729789">
    <w:abstractNumId w:val="245"/>
  </w:num>
  <w:num w:numId="56" w16cid:durableId="355498620">
    <w:abstractNumId w:val="268"/>
  </w:num>
  <w:num w:numId="57" w16cid:durableId="851842832">
    <w:abstractNumId w:val="214"/>
  </w:num>
  <w:num w:numId="58" w16cid:durableId="1194419875">
    <w:abstractNumId w:val="297"/>
  </w:num>
  <w:num w:numId="59" w16cid:durableId="1525634020">
    <w:abstractNumId w:val="218"/>
  </w:num>
  <w:num w:numId="60" w16cid:durableId="968903647">
    <w:abstractNumId w:val="84"/>
  </w:num>
  <w:num w:numId="61" w16cid:durableId="1901475942">
    <w:abstractNumId w:val="102"/>
  </w:num>
  <w:num w:numId="62" w16cid:durableId="358816104">
    <w:abstractNumId w:val="115"/>
  </w:num>
  <w:num w:numId="63" w16cid:durableId="821778785">
    <w:abstractNumId w:val="317"/>
  </w:num>
  <w:num w:numId="64" w16cid:durableId="160658492">
    <w:abstractNumId w:val="296"/>
  </w:num>
  <w:num w:numId="65" w16cid:durableId="236551386">
    <w:abstractNumId w:val="237"/>
  </w:num>
  <w:num w:numId="66" w16cid:durableId="458114435">
    <w:abstractNumId w:val="330"/>
  </w:num>
  <w:num w:numId="67" w16cid:durableId="844169653">
    <w:abstractNumId w:val="336"/>
  </w:num>
  <w:num w:numId="68" w16cid:durableId="1128475273">
    <w:abstractNumId w:val="52"/>
  </w:num>
  <w:num w:numId="69" w16cid:durableId="829366153">
    <w:abstractNumId w:val="223"/>
  </w:num>
  <w:num w:numId="70" w16cid:durableId="353919729">
    <w:abstractNumId w:val="219"/>
  </w:num>
  <w:num w:numId="71" w16cid:durableId="370763366">
    <w:abstractNumId w:val="110"/>
  </w:num>
  <w:num w:numId="72" w16cid:durableId="309946757">
    <w:abstractNumId w:val="126"/>
  </w:num>
  <w:num w:numId="73" w16cid:durableId="1646855470">
    <w:abstractNumId w:val="140"/>
  </w:num>
  <w:num w:numId="74" w16cid:durableId="399327309">
    <w:abstractNumId w:val="234"/>
  </w:num>
  <w:num w:numId="75" w16cid:durableId="629670395">
    <w:abstractNumId w:val="120"/>
  </w:num>
  <w:num w:numId="76" w16cid:durableId="1177381227">
    <w:abstractNumId w:val="184"/>
  </w:num>
  <w:num w:numId="77" w16cid:durableId="1142692051">
    <w:abstractNumId w:val="248"/>
  </w:num>
  <w:num w:numId="78" w16cid:durableId="488521364">
    <w:abstractNumId w:val="163"/>
  </w:num>
  <w:num w:numId="79" w16cid:durableId="804662010">
    <w:abstractNumId w:val="46"/>
  </w:num>
  <w:num w:numId="80" w16cid:durableId="923223210">
    <w:abstractNumId w:val="82"/>
  </w:num>
  <w:num w:numId="81" w16cid:durableId="1348865869">
    <w:abstractNumId w:val="41"/>
  </w:num>
  <w:num w:numId="82" w16cid:durableId="1338969728">
    <w:abstractNumId w:val="74"/>
  </w:num>
  <w:num w:numId="83" w16cid:durableId="1035428036">
    <w:abstractNumId w:val="333"/>
  </w:num>
  <w:num w:numId="84" w16cid:durableId="1797597658">
    <w:abstractNumId w:val="85"/>
  </w:num>
  <w:num w:numId="85" w16cid:durableId="2011331957">
    <w:abstractNumId w:val="78"/>
  </w:num>
  <w:num w:numId="86" w16cid:durableId="792287381">
    <w:abstractNumId w:val="280"/>
  </w:num>
  <w:num w:numId="87" w16cid:durableId="855656122">
    <w:abstractNumId w:val="146"/>
  </w:num>
  <w:num w:numId="88" w16cid:durableId="835262795">
    <w:abstractNumId w:val="241"/>
  </w:num>
  <w:num w:numId="89" w16cid:durableId="2139834593">
    <w:abstractNumId w:val="244"/>
  </w:num>
  <w:num w:numId="90" w16cid:durableId="878860897">
    <w:abstractNumId w:val="91"/>
  </w:num>
  <w:num w:numId="91" w16cid:durableId="1558779182">
    <w:abstractNumId w:val="224"/>
  </w:num>
  <w:num w:numId="92" w16cid:durableId="442651173">
    <w:abstractNumId w:val="210"/>
  </w:num>
  <w:num w:numId="93" w16cid:durableId="1805192660">
    <w:abstractNumId w:val="144"/>
  </w:num>
  <w:num w:numId="94" w16cid:durableId="304744452">
    <w:abstractNumId w:val="90"/>
  </w:num>
  <w:num w:numId="95" w16cid:durableId="2007781199">
    <w:abstractNumId w:val="276"/>
  </w:num>
  <w:num w:numId="96" w16cid:durableId="1227955442">
    <w:abstractNumId w:val="112"/>
  </w:num>
  <w:num w:numId="97" w16cid:durableId="1255817802">
    <w:abstractNumId w:val="231"/>
  </w:num>
  <w:num w:numId="98" w16cid:durableId="520362770">
    <w:abstractNumId w:val="86"/>
  </w:num>
  <w:num w:numId="99" w16cid:durableId="361712084">
    <w:abstractNumId w:val="190"/>
  </w:num>
  <w:num w:numId="100" w16cid:durableId="815726629">
    <w:abstractNumId w:val="128"/>
  </w:num>
  <w:num w:numId="101" w16cid:durableId="1685127327">
    <w:abstractNumId w:val="300"/>
  </w:num>
  <w:num w:numId="102" w16cid:durableId="2003700250">
    <w:abstractNumId w:val="49"/>
  </w:num>
  <w:num w:numId="103" w16cid:durableId="335690427">
    <w:abstractNumId w:val="122"/>
  </w:num>
  <w:num w:numId="104" w16cid:durableId="1002123102">
    <w:abstractNumId w:val="98"/>
  </w:num>
  <w:num w:numId="105" w16cid:durableId="1767580931">
    <w:abstractNumId w:val="70"/>
  </w:num>
  <w:num w:numId="106" w16cid:durableId="773551395">
    <w:abstractNumId w:val="67"/>
  </w:num>
  <w:num w:numId="107" w16cid:durableId="17858443">
    <w:abstractNumId w:val="203"/>
  </w:num>
  <w:num w:numId="108" w16cid:durableId="1796291164">
    <w:abstractNumId w:val="289"/>
  </w:num>
  <w:num w:numId="109" w16cid:durableId="1630476116">
    <w:abstractNumId w:val="131"/>
  </w:num>
  <w:num w:numId="110" w16cid:durableId="80031594">
    <w:abstractNumId w:val="160"/>
  </w:num>
  <w:num w:numId="111" w16cid:durableId="1149831195">
    <w:abstractNumId w:val="153"/>
  </w:num>
  <w:num w:numId="112" w16cid:durableId="1115950540">
    <w:abstractNumId w:val="142"/>
  </w:num>
  <w:num w:numId="113" w16cid:durableId="1122727761">
    <w:abstractNumId w:val="225"/>
  </w:num>
  <w:num w:numId="114" w16cid:durableId="903224543">
    <w:abstractNumId w:val="259"/>
  </w:num>
  <w:num w:numId="115" w16cid:durableId="552810018">
    <w:abstractNumId w:val="307"/>
  </w:num>
  <w:num w:numId="116" w16cid:durableId="1620525533">
    <w:abstractNumId w:val="162"/>
  </w:num>
  <w:num w:numId="117" w16cid:durableId="1815760184">
    <w:abstractNumId w:val="209"/>
  </w:num>
  <w:num w:numId="118" w16cid:durableId="1465079439">
    <w:abstractNumId w:val="293"/>
  </w:num>
  <w:num w:numId="119" w16cid:durableId="841744557">
    <w:abstractNumId w:val="263"/>
  </w:num>
  <w:num w:numId="120" w16cid:durableId="925841952">
    <w:abstractNumId w:val="287"/>
  </w:num>
  <w:num w:numId="121" w16cid:durableId="181405916">
    <w:abstractNumId w:val="328"/>
  </w:num>
  <w:num w:numId="122" w16cid:durableId="1405491082">
    <w:abstractNumId w:val="309"/>
  </w:num>
  <w:num w:numId="123" w16cid:durableId="1711108126">
    <w:abstractNumId w:val="50"/>
  </w:num>
  <w:num w:numId="124" w16cid:durableId="981927699">
    <w:abstractNumId w:val="196"/>
  </w:num>
  <w:num w:numId="125" w16cid:durableId="1990398664">
    <w:abstractNumId w:val="145"/>
  </w:num>
  <w:num w:numId="126" w16cid:durableId="266736031">
    <w:abstractNumId w:val="111"/>
  </w:num>
  <w:num w:numId="127" w16cid:durableId="1295066208">
    <w:abstractNumId w:val="326"/>
  </w:num>
  <w:num w:numId="128" w16cid:durableId="147596111">
    <w:abstractNumId w:val="251"/>
  </w:num>
  <w:num w:numId="129" w16cid:durableId="1960143092">
    <w:abstractNumId w:val="137"/>
  </w:num>
  <w:num w:numId="130" w16cid:durableId="1779520879">
    <w:abstractNumId w:val="320"/>
  </w:num>
  <w:num w:numId="131" w16cid:durableId="631834995">
    <w:abstractNumId w:val="272"/>
  </w:num>
  <w:num w:numId="132" w16cid:durableId="808978195">
    <w:abstractNumId w:val="107"/>
  </w:num>
  <w:num w:numId="133" w16cid:durableId="1830823481">
    <w:abstractNumId w:val="277"/>
  </w:num>
  <w:num w:numId="134" w16cid:durableId="2082554185">
    <w:abstractNumId w:val="283"/>
  </w:num>
  <w:num w:numId="135" w16cid:durableId="1936789984">
    <w:abstractNumId w:val="79"/>
  </w:num>
  <w:num w:numId="136" w16cid:durableId="2143573225">
    <w:abstractNumId w:val="301"/>
  </w:num>
  <w:num w:numId="137" w16cid:durableId="684788029">
    <w:abstractNumId w:val="250"/>
  </w:num>
  <w:num w:numId="138" w16cid:durableId="1772427777">
    <w:abstractNumId w:val="87"/>
  </w:num>
  <w:num w:numId="139" w16cid:durableId="54209674">
    <w:abstractNumId w:val="316"/>
  </w:num>
  <w:num w:numId="140" w16cid:durableId="303123485">
    <w:abstractNumId w:val="260"/>
  </w:num>
  <w:num w:numId="141" w16cid:durableId="386297801">
    <w:abstractNumId w:val="261"/>
  </w:num>
  <w:num w:numId="142" w16cid:durableId="1193492692">
    <w:abstractNumId w:val="148"/>
  </w:num>
  <w:num w:numId="143" w16cid:durableId="560797857">
    <w:abstractNumId w:val="339"/>
  </w:num>
  <w:num w:numId="144" w16cid:durableId="1514296285">
    <w:abstractNumId w:val="39"/>
  </w:num>
  <w:num w:numId="145" w16cid:durableId="390689652">
    <w:abstractNumId w:val="157"/>
  </w:num>
  <w:num w:numId="146" w16cid:durableId="150028480">
    <w:abstractNumId w:val="200"/>
  </w:num>
  <w:num w:numId="147" w16cid:durableId="1082261582">
    <w:abstractNumId w:val="57"/>
  </w:num>
  <w:num w:numId="148" w16cid:durableId="1398474755">
    <w:abstractNumId w:val="118"/>
  </w:num>
  <w:num w:numId="149" w16cid:durableId="1464345244">
    <w:abstractNumId w:val="278"/>
  </w:num>
  <w:num w:numId="150" w16cid:durableId="1360473677">
    <w:abstractNumId w:val="178"/>
  </w:num>
  <w:num w:numId="151" w16cid:durableId="1209536411">
    <w:abstractNumId w:val="256"/>
  </w:num>
  <w:num w:numId="152" w16cid:durableId="549682795">
    <w:abstractNumId w:val="239"/>
  </w:num>
  <w:num w:numId="153" w16cid:durableId="890461546">
    <w:abstractNumId w:val="199"/>
  </w:num>
  <w:num w:numId="154" w16cid:durableId="1182934250">
    <w:abstractNumId w:val="207"/>
  </w:num>
  <w:num w:numId="155" w16cid:durableId="95560720">
    <w:abstractNumId w:val="42"/>
  </w:num>
  <w:num w:numId="156" w16cid:durableId="685330725">
    <w:abstractNumId w:val="88"/>
  </w:num>
  <w:num w:numId="157" w16cid:durableId="1697462394">
    <w:abstractNumId w:val="323"/>
  </w:num>
  <w:num w:numId="158" w16cid:durableId="1349134513">
    <w:abstractNumId w:val="99"/>
  </w:num>
  <w:num w:numId="159" w16cid:durableId="573048489">
    <w:abstractNumId w:val="321"/>
  </w:num>
  <w:num w:numId="160" w16cid:durableId="931428394">
    <w:abstractNumId w:val="135"/>
  </w:num>
  <w:num w:numId="161" w16cid:durableId="1944919918">
    <w:abstractNumId w:val="221"/>
  </w:num>
  <w:num w:numId="162" w16cid:durableId="1854764395">
    <w:abstractNumId w:val="38"/>
  </w:num>
  <w:num w:numId="163" w16cid:durableId="111560428">
    <w:abstractNumId w:val="177"/>
  </w:num>
  <w:num w:numId="164" w16cid:durableId="207300571">
    <w:abstractNumId w:val="109"/>
  </w:num>
  <w:num w:numId="165" w16cid:durableId="2102867752">
    <w:abstractNumId w:val="229"/>
    <w:lvlOverride w:ilvl="0">
      <w:startOverride w:val="1"/>
    </w:lvlOverride>
  </w:num>
  <w:num w:numId="166" w16cid:durableId="1058941318">
    <w:abstractNumId w:val="47"/>
    <w:lvlOverride w:ilvl="0">
      <w:startOverride w:val="1"/>
    </w:lvlOverride>
  </w:num>
  <w:num w:numId="167" w16cid:durableId="1839688213">
    <w:abstractNumId w:val="105"/>
    <w:lvlOverride w:ilvl="0">
      <w:startOverride w:val="1"/>
    </w:lvlOverride>
  </w:num>
  <w:num w:numId="168" w16cid:durableId="336886758">
    <w:abstractNumId w:val="212"/>
    <w:lvlOverride w:ilvl="0">
      <w:startOverride w:val="1"/>
    </w:lvlOverride>
  </w:num>
  <w:num w:numId="169" w16cid:durableId="367224081">
    <w:abstractNumId w:val="150"/>
    <w:lvlOverride w:ilvl="0">
      <w:startOverride w:val="1"/>
    </w:lvlOverride>
  </w:num>
  <w:num w:numId="170" w16cid:durableId="572546429">
    <w:abstractNumId w:val="315"/>
    <w:lvlOverride w:ilvl="0">
      <w:startOverride w:val="1"/>
    </w:lvlOverride>
  </w:num>
  <w:num w:numId="171" w16cid:durableId="570769517">
    <w:abstractNumId w:val="156"/>
    <w:lvlOverride w:ilvl="0">
      <w:startOverride w:val="1"/>
    </w:lvlOverride>
  </w:num>
  <w:num w:numId="172" w16cid:durableId="1952936884">
    <w:abstractNumId w:val="318"/>
    <w:lvlOverride w:ilvl="0">
      <w:startOverride w:val="1"/>
    </w:lvlOverride>
  </w:num>
  <w:num w:numId="173" w16cid:durableId="955528078">
    <w:abstractNumId w:val="255"/>
  </w:num>
  <w:num w:numId="174" w16cid:durableId="473448860">
    <w:abstractNumId w:val="116"/>
  </w:num>
  <w:num w:numId="175" w16cid:durableId="1755858012">
    <w:abstractNumId w:val="72"/>
  </w:num>
  <w:num w:numId="176" w16cid:durableId="254291784">
    <w:abstractNumId w:val="296"/>
    <w:lvlOverride w:ilvl="0">
      <w:startOverride w:val="1"/>
    </w:lvlOverride>
  </w:num>
  <w:num w:numId="177" w16cid:durableId="191963425">
    <w:abstractNumId w:val="222"/>
  </w:num>
  <w:num w:numId="178" w16cid:durableId="325744684">
    <w:abstractNumId w:val="220"/>
  </w:num>
  <w:num w:numId="179" w16cid:durableId="220554793">
    <w:abstractNumId w:val="106"/>
  </w:num>
  <w:num w:numId="180" w16cid:durableId="1663583774">
    <w:abstractNumId w:val="267"/>
  </w:num>
  <w:num w:numId="181" w16cid:durableId="1369838602">
    <w:abstractNumId w:val="89"/>
    <w:lvlOverride w:ilvl="0">
      <w:startOverride w:val="1"/>
    </w:lvlOverride>
  </w:num>
  <w:num w:numId="182" w16cid:durableId="260602237">
    <w:abstractNumId w:val="167"/>
  </w:num>
  <w:num w:numId="183" w16cid:durableId="1185703174">
    <w:abstractNumId w:val="126"/>
    <w:lvlOverride w:ilvl="0">
      <w:startOverride w:val="1"/>
    </w:lvlOverride>
  </w:num>
  <w:num w:numId="184" w16cid:durableId="505362539">
    <w:abstractNumId w:val="341"/>
    <w:lvlOverride w:ilvl="0">
      <w:startOverride w:val="1"/>
    </w:lvlOverride>
  </w:num>
  <w:num w:numId="185" w16cid:durableId="1243678892">
    <w:abstractNumId w:val="330"/>
    <w:lvlOverride w:ilvl="0">
      <w:startOverride w:val="1"/>
    </w:lvlOverride>
  </w:num>
  <w:num w:numId="186" w16cid:durableId="1641811699">
    <w:abstractNumId w:val="336"/>
    <w:lvlOverride w:ilvl="0">
      <w:startOverride w:val="1"/>
    </w:lvlOverride>
  </w:num>
  <w:num w:numId="187" w16cid:durableId="839277769">
    <w:abstractNumId w:val="52"/>
    <w:lvlOverride w:ilvl="0">
      <w:startOverride w:val="1"/>
    </w:lvlOverride>
  </w:num>
  <w:num w:numId="188" w16cid:durableId="426074662">
    <w:abstractNumId w:val="245"/>
    <w:lvlOverride w:ilvl="0">
      <w:startOverride w:val="1"/>
    </w:lvlOverride>
  </w:num>
  <w:num w:numId="189" w16cid:durableId="623082059">
    <w:abstractNumId w:val="226"/>
  </w:num>
  <w:num w:numId="190" w16cid:durableId="742221723">
    <w:abstractNumId w:val="97"/>
  </w:num>
  <w:num w:numId="191" w16cid:durableId="599139609">
    <w:abstractNumId w:val="197"/>
  </w:num>
  <w:num w:numId="192" w16cid:durableId="421266018">
    <w:abstractNumId w:val="193"/>
  </w:num>
  <w:num w:numId="193" w16cid:durableId="2033723833">
    <w:abstractNumId w:val="273"/>
  </w:num>
  <w:num w:numId="194" w16cid:durableId="300774294">
    <w:abstractNumId w:val="143"/>
  </w:num>
  <w:num w:numId="195" w16cid:durableId="1671982887">
    <w:abstractNumId w:val="176"/>
  </w:num>
  <w:num w:numId="196" w16cid:durableId="393435440">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197" w16cid:durableId="1599799456">
    <w:abstractNumId w:val="319"/>
  </w:num>
  <w:num w:numId="198" w16cid:durableId="1555507165">
    <w:abstractNumId w:val="133"/>
  </w:num>
  <w:num w:numId="199" w16cid:durableId="1846163910">
    <w:abstractNumId w:val="254"/>
  </w:num>
  <w:num w:numId="200" w16cid:durableId="137653478">
    <w:abstractNumId w:val="228"/>
  </w:num>
  <w:num w:numId="201" w16cid:durableId="860243995">
    <w:abstractNumId w:val="174"/>
  </w:num>
  <w:num w:numId="202" w16cid:durableId="271018779">
    <w:abstractNumId w:val="313"/>
  </w:num>
  <w:num w:numId="203" w16cid:durableId="723599750">
    <w:abstractNumId w:val="154"/>
  </w:num>
  <w:num w:numId="204" w16cid:durableId="1119954286">
    <w:abstractNumId w:val="165"/>
  </w:num>
  <w:num w:numId="205" w16cid:durableId="32196329">
    <w:abstractNumId w:val="101"/>
  </w:num>
  <w:num w:numId="206" w16cid:durableId="2145466441">
    <w:abstractNumId w:val="80"/>
  </w:num>
  <w:num w:numId="207" w16cid:durableId="38552231">
    <w:abstractNumId w:val="59"/>
  </w:num>
  <w:num w:numId="208" w16cid:durableId="1711419766">
    <w:abstractNumId w:val="329"/>
  </w:num>
  <w:num w:numId="209" w16cid:durableId="487408591">
    <w:abstractNumId w:val="242"/>
  </w:num>
  <w:num w:numId="210" w16cid:durableId="1536966392">
    <w:abstractNumId w:val="253"/>
  </w:num>
  <w:num w:numId="211" w16cid:durableId="1381129586">
    <w:abstractNumId w:val="257"/>
  </w:num>
  <w:num w:numId="212" w16cid:durableId="1439177334">
    <w:abstractNumId w:val="327"/>
  </w:num>
  <w:num w:numId="213" w16cid:durableId="1426918704">
    <w:abstractNumId w:val="227"/>
  </w:num>
  <w:num w:numId="214" w16cid:durableId="2087528715">
    <w:abstractNumId w:val="182"/>
  </w:num>
  <w:num w:numId="215" w16cid:durableId="2098671932">
    <w:abstractNumId w:val="213"/>
  </w:num>
  <w:num w:numId="216" w16cid:durableId="1985506413">
    <w:abstractNumId w:val="308"/>
  </w:num>
  <w:num w:numId="217" w16cid:durableId="1883901786">
    <w:abstractNumId w:val="138"/>
  </w:num>
  <w:num w:numId="218" w16cid:durableId="1826047430">
    <w:abstractNumId w:val="180"/>
  </w:num>
  <w:num w:numId="219" w16cid:durableId="1881743233">
    <w:abstractNumId w:val="275"/>
  </w:num>
  <w:num w:numId="220" w16cid:durableId="34889428">
    <w:abstractNumId w:val="71"/>
  </w:num>
  <w:num w:numId="221" w16cid:durableId="1933925517">
    <w:abstractNumId w:val="269"/>
  </w:num>
  <w:num w:numId="222" w16cid:durableId="19934915">
    <w:abstractNumId w:val="136"/>
  </w:num>
  <w:num w:numId="223" w16cid:durableId="1796214283">
    <w:abstractNumId w:val="285"/>
  </w:num>
  <w:num w:numId="224" w16cid:durableId="990907421">
    <w:abstractNumId w:val="205"/>
  </w:num>
  <w:num w:numId="225" w16cid:durableId="615216282">
    <w:abstractNumId w:val="279"/>
  </w:num>
  <w:num w:numId="226" w16cid:durableId="1005478383">
    <w:abstractNumId w:val="166"/>
  </w:num>
  <w:num w:numId="227" w16cid:durableId="601259748">
    <w:abstractNumId w:val="100"/>
  </w:num>
  <w:num w:numId="228" w16cid:durableId="480316526">
    <w:abstractNumId w:val="119"/>
  </w:num>
  <w:num w:numId="229" w16cid:durableId="972713023">
    <w:abstractNumId w:val="337"/>
  </w:num>
  <w:num w:numId="230" w16cid:durableId="1376658672">
    <w:abstractNumId w:val="233"/>
  </w:num>
  <w:num w:numId="231" w16cid:durableId="1558083448">
    <w:abstractNumId w:val="147"/>
  </w:num>
  <w:num w:numId="232" w16cid:durableId="943918860">
    <w:abstractNumId w:val="75"/>
  </w:num>
  <w:num w:numId="233" w16cid:durableId="785544957">
    <w:abstractNumId w:val="262"/>
  </w:num>
  <w:num w:numId="234" w16cid:durableId="1167599587">
    <w:abstractNumId w:val="332"/>
  </w:num>
  <w:num w:numId="235" w16cid:durableId="1405639357">
    <w:abstractNumId w:val="108"/>
  </w:num>
  <w:num w:numId="236" w16cid:durableId="2008745607">
    <w:abstractNumId w:val="66"/>
  </w:num>
  <w:num w:numId="237" w16cid:durableId="1502117243">
    <w:abstractNumId w:val="168"/>
  </w:num>
  <w:num w:numId="238" w16cid:durableId="84231438">
    <w:abstractNumId w:val="73"/>
  </w:num>
  <w:num w:numId="239" w16cid:durableId="1915356966">
    <w:abstractNumId w:val="96"/>
  </w:num>
  <w:num w:numId="240" w16cid:durableId="963583750">
    <w:abstractNumId w:val="305"/>
  </w:num>
  <w:num w:numId="241" w16cid:durableId="1747992650">
    <w:abstractNumId w:val="48"/>
  </w:num>
  <w:num w:numId="242" w16cid:durableId="1995988643">
    <w:abstractNumId w:val="155"/>
  </w:num>
  <w:num w:numId="243" w16cid:durableId="449932580">
    <w:abstractNumId w:val="292"/>
  </w:num>
  <w:num w:numId="244" w16cid:durableId="968630597">
    <w:abstractNumId w:val="139"/>
  </w:num>
  <w:num w:numId="245" w16cid:durableId="1206217948">
    <w:abstractNumId w:val="69"/>
  </w:num>
  <w:num w:numId="246" w16cid:durableId="1150096500">
    <w:abstractNumId w:val="206"/>
  </w:num>
  <w:num w:numId="247" w16cid:durableId="1010790210">
    <w:abstractNumId w:val="83"/>
  </w:num>
  <w:num w:numId="248" w16cid:durableId="1612516764">
    <w:abstractNumId w:val="271"/>
  </w:num>
  <w:num w:numId="249" w16cid:durableId="391928455">
    <w:abstractNumId w:val="314"/>
  </w:num>
  <w:num w:numId="250" w16cid:durableId="1821195243">
    <w:abstractNumId w:val="247"/>
  </w:num>
  <w:num w:numId="251" w16cid:durableId="515003647">
    <w:abstractNumId w:val="281"/>
  </w:num>
  <w:num w:numId="252" w16cid:durableId="2022271063">
    <w:abstractNumId w:val="334"/>
  </w:num>
  <w:num w:numId="253" w16cid:durableId="654601178">
    <w:abstractNumId w:val="127"/>
  </w:num>
  <w:num w:numId="254" w16cid:durableId="1456753431">
    <w:abstractNumId w:val="117"/>
  </w:num>
  <w:num w:numId="255" w16cid:durableId="1545558390">
    <w:abstractNumId w:val="164"/>
  </w:num>
  <w:num w:numId="256" w16cid:durableId="1672217830">
    <w:abstractNumId w:val="170"/>
  </w:num>
  <w:num w:numId="257" w16cid:durableId="466632218">
    <w:abstractNumId w:val="121"/>
  </w:num>
  <w:num w:numId="258" w16cid:durableId="36126384">
    <w:abstractNumId w:val="40"/>
  </w:num>
  <w:num w:numId="259" w16cid:durableId="1917208616">
    <w:abstractNumId w:val="149"/>
  </w:num>
  <w:num w:numId="260" w16cid:durableId="7682442">
    <w:abstractNumId w:val="240"/>
  </w:num>
  <w:num w:numId="261" w16cid:durableId="1056004653">
    <w:abstractNumId w:val="198"/>
  </w:num>
  <w:num w:numId="262" w16cid:durableId="470287981">
    <w:abstractNumId w:val="208"/>
  </w:num>
  <w:num w:numId="263" w16cid:durableId="645747142">
    <w:abstractNumId w:val="93"/>
  </w:num>
  <w:num w:numId="264" w16cid:durableId="356128941">
    <w:abstractNumId w:val="104"/>
  </w:num>
  <w:num w:numId="265" w16cid:durableId="1595674473">
    <w:abstractNumId w:val="123"/>
  </w:num>
  <w:num w:numId="266" w16cid:durableId="1348292952">
    <w:abstractNumId w:val="192"/>
  </w:num>
  <w:num w:numId="267" w16cid:durableId="1460958498">
    <w:abstractNumId w:val="331"/>
  </w:num>
  <w:num w:numId="268" w16cid:durableId="403144540">
    <w:abstractNumId w:val="125"/>
  </w:num>
  <w:num w:numId="269" w16cid:durableId="550272081">
    <w:abstractNumId w:val="195"/>
  </w:num>
  <w:num w:numId="270" w16cid:durableId="830675386">
    <w:abstractNumId w:val="44"/>
    <w:lvlOverride w:ilvl="0">
      <w:startOverride w:val="1"/>
    </w:lvlOverride>
  </w:num>
  <w:num w:numId="271" w16cid:durableId="681974604">
    <w:abstractNumId w:val="304"/>
    <w:lvlOverride w:ilvl="0">
      <w:startOverride w:val="3"/>
    </w:lvlOverride>
  </w:num>
  <w:num w:numId="272" w16cid:durableId="179392509">
    <w:abstractNumId w:val="338"/>
    <w:lvlOverride w:ilvl="0">
      <w:startOverride w:val="1"/>
    </w:lvlOverride>
  </w:num>
  <w:num w:numId="273" w16cid:durableId="404911266">
    <w:abstractNumId w:val="159"/>
    <w:lvlOverride w:ilvl="0">
      <w:startOverride w:val="1"/>
    </w:lvlOverride>
  </w:num>
  <w:num w:numId="274" w16cid:durableId="679426344">
    <w:abstractNumId w:val="265"/>
  </w:num>
  <w:num w:numId="275" w16cid:durableId="507521414">
    <w:abstractNumId w:val="216"/>
  </w:num>
  <w:num w:numId="276" w16cid:durableId="2020623431">
    <w:abstractNumId w:val="230"/>
  </w:num>
  <w:num w:numId="277" w16cid:durableId="2040350468">
    <w:abstractNumId w:val="194"/>
  </w:num>
  <w:num w:numId="278" w16cid:durableId="2116055750">
    <w:abstractNumId w:val="152"/>
  </w:num>
  <w:num w:numId="279" w16cid:durableId="1824858904">
    <w:abstractNumId w:val="302"/>
  </w:num>
  <w:num w:numId="280" w16cid:durableId="688262233">
    <w:abstractNumId w:val="249"/>
  </w:num>
  <w:num w:numId="281" w16cid:durableId="1137602904">
    <w:abstractNumId w:val="68"/>
  </w:num>
  <w:num w:numId="282" w16cid:durableId="750271900">
    <w:abstractNumId w:val="258"/>
  </w:num>
  <w:num w:numId="283" w16cid:durableId="98376490">
    <w:abstractNumId w:val="58"/>
  </w:num>
  <w:num w:numId="284" w16cid:durableId="2051879444">
    <w:abstractNumId w:val="65"/>
  </w:num>
  <w:num w:numId="285" w16cid:durableId="1272592328">
    <w:abstractNumId w:val="264"/>
  </w:num>
  <w:num w:numId="286" w16cid:durableId="1022829396">
    <w:abstractNumId w:val="77"/>
  </w:num>
  <w:num w:numId="287" w16cid:durableId="562257556">
    <w:abstractNumId w:val="134"/>
  </w:num>
  <w:num w:numId="288" w16cid:durableId="1368604257">
    <w:abstractNumId w:val="201"/>
  </w:num>
  <w:num w:numId="289" w16cid:durableId="1591738810">
    <w:abstractNumId w:val="204"/>
  </w:num>
  <w:num w:numId="290" w16cid:durableId="1939554271">
    <w:abstractNumId w:val="211"/>
  </w:num>
  <w:num w:numId="291" w16cid:durableId="1286472275">
    <w:abstractNumId w:val="288"/>
  </w:num>
  <w:num w:numId="292" w16cid:durableId="1585919294">
    <w:abstractNumId w:val="215"/>
  </w:num>
  <w:num w:numId="293" w16cid:durableId="1878858329">
    <w:abstractNumId w:val="173"/>
  </w:num>
  <w:num w:numId="294" w16cid:durableId="43142337">
    <w:abstractNumId w:val="92"/>
  </w:num>
  <w:num w:numId="295" w16cid:durableId="2138990241">
    <w:abstractNumId w:val="113"/>
  </w:num>
  <w:num w:numId="296" w16cid:durableId="1096706809">
    <w:abstractNumId w:val="171"/>
  </w:num>
  <w:num w:numId="297" w16cid:durableId="865681210">
    <w:abstractNumId w:val="246"/>
  </w:num>
  <w:num w:numId="298" w16cid:durableId="304237705">
    <w:abstractNumId w:val="303"/>
  </w:num>
  <w:num w:numId="299" w16cid:durableId="2122873826">
    <w:abstractNumId w:val="175"/>
  </w:num>
  <w:num w:numId="300" w16cid:durableId="519512092">
    <w:abstractNumId w:val="129"/>
  </w:num>
  <w:num w:numId="301" w16cid:durableId="1071998512">
    <w:abstractNumId w:val="310"/>
  </w:num>
  <w:num w:numId="302" w16cid:durableId="304088530">
    <w:abstractNumId w:val="236"/>
  </w:num>
  <w:num w:numId="303" w16cid:durableId="977883932">
    <w:abstractNumId w:val="187"/>
  </w:num>
  <w:num w:numId="304" w16cid:durableId="675570043">
    <w:abstractNumId w:val="56"/>
  </w:num>
  <w:num w:numId="305" w16cid:durableId="1937404422">
    <w:abstractNumId w:val="132"/>
  </w:num>
  <w:num w:numId="306" w16cid:durableId="1448893316">
    <w:abstractNumId w:val="179"/>
  </w:num>
  <w:num w:numId="307" w16cid:durableId="143082371">
    <w:abstractNumId w:val="55"/>
  </w:num>
  <w:num w:numId="308" w16cid:durableId="1523787203">
    <w:abstractNumId w:val="141"/>
  </w:num>
  <w:num w:numId="309" w16cid:durableId="1333871636">
    <w:abstractNumId w:val="54"/>
  </w:num>
  <w:num w:numId="310" w16cid:durableId="1810050578">
    <w:abstractNumId w:val="169"/>
  </w:num>
  <w:num w:numId="311" w16cid:durableId="535120313">
    <w:abstractNumId w:val="325"/>
  </w:num>
  <w:num w:numId="312" w16cid:durableId="1422291059">
    <w:abstractNumId w:val="298"/>
  </w:num>
  <w:num w:numId="313" w16cid:durableId="1817264440">
    <w:abstractNumId w:val="103"/>
  </w:num>
  <w:num w:numId="314" w16cid:durableId="339939186">
    <w:abstractNumId w:val="63"/>
  </w:num>
  <w:num w:numId="315" w16cid:durableId="1242712283">
    <w:abstractNumId w:val="299"/>
  </w:num>
  <w:num w:numId="316" w16cid:durableId="2056654739">
    <w:abstractNumId w:val="295"/>
  </w:num>
  <w:num w:numId="317" w16cid:durableId="1439520959">
    <w:abstractNumId w:val="81"/>
  </w:num>
  <w:num w:numId="318" w16cid:durableId="1771848812">
    <w:abstractNumId w:val="189"/>
  </w:num>
  <w:num w:numId="319" w16cid:durableId="1864712203">
    <w:abstractNumId w:val="312"/>
  </w:num>
  <w:num w:numId="320" w16cid:durableId="790131402">
    <w:abstractNumId w:val="51"/>
  </w:num>
  <w:num w:numId="321" w16cid:durableId="865172627">
    <w:abstractNumId w:val="183"/>
  </w:num>
  <w:num w:numId="322" w16cid:durableId="1328632069">
    <w:abstractNumId w:val="335"/>
  </w:num>
  <w:num w:numId="323" w16cid:durableId="1937133559">
    <w:abstractNumId w:val="294"/>
  </w:num>
  <w:num w:numId="324" w16cid:durableId="1718162417">
    <w:abstractNumId w:val="161"/>
  </w:num>
  <w:num w:numId="325" w16cid:durableId="355231821">
    <w:abstractNumId w:val="274"/>
  </w:num>
  <w:num w:numId="326" w16cid:durableId="531654334">
    <w:abstractNumId w:val="0"/>
  </w:num>
  <w:num w:numId="327" w16cid:durableId="340938078">
    <w:abstractNumId w:val="291"/>
  </w:num>
  <w:num w:numId="328" w16cid:durableId="1346592463">
    <w:abstractNumId w:val="306"/>
  </w:num>
  <w:num w:numId="329" w16cid:durableId="156583261">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0" w16cid:durableId="1738745247">
    <w:abstractNumId w:val="158"/>
  </w:num>
  <w:num w:numId="331" w16cid:durableId="703166480">
    <w:abstractNumId w:val="217"/>
  </w:num>
  <w:num w:numId="332" w16cid:durableId="1500191954">
    <w:abstractNumId w:val="45"/>
    <w:lvlOverride w:ilvl="0">
      <w:startOverride w:val="1"/>
    </w:lvlOverride>
  </w:num>
  <w:num w:numId="333" w16cid:durableId="2128545131">
    <w:abstractNumId w:val="324"/>
  </w:num>
  <w:num w:numId="334" w16cid:durableId="1996104576">
    <w:abstractNumId w:val="181"/>
  </w:num>
  <w:num w:numId="335" w16cid:durableId="2029477672">
    <w:abstractNumId w:val="185"/>
  </w:num>
  <w:num w:numId="336" w16cid:durableId="493647365">
    <w:abstractNumId w:val="290"/>
  </w:num>
  <w:num w:numId="337" w16cid:durableId="567226085">
    <w:abstractNumId w:val="130"/>
  </w:num>
  <w:num w:numId="338" w16cid:durableId="801918939">
    <w:abstractNumId w:val="238"/>
  </w:num>
  <w:num w:numId="339" w16cid:durableId="1953241707">
    <w:abstractNumId w:val="95"/>
  </w:num>
  <w:num w:numId="340" w16cid:durableId="1256481640">
    <w:abstractNumId w:val="340"/>
  </w:num>
  <w:num w:numId="341" w16cid:durableId="1046415099">
    <w:abstractNumId w:val="172"/>
    <w:lvlOverride w:ilvl="0">
      <w:startOverride w:val="1"/>
    </w:lvlOverride>
  </w:num>
  <w:num w:numId="342" w16cid:durableId="161625791">
    <w:abstractNumId w:val="61"/>
    <w:lvlOverride w:ilvl="0">
      <w:startOverride w:val="1"/>
    </w:lvlOverride>
  </w:num>
  <w:num w:numId="343" w16cid:durableId="336421571">
    <w:abstractNumId w:val="61"/>
    <w:lvlOverride w:ilvl="0">
      <w:lvl w:ilvl="0">
        <w:start w:val="1"/>
        <w:numFmt w:val="lowerLetter"/>
        <w:lvlText w:val="%1)"/>
        <w:legacy w:legacy="1" w:legacySpace="0" w:legacyIndent="283"/>
        <w:lvlJc w:val="left"/>
        <w:pPr>
          <w:ind w:left="283" w:hanging="283"/>
        </w:pPr>
      </w:lvl>
    </w:lvlOverride>
  </w:num>
  <w:numIdMacAtCleanup w:val="3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displayBackgroundShape/>
  <w:embedSystemFonts/>
  <w:hideGrammaticalErrors/>
  <w:proofState w:spelling="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57"/>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7">
      <o:colormenu v:ext="edit" fillcolor="none [4]" strokecolor="none [1]" shadowcolor="none [2]"/>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E330A"/>
    <w:rsid w:val="00001E48"/>
    <w:rsid w:val="00005020"/>
    <w:rsid w:val="00010445"/>
    <w:rsid w:val="0001152D"/>
    <w:rsid w:val="00014912"/>
    <w:rsid w:val="000162CC"/>
    <w:rsid w:val="00017405"/>
    <w:rsid w:val="000201E2"/>
    <w:rsid w:val="00027AEC"/>
    <w:rsid w:val="00027B1C"/>
    <w:rsid w:val="00030994"/>
    <w:rsid w:val="00044C87"/>
    <w:rsid w:val="00045D14"/>
    <w:rsid w:val="00051F61"/>
    <w:rsid w:val="00053336"/>
    <w:rsid w:val="00056B48"/>
    <w:rsid w:val="00060D35"/>
    <w:rsid w:val="00062036"/>
    <w:rsid w:val="000713CA"/>
    <w:rsid w:val="00072148"/>
    <w:rsid w:val="00072856"/>
    <w:rsid w:val="00072B04"/>
    <w:rsid w:val="00075B51"/>
    <w:rsid w:val="0008062A"/>
    <w:rsid w:val="00080BFC"/>
    <w:rsid w:val="00082281"/>
    <w:rsid w:val="00082A1D"/>
    <w:rsid w:val="000878A0"/>
    <w:rsid w:val="00094B72"/>
    <w:rsid w:val="00095545"/>
    <w:rsid w:val="000A342C"/>
    <w:rsid w:val="000A5B88"/>
    <w:rsid w:val="000B2765"/>
    <w:rsid w:val="000B2CF6"/>
    <w:rsid w:val="000C4A17"/>
    <w:rsid w:val="000C5020"/>
    <w:rsid w:val="000C57A5"/>
    <w:rsid w:val="000C6E01"/>
    <w:rsid w:val="000C7B34"/>
    <w:rsid w:val="000D0545"/>
    <w:rsid w:val="000D1C0D"/>
    <w:rsid w:val="000D2C48"/>
    <w:rsid w:val="000D799E"/>
    <w:rsid w:val="000E081C"/>
    <w:rsid w:val="000E1E7B"/>
    <w:rsid w:val="000E2BD8"/>
    <w:rsid w:val="000F22E7"/>
    <w:rsid w:val="000F6B78"/>
    <w:rsid w:val="00100F4C"/>
    <w:rsid w:val="00101143"/>
    <w:rsid w:val="00104051"/>
    <w:rsid w:val="00117A46"/>
    <w:rsid w:val="00123E88"/>
    <w:rsid w:val="001308FF"/>
    <w:rsid w:val="001314AD"/>
    <w:rsid w:val="00133C7D"/>
    <w:rsid w:val="00134AD7"/>
    <w:rsid w:val="00134DC7"/>
    <w:rsid w:val="00143BEA"/>
    <w:rsid w:val="00151065"/>
    <w:rsid w:val="00151A34"/>
    <w:rsid w:val="00153240"/>
    <w:rsid w:val="00154941"/>
    <w:rsid w:val="00157138"/>
    <w:rsid w:val="001578BC"/>
    <w:rsid w:val="001600C2"/>
    <w:rsid w:val="00164B0D"/>
    <w:rsid w:val="00165A71"/>
    <w:rsid w:val="00166F7F"/>
    <w:rsid w:val="00180944"/>
    <w:rsid w:val="001832A9"/>
    <w:rsid w:val="00187029"/>
    <w:rsid w:val="00187EDD"/>
    <w:rsid w:val="00196FEB"/>
    <w:rsid w:val="001A7344"/>
    <w:rsid w:val="001B23C0"/>
    <w:rsid w:val="001B3638"/>
    <w:rsid w:val="001C7263"/>
    <w:rsid w:val="001D052E"/>
    <w:rsid w:val="001D0785"/>
    <w:rsid w:val="001D7B9D"/>
    <w:rsid w:val="001E149E"/>
    <w:rsid w:val="001E4570"/>
    <w:rsid w:val="00204DCE"/>
    <w:rsid w:val="00205FE1"/>
    <w:rsid w:val="0021310A"/>
    <w:rsid w:val="002139EA"/>
    <w:rsid w:val="00213F81"/>
    <w:rsid w:val="0022181C"/>
    <w:rsid w:val="0022186B"/>
    <w:rsid w:val="00221E0E"/>
    <w:rsid w:val="00223C00"/>
    <w:rsid w:val="00225C64"/>
    <w:rsid w:val="00225DBA"/>
    <w:rsid w:val="00231838"/>
    <w:rsid w:val="0023578A"/>
    <w:rsid w:val="002425C9"/>
    <w:rsid w:val="002428A4"/>
    <w:rsid w:val="0024650E"/>
    <w:rsid w:val="00247DC7"/>
    <w:rsid w:val="002562DC"/>
    <w:rsid w:val="00261055"/>
    <w:rsid w:val="00267E5C"/>
    <w:rsid w:val="00271EB9"/>
    <w:rsid w:val="00274298"/>
    <w:rsid w:val="00274E84"/>
    <w:rsid w:val="0027729B"/>
    <w:rsid w:val="00277543"/>
    <w:rsid w:val="00281AA0"/>
    <w:rsid w:val="00281D88"/>
    <w:rsid w:val="00283A15"/>
    <w:rsid w:val="00285D52"/>
    <w:rsid w:val="002872CC"/>
    <w:rsid w:val="002919A2"/>
    <w:rsid w:val="00291D3B"/>
    <w:rsid w:val="00292E29"/>
    <w:rsid w:val="00294E1D"/>
    <w:rsid w:val="00295617"/>
    <w:rsid w:val="002A39AA"/>
    <w:rsid w:val="002A4A79"/>
    <w:rsid w:val="002A5177"/>
    <w:rsid w:val="002B4FCB"/>
    <w:rsid w:val="002C2E4A"/>
    <w:rsid w:val="002C4C73"/>
    <w:rsid w:val="002C5603"/>
    <w:rsid w:val="002C5E8B"/>
    <w:rsid w:val="002D6EFA"/>
    <w:rsid w:val="002E366F"/>
    <w:rsid w:val="002E7592"/>
    <w:rsid w:val="002F21D3"/>
    <w:rsid w:val="002F41A5"/>
    <w:rsid w:val="002F5851"/>
    <w:rsid w:val="003019FA"/>
    <w:rsid w:val="0030436B"/>
    <w:rsid w:val="00310DE4"/>
    <w:rsid w:val="003126BC"/>
    <w:rsid w:val="0032015E"/>
    <w:rsid w:val="00322644"/>
    <w:rsid w:val="00325D97"/>
    <w:rsid w:val="00333660"/>
    <w:rsid w:val="00337810"/>
    <w:rsid w:val="00337E74"/>
    <w:rsid w:val="0034242A"/>
    <w:rsid w:val="003527D2"/>
    <w:rsid w:val="0035424A"/>
    <w:rsid w:val="0036792A"/>
    <w:rsid w:val="00375E48"/>
    <w:rsid w:val="0037617F"/>
    <w:rsid w:val="00381FF7"/>
    <w:rsid w:val="00390399"/>
    <w:rsid w:val="003948C5"/>
    <w:rsid w:val="00394C5F"/>
    <w:rsid w:val="003958EE"/>
    <w:rsid w:val="003A0C7C"/>
    <w:rsid w:val="003A1A69"/>
    <w:rsid w:val="003B0DF9"/>
    <w:rsid w:val="003B3392"/>
    <w:rsid w:val="003B60CB"/>
    <w:rsid w:val="003C1370"/>
    <w:rsid w:val="003C24F7"/>
    <w:rsid w:val="003C3EE8"/>
    <w:rsid w:val="003D066E"/>
    <w:rsid w:val="003E0CE5"/>
    <w:rsid w:val="003E368E"/>
    <w:rsid w:val="003E3B2F"/>
    <w:rsid w:val="003E64C5"/>
    <w:rsid w:val="003E7C69"/>
    <w:rsid w:val="003F13DE"/>
    <w:rsid w:val="003F3212"/>
    <w:rsid w:val="003F503F"/>
    <w:rsid w:val="00402B3B"/>
    <w:rsid w:val="00402C80"/>
    <w:rsid w:val="00404C7F"/>
    <w:rsid w:val="00404C80"/>
    <w:rsid w:val="00404D57"/>
    <w:rsid w:val="00413B10"/>
    <w:rsid w:val="0041591D"/>
    <w:rsid w:val="00424C18"/>
    <w:rsid w:val="004256E7"/>
    <w:rsid w:val="00432C8C"/>
    <w:rsid w:val="00440C9A"/>
    <w:rsid w:val="00443874"/>
    <w:rsid w:val="00444CD1"/>
    <w:rsid w:val="004544C9"/>
    <w:rsid w:val="00454DE0"/>
    <w:rsid w:val="00460177"/>
    <w:rsid w:val="00466B6A"/>
    <w:rsid w:val="00467901"/>
    <w:rsid w:val="0047478E"/>
    <w:rsid w:val="00477DED"/>
    <w:rsid w:val="00486DA7"/>
    <w:rsid w:val="00487617"/>
    <w:rsid w:val="0049331E"/>
    <w:rsid w:val="004A0181"/>
    <w:rsid w:val="004A0D1C"/>
    <w:rsid w:val="004A1C31"/>
    <w:rsid w:val="004A67B5"/>
    <w:rsid w:val="004B34F5"/>
    <w:rsid w:val="004B3551"/>
    <w:rsid w:val="004B583B"/>
    <w:rsid w:val="004C12B4"/>
    <w:rsid w:val="004C6C04"/>
    <w:rsid w:val="004D3E8D"/>
    <w:rsid w:val="004D61EE"/>
    <w:rsid w:val="004D62A0"/>
    <w:rsid w:val="004D7D23"/>
    <w:rsid w:val="004E388F"/>
    <w:rsid w:val="004F17AA"/>
    <w:rsid w:val="004F68C5"/>
    <w:rsid w:val="00522146"/>
    <w:rsid w:val="00523230"/>
    <w:rsid w:val="00530EF4"/>
    <w:rsid w:val="005417FD"/>
    <w:rsid w:val="005441A0"/>
    <w:rsid w:val="0054597D"/>
    <w:rsid w:val="00546C6C"/>
    <w:rsid w:val="00552A9F"/>
    <w:rsid w:val="00554384"/>
    <w:rsid w:val="00556603"/>
    <w:rsid w:val="0055718D"/>
    <w:rsid w:val="0056098F"/>
    <w:rsid w:val="00566EFC"/>
    <w:rsid w:val="00570AE3"/>
    <w:rsid w:val="00574E55"/>
    <w:rsid w:val="00575B84"/>
    <w:rsid w:val="005915D9"/>
    <w:rsid w:val="00591CC2"/>
    <w:rsid w:val="00592936"/>
    <w:rsid w:val="00592D19"/>
    <w:rsid w:val="005944F4"/>
    <w:rsid w:val="00594A21"/>
    <w:rsid w:val="005972F8"/>
    <w:rsid w:val="005A1789"/>
    <w:rsid w:val="005A2FEC"/>
    <w:rsid w:val="005A56A1"/>
    <w:rsid w:val="005C1362"/>
    <w:rsid w:val="005C6400"/>
    <w:rsid w:val="005E0E48"/>
    <w:rsid w:val="005E16FC"/>
    <w:rsid w:val="005E573B"/>
    <w:rsid w:val="005E5A54"/>
    <w:rsid w:val="005E7E92"/>
    <w:rsid w:val="005F2C41"/>
    <w:rsid w:val="005F31F4"/>
    <w:rsid w:val="005F359B"/>
    <w:rsid w:val="005F501C"/>
    <w:rsid w:val="005F7DC8"/>
    <w:rsid w:val="00600BCA"/>
    <w:rsid w:val="00604521"/>
    <w:rsid w:val="0060612F"/>
    <w:rsid w:val="00607843"/>
    <w:rsid w:val="00607E59"/>
    <w:rsid w:val="00607F41"/>
    <w:rsid w:val="00610266"/>
    <w:rsid w:val="00611028"/>
    <w:rsid w:val="00616067"/>
    <w:rsid w:val="0061688C"/>
    <w:rsid w:val="0062339E"/>
    <w:rsid w:val="0062468D"/>
    <w:rsid w:val="006248DD"/>
    <w:rsid w:val="00624B11"/>
    <w:rsid w:val="00625078"/>
    <w:rsid w:val="0062594B"/>
    <w:rsid w:val="00626CBA"/>
    <w:rsid w:val="00632859"/>
    <w:rsid w:val="00634CFA"/>
    <w:rsid w:val="006367C0"/>
    <w:rsid w:val="006440D2"/>
    <w:rsid w:val="0064424E"/>
    <w:rsid w:val="0064708C"/>
    <w:rsid w:val="00652A08"/>
    <w:rsid w:val="00652BAC"/>
    <w:rsid w:val="00665416"/>
    <w:rsid w:val="00670B69"/>
    <w:rsid w:val="006844DC"/>
    <w:rsid w:val="00685340"/>
    <w:rsid w:val="006858C4"/>
    <w:rsid w:val="00685929"/>
    <w:rsid w:val="00691153"/>
    <w:rsid w:val="006944CB"/>
    <w:rsid w:val="006A155D"/>
    <w:rsid w:val="006A3B41"/>
    <w:rsid w:val="006A3CF5"/>
    <w:rsid w:val="006A424F"/>
    <w:rsid w:val="006A5B3E"/>
    <w:rsid w:val="006B7B11"/>
    <w:rsid w:val="006C0F81"/>
    <w:rsid w:val="006C0F92"/>
    <w:rsid w:val="006D12E8"/>
    <w:rsid w:val="006D2DCC"/>
    <w:rsid w:val="006D4B09"/>
    <w:rsid w:val="006D655E"/>
    <w:rsid w:val="006E0942"/>
    <w:rsid w:val="006E1A35"/>
    <w:rsid w:val="006E3518"/>
    <w:rsid w:val="006E5622"/>
    <w:rsid w:val="006E6715"/>
    <w:rsid w:val="006F239F"/>
    <w:rsid w:val="006F3152"/>
    <w:rsid w:val="006F7186"/>
    <w:rsid w:val="00700A9A"/>
    <w:rsid w:val="0070516C"/>
    <w:rsid w:val="00705E84"/>
    <w:rsid w:val="00705F21"/>
    <w:rsid w:val="0070651F"/>
    <w:rsid w:val="00712CE2"/>
    <w:rsid w:val="00714A66"/>
    <w:rsid w:val="007159E6"/>
    <w:rsid w:val="00716CB5"/>
    <w:rsid w:val="00720166"/>
    <w:rsid w:val="00720B6E"/>
    <w:rsid w:val="00720C68"/>
    <w:rsid w:val="00726228"/>
    <w:rsid w:val="00727930"/>
    <w:rsid w:val="00735798"/>
    <w:rsid w:val="00736AB7"/>
    <w:rsid w:val="00742216"/>
    <w:rsid w:val="00746F19"/>
    <w:rsid w:val="00747F3F"/>
    <w:rsid w:val="00751302"/>
    <w:rsid w:val="0075464C"/>
    <w:rsid w:val="00756C08"/>
    <w:rsid w:val="00772865"/>
    <w:rsid w:val="007731FD"/>
    <w:rsid w:val="00775ECB"/>
    <w:rsid w:val="007812A7"/>
    <w:rsid w:val="007825E5"/>
    <w:rsid w:val="00784399"/>
    <w:rsid w:val="00784C15"/>
    <w:rsid w:val="00786621"/>
    <w:rsid w:val="007874C0"/>
    <w:rsid w:val="00792406"/>
    <w:rsid w:val="00793D3C"/>
    <w:rsid w:val="007A25B7"/>
    <w:rsid w:val="007A36FB"/>
    <w:rsid w:val="007A412B"/>
    <w:rsid w:val="007A6780"/>
    <w:rsid w:val="007A6816"/>
    <w:rsid w:val="007B13C9"/>
    <w:rsid w:val="007B192E"/>
    <w:rsid w:val="007B43AE"/>
    <w:rsid w:val="007B44FA"/>
    <w:rsid w:val="007B73FB"/>
    <w:rsid w:val="007C0EC6"/>
    <w:rsid w:val="007C1603"/>
    <w:rsid w:val="007C2044"/>
    <w:rsid w:val="007C4CFF"/>
    <w:rsid w:val="007D1E17"/>
    <w:rsid w:val="007D4443"/>
    <w:rsid w:val="007E0A79"/>
    <w:rsid w:val="007E0C17"/>
    <w:rsid w:val="007E212D"/>
    <w:rsid w:val="007E6FEE"/>
    <w:rsid w:val="007F59B0"/>
    <w:rsid w:val="007F72A0"/>
    <w:rsid w:val="00800DBE"/>
    <w:rsid w:val="008115E9"/>
    <w:rsid w:val="00813847"/>
    <w:rsid w:val="008205AB"/>
    <w:rsid w:val="008413E0"/>
    <w:rsid w:val="00843DAC"/>
    <w:rsid w:val="0084421C"/>
    <w:rsid w:val="00854026"/>
    <w:rsid w:val="008574BF"/>
    <w:rsid w:val="008579BC"/>
    <w:rsid w:val="00862703"/>
    <w:rsid w:val="008724C9"/>
    <w:rsid w:val="00885209"/>
    <w:rsid w:val="00885916"/>
    <w:rsid w:val="00890A09"/>
    <w:rsid w:val="008966E7"/>
    <w:rsid w:val="008A1FD5"/>
    <w:rsid w:val="008A27F6"/>
    <w:rsid w:val="008A62DC"/>
    <w:rsid w:val="008A6EE3"/>
    <w:rsid w:val="008B171C"/>
    <w:rsid w:val="008B4F1C"/>
    <w:rsid w:val="008B60B4"/>
    <w:rsid w:val="008D2AB4"/>
    <w:rsid w:val="008D65C6"/>
    <w:rsid w:val="008E1092"/>
    <w:rsid w:val="008E347E"/>
    <w:rsid w:val="008E494A"/>
    <w:rsid w:val="008E64CB"/>
    <w:rsid w:val="008E72BC"/>
    <w:rsid w:val="008F2957"/>
    <w:rsid w:val="008F5D48"/>
    <w:rsid w:val="008F7A94"/>
    <w:rsid w:val="00901BF4"/>
    <w:rsid w:val="0090521E"/>
    <w:rsid w:val="00905C2D"/>
    <w:rsid w:val="0090604C"/>
    <w:rsid w:val="0091047D"/>
    <w:rsid w:val="00913CCE"/>
    <w:rsid w:val="00914E15"/>
    <w:rsid w:val="00917081"/>
    <w:rsid w:val="0092000D"/>
    <w:rsid w:val="00920728"/>
    <w:rsid w:val="009225C0"/>
    <w:rsid w:val="00924F63"/>
    <w:rsid w:val="0092514F"/>
    <w:rsid w:val="00925894"/>
    <w:rsid w:val="009277A4"/>
    <w:rsid w:val="009313A9"/>
    <w:rsid w:val="009351C2"/>
    <w:rsid w:val="00937658"/>
    <w:rsid w:val="0094174A"/>
    <w:rsid w:val="00951516"/>
    <w:rsid w:val="0095168C"/>
    <w:rsid w:val="00952E47"/>
    <w:rsid w:val="009535C1"/>
    <w:rsid w:val="00961B65"/>
    <w:rsid w:val="00965133"/>
    <w:rsid w:val="0096552E"/>
    <w:rsid w:val="00965978"/>
    <w:rsid w:val="00973813"/>
    <w:rsid w:val="00974237"/>
    <w:rsid w:val="00974CBE"/>
    <w:rsid w:val="00974DB1"/>
    <w:rsid w:val="00977409"/>
    <w:rsid w:val="00977569"/>
    <w:rsid w:val="009A1FAF"/>
    <w:rsid w:val="009A2302"/>
    <w:rsid w:val="009A4B03"/>
    <w:rsid w:val="009B31B7"/>
    <w:rsid w:val="009B3B20"/>
    <w:rsid w:val="009B3FC5"/>
    <w:rsid w:val="009B61E9"/>
    <w:rsid w:val="009C0E4B"/>
    <w:rsid w:val="009C185D"/>
    <w:rsid w:val="009F2C89"/>
    <w:rsid w:val="009F5C75"/>
    <w:rsid w:val="00A03FFD"/>
    <w:rsid w:val="00A06CA5"/>
    <w:rsid w:val="00A10869"/>
    <w:rsid w:val="00A209EA"/>
    <w:rsid w:val="00A22FA2"/>
    <w:rsid w:val="00A23449"/>
    <w:rsid w:val="00A2439F"/>
    <w:rsid w:val="00A24E30"/>
    <w:rsid w:val="00A25D52"/>
    <w:rsid w:val="00A312A9"/>
    <w:rsid w:val="00A32A9F"/>
    <w:rsid w:val="00A36AE2"/>
    <w:rsid w:val="00A42BF1"/>
    <w:rsid w:val="00A43BC5"/>
    <w:rsid w:val="00A43FE3"/>
    <w:rsid w:val="00A627BA"/>
    <w:rsid w:val="00A6376C"/>
    <w:rsid w:val="00A652AF"/>
    <w:rsid w:val="00A8115F"/>
    <w:rsid w:val="00A86ED2"/>
    <w:rsid w:val="00AA41BA"/>
    <w:rsid w:val="00AB0FBE"/>
    <w:rsid w:val="00AB297E"/>
    <w:rsid w:val="00AB34B4"/>
    <w:rsid w:val="00AC05BB"/>
    <w:rsid w:val="00AC25D1"/>
    <w:rsid w:val="00AC5479"/>
    <w:rsid w:val="00AD2F51"/>
    <w:rsid w:val="00AD5D0B"/>
    <w:rsid w:val="00AD610D"/>
    <w:rsid w:val="00AD69E6"/>
    <w:rsid w:val="00AD723D"/>
    <w:rsid w:val="00AD7F09"/>
    <w:rsid w:val="00AE0F8D"/>
    <w:rsid w:val="00AE2297"/>
    <w:rsid w:val="00AE2949"/>
    <w:rsid w:val="00AE5BD6"/>
    <w:rsid w:val="00AF16B2"/>
    <w:rsid w:val="00B05C75"/>
    <w:rsid w:val="00B10136"/>
    <w:rsid w:val="00B10DB6"/>
    <w:rsid w:val="00B17865"/>
    <w:rsid w:val="00B17EA4"/>
    <w:rsid w:val="00B22A5B"/>
    <w:rsid w:val="00B355DE"/>
    <w:rsid w:val="00B358CB"/>
    <w:rsid w:val="00B36E9C"/>
    <w:rsid w:val="00B41BE0"/>
    <w:rsid w:val="00B41C26"/>
    <w:rsid w:val="00B47C62"/>
    <w:rsid w:val="00B5660A"/>
    <w:rsid w:val="00B57AF1"/>
    <w:rsid w:val="00B60181"/>
    <w:rsid w:val="00B6285B"/>
    <w:rsid w:val="00B64F80"/>
    <w:rsid w:val="00B70C80"/>
    <w:rsid w:val="00B7101C"/>
    <w:rsid w:val="00B72F90"/>
    <w:rsid w:val="00B81E05"/>
    <w:rsid w:val="00B90FAE"/>
    <w:rsid w:val="00B9283B"/>
    <w:rsid w:val="00B929C6"/>
    <w:rsid w:val="00B95250"/>
    <w:rsid w:val="00B969EF"/>
    <w:rsid w:val="00B971BC"/>
    <w:rsid w:val="00B9790C"/>
    <w:rsid w:val="00BA012E"/>
    <w:rsid w:val="00BA1C55"/>
    <w:rsid w:val="00BA2876"/>
    <w:rsid w:val="00BA5651"/>
    <w:rsid w:val="00BB04E2"/>
    <w:rsid w:val="00BB547A"/>
    <w:rsid w:val="00BB6323"/>
    <w:rsid w:val="00BC0F61"/>
    <w:rsid w:val="00BC14D9"/>
    <w:rsid w:val="00BC264C"/>
    <w:rsid w:val="00BC760E"/>
    <w:rsid w:val="00BD53BC"/>
    <w:rsid w:val="00BD540F"/>
    <w:rsid w:val="00BD670E"/>
    <w:rsid w:val="00BE0894"/>
    <w:rsid w:val="00BE0A1E"/>
    <w:rsid w:val="00BE139B"/>
    <w:rsid w:val="00BE1892"/>
    <w:rsid w:val="00C021F5"/>
    <w:rsid w:val="00C03122"/>
    <w:rsid w:val="00C03290"/>
    <w:rsid w:val="00C048CB"/>
    <w:rsid w:val="00C112E6"/>
    <w:rsid w:val="00C12426"/>
    <w:rsid w:val="00C16CEB"/>
    <w:rsid w:val="00C21B06"/>
    <w:rsid w:val="00C30BB1"/>
    <w:rsid w:val="00C337A1"/>
    <w:rsid w:val="00C41043"/>
    <w:rsid w:val="00C4191D"/>
    <w:rsid w:val="00C4668C"/>
    <w:rsid w:val="00C6187C"/>
    <w:rsid w:val="00C72849"/>
    <w:rsid w:val="00C77477"/>
    <w:rsid w:val="00C7794F"/>
    <w:rsid w:val="00C80870"/>
    <w:rsid w:val="00C87744"/>
    <w:rsid w:val="00C91CA2"/>
    <w:rsid w:val="00C941C9"/>
    <w:rsid w:val="00C95983"/>
    <w:rsid w:val="00C96A7D"/>
    <w:rsid w:val="00CA4AF0"/>
    <w:rsid w:val="00CA5427"/>
    <w:rsid w:val="00CA68AE"/>
    <w:rsid w:val="00CB0964"/>
    <w:rsid w:val="00CB759C"/>
    <w:rsid w:val="00CB78AF"/>
    <w:rsid w:val="00CC122D"/>
    <w:rsid w:val="00CC1FF9"/>
    <w:rsid w:val="00CD62D4"/>
    <w:rsid w:val="00CE1E84"/>
    <w:rsid w:val="00CE2420"/>
    <w:rsid w:val="00CE3B3E"/>
    <w:rsid w:val="00CE5C91"/>
    <w:rsid w:val="00CE72E2"/>
    <w:rsid w:val="00CE7604"/>
    <w:rsid w:val="00D0073E"/>
    <w:rsid w:val="00D0460A"/>
    <w:rsid w:val="00D10537"/>
    <w:rsid w:val="00D13ED1"/>
    <w:rsid w:val="00D15610"/>
    <w:rsid w:val="00D16930"/>
    <w:rsid w:val="00D2152A"/>
    <w:rsid w:val="00D30560"/>
    <w:rsid w:val="00D34BD7"/>
    <w:rsid w:val="00D414AB"/>
    <w:rsid w:val="00D422CB"/>
    <w:rsid w:val="00D51111"/>
    <w:rsid w:val="00D51CA5"/>
    <w:rsid w:val="00D52DA7"/>
    <w:rsid w:val="00D5386F"/>
    <w:rsid w:val="00D574AA"/>
    <w:rsid w:val="00D628BC"/>
    <w:rsid w:val="00D65BDE"/>
    <w:rsid w:val="00D72859"/>
    <w:rsid w:val="00D73FEF"/>
    <w:rsid w:val="00D852F9"/>
    <w:rsid w:val="00D85F53"/>
    <w:rsid w:val="00D8644B"/>
    <w:rsid w:val="00D9241A"/>
    <w:rsid w:val="00D93F85"/>
    <w:rsid w:val="00D95DCC"/>
    <w:rsid w:val="00DA2528"/>
    <w:rsid w:val="00DA35AC"/>
    <w:rsid w:val="00DB43AE"/>
    <w:rsid w:val="00DB4F16"/>
    <w:rsid w:val="00DC0A45"/>
    <w:rsid w:val="00DC5810"/>
    <w:rsid w:val="00DC6F95"/>
    <w:rsid w:val="00DC7A5F"/>
    <w:rsid w:val="00DC7F29"/>
    <w:rsid w:val="00DD2C1C"/>
    <w:rsid w:val="00DD3006"/>
    <w:rsid w:val="00DD3E4A"/>
    <w:rsid w:val="00DD684E"/>
    <w:rsid w:val="00DE478A"/>
    <w:rsid w:val="00DF3642"/>
    <w:rsid w:val="00E036E7"/>
    <w:rsid w:val="00E078E6"/>
    <w:rsid w:val="00E11713"/>
    <w:rsid w:val="00E11A34"/>
    <w:rsid w:val="00E140DB"/>
    <w:rsid w:val="00E15B57"/>
    <w:rsid w:val="00E22BD6"/>
    <w:rsid w:val="00E230A5"/>
    <w:rsid w:val="00E243DF"/>
    <w:rsid w:val="00E2575C"/>
    <w:rsid w:val="00E3669E"/>
    <w:rsid w:val="00E37018"/>
    <w:rsid w:val="00E37804"/>
    <w:rsid w:val="00E4138D"/>
    <w:rsid w:val="00E4179E"/>
    <w:rsid w:val="00E43C8E"/>
    <w:rsid w:val="00E451D0"/>
    <w:rsid w:val="00E56F84"/>
    <w:rsid w:val="00E60109"/>
    <w:rsid w:val="00E60BA0"/>
    <w:rsid w:val="00E616F9"/>
    <w:rsid w:val="00E64C45"/>
    <w:rsid w:val="00E70355"/>
    <w:rsid w:val="00E7392E"/>
    <w:rsid w:val="00E76E14"/>
    <w:rsid w:val="00E806F2"/>
    <w:rsid w:val="00E817D8"/>
    <w:rsid w:val="00E84BF9"/>
    <w:rsid w:val="00E9570E"/>
    <w:rsid w:val="00E97BAA"/>
    <w:rsid w:val="00EA10CE"/>
    <w:rsid w:val="00EB3D52"/>
    <w:rsid w:val="00EB416D"/>
    <w:rsid w:val="00EB504A"/>
    <w:rsid w:val="00EB6AD9"/>
    <w:rsid w:val="00EC191A"/>
    <w:rsid w:val="00EC199A"/>
    <w:rsid w:val="00EC305F"/>
    <w:rsid w:val="00EC5EC4"/>
    <w:rsid w:val="00EC5EF5"/>
    <w:rsid w:val="00EC7DA6"/>
    <w:rsid w:val="00ED3EFE"/>
    <w:rsid w:val="00ED6EE1"/>
    <w:rsid w:val="00EE068E"/>
    <w:rsid w:val="00EE6328"/>
    <w:rsid w:val="00EE6DA2"/>
    <w:rsid w:val="00EF17BC"/>
    <w:rsid w:val="00EF1ACA"/>
    <w:rsid w:val="00EF4A6A"/>
    <w:rsid w:val="00EF4E34"/>
    <w:rsid w:val="00F0017D"/>
    <w:rsid w:val="00F17777"/>
    <w:rsid w:val="00F22548"/>
    <w:rsid w:val="00F23E41"/>
    <w:rsid w:val="00F26F07"/>
    <w:rsid w:val="00F330AD"/>
    <w:rsid w:val="00F41B21"/>
    <w:rsid w:val="00F43000"/>
    <w:rsid w:val="00F439B7"/>
    <w:rsid w:val="00F45500"/>
    <w:rsid w:val="00F50E15"/>
    <w:rsid w:val="00F54422"/>
    <w:rsid w:val="00F548B0"/>
    <w:rsid w:val="00F54DF0"/>
    <w:rsid w:val="00F55C6E"/>
    <w:rsid w:val="00F57F87"/>
    <w:rsid w:val="00F620C3"/>
    <w:rsid w:val="00F637D4"/>
    <w:rsid w:val="00F65B9F"/>
    <w:rsid w:val="00F75825"/>
    <w:rsid w:val="00F76339"/>
    <w:rsid w:val="00F7689B"/>
    <w:rsid w:val="00F77EE4"/>
    <w:rsid w:val="00F80AEB"/>
    <w:rsid w:val="00F8508E"/>
    <w:rsid w:val="00FA703F"/>
    <w:rsid w:val="00FA7D95"/>
    <w:rsid w:val="00FB33B4"/>
    <w:rsid w:val="00FB54FD"/>
    <w:rsid w:val="00FB5CFB"/>
    <w:rsid w:val="00FB79BF"/>
    <w:rsid w:val="00FD328C"/>
    <w:rsid w:val="00FD6503"/>
    <w:rsid w:val="00FE13ED"/>
    <w:rsid w:val="00FE2EFB"/>
    <w:rsid w:val="00FE330A"/>
    <w:rsid w:val="00FE6066"/>
    <w:rsid w:val="00FE6091"/>
    <w:rsid w:val="00FF5B93"/>
    <w:rsid w:val="00FF783B"/>
    <w:rsid w:val="00FF7A3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7">
      <o:colormenu v:ext="edit" fillcolor="none [4]" strokecolor="none [1]" shadowcolor="none [2]"/>
    </o:shapedefaults>
    <o:shapelayout v:ext="edit">
      <o:idmap v:ext="edit" data="2"/>
    </o:shapelayout>
  </w:shapeDefaults>
  <w:doNotEmbedSmartTags/>
  <w:decimalSymbol w:val=","/>
  <w:listSeparator w:val=";"/>
  <w14:docId w14:val="1D04431C"/>
  <w15:docId w15:val="{16D11F3C-D5DE-4A29-B913-CB148E666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B60CB"/>
    <w:pPr>
      <w:widowControl w:val="0"/>
      <w:suppressAutoHyphens/>
      <w:overflowPunct w:val="0"/>
      <w:autoSpaceDE w:val="0"/>
      <w:textAlignment w:val="baseline"/>
    </w:pPr>
    <w:rPr>
      <w:sz w:val="24"/>
      <w:lang w:eastAsia="ar-SA"/>
    </w:rPr>
  </w:style>
  <w:style w:type="paragraph" w:styleId="Nagwek1">
    <w:name w:val="heading 1"/>
    <w:aliases w:val="N_Kasia1 Znak,Tytuł1,Tytu31,Tytuł 1 st.,Tytu³1,Section Heading Char,Tytuł11,Tytuł12,Tytuł111,Tytuł13,Tytuł112,Tytuł121,Tytuł1111,Tytuł14,Tytuł113,Tytuł122,Tytuł1112,Tytuł15,Tytuł114,Tytuł123,Tytuł1113,Tytuł16,Tytuł115,Tytuł124,Tytuł1114"/>
    <w:basedOn w:val="Nagwek"/>
    <w:next w:val="Tekstpodstawowy"/>
    <w:link w:val="Nagwek1Znak"/>
    <w:qFormat/>
    <w:pPr>
      <w:outlineLvl w:val="0"/>
    </w:pPr>
    <w:rPr>
      <w:b/>
      <w:sz w:val="32"/>
    </w:rPr>
  </w:style>
  <w:style w:type="paragraph" w:styleId="Nagwek2">
    <w:name w:val="heading 2"/>
    <w:aliases w:val="N_Kasia2 Znak,Podtytuł1,Podtytu³1,Podtytu31,Overskrift 2 Tegn1,Overskrift 2 Tegn2 Tegn,Overskrift 2 Tegn1 Tegn Tegn,Overskrift 2 Tegn Tegn Tegn Tegn,ASAPHeading 2,Numbered - 2,h 3,ICL,Heading 2a,H2,PA Major Section,l2,Headline 2,h2,2,headi"/>
    <w:basedOn w:val="Normalny"/>
    <w:next w:val="Normalny"/>
    <w:link w:val="Nagwek2Znak"/>
    <w:qFormat/>
    <w:pPr>
      <w:keepNext/>
      <w:spacing w:before="240" w:after="60"/>
      <w:outlineLvl w:val="1"/>
    </w:pPr>
    <w:rPr>
      <w:rFonts w:ascii="Arial" w:hAnsi="Arial" w:cs="Arial"/>
      <w:b/>
      <w:bCs/>
      <w:i/>
      <w:iCs/>
      <w:sz w:val="28"/>
      <w:szCs w:val="28"/>
    </w:rPr>
  </w:style>
  <w:style w:type="paragraph" w:styleId="Nagwek3">
    <w:name w:val="heading 3"/>
    <w:aliases w:val="N_Kasia3 Znak,Podtytuł2,Char Char Char Char Char Char Char Char,Level 1 - 1,Podtytu32, Char Char Char Char Char Char Char Char"/>
    <w:basedOn w:val="Normalny"/>
    <w:next w:val="Normalny"/>
    <w:link w:val="Nagwek3Znak"/>
    <w:qFormat/>
    <w:pPr>
      <w:keepNext/>
      <w:widowControl/>
      <w:suppressAutoHyphens w:val="0"/>
      <w:overflowPunct/>
      <w:autoSpaceDE/>
      <w:spacing w:before="240" w:after="60"/>
      <w:textAlignment w:val="auto"/>
      <w:outlineLvl w:val="2"/>
    </w:pPr>
    <w:rPr>
      <w:rFonts w:ascii="Arial" w:hAnsi="Arial" w:cs="Arial"/>
      <w:b/>
      <w:bCs/>
      <w:sz w:val="26"/>
      <w:szCs w:val="26"/>
    </w:rPr>
  </w:style>
  <w:style w:type="paragraph" w:styleId="Nagwek4">
    <w:name w:val="heading 4"/>
    <w:basedOn w:val="Normalny"/>
    <w:next w:val="Normalny"/>
    <w:link w:val="Nagwek4Znak"/>
    <w:qFormat/>
    <w:pPr>
      <w:keepNext/>
      <w:spacing w:line="360" w:lineRule="auto"/>
      <w:outlineLvl w:val="3"/>
    </w:pPr>
    <w:rPr>
      <w:rFonts w:ascii="Arial" w:hAnsi="Arial" w:cs="Arial"/>
      <w:sz w:val="22"/>
      <w:u w:val="single"/>
    </w:rPr>
  </w:style>
  <w:style w:type="paragraph" w:styleId="Nagwek5">
    <w:name w:val="heading 5"/>
    <w:basedOn w:val="Normalny"/>
    <w:next w:val="Normalny"/>
    <w:link w:val="Nagwek5Znak"/>
    <w:qFormat/>
    <w:rsid w:val="00F45500"/>
    <w:pPr>
      <w:keepNext/>
      <w:overflowPunct/>
      <w:autoSpaceDE/>
      <w:jc w:val="center"/>
      <w:textAlignment w:val="auto"/>
      <w:outlineLvl w:val="4"/>
    </w:pPr>
    <w:rPr>
      <w:rFonts w:ascii="Tahoma" w:eastAsia="Lucida Sans Unicode" w:hAnsi="Tahoma" w:cs="Tahoma"/>
      <w:b/>
      <w:bCs/>
      <w:kern w:val="1"/>
      <w:sz w:val="22"/>
      <w:szCs w:val="24"/>
    </w:rPr>
  </w:style>
  <w:style w:type="paragraph" w:styleId="Nagwek6">
    <w:name w:val="heading 6"/>
    <w:basedOn w:val="Normalny"/>
    <w:next w:val="Normalny"/>
    <w:link w:val="Nagwek6Znak"/>
    <w:uiPriority w:val="9"/>
    <w:qFormat/>
    <w:rsid w:val="00F45500"/>
    <w:pPr>
      <w:keepNext/>
      <w:overflowPunct/>
      <w:autoSpaceDE/>
      <w:spacing w:before="120" w:after="120" w:line="360" w:lineRule="auto"/>
      <w:ind w:left="213"/>
      <w:textAlignment w:val="auto"/>
      <w:outlineLvl w:val="5"/>
    </w:pPr>
    <w:rPr>
      <w:rFonts w:ascii="Tahoma" w:eastAsia="Lucida Sans Unicode" w:hAnsi="Tahoma" w:cs="Tahoma"/>
      <w:b/>
      <w:bCs/>
      <w:kern w:val="1"/>
      <w:sz w:val="22"/>
      <w:szCs w:val="24"/>
    </w:rPr>
  </w:style>
  <w:style w:type="paragraph" w:styleId="Nagwek7">
    <w:name w:val="heading 7"/>
    <w:basedOn w:val="Normalny"/>
    <w:next w:val="Normalny"/>
    <w:link w:val="Nagwek7Znak"/>
    <w:uiPriority w:val="9"/>
    <w:qFormat/>
    <w:rsid w:val="00F45500"/>
    <w:pPr>
      <w:keepNext/>
      <w:overflowPunct/>
      <w:autoSpaceDE/>
      <w:ind w:left="1416" w:firstLine="708"/>
      <w:jc w:val="both"/>
      <w:textAlignment w:val="auto"/>
      <w:outlineLvl w:val="6"/>
    </w:pPr>
    <w:rPr>
      <w:rFonts w:ascii="Arial" w:eastAsia="Lucida Sans Unicode" w:hAnsi="Arial" w:cs="Arial"/>
      <w:b/>
      <w:bCs/>
      <w:kern w:val="1"/>
      <w:szCs w:val="24"/>
    </w:rPr>
  </w:style>
  <w:style w:type="paragraph" w:styleId="Nagwek8">
    <w:name w:val="heading 8"/>
    <w:basedOn w:val="Normalny"/>
    <w:next w:val="Normalny"/>
    <w:link w:val="Nagwek8Znak"/>
    <w:uiPriority w:val="9"/>
    <w:qFormat/>
    <w:rsid w:val="00F45500"/>
    <w:pPr>
      <w:keepNext/>
      <w:tabs>
        <w:tab w:val="num" w:pos="0"/>
        <w:tab w:val="left" w:pos="360"/>
        <w:tab w:val="left" w:pos="720"/>
      </w:tabs>
      <w:overflowPunct/>
      <w:autoSpaceDE/>
      <w:spacing w:line="360" w:lineRule="auto"/>
      <w:jc w:val="center"/>
      <w:textAlignment w:val="auto"/>
      <w:outlineLvl w:val="7"/>
    </w:pPr>
    <w:rPr>
      <w:rFonts w:ascii="Tahoma" w:eastAsia="Lucida Sans Unicode" w:hAnsi="Tahoma" w:cs="Tahoma"/>
      <w:b/>
      <w:kern w:val="1"/>
      <w:sz w:val="22"/>
      <w:szCs w:val="24"/>
    </w:rPr>
  </w:style>
  <w:style w:type="paragraph" w:styleId="Nagwek9">
    <w:name w:val="heading 9"/>
    <w:basedOn w:val="Normalny"/>
    <w:next w:val="Normalny"/>
    <w:link w:val="Nagwek9Znak"/>
    <w:uiPriority w:val="9"/>
    <w:qFormat/>
    <w:rsid w:val="00F45500"/>
    <w:pPr>
      <w:keepNext/>
      <w:overflowPunct/>
      <w:autoSpaceDE/>
      <w:textAlignment w:val="auto"/>
      <w:outlineLvl w:val="8"/>
    </w:pPr>
    <w:rPr>
      <w:rFonts w:ascii="Arial" w:eastAsia="Lucida Sans Unicode" w:hAnsi="Arial" w:cs="Arial"/>
      <w:kern w:val="1"/>
      <w:szCs w:val="24"/>
      <w:u w:val="singl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przypiswdolnych">
    <w:name w:val="Znaki przypisów dolnych"/>
  </w:style>
  <w:style w:type="character" w:styleId="Numerstrony">
    <w:name w:val="page number"/>
    <w:basedOn w:val="WW-Domylnaczcionkaakapitu"/>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Hipercze">
    <w:name w:val="Hyperlink"/>
    <w:uiPriority w:val="99"/>
    <w:rPr>
      <w:color w:val="0000FF"/>
      <w:u w:val="single"/>
    </w:rPr>
  </w:style>
  <w:style w:type="character" w:customStyle="1" w:styleId="Znakiprzypiswkocowych">
    <w:name w:val="Znaki przypisów końcowych"/>
  </w:style>
  <w:style w:type="character" w:customStyle="1" w:styleId="WW8Num3z0">
    <w:name w:val="WW8Num3z0"/>
    <w:rPr>
      <w:rFonts w:ascii="Times New Roman" w:hAnsi="Times New Roman" w:cs="Times New Roman"/>
    </w:rPr>
  </w:style>
  <w:style w:type="character" w:customStyle="1" w:styleId="WW8Num3z1">
    <w:name w:val="WW8Num3z1"/>
    <w:rPr>
      <w:rFonts w:ascii="Courier New" w:hAnsi="Courier New"/>
    </w:rPr>
  </w:style>
  <w:style w:type="character" w:customStyle="1" w:styleId="WW8Num3z2">
    <w:name w:val="WW8Num3z2"/>
    <w:rPr>
      <w:rFonts w:ascii="Wingdings" w:hAnsi="Wingdings"/>
    </w:rPr>
  </w:style>
  <w:style w:type="character" w:customStyle="1" w:styleId="WW8Num3z3">
    <w:name w:val="WW8Num3z3"/>
    <w:rPr>
      <w:rFonts w:ascii="Symbol" w:hAnsi="Symbol"/>
    </w:rPr>
  </w:style>
  <w:style w:type="character" w:customStyle="1" w:styleId="WW8Num4z0">
    <w:name w:val="WW8Num4z0"/>
    <w:rPr>
      <w:rFonts w:ascii="Times New Roman" w:hAnsi="Times New Roman" w:cs="Times New Roman"/>
    </w:rPr>
  </w:style>
  <w:style w:type="character" w:customStyle="1" w:styleId="WW8Num4z1">
    <w:name w:val="WW8Num4z1"/>
    <w:rPr>
      <w:rFonts w:ascii="Courier New" w:hAnsi="Courier New"/>
    </w:rPr>
  </w:style>
  <w:style w:type="character" w:customStyle="1" w:styleId="WW8Num4z2">
    <w:name w:val="WW8Num4z2"/>
    <w:rPr>
      <w:rFonts w:ascii="Wingdings" w:hAnsi="Wingdings"/>
    </w:rPr>
  </w:style>
  <w:style w:type="character" w:customStyle="1" w:styleId="WW8Num4z3">
    <w:name w:val="WW8Num4z3"/>
    <w:rPr>
      <w:rFonts w:ascii="Symbol" w:hAnsi="Symbol"/>
    </w:rPr>
  </w:style>
  <w:style w:type="character" w:customStyle="1" w:styleId="WW8Num5z0">
    <w:name w:val="WW8Num5z0"/>
    <w:rPr>
      <w:rFonts w:ascii="Symbol" w:hAnsi="Symbol"/>
    </w:rPr>
  </w:style>
  <w:style w:type="character" w:customStyle="1" w:styleId="WW8Num5z1">
    <w:name w:val="WW8Num5z1"/>
    <w:rPr>
      <w:rFonts w:ascii="Courier New" w:hAnsi="Courier New"/>
    </w:rPr>
  </w:style>
  <w:style w:type="character" w:customStyle="1" w:styleId="WW8Num5z2">
    <w:name w:val="WW8Num5z2"/>
    <w:rPr>
      <w:rFonts w:ascii="Wingdings" w:hAnsi="Wingdings"/>
    </w:rPr>
  </w:style>
  <w:style w:type="character" w:customStyle="1" w:styleId="WW8Num6z0">
    <w:name w:val="WW8Num6z0"/>
    <w:rPr>
      <w:rFonts w:ascii="Times New Roman" w:hAnsi="Times New Roman" w:cs="Times New Roman"/>
    </w:rPr>
  </w:style>
  <w:style w:type="character" w:customStyle="1" w:styleId="WW8Num6z1">
    <w:name w:val="WW8Num6z1"/>
    <w:rPr>
      <w:rFonts w:ascii="Wingdings" w:hAnsi="Wingdings"/>
    </w:rPr>
  </w:style>
  <w:style w:type="character" w:customStyle="1" w:styleId="WW8Num6z2">
    <w:name w:val="WW8Num6z2"/>
    <w:rPr>
      <w:rFonts w:ascii="Times New Roman" w:eastAsia="Times New Roman" w:hAnsi="Times New Roman" w:cs="Times New Roman"/>
    </w:rPr>
  </w:style>
  <w:style w:type="character" w:customStyle="1" w:styleId="WW8Num6z3">
    <w:name w:val="WW8Num6z3"/>
    <w:rPr>
      <w:rFonts w:ascii="Symbol" w:hAnsi="Symbol"/>
    </w:rPr>
  </w:style>
  <w:style w:type="character" w:customStyle="1" w:styleId="WW8Num6z4">
    <w:name w:val="WW8Num6z4"/>
    <w:rPr>
      <w:rFonts w:ascii="Courier New" w:hAnsi="Courier New"/>
    </w:rPr>
  </w:style>
  <w:style w:type="character" w:customStyle="1" w:styleId="WW8Num8z0">
    <w:name w:val="WW8Num8z0"/>
    <w:rPr>
      <w:rFonts w:ascii="Symbol" w:hAnsi="Symbol"/>
    </w:rPr>
  </w:style>
  <w:style w:type="character" w:customStyle="1" w:styleId="WW8Num8z1">
    <w:name w:val="WW8Num8z1"/>
    <w:rPr>
      <w:rFonts w:ascii="Wingdings" w:hAnsi="Wingdings"/>
      <w:b/>
      <w:i w:val="0"/>
    </w:rPr>
  </w:style>
  <w:style w:type="character" w:customStyle="1" w:styleId="WW8Num8z2">
    <w:name w:val="WW8Num8z2"/>
    <w:rPr>
      <w:rFonts w:ascii="Wingdings" w:hAnsi="Wingdings"/>
    </w:rPr>
  </w:style>
  <w:style w:type="character" w:customStyle="1" w:styleId="WW8Num8z4">
    <w:name w:val="WW8Num8z4"/>
    <w:rPr>
      <w:rFonts w:ascii="Courier New" w:hAnsi="Courier New"/>
    </w:rPr>
  </w:style>
  <w:style w:type="character" w:customStyle="1" w:styleId="WW8Num9z0">
    <w:name w:val="WW8Num9z0"/>
    <w:rPr>
      <w:rFonts w:ascii="Times New Roman" w:hAnsi="Times New Roman" w:cs="Times New Roman"/>
    </w:rPr>
  </w:style>
  <w:style w:type="character" w:customStyle="1" w:styleId="WW8Num9z1">
    <w:name w:val="WW8Num9z1"/>
    <w:rPr>
      <w:rFonts w:ascii="Courier New" w:hAnsi="Courier New"/>
    </w:rPr>
  </w:style>
  <w:style w:type="character" w:customStyle="1" w:styleId="WW8Num9z2">
    <w:name w:val="WW8Num9z2"/>
    <w:rPr>
      <w:rFonts w:ascii="Wingdings" w:hAnsi="Wingdings"/>
    </w:rPr>
  </w:style>
  <w:style w:type="character" w:customStyle="1" w:styleId="WW8Num9z3">
    <w:name w:val="WW8Num9z3"/>
    <w:rPr>
      <w:rFonts w:ascii="Symbol" w:hAnsi="Symbol"/>
    </w:rPr>
  </w:style>
  <w:style w:type="character" w:customStyle="1" w:styleId="WW8Num10z0">
    <w:name w:val="WW8Num10z0"/>
    <w:rPr>
      <w:rFonts w:ascii="Times New Roman" w:hAnsi="Times New Roman" w:cs="Times New Roman"/>
    </w:rPr>
  </w:style>
  <w:style w:type="character" w:customStyle="1" w:styleId="WW8Num10z1">
    <w:name w:val="WW8Num10z1"/>
    <w:rPr>
      <w:rFonts w:ascii="Courier New" w:hAnsi="Courier New"/>
    </w:rPr>
  </w:style>
  <w:style w:type="character" w:customStyle="1" w:styleId="WW8Num10z2">
    <w:name w:val="WW8Num10z2"/>
    <w:rPr>
      <w:rFonts w:ascii="Wingdings" w:hAnsi="Wingdings"/>
    </w:rPr>
  </w:style>
  <w:style w:type="character" w:customStyle="1" w:styleId="WW8Num10z3">
    <w:name w:val="WW8Num10z3"/>
    <w:rPr>
      <w:rFonts w:ascii="Symbol" w:hAnsi="Symbol"/>
    </w:rPr>
  </w:style>
  <w:style w:type="character" w:customStyle="1" w:styleId="WW8Num11z0">
    <w:name w:val="WW8Num11z0"/>
    <w:rPr>
      <w:rFonts w:ascii="Symbol" w:hAnsi="Symbol"/>
    </w:rPr>
  </w:style>
  <w:style w:type="character" w:customStyle="1" w:styleId="WW8Num11z1">
    <w:name w:val="WW8Num11z1"/>
    <w:rPr>
      <w:rFonts w:ascii="Courier New" w:hAnsi="Courier New"/>
    </w:rPr>
  </w:style>
  <w:style w:type="character" w:customStyle="1" w:styleId="WW8Num11z2">
    <w:name w:val="WW8Num11z2"/>
    <w:rPr>
      <w:rFonts w:ascii="Wingdings" w:hAnsi="Wingdings"/>
    </w:rPr>
  </w:style>
  <w:style w:type="character" w:customStyle="1" w:styleId="WW8Num12z0">
    <w:name w:val="WW8Num12z0"/>
    <w:rPr>
      <w:rFonts w:ascii="Symbol" w:hAnsi="Symbol"/>
    </w:rPr>
  </w:style>
  <w:style w:type="character" w:customStyle="1" w:styleId="WW8Num12z2">
    <w:name w:val="WW8Num12z2"/>
    <w:rPr>
      <w:rFonts w:ascii="Wingdings" w:hAnsi="Wingdings"/>
    </w:rPr>
  </w:style>
  <w:style w:type="character" w:customStyle="1" w:styleId="WW8Num12z4">
    <w:name w:val="WW8Num12z4"/>
    <w:rPr>
      <w:rFonts w:ascii="Courier New" w:hAnsi="Courier New"/>
    </w:rPr>
  </w:style>
  <w:style w:type="character" w:customStyle="1" w:styleId="WW8Num13z0">
    <w:name w:val="WW8Num13z0"/>
    <w:rPr>
      <w:rFonts w:ascii="Wingdings" w:hAnsi="Wingdings"/>
    </w:rPr>
  </w:style>
  <w:style w:type="character" w:customStyle="1" w:styleId="WW8Num14z0">
    <w:name w:val="WW8Num14z0"/>
    <w:rPr>
      <w:rFonts w:ascii="Symbol" w:hAnsi="Symbol"/>
    </w:rPr>
  </w:style>
  <w:style w:type="character" w:customStyle="1" w:styleId="WW8Num14z1">
    <w:name w:val="WW8Num14z1"/>
    <w:rPr>
      <w:rFonts w:ascii="Courier New" w:hAnsi="Courier New"/>
    </w:rPr>
  </w:style>
  <w:style w:type="character" w:customStyle="1" w:styleId="WW8Num14z2">
    <w:name w:val="WW8Num14z2"/>
    <w:rPr>
      <w:rFonts w:ascii="Wingdings" w:hAnsi="Wingdings"/>
    </w:rPr>
  </w:style>
  <w:style w:type="character" w:customStyle="1" w:styleId="WW8Num15z0">
    <w:name w:val="WW8Num15z0"/>
    <w:rPr>
      <w:rFonts w:ascii="Symbol" w:hAnsi="Symbol"/>
    </w:rPr>
  </w:style>
  <w:style w:type="character" w:customStyle="1" w:styleId="WW8Num15z1">
    <w:name w:val="WW8Num15z1"/>
    <w:rPr>
      <w:rFonts w:ascii="Courier New" w:hAnsi="Courier New"/>
    </w:rPr>
  </w:style>
  <w:style w:type="character" w:customStyle="1" w:styleId="WW8Num15z2">
    <w:name w:val="WW8Num15z2"/>
    <w:rPr>
      <w:rFonts w:ascii="Wingdings" w:hAnsi="Wingdings"/>
    </w:rPr>
  </w:style>
  <w:style w:type="character" w:customStyle="1" w:styleId="WW8Num16z0">
    <w:name w:val="WW8Num16z0"/>
    <w:rPr>
      <w:rFonts w:ascii="Symbol" w:hAnsi="Symbol"/>
    </w:rPr>
  </w:style>
  <w:style w:type="character" w:customStyle="1" w:styleId="WW8Num16z1">
    <w:name w:val="WW8Num16z1"/>
    <w:rPr>
      <w:rFonts w:ascii="Courier New" w:hAnsi="Courier New"/>
    </w:rPr>
  </w:style>
  <w:style w:type="character" w:customStyle="1" w:styleId="WW8Num16z2">
    <w:name w:val="WW8Num16z2"/>
    <w:rPr>
      <w:rFonts w:ascii="Wingdings" w:hAnsi="Wingdings"/>
    </w:rPr>
  </w:style>
  <w:style w:type="character" w:customStyle="1" w:styleId="WW8Num17z0">
    <w:name w:val="WW8Num17z0"/>
    <w:rPr>
      <w:rFonts w:ascii="Symbol" w:hAnsi="Symbol"/>
    </w:rPr>
  </w:style>
  <w:style w:type="character" w:customStyle="1" w:styleId="WW8Num17z1">
    <w:name w:val="WW8Num17z1"/>
    <w:rPr>
      <w:rFonts w:ascii="Courier New" w:hAnsi="Courier New"/>
    </w:rPr>
  </w:style>
  <w:style w:type="character" w:customStyle="1" w:styleId="WW8Num17z2">
    <w:name w:val="WW8Num17z2"/>
    <w:rPr>
      <w:rFonts w:ascii="Wingdings" w:hAnsi="Wingdings"/>
    </w:rPr>
  </w:style>
  <w:style w:type="character" w:customStyle="1" w:styleId="WW8Num18z0">
    <w:name w:val="WW8Num18z0"/>
    <w:rPr>
      <w:rFonts w:ascii="Times New Roman" w:hAnsi="Times New Roman" w:cs="Times New Roman"/>
    </w:rPr>
  </w:style>
  <w:style w:type="character" w:customStyle="1" w:styleId="WW8Num19z0">
    <w:name w:val="WW8Num19z0"/>
    <w:rPr>
      <w:rFonts w:ascii="Times New Roman" w:eastAsia="Times New Roman" w:hAnsi="Times New Roman" w:cs="Times New Roman"/>
    </w:rPr>
  </w:style>
  <w:style w:type="character" w:customStyle="1" w:styleId="WW8Num19z1">
    <w:name w:val="WW8Num19z1"/>
    <w:rPr>
      <w:rFonts w:ascii="Courier New" w:hAnsi="Courier New"/>
    </w:rPr>
  </w:style>
  <w:style w:type="character" w:customStyle="1" w:styleId="WW8Num19z2">
    <w:name w:val="WW8Num19z2"/>
    <w:rPr>
      <w:rFonts w:ascii="Wingdings" w:hAnsi="Wingdings"/>
    </w:rPr>
  </w:style>
  <w:style w:type="character" w:customStyle="1" w:styleId="WW8Num19z3">
    <w:name w:val="WW8Num19z3"/>
    <w:rPr>
      <w:rFonts w:ascii="Symbol" w:hAnsi="Symbol"/>
    </w:rPr>
  </w:style>
  <w:style w:type="character" w:customStyle="1" w:styleId="WW8Num20z0">
    <w:name w:val="WW8Num20z0"/>
    <w:rPr>
      <w:rFonts w:ascii="Wingdings" w:hAnsi="Wingdings"/>
    </w:rPr>
  </w:style>
  <w:style w:type="character" w:customStyle="1" w:styleId="WW8Num21z1">
    <w:name w:val="WW8Num21z1"/>
    <w:rPr>
      <w:rFonts w:ascii="Courier New" w:hAnsi="Courier New"/>
    </w:rPr>
  </w:style>
  <w:style w:type="character" w:customStyle="1" w:styleId="WW8Num21z2">
    <w:name w:val="WW8Num21z2"/>
    <w:rPr>
      <w:rFonts w:ascii="Wingdings" w:hAnsi="Wingdings"/>
    </w:rPr>
  </w:style>
  <w:style w:type="character" w:customStyle="1" w:styleId="WW8Num21z3">
    <w:name w:val="WW8Num21z3"/>
    <w:rPr>
      <w:rFonts w:ascii="Symbol" w:hAnsi="Symbol"/>
    </w:rPr>
  </w:style>
  <w:style w:type="character" w:customStyle="1" w:styleId="WW8Num22z0">
    <w:name w:val="WW8Num22z0"/>
    <w:rPr>
      <w:rFonts w:ascii="Symbol" w:hAnsi="Symbol"/>
    </w:rPr>
  </w:style>
  <w:style w:type="character" w:customStyle="1" w:styleId="WW8Num22z1">
    <w:name w:val="WW8Num22z1"/>
    <w:rPr>
      <w:rFonts w:ascii="Letter Gothic" w:hAnsi="Letter Gothic"/>
    </w:rPr>
  </w:style>
  <w:style w:type="character" w:customStyle="1" w:styleId="WW8Num22z2">
    <w:name w:val="WW8Num22z2"/>
    <w:rPr>
      <w:rFonts w:ascii="Wingdings" w:hAnsi="Wingdings"/>
    </w:rPr>
  </w:style>
  <w:style w:type="character" w:customStyle="1" w:styleId="WW8Num24z0">
    <w:name w:val="WW8Num24z0"/>
    <w:rPr>
      <w:rFonts w:ascii="Times New Roman" w:hAnsi="Times New Roman" w:cs="Times New Roman"/>
    </w:rPr>
  </w:style>
  <w:style w:type="character" w:customStyle="1" w:styleId="WW8Num28z0">
    <w:name w:val="WW8Num28z0"/>
    <w:rPr>
      <w:rFonts w:ascii="Times New Roman" w:hAnsi="Times New Roman" w:cs="Times New Roman"/>
    </w:rPr>
  </w:style>
  <w:style w:type="character" w:customStyle="1" w:styleId="WW8Num29z0">
    <w:name w:val="WW8Num29z0"/>
    <w:rPr>
      <w:rFonts w:ascii="Wingdings" w:hAnsi="Wingdings"/>
    </w:rPr>
  </w:style>
  <w:style w:type="character" w:customStyle="1" w:styleId="WW8Num30z0">
    <w:name w:val="WW8Num30z0"/>
    <w:rPr>
      <w:rFonts w:ascii="Times New Roman" w:eastAsia="Times New Roman" w:hAnsi="Times New Roman" w:cs="Times New Roman"/>
    </w:rPr>
  </w:style>
  <w:style w:type="character" w:customStyle="1" w:styleId="WW8Num30z1">
    <w:name w:val="WW8Num30z1"/>
    <w:rPr>
      <w:rFonts w:ascii="Courier New" w:hAnsi="Courier New"/>
    </w:rPr>
  </w:style>
  <w:style w:type="character" w:customStyle="1" w:styleId="WW8Num30z2">
    <w:name w:val="WW8Num30z2"/>
    <w:rPr>
      <w:rFonts w:ascii="Wingdings" w:hAnsi="Wingdings"/>
    </w:rPr>
  </w:style>
  <w:style w:type="character" w:customStyle="1" w:styleId="WW8Num30z3">
    <w:name w:val="WW8Num30z3"/>
    <w:rPr>
      <w:rFonts w:ascii="Symbol" w:hAnsi="Symbol"/>
    </w:rPr>
  </w:style>
  <w:style w:type="character" w:customStyle="1" w:styleId="WW8Num31z0">
    <w:name w:val="WW8Num31z0"/>
    <w:rPr>
      <w:rFonts w:ascii="Times New Roman" w:hAnsi="Times New Roman" w:cs="Times New Roman"/>
    </w:rPr>
  </w:style>
  <w:style w:type="character" w:customStyle="1" w:styleId="WW8Num32z0">
    <w:name w:val="WW8Num32z0"/>
    <w:rPr>
      <w:rFonts w:ascii="Wingdings" w:hAnsi="Wingdings"/>
    </w:rPr>
  </w:style>
  <w:style w:type="character" w:customStyle="1" w:styleId="WW8Num32z1">
    <w:name w:val="WW8Num32z1"/>
    <w:rPr>
      <w:rFonts w:ascii="Courier New" w:hAnsi="Courier New"/>
    </w:rPr>
  </w:style>
  <w:style w:type="character" w:customStyle="1" w:styleId="WW8Num32z3">
    <w:name w:val="WW8Num32z3"/>
    <w:rPr>
      <w:rFonts w:ascii="Symbol" w:hAnsi="Symbol"/>
    </w:rPr>
  </w:style>
  <w:style w:type="character" w:customStyle="1" w:styleId="WW8Num34z0">
    <w:name w:val="WW8Num34z0"/>
    <w:rPr>
      <w:rFonts w:ascii="Symbol" w:hAnsi="Symbol"/>
    </w:rPr>
  </w:style>
  <w:style w:type="character" w:customStyle="1" w:styleId="WW8Num34z1">
    <w:name w:val="WW8Num34z1"/>
    <w:rPr>
      <w:rFonts w:ascii="Courier New" w:hAnsi="Courier New"/>
    </w:rPr>
  </w:style>
  <w:style w:type="character" w:customStyle="1" w:styleId="WW8Num34z2">
    <w:name w:val="WW8Num34z2"/>
    <w:rPr>
      <w:rFonts w:ascii="Wingdings" w:hAnsi="Wingdings"/>
    </w:rPr>
  </w:style>
  <w:style w:type="character" w:customStyle="1" w:styleId="WW8Num35z0">
    <w:name w:val="WW8Num35z0"/>
    <w:rPr>
      <w:sz w:val="24"/>
      <w:szCs w:val="24"/>
    </w:rPr>
  </w:style>
  <w:style w:type="character" w:customStyle="1" w:styleId="WW8Num37z0">
    <w:name w:val="WW8Num37z0"/>
    <w:rPr>
      <w:rFonts w:ascii="Symbol" w:hAnsi="Symbol"/>
    </w:rPr>
  </w:style>
  <w:style w:type="character" w:customStyle="1" w:styleId="WW8Num37z1">
    <w:name w:val="WW8Num37z1"/>
    <w:rPr>
      <w:rFonts w:ascii="Courier New" w:hAnsi="Courier New"/>
    </w:rPr>
  </w:style>
  <w:style w:type="character" w:customStyle="1" w:styleId="WW8Num37z2">
    <w:name w:val="WW8Num37z2"/>
    <w:rPr>
      <w:rFonts w:ascii="Wingdings" w:hAnsi="Wingdings"/>
    </w:rPr>
  </w:style>
  <w:style w:type="character" w:customStyle="1" w:styleId="WW8Num38z0">
    <w:name w:val="WW8Num38z0"/>
    <w:rPr>
      <w:rFonts w:ascii="Symbol" w:hAnsi="Symbol"/>
    </w:rPr>
  </w:style>
  <w:style w:type="character" w:customStyle="1" w:styleId="WW8Num38z1">
    <w:name w:val="WW8Num38z1"/>
    <w:rPr>
      <w:rFonts w:ascii="Courier New" w:hAnsi="Courier New"/>
    </w:rPr>
  </w:style>
  <w:style w:type="character" w:customStyle="1" w:styleId="WW8Num38z2">
    <w:name w:val="WW8Num38z2"/>
    <w:rPr>
      <w:rFonts w:ascii="Wingdings" w:hAnsi="Wingdings"/>
    </w:rPr>
  </w:style>
  <w:style w:type="character" w:customStyle="1" w:styleId="WW8Num39z0">
    <w:name w:val="WW8Num39z0"/>
    <w:rPr>
      <w:rFonts w:ascii="Times New Roman" w:hAnsi="Times New Roman" w:cs="Times New Roman"/>
    </w:rPr>
  </w:style>
  <w:style w:type="character" w:customStyle="1" w:styleId="WW8Num39z1">
    <w:name w:val="WW8Num39z1"/>
    <w:rPr>
      <w:rFonts w:ascii="Courier New" w:hAnsi="Courier New"/>
    </w:rPr>
  </w:style>
  <w:style w:type="character" w:customStyle="1" w:styleId="WW8Num39z2">
    <w:name w:val="WW8Num39z2"/>
    <w:rPr>
      <w:rFonts w:ascii="Wingdings" w:hAnsi="Wingdings"/>
    </w:rPr>
  </w:style>
  <w:style w:type="character" w:customStyle="1" w:styleId="WW8Num39z3">
    <w:name w:val="WW8Num39z3"/>
    <w:rPr>
      <w:rFonts w:ascii="Symbol" w:hAnsi="Symbol"/>
    </w:rPr>
  </w:style>
  <w:style w:type="character" w:customStyle="1" w:styleId="WW8Num40z0">
    <w:name w:val="WW8Num40z0"/>
    <w:rPr>
      <w:rFonts w:ascii="Wingdings" w:hAnsi="Wingdings"/>
    </w:rPr>
  </w:style>
  <w:style w:type="character" w:customStyle="1" w:styleId="WW8Num41z0">
    <w:name w:val="WW8Num41z0"/>
    <w:rPr>
      <w:rFonts w:ascii="Times New Roman" w:hAnsi="Times New Roman" w:cs="Times New Roman"/>
    </w:rPr>
  </w:style>
  <w:style w:type="character" w:customStyle="1" w:styleId="WW8Num41z1">
    <w:name w:val="WW8Num41z1"/>
    <w:rPr>
      <w:rFonts w:ascii="Courier New" w:hAnsi="Courier New"/>
    </w:rPr>
  </w:style>
  <w:style w:type="character" w:customStyle="1" w:styleId="WW8Num41z2">
    <w:name w:val="WW8Num41z2"/>
    <w:rPr>
      <w:rFonts w:ascii="Wingdings" w:hAnsi="Wingdings"/>
    </w:rPr>
  </w:style>
  <w:style w:type="character" w:customStyle="1" w:styleId="WW8Num41z3">
    <w:name w:val="WW8Num41z3"/>
    <w:rPr>
      <w:rFonts w:ascii="Symbol" w:hAnsi="Symbol"/>
    </w:rPr>
  </w:style>
  <w:style w:type="character" w:customStyle="1" w:styleId="WW8Num42z0">
    <w:name w:val="WW8Num42z0"/>
    <w:rPr>
      <w:rFonts w:ascii="Symbol" w:hAnsi="Symbol"/>
    </w:rPr>
  </w:style>
  <w:style w:type="character" w:customStyle="1" w:styleId="WW8Num42z2">
    <w:name w:val="WW8Num42z2"/>
    <w:rPr>
      <w:rFonts w:ascii="Wingdings" w:hAnsi="Wingdings"/>
    </w:rPr>
  </w:style>
  <w:style w:type="character" w:customStyle="1" w:styleId="WW8Num42z4">
    <w:name w:val="WW8Num42z4"/>
    <w:rPr>
      <w:rFonts w:ascii="Courier New" w:hAnsi="Courier New"/>
    </w:rPr>
  </w:style>
  <w:style w:type="character" w:customStyle="1" w:styleId="WW8Num43z0">
    <w:name w:val="WW8Num43z0"/>
    <w:rPr>
      <w:rFonts w:ascii="Symbol" w:hAnsi="Symbol"/>
    </w:rPr>
  </w:style>
  <w:style w:type="character" w:customStyle="1" w:styleId="WW8Num43z1">
    <w:name w:val="WW8Num43z1"/>
    <w:rPr>
      <w:rFonts w:ascii="Wingdings" w:hAnsi="Wingdings"/>
    </w:rPr>
  </w:style>
  <w:style w:type="character" w:customStyle="1" w:styleId="WW8Num43z2">
    <w:name w:val="WW8Num43z2"/>
    <w:rPr>
      <w:rFonts w:ascii="Times New Roman" w:eastAsia="Times New Roman" w:hAnsi="Times New Roman" w:cs="Times New Roman"/>
    </w:rPr>
  </w:style>
  <w:style w:type="character" w:customStyle="1" w:styleId="WW8Num43z4">
    <w:name w:val="WW8Num43z4"/>
    <w:rPr>
      <w:rFonts w:ascii="Courier New" w:hAnsi="Courier New"/>
    </w:rPr>
  </w:style>
  <w:style w:type="character" w:customStyle="1" w:styleId="WW8Num44z0">
    <w:name w:val="WW8Num44z0"/>
    <w:rPr>
      <w:rFonts w:ascii="Symbol" w:hAnsi="Symbol"/>
    </w:rPr>
  </w:style>
  <w:style w:type="character" w:customStyle="1" w:styleId="WW8Num44z1">
    <w:name w:val="WW8Num44z1"/>
    <w:rPr>
      <w:rFonts w:ascii="Courier New" w:hAnsi="Courier New"/>
    </w:rPr>
  </w:style>
  <w:style w:type="character" w:customStyle="1" w:styleId="WW8Num44z2">
    <w:name w:val="WW8Num44z2"/>
    <w:rPr>
      <w:rFonts w:ascii="Wingdings" w:hAnsi="Wingdings"/>
    </w:rPr>
  </w:style>
  <w:style w:type="character" w:customStyle="1" w:styleId="WW8NumSt2z0">
    <w:name w:val="WW8NumSt2z0"/>
    <w:rPr>
      <w:rFonts w:ascii="Wingdings" w:hAnsi="Wingdings"/>
    </w:rPr>
  </w:style>
  <w:style w:type="character" w:customStyle="1" w:styleId="WW8NumSt3z0">
    <w:name w:val="WW8NumSt3z0"/>
    <w:rPr>
      <w:rFonts w:ascii="Wingdings" w:hAnsi="Wingdings"/>
    </w:rPr>
  </w:style>
  <w:style w:type="character" w:customStyle="1" w:styleId="WW8NumSt4z0">
    <w:name w:val="WW8NumSt4z0"/>
    <w:rPr>
      <w:rFonts w:ascii="Wingdings" w:hAnsi="Wingdings"/>
    </w:rPr>
  </w:style>
  <w:style w:type="character" w:customStyle="1" w:styleId="WW8NumSt5z0">
    <w:name w:val="WW8NumSt5z0"/>
    <w:rPr>
      <w:rFonts w:ascii="Wingdings" w:hAnsi="Wingdings"/>
    </w:rPr>
  </w:style>
  <w:style w:type="character" w:customStyle="1" w:styleId="WW8NumSt7z0">
    <w:name w:val="WW8NumSt7z0"/>
    <w:rPr>
      <w:rFonts w:ascii="Symbol" w:hAnsi="Symbol"/>
    </w:rPr>
  </w:style>
  <w:style w:type="character" w:customStyle="1" w:styleId="WW8NumSt7z1">
    <w:name w:val="WW8NumSt7z1"/>
    <w:rPr>
      <w:rFonts w:ascii="Courier New" w:hAnsi="Courier New"/>
    </w:rPr>
  </w:style>
  <w:style w:type="character" w:customStyle="1" w:styleId="WW8NumSt7z2">
    <w:name w:val="WW8NumSt7z2"/>
    <w:rPr>
      <w:rFonts w:ascii="Wingdings" w:hAnsi="Wingdings"/>
    </w:rPr>
  </w:style>
  <w:style w:type="character" w:customStyle="1" w:styleId="WW-Domylnaczcionkaakapitu">
    <w:name w:val="WW-Domyślna czcionka akapitu"/>
  </w:style>
  <w:style w:type="character" w:customStyle="1" w:styleId="WW-DefaultParagraphFont">
    <w:name w:val="WW-Default Paragraph Font"/>
  </w:style>
  <w:style w:type="character" w:customStyle="1" w:styleId="WW-Znakinumeracji">
    <w:name w:val="WW-Znaki numeracji"/>
  </w:style>
  <w:style w:type="character" w:customStyle="1" w:styleId="WW-Znakinumeracji1">
    <w:name w:val="WW-Znaki numeracji1"/>
  </w:style>
  <w:style w:type="character" w:customStyle="1" w:styleId="WW-Symbolewypunktowania">
    <w:name w:val="WW-Symbole wypunktowania"/>
    <w:rPr>
      <w:rFonts w:ascii="StarSymbol" w:hAnsi="StarSymbol"/>
      <w:sz w:val="18"/>
    </w:rPr>
  </w:style>
  <w:style w:type="character" w:customStyle="1" w:styleId="WW-Symbolewypunktowania1">
    <w:name w:val="WW-Symbole wypunktowania1"/>
    <w:rPr>
      <w:rFonts w:ascii="StarSymbol" w:hAnsi="StarSymbol"/>
      <w:sz w:val="18"/>
    </w:rPr>
  </w:style>
  <w:style w:type="character" w:customStyle="1" w:styleId="arialnarow">
    <w:name w:val="arial narow"/>
    <w:rPr>
      <w:rFonts w:ascii="Arial Narrow" w:hAnsi="Arial Narrow"/>
      <w:sz w:val="22"/>
      <w:szCs w:val="22"/>
    </w:rPr>
  </w:style>
  <w:style w:type="character" w:styleId="Pogrubienie">
    <w:name w:val="Strong"/>
    <w:uiPriority w:val="22"/>
    <w:qFormat/>
    <w:rPr>
      <w:b/>
      <w:bCs/>
    </w:rPr>
  </w:style>
  <w:style w:type="character" w:styleId="Uwydatnienie">
    <w:name w:val="Emphasis"/>
    <w:qFormat/>
    <w:rPr>
      <w:i/>
      <w:iCs/>
    </w:rPr>
  </w:style>
  <w:style w:type="paragraph" w:styleId="Tekstpodstawowy">
    <w:name w:val="Body Text"/>
    <w:basedOn w:val="Normalny"/>
    <w:link w:val="TekstpodstawowyZnak"/>
    <w:qFormat/>
    <w:pPr>
      <w:spacing w:after="120"/>
    </w:pPr>
  </w:style>
  <w:style w:type="paragraph" w:styleId="Tekstpodstawowywcity">
    <w:name w:val="Body Text Indent"/>
    <w:aliases w:val=" Znak"/>
    <w:basedOn w:val="Normalny"/>
    <w:link w:val="TekstpodstawowywcityZnak"/>
    <w:pPr>
      <w:ind w:left="397"/>
      <w:jc w:val="both"/>
    </w:pPr>
  </w:style>
  <w:style w:type="paragraph" w:customStyle="1" w:styleId="Podpis1">
    <w:name w:val="Podpis1"/>
    <w:basedOn w:val="Normalny"/>
    <w:pPr>
      <w:suppressLineNumbers/>
      <w:spacing w:before="120" w:after="120"/>
    </w:pPr>
    <w:rPr>
      <w:rFonts w:cs="Tahoma"/>
      <w:i/>
      <w:iCs/>
      <w:sz w:val="20"/>
    </w:rPr>
  </w:style>
  <w:style w:type="paragraph" w:styleId="Nagwek">
    <w:name w:val="header"/>
    <w:basedOn w:val="Normalny"/>
    <w:next w:val="Tekstpodstawowy"/>
    <w:link w:val="NagwekZnak1"/>
    <w:pPr>
      <w:keepNext/>
      <w:spacing w:before="240" w:after="120"/>
    </w:pPr>
    <w:rPr>
      <w:rFonts w:ascii="Arial" w:hAnsi="Arial"/>
      <w:sz w:val="28"/>
    </w:rPr>
  </w:style>
  <w:style w:type="paragraph" w:customStyle="1" w:styleId="Nagwek10">
    <w:name w:val="Nagłówek1"/>
    <w:basedOn w:val="Normalny"/>
    <w:next w:val="Tekstpodstawowy"/>
    <w:pPr>
      <w:keepNext/>
      <w:spacing w:before="240" w:after="120"/>
    </w:pPr>
    <w:rPr>
      <w:rFonts w:ascii="Arial" w:eastAsia="MS Mincho" w:hAnsi="Arial" w:cs="Tahoma"/>
      <w:sz w:val="28"/>
      <w:szCs w:val="28"/>
    </w:rPr>
  </w:style>
  <w:style w:type="paragraph" w:styleId="Lista">
    <w:name w:val="List"/>
    <w:basedOn w:val="Tekstpodstawowy"/>
  </w:style>
  <w:style w:type="paragraph" w:styleId="Stopka">
    <w:name w:val="footer"/>
    <w:basedOn w:val="Normalny"/>
    <w:link w:val="StopkaZnak"/>
    <w:rsid w:val="00890A09"/>
    <w:pPr>
      <w:pBdr>
        <w:top w:val="single" w:sz="4" w:space="1" w:color="auto"/>
      </w:pBdr>
      <w:tabs>
        <w:tab w:val="right" w:pos="9298"/>
      </w:tabs>
    </w:pPr>
    <w:rPr>
      <w:rFonts w:ascii="Cambria" w:hAnsi="Cambria"/>
    </w:rPr>
  </w:style>
  <w:style w:type="paragraph" w:customStyle="1" w:styleId="Zawartotabeli">
    <w:name w:val="Zawartość tabeli"/>
    <w:basedOn w:val="Tekstpodstawowy"/>
    <w:pPr>
      <w:suppressLineNumbers/>
    </w:pPr>
  </w:style>
  <w:style w:type="paragraph" w:customStyle="1" w:styleId="Nagwektabeli">
    <w:name w:val="Nagłówek tabeli"/>
    <w:basedOn w:val="Zawartotabeli"/>
    <w:pPr>
      <w:jc w:val="center"/>
    </w:pPr>
    <w:rPr>
      <w:b/>
      <w:bCs/>
      <w:i/>
      <w:iCs/>
    </w:rPr>
  </w:style>
  <w:style w:type="paragraph" w:customStyle="1" w:styleId="Zawartoramki">
    <w:name w:val="Zawartość ramki"/>
    <w:basedOn w:val="Tekstpodstawowy"/>
  </w:style>
  <w:style w:type="paragraph" w:customStyle="1" w:styleId="Indeks">
    <w:name w:val="Indeks"/>
    <w:basedOn w:val="Normalny"/>
    <w:pPr>
      <w:suppressLineNumbers/>
    </w:pPr>
  </w:style>
  <w:style w:type="paragraph" w:styleId="Nagwekspisutreci">
    <w:name w:val="TOC Heading"/>
    <w:basedOn w:val="Nagwek"/>
    <w:uiPriority w:val="39"/>
    <w:qFormat/>
    <w:pPr>
      <w:suppressLineNumbers/>
    </w:pPr>
    <w:rPr>
      <w:b/>
      <w:bCs/>
      <w:sz w:val="32"/>
      <w:szCs w:val="32"/>
    </w:rPr>
  </w:style>
  <w:style w:type="paragraph" w:styleId="Spistreci1">
    <w:name w:val="toc 1"/>
    <w:basedOn w:val="Normalny"/>
    <w:next w:val="Normalny"/>
    <w:uiPriority w:val="39"/>
    <w:rsid w:val="008B60B4"/>
    <w:rPr>
      <w:rFonts w:ascii="Arial" w:hAnsi="Arial"/>
      <w:b/>
      <w:bCs/>
      <w:caps/>
      <w:szCs w:val="24"/>
    </w:rPr>
  </w:style>
  <w:style w:type="paragraph" w:styleId="Spistreci2">
    <w:name w:val="toc 2"/>
    <w:basedOn w:val="Normalny"/>
    <w:next w:val="Normalny"/>
    <w:rsid w:val="003E0CE5"/>
    <w:rPr>
      <w:rFonts w:ascii="Arial" w:hAnsi="Arial"/>
      <w:sz w:val="18"/>
      <w:szCs w:val="24"/>
    </w:rPr>
  </w:style>
  <w:style w:type="paragraph" w:styleId="Spistreci3">
    <w:name w:val="toc 3"/>
    <w:basedOn w:val="Normalny"/>
    <w:next w:val="Normalny"/>
    <w:rsid w:val="003E0CE5"/>
    <w:rPr>
      <w:rFonts w:ascii="Arial" w:hAnsi="Arial"/>
      <w:iCs/>
      <w:sz w:val="18"/>
      <w:szCs w:val="24"/>
    </w:rPr>
  </w:style>
  <w:style w:type="paragraph" w:styleId="Spistreci4">
    <w:name w:val="toc 4"/>
    <w:basedOn w:val="Normalny"/>
    <w:next w:val="Normalny"/>
    <w:rsid w:val="003E0CE5"/>
    <w:pPr>
      <w:ind w:left="284"/>
    </w:pPr>
    <w:rPr>
      <w:rFonts w:ascii="Arial" w:hAnsi="Arial"/>
      <w:sz w:val="18"/>
      <w:szCs w:val="21"/>
    </w:rPr>
  </w:style>
  <w:style w:type="paragraph" w:styleId="Spistreci5">
    <w:name w:val="toc 5"/>
    <w:basedOn w:val="Normalny"/>
    <w:next w:val="Normalny"/>
    <w:pPr>
      <w:ind w:left="960"/>
    </w:pPr>
    <w:rPr>
      <w:szCs w:val="21"/>
    </w:rPr>
  </w:style>
  <w:style w:type="paragraph" w:styleId="Spistreci6">
    <w:name w:val="toc 6"/>
    <w:basedOn w:val="Normalny"/>
    <w:next w:val="Normalny"/>
    <w:pPr>
      <w:ind w:left="1200"/>
    </w:pPr>
    <w:rPr>
      <w:szCs w:val="21"/>
    </w:rPr>
  </w:style>
  <w:style w:type="paragraph" w:styleId="Spistreci7">
    <w:name w:val="toc 7"/>
    <w:basedOn w:val="Normalny"/>
    <w:next w:val="Normalny"/>
    <w:pPr>
      <w:ind w:left="1440"/>
    </w:pPr>
    <w:rPr>
      <w:szCs w:val="21"/>
    </w:rPr>
  </w:style>
  <w:style w:type="paragraph" w:styleId="Spistreci8">
    <w:name w:val="toc 8"/>
    <w:basedOn w:val="Normalny"/>
    <w:next w:val="Normalny"/>
    <w:pPr>
      <w:ind w:left="1680"/>
    </w:pPr>
    <w:rPr>
      <w:szCs w:val="21"/>
    </w:rPr>
  </w:style>
  <w:style w:type="paragraph" w:styleId="Spistreci9">
    <w:name w:val="toc 9"/>
    <w:basedOn w:val="Normalny"/>
    <w:next w:val="Normalny"/>
    <w:pPr>
      <w:ind w:left="1920"/>
    </w:pPr>
    <w:rPr>
      <w:szCs w:val="21"/>
    </w:rPr>
  </w:style>
  <w:style w:type="paragraph" w:styleId="Tytu">
    <w:name w:val="Title"/>
    <w:basedOn w:val="Normalny"/>
    <w:next w:val="Podtytu"/>
    <w:link w:val="TytuZnak"/>
    <w:uiPriority w:val="10"/>
    <w:qFormat/>
    <w:pPr>
      <w:widowControl/>
      <w:suppressAutoHyphens w:val="0"/>
      <w:overflowPunct/>
      <w:autoSpaceDE/>
      <w:jc w:val="center"/>
      <w:textAlignment w:val="auto"/>
    </w:pPr>
    <w:rPr>
      <w:b/>
      <w:sz w:val="28"/>
    </w:rPr>
  </w:style>
  <w:style w:type="paragraph" w:styleId="Podtytu">
    <w:name w:val="Subtitle"/>
    <w:basedOn w:val="Normalny"/>
    <w:next w:val="Tekstpodstawowy"/>
    <w:link w:val="PodtytuZnak"/>
    <w:uiPriority w:val="11"/>
    <w:qFormat/>
    <w:pPr>
      <w:widowControl/>
      <w:suppressAutoHyphens w:val="0"/>
      <w:overflowPunct/>
      <w:autoSpaceDE/>
      <w:textAlignment w:val="auto"/>
    </w:pPr>
    <w:rPr>
      <w:b/>
      <w:sz w:val="28"/>
    </w:rPr>
  </w:style>
  <w:style w:type="paragraph" w:customStyle="1" w:styleId="Nagwek0">
    <w:name w:val="Nag?ówek"/>
    <w:basedOn w:val="Normalny"/>
    <w:next w:val="Tekstpodstawowy"/>
    <w:uiPriority w:val="99"/>
    <w:pPr>
      <w:keepNext/>
      <w:spacing w:before="240" w:after="120"/>
    </w:pPr>
    <w:rPr>
      <w:rFonts w:ascii="Arial" w:hAnsi="Arial"/>
      <w:sz w:val="28"/>
    </w:rPr>
  </w:style>
  <w:style w:type="paragraph" w:customStyle="1" w:styleId="WW-Indeks">
    <w:name w:val="WW-Indeks"/>
    <w:basedOn w:val="Normalny"/>
    <w:uiPriority w:val="99"/>
    <w:pPr>
      <w:suppressLineNumbers/>
    </w:pPr>
  </w:style>
  <w:style w:type="paragraph" w:customStyle="1" w:styleId="WW-Zwykytekst">
    <w:name w:val="WW-Zwykły tekst"/>
    <w:basedOn w:val="Normalny"/>
    <w:uiPriority w:val="99"/>
    <w:rPr>
      <w:rFonts w:ascii="Courier New" w:hAnsi="Courier New" w:cs="Courier New"/>
      <w:sz w:val="20"/>
    </w:rPr>
  </w:style>
  <w:style w:type="paragraph" w:customStyle="1" w:styleId="zwykytekst">
    <w:name w:val="zwykły tekst"/>
    <w:basedOn w:val="WW-Zwykytekst"/>
    <w:uiPriority w:val="99"/>
    <w:pPr>
      <w:widowControl/>
      <w:suppressAutoHyphens w:val="0"/>
      <w:overflowPunct/>
      <w:autoSpaceDE/>
      <w:textAlignment w:val="auto"/>
    </w:pPr>
    <w:rPr>
      <w:rFonts w:ascii="Arial" w:hAnsi="Arial" w:cs="Times New Roman"/>
    </w:rPr>
  </w:style>
  <w:style w:type="paragraph" w:customStyle="1" w:styleId="nagwek20">
    <w:name w:val="nagłówek 2"/>
    <w:basedOn w:val="Nagwek2"/>
    <w:uiPriority w:val="99"/>
    <w:pPr>
      <w:widowControl/>
      <w:suppressAutoHyphens w:val="0"/>
      <w:overflowPunct/>
      <w:autoSpaceDE/>
      <w:spacing w:before="0" w:after="0" w:line="360" w:lineRule="auto"/>
      <w:textAlignment w:val="auto"/>
    </w:pPr>
    <w:rPr>
      <w:rFonts w:ascii="Antique Olive" w:hAnsi="Antique Olive" w:cs="Times New Roman"/>
      <w:bCs w:val="0"/>
      <w:i w:val="0"/>
      <w:sz w:val="16"/>
      <w:szCs w:val="20"/>
      <w14:shadow w14:blurRad="50800" w14:dist="38100" w14:dir="2700000" w14:sx="100000" w14:sy="100000" w14:kx="0" w14:ky="0" w14:algn="tl">
        <w14:srgbClr w14:val="000000">
          <w14:alpha w14:val="60000"/>
        </w14:srgbClr>
      </w14:shadow>
    </w:rPr>
  </w:style>
  <w:style w:type="paragraph" w:customStyle="1" w:styleId="ZWYKYTEKST0">
    <w:name w:val="ZWYKŁY TEKST"/>
    <w:basedOn w:val="Normalny"/>
    <w:uiPriority w:val="99"/>
    <w:pPr>
      <w:widowControl/>
      <w:suppressAutoHyphens w:val="0"/>
      <w:overflowPunct/>
      <w:autoSpaceDE/>
      <w:textAlignment w:val="auto"/>
    </w:pPr>
    <w:rPr>
      <w:rFonts w:ascii="Arial" w:hAnsi="Arial" w:cs="Arial"/>
      <w:sz w:val="20"/>
      <w:szCs w:val="24"/>
    </w:rPr>
  </w:style>
  <w:style w:type="paragraph" w:customStyle="1" w:styleId="nagwek11">
    <w:name w:val="nagłówek 1"/>
    <w:basedOn w:val="Nagwek1"/>
    <w:uiPriority w:val="99"/>
    <w:pPr>
      <w:widowControl/>
      <w:suppressAutoHyphens w:val="0"/>
      <w:overflowPunct/>
      <w:autoSpaceDE/>
      <w:spacing w:before="0" w:after="0"/>
      <w:jc w:val="center"/>
      <w:textAlignment w:val="auto"/>
    </w:pPr>
    <w:rPr>
      <w:bCs/>
      <w:sz w:val="24"/>
    </w:rPr>
  </w:style>
  <w:style w:type="paragraph" w:customStyle="1" w:styleId="WW-Tekstpodstawowy2">
    <w:name w:val="WW-Tekst podstawowy 2"/>
    <w:basedOn w:val="Normalny"/>
    <w:pPr>
      <w:widowControl/>
      <w:suppressAutoHyphens w:val="0"/>
      <w:overflowPunct/>
      <w:autoSpaceDE/>
      <w:spacing w:line="360" w:lineRule="auto"/>
      <w:jc w:val="both"/>
      <w:textAlignment w:val="auto"/>
    </w:pPr>
    <w:rPr>
      <w:rFonts w:ascii="Antique Olive" w:hAnsi="Antique Olive"/>
      <w:sz w:val="20"/>
    </w:rPr>
  </w:style>
  <w:style w:type="paragraph" w:customStyle="1" w:styleId="WW-Tekstpodstawowy3">
    <w:name w:val="WW-Tekst podstawowy 3"/>
    <w:basedOn w:val="Normalny"/>
    <w:uiPriority w:val="99"/>
    <w:pPr>
      <w:spacing w:line="360" w:lineRule="auto"/>
    </w:pPr>
    <w:rPr>
      <w:rFonts w:ascii="Arial" w:hAnsi="Arial" w:cs="Arial"/>
      <w:sz w:val="22"/>
    </w:rPr>
  </w:style>
  <w:style w:type="paragraph" w:customStyle="1" w:styleId="WW-Tekstpodstawowywcity3">
    <w:name w:val="WW-Tekst podstawowy wci?ty 3"/>
    <w:basedOn w:val="Normalny"/>
    <w:pPr>
      <w:spacing w:line="360" w:lineRule="auto"/>
      <w:ind w:left="284" w:hanging="142"/>
    </w:pPr>
    <w:rPr>
      <w:rFonts w:ascii="Arial" w:hAnsi="Arial"/>
      <w:sz w:val="22"/>
    </w:rPr>
  </w:style>
  <w:style w:type="paragraph" w:customStyle="1" w:styleId="WW-Tekstdugiegocytatu">
    <w:name w:val="WW-Tekst d?ugiego cytatu"/>
    <w:basedOn w:val="Normalny"/>
    <w:uiPriority w:val="99"/>
    <w:pPr>
      <w:spacing w:line="360" w:lineRule="auto"/>
      <w:ind w:left="851" w:right="192" w:hanging="284"/>
      <w:jc w:val="both"/>
    </w:pPr>
    <w:rPr>
      <w:rFonts w:ascii="Arial" w:hAnsi="Arial"/>
      <w:sz w:val="22"/>
    </w:rPr>
  </w:style>
  <w:style w:type="paragraph" w:customStyle="1" w:styleId="Tekstpodstawowy21">
    <w:name w:val="Tekst podstawowy 21"/>
    <w:basedOn w:val="Normalny"/>
    <w:pPr>
      <w:widowControl/>
      <w:spacing w:line="360" w:lineRule="auto"/>
    </w:pPr>
  </w:style>
  <w:style w:type="paragraph" w:customStyle="1" w:styleId="Style1">
    <w:name w:val="Style1"/>
    <w:basedOn w:val="Normalny"/>
    <w:uiPriority w:val="99"/>
    <w:pPr>
      <w:widowControl/>
      <w:ind w:left="709"/>
    </w:pPr>
    <w:rPr>
      <w:sz w:val="20"/>
    </w:rPr>
  </w:style>
  <w:style w:type="paragraph" w:customStyle="1" w:styleId="WW-Tekstpodstawowywcity2">
    <w:name w:val="WW-Tekst podstawowy wcięty 2"/>
    <w:basedOn w:val="Normalny"/>
    <w:uiPriority w:val="99"/>
    <w:pPr>
      <w:spacing w:after="60"/>
      <w:ind w:left="708"/>
      <w:jc w:val="both"/>
    </w:pPr>
    <w:rPr>
      <w:color w:val="FF0000"/>
    </w:rPr>
  </w:style>
  <w:style w:type="paragraph" w:customStyle="1" w:styleId="Tekstpodstawowy31">
    <w:name w:val="Tekst podstawowy 31"/>
    <w:basedOn w:val="Normalny"/>
    <w:pPr>
      <w:tabs>
        <w:tab w:val="left" w:pos="90"/>
      </w:tabs>
      <w:spacing w:line="360" w:lineRule="auto"/>
      <w:jc w:val="both"/>
    </w:pPr>
  </w:style>
  <w:style w:type="paragraph" w:customStyle="1" w:styleId="Normalny1">
    <w:name w:val="Normalny1"/>
    <w:basedOn w:val="Normalny"/>
  </w:style>
  <w:style w:type="paragraph" w:customStyle="1" w:styleId="WW-Standardowywcity">
    <w:name w:val="WW-Standardowy wci?ty"/>
    <w:basedOn w:val="Normalny"/>
    <w:uiPriority w:val="99"/>
    <w:pPr>
      <w:ind w:left="708" w:firstLine="1"/>
    </w:pPr>
  </w:style>
  <w:style w:type="paragraph" w:customStyle="1" w:styleId="Tekstpodstawowy22">
    <w:name w:val="Tekst podstawowy 22"/>
    <w:basedOn w:val="Normalny"/>
    <w:pPr>
      <w:jc w:val="both"/>
    </w:pPr>
    <w:rPr>
      <w:rFonts w:ascii="Century Schoolbook" w:hAnsi="Century Schoolbook"/>
    </w:rPr>
  </w:style>
  <w:style w:type="paragraph" w:customStyle="1" w:styleId="Wypunktowanie">
    <w:name w:val="Wypunktowanie"/>
    <w:basedOn w:val="Normalny"/>
    <w:pPr>
      <w:numPr>
        <w:numId w:val="1"/>
      </w:numPr>
      <w:ind w:left="0" w:firstLine="0"/>
    </w:pPr>
  </w:style>
  <w:style w:type="paragraph" w:customStyle="1" w:styleId="Tekstpodstawowy310">
    <w:name w:val="Tekst podstawowy 31"/>
    <w:basedOn w:val="Normalny"/>
    <w:pPr>
      <w:jc w:val="both"/>
    </w:pPr>
  </w:style>
  <w:style w:type="paragraph" w:customStyle="1" w:styleId="Tekstpodstawowywcity21">
    <w:name w:val="Tekst podstawowy wcięty 21"/>
    <w:basedOn w:val="Normalny"/>
    <w:pPr>
      <w:spacing w:line="360" w:lineRule="auto"/>
      <w:ind w:firstLine="709"/>
    </w:pPr>
    <w:rPr>
      <w:rFonts w:ascii="Arial" w:hAnsi="Arial"/>
      <w:sz w:val="22"/>
      <w:szCs w:val="22"/>
    </w:rPr>
  </w:style>
  <w:style w:type="paragraph" w:customStyle="1" w:styleId="Tekstpodstawowy210">
    <w:name w:val="Tekst podstawowy 21"/>
    <w:basedOn w:val="Normalny"/>
    <w:pPr>
      <w:spacing w:after="120" w:line="480" w:lineRule="auto"/>
    </w:pPr>
  </w:style>
  <w:style w:type="paragraph" w:customStyle="1" w:styleId="Default">
    <w:name w:val="Default"/>
    <w:basedOn w:val="Normalny"/>
    <w:rPr>
      <w:rFonts w:ascii="Arial" w:eastAsia="Arial" w:hAnsi="Arial" w:cs="Arial"/>
      <w:color w:val="000000"/>
      <w:szCs w:val="24"/>
    </w:rPr>
  </w:style>
  <w:style w:type="paragraph" w:customStyle="1" w:styleId="Tekstpodstawowywcity32">
    <w:name w:val="Tekst podstawowy wcięty 32"/>
    <w:basedOn w:val="Normalny"/>
    <w:pPr>
      <w:spacing w:line="360" w:lineRule="auto"/>
      <w:ind w:firstLine="709"/>
      <w:jc w:val="both"/>
    </w:pPr>
    <w:rPr>
      <w:rFonts w:ascii="Arial" w:hAnsi="Arial" w:cs="Arial"/>
      <w:sz w:val="22"/>
      <w:szCs w:val="22"/>
    </w:rPr>
  </w:style>
  <w:style w:type="paragraph" w:customStyle="1" w:styleId="Tekstpodstawowywcity31">
    <w:name w:val="Tekst podstawowy wcięty 31"/>
    <w:basedOn w:val="Normalny"/>
    <w:pPr>
      <w:spacing w:line="360" w:lineRule="auto"/>
      <w:ind w:left="567"/>
      <w:jc w:val="both"/>
    </w:pPr>
    <w:rPr>
      <w:rFonts w:ascii="Arial" w:hAnsi="Arial" w:cs="Arial"/>
    </w:rPr>
  </w:style>
  <w:style w:type="paragraph" w:styleId="Bezodstpw">
    <w:name w:val="No Spacing"/>
    <w:link w:val="BezodstpwZnak"/>
    <w:qFormat/>
    <w:pPr>
      <w:suppressAutoHyphens/>
    </w:pPr>
    <w:rPr>
      <w:rFonts w:ascii="Arial" w:eastAsia="Calibri" w:hAnsi="Arial" w:cs="Calibri"/>
      <w:szCs w:val="22"/>
      <w:lang w:eastAsia="ar-SA"/>
    </w:rPr>
  </w:style>
  <w:style w:type="character" w:customStyle="1" w:styleId="StopkaZnak">
    <w:name w:val="Stopka Znak"/>
    <w:link w:val="Stopka"/>
    <w:rsid w:val="00890A09"/>
    <w:rPr>
      <w:rFonts w:ascii="Cambria" w:hAnsi="Cambria"/>
      <w:sz w:val="24"/>
      <w:lang w:eastAsia="ar-SA"/>
    </w:rPr>
  </w:style>
  <w:style w:type="paragraph" w:styleId="Tekstdymka">
    <w:name w:val="Balloon Text"/>
    <w:basedOn w:val="Normalny"/>
    <w:link w:val="TekstdymkaZnak"/>
    <w:unhideWhenUsed/>
    <w:rsid w:val="00890A09"/>
    <w:rPr>
      <w:rFonts w:ascii="Tahoma" w:hAnsi="Tahoma" w:cs="Tahoma"/>
      <w:sz w:val="16"/>
      <w:szCs w:val="16"/>
    </w:rPr>
  </w:style>
  <w:style w:type="character" w:customStyle="1" w:styleId="TekstdymkaZnak">
    <w:name w:val="Tekst dymka Znak"/>
    <w:link w:val="Tekstdymka"/>
    <w:rsid w:val="00890A09"/>
    <w:rPr>
      <w:rFonts w:ascii="Tahoma" w:hAnsi="Tahoma" w:cs="Tahoma"/>
      <w:sz w:val="16"/>
      <w:szCs w:val="16"/>
      <w:lang w:eastAsia="ar-SA"/>
    </w:rPr>
  </w:style>
  <w:style w:type="paragraph" w:styleId="NormalnyWeb">
    <w:name w:val="Normal (Web)"/>
    <w:basedOn w:val="Normalny"/>
    <w:link w:val="NormalnyWebZnak"/>
    <w:uiPriority w:val="99"/>
    <w:unhideWhenUsed/>
    <w:rsid w:val="007B44FA"/>
    <w:pPr>
      <w:widowControl/>
      <w:suppressAutoHyphens w:val="0"/>
      <w:overflowPunct/>
      <w:autoSpaceDE/>
      <w:spacing w:before="100" w:beforeAutospacing="1" w:after="119"/>
      <w:textAlignment w:val="auto"/>
    </w:pPr>
    <w:rPr>
      <w:szCs w:val="24"/>
      <w:lang w:eastAsia="pl-PL"/>
    </w:rPr>
  </w:style>
  <w:style w:type="paragraph" w:styleId="Akapitzlist">
    <w:name w:val="List Paragraph"/>
    <w:aliases w:val="punk 1,Obiekt,List Paragraph1,BulletC,Wyliczanie,Akapit z listą31,Normal,Akapit z listą3,Akapit z listą11,maz_wyliczenie,opis dzialania,K-P_odwolanie,A_wyliczenie,Akapit z listą5,Z podkreśleniem,times,List Paragraph,Akapit z listą2"/>
    <w:basedOn w:val="Normalny"/>
    <w:link w:val="AkapitzlistZnak"/>
    <w:qFormat/>
    <w:rsid w:val="007C4CFF"/>
    <w:pPr>
      <w:ind w:left="720"/>
      <w:contextualSpacing/>
    </w:pPr>
  </w:style>
  <w:style w:type="paragraph" w:customStyle="1" w:styleId="Domylnie">
    <w:name w:val="Domy?lnie"/>
    <w:basedOn w:val="Normalny"/>
    <w:rsid w:val="00566EFC"/>
    <w:pPr>
      <w:overflowPunct/>
      <w:autoSpaceDE/>
      <w:spacing w:before="40" w:after="40" w:line="288" w:lineRule="auto"/>
      <w:jc w:val="both"/>
      <w:textAlignment w:val="auto"/>
    </w:pPr>
    <w:rPr>
      <w:rFonts w:eastAsia="HG Mincho Light J"/>
      <w:color w:val="000000"/>
      <w:lang w:eastAsia="en-US"/>
    </w:rPr>
  </w:style>
  <w:style w:type="table" w:styleId="Tabela-Siatka">
    <w:name w:val="Table Grid"/>
    <w:basedOn w:val="Standardowy"/>
    <w:rsid w:val="007A6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784399"/>
    <w:pPr>
      <w:suppressAutoHyphens/>
      <w:autoSpaceDN w:val="0"/>
    </w:pPr>
    <w:rPr>
      <w:rFonts w:eastAsia="Lucida Sans Unicode" w:cs="Tahoma"/>
      <w:color w:val="000000"/>
      <w:kern w:val="3"/>
      <w:sz w:val="24"/>
      <w:szCs w:val="24"/>
    </w:rPr>
  </w:style>
  <w:style w:type="numbering" w:customStyle="1" w:styleId="WW8Num5">
    <w:name w:val="WW8Num5"/>
    <w:rsid w:val="00784399"/>
  </w:style>
  <w:style w:type="numbering" w:customStyle="1" w:styleId="WW8Num3">
    <w:name w:val="WW8Num3"/>
    <w:rsid w:val="00F7689B"/>
  </w:style>
  <w:style w:type="character" w:customStyle="1" w:styleId="TekstpodstawowyZnak">
    <w:name w:val="Tekst podstawowy Znak"/>
    <w:basedOn w:val="Domylnaczcionkaakapitu"/>
    <w:link w:val="Tekstpodstawowy"/>
    <w:rsid w:val="00EE068E"/>
    <w:rPr>
      <w:sz w:val="24"/>
      <w:lang w:eastAsia="ar-SA"/>
    </w:rPr>
  </w:style>
  <w:style w:type="character" w:customStyle="1" w:styleId="TekstpodstawowywcityZnak">
    <w:name w:val="Tekst podstawowy wcięty Znak"/>
    <w:aliases w:val=" Znak Znak"/>
    <w:basedOn w:val="Domylnaczcionkaakapitu"/>
    <w:link w:val="Tekstpodstawowywcity"/>
    <w:rsid w:val="00EE068E"/>
    <w:rPr>
      <w:sz w:val="24"/>
      <w:lang w:eastAsia="ar-SA"/>
    </w:rPr>
  </w:style>
  <w:style w:type="paragraph" w:customStyle="1" w:styleId="00Tekst">
    <w:name w:val="00_Tekst"/>
    <w:basedOn w:val="Normalny"/>
    <w:link w:val="00TekstZnak"/>
    <w:qFormat/>
    <w:rsid w:val="00546C6C"/>
    <w:pPr>
      <w:widowControl/>
      <w:suppressAutoHyphens w:val="0"/>
      <w:overflowPunct/>
      <w:autoSpaceDE/>
      <w:spacing w:line="360" w:lineRule="auto"/>
      <w:ind w:left="284"/>
      <w:jc w:val="both"/>
      <w:textAlignment w:val="auto"/>
    </w:pPr>
    <w:rPr>
      <w:rFonts w:ascii="Arial" w:eastAsiaTheme="minorHAnsi" w:hAnsi="Arial" w:cstheme="minorBidi"/>
      <w:sz w:val="22"/>
      <w:szCs w:val="22"/>
      <w:lang w:eastAsia="en-US"/>
    </w:rPr>
  </w:style>
  <w:style w:type="paragraph" w:customStyle="1" w:styleId="01Tytu1">
    <w:name w:val="01_Tytuł 1"/>
    <w:basedOn w:val="Normalny"/>
    <w:qFormat/>
    <w:rsid w:val="00546C6C"/>
    <w:pPr>
      <w:widowControl/>
      <w:numPr>
        <w:numId w:val="4"/>
      </w:numPr>
      <w:suppressAutoHyphens w:val="0"/>
      <w:overflowPunct/>
      <w:autoSpaceDE/>
      <w:spacing w:line="360" w:lineRule="auto"/>
      <w:jc w:val="both"/>
      <w:textAlignment w:val="auto"/>
    </w:pPr>
    <w:rPr>
      <w:rFonts w:ascii="Arial" w:eastAsiaTheme="minorHAnsi" w:hAnsi="Arial" w:cstheme="minorBidi"/>
      <w:b/>
      <w:bCs/>
      <w:caps/>
      <w:sz w:val="22"/>
      <w:szCs w:val="22"/>
      <w:lang w:eastAsia="en-US"/>
    </w:rPr>
  </w:style>
  <w:style w:type="character" w:customStyle="1" w:styleId="00TekstZnak">
    <w:name w:val="00_Tekst Znak"/>
    <w:basedOn w:val="Domylnaczcionkaakapitu"/>
    <w:link w:val="00Tekst"/>
    <w:qFormat/>
    <w:rsid w:val="00546C6C"/>
    <w:rPr>
      <w:rFonts w:ascii="Arial" w:eastAsiaTheme="minorHAnsi" w:hAnsi="Arial" w:cstheme="minorBidi"/>
      <w:sz w:val="22"/>
      <w:szCs w:val="22"/>
      <w:lang w:eastAsia="en-US"/>
    </w:rPr>
  </w:style>
  <w:style w:type="paragraph" w:customStyle="1" w:styleId="01Tytu2">
    <w:name w:val="01_Tytuł 2"/>
    <w:basedOn w:val="Normalny"/>
    <w:link w:val="01Tytu2Znak"/>
    <w:qFormat/>
    <w:rsid w:val="00546C6C"/>
    <w:pPr>
      <w:widowControl/>
      <w:numPr>
        <w:ilvl w:val="1"/>
        <w:numId w:val="4"/>
      </w:numPr>
      <w:suppressAutoHyphens w:val="0"/>
      <w:overflowPunct/>
      <w:autoSpaceDE/>
      <w:spacing w:line="360" w:lineRule="auto"/>
      <w:ind w:left="709"/>
      <w:jc w:val="both"/>
      <w:textAlignment w:val="auto"/>
    </w:pPr>
    <w:rPr>
      <w:rFonts w:ascii="Arial" w:eastAsiaTheme="minorHAnsi" w:hAnsi="Arial" w:cstheme="minorBidi"/>
      <w:b/>
      <w:bCs/>
      <w:sz w:val="22"/>
      <w:szCs w:val="22"/>
      <w:lang w:eastAsia="en-US"/>
    </w:rPr>
  </w:style>
  <w:style w:type="paragraph" w:customStyle="1" w:styleId="01Tytu3">
    <w:name w:val="01_Tytuł 3"/>
    <w:basedOn w:val="Normalny"/>
    <w:link w:val="01Tytu3Znak"/>
    <w:autoRedefine/>
    <w:qFormat/>
    <w:rsid w:val="00546C6C"/>
    <w:pPr>
      <w:widowControl/>
      <w:numPr>
        <w:ilvl w:val="2"/>
        <w:numId w:val="4"/>
      </w:numPr>
      <w:suppressAutoHyphens w:val="0"/>
      <w:overflowPunct/>
      <w:autoSpaceDE/>
      <w:spacing w:line="360" w:lineRule="auto"/>
      <w:jc w:val="both"/>
      <w:textAlignment w:val="auto"/>
    </w:pPr>
    <w:rPr>
      <w:rFonts w:ascii="Arial" w:eastAsiaTheme="minorHAnsi" w:hAnsi="Arial" w:cstheme="minorBidi"/>
      <w:b/>
      <w:sz w:val="22"/>
      <w:szCs w:val="22"/>
      <w:lang w:eastAsia="en-US"/>
    </w:rPr>
  </w:style>
  <w:style w:type="character" w:customStyle="1" w:styleId="01Tytu2Znak">
    <w:name w:val="01_Tytuł 2 Znak"/>
    <w:basedOn w:val="Domylnaczcionkaakapitu"/>
    <w:link w:val="01Tytu2"/>
    <w:rsid w:val="00546C6C"/>
    <w:rPr>
      <w:rFonts w:ascii="Arial" w:eastAsiaTheme="minorHAnsi" w:hAnsi="Arial" w:cstheme="minorBidi"/>
      <w:b/>
      <w:bCs/>
      <w:sz w:val="22"/>
      <w:szCs w:val="22"/>
      <w:lang w:eastAsia="en-US"/>
    </w:rPr>
  </w:style>
  <w:style w:type="character" w:customStyle="1" w:styleId="01Tytu3Znak">
    <w:name w:val="01_Tytuł 3 Znak"/>
    <w:basedOn w:val="Domylnaczcionkaakapitu"/>
    <w:link w:val="01Tytu3"/>
    <w:rsid w:val="00546C6C"/>
    <w:rPr>
      <w:rFonts w:ascii="Arial" w:eastAsiaTheme="minorHAnsi" w:hAnsi="Arial" w:cstheme="minorBidi"/>
      <w:b/>
      <w:sz w:val="22"/>
      <w:szCs w:val="22"/>
      <w:lang w:eastAsia="en-US"/>
    </w:rPr>
  </w:style>
  <w:style w:type="paragraph" w:customStyle="1" w:styleId="01Tytu4">
    <w:name w:val="01_Tytuł 4"/>
    <w:basedOn w:val="01Tytu3"/>
    <w:qFormat/>
    <w:rsid w:val="00546C6C"/>
    <w:pPr>
      <w:numPr>
        <w:ilvl w:val="3"/>
      </w:numPr>
      <w:tabs>
        <w:tab w:val="num" w:pos="644"/>
      </w:tabs>
      <w:ind w:left="993" w:hanging="709"/>
    </w:pPr>
    <w:rPr>
      <w:lang w:eastAsia="pl-PL"/>
    </w:rPr>
  </w:style>
  <w:style w:type="paragraph" w:styleId="Mapadokumentu">
    <w:name w:val="Document Map"/>
    <w:basedOn w:val="Normalny"/>
    <w:link w:val="MapadokumentuZnak"/>
    <w:uiPriority w:val="99"/>
    <w:semiHidden/>
    <w:unhideWhenUsed/>
    <w:rsid w:val="00D34BD7"/>
    <w:rPr>
      <w:rFonts w:ascii="Tahoma" w:hAnsi="Tahoma" w:cs="Tahoma"/>
      <w:sz w:val="16"/>
      <w:szCs w:val="16"/>
    </w:rPr>
  </w:style>
  <w:style w:type="character" w:customStyle="1" w:styleId="MapadokumentuZnak">
    <w:name w:val="Mapa dokumentu Znak"/>
    <w:basedOn w:val="Domylnaczcionkaakapitu"/>
    <w:link w:val="Mapadokumentu"/>
    <w:uiPriority w:val="99"/>
    <w:semiHidden/>
    <w:rsid w:val="00D34BD7"/>
    <w:rPr>
      <w:rFonts w:ascii="Tahoma" w:hAnsi="Tahoma" w:cs="Tahoma"/>
      <w:sz w:val="16"/>
      <w:szCs w:val="16"/>
      <w:lang w:eastAsia="ar-SA"/>
    </w:rPr>
  </w:style>
  <w:style w:type="character" w:customStyle="1" w:styleId="WW-Absatz-Standardschriftart111111111111">
    <w:name w:val="WW-Absatz-Standardschriftart111111111111"/>
    <w:rsid w:val="00DC0A45"/>
  </w:style>
  <w:style w:type="paragraph" w:customStyle="1" w:styleId="Specyfikacje">
    <w:name w:val="Specyfikacje"/>
    <w:basedOn w:val="Normalny"/>
    <w:qFormat/>
    <w:rsid w:val="00DC0A45"/>
    <w:pPr>
      <w:widowControl/>
      <w:suppressAutoHyphens w:val="0"/>
      <w:overflowPunct/>
      <w:spacing w:after="120"/>
      <w:ind w:left="567"/>
      <w:jc w:val="both"/>
      <w:textAlignment w:val="auto"/>
    </w:pPr>
    <w:rPr>
      <w:kern w:val="1"/>
    </w:rPr>
  </w:style>
  <w:style w:type="character" w:customStyle="1" w:styleId="WW-Absatz-Standardschriftart11111111111111">
    <w:name w:val="WW-Absatz-Standardschriftart11111111111111"/>
    <w:rsid w:val="005C1362"/>
  </w:style>
  <w:style w:type="paragraph" w:customStyle="1" w:styleId="Poziom3">
    <w:name w:val="Poziom 3"/>
    <w:basedOn w:val="Normalny"/>
    <w:next w:val="Normalny"/>
    <w:link w:val="Poziom3Znak"/>
    <w:rsid w:val="005C1362"/>
    <w:pPr>
      <w:widowControl/>
      <w:tabs>
        <w:tab w:val="left" w:pos="567"/>
        <w:tab w:val="num" w:pos="709"/>
      </w:tabs>
      <w:suppressAutoHyphens w:val="0"/>
      <w:overflowPunct/>
      <w:spacing w:after="120"/>
      <w:ind w:left="567" w:hanging="567"/>
      <w:jc w:val="both"/>
      <w:textAlignment w:val="auto"/>
    </w:pPr>
    <w:rPr>
      <w:kern w:val="1"/>
    </w:rPr>
  </w:style>
  <w:style w:type="character" w:customStyle="1" w:styleId="Poziom3Znak">
    <w:name w:val="Poziom 3 Znak"/>
    <w:link w:val="Poziom3"/>
    <w:rsid w:val="005C1362"/>
    <w:rPr>
      <w:kern w:val="1"/>
      <w:sz w:val="24"/>
      <w:lang w:eastAsia="ar-SA"/>
    </w:rPr>
  </w:style>
  <w:style w:type="numbering" w:customStyle="1" w:styleId="WW8Num6511">
    <w:name w:val="WW8Num6511"/>
    <w:basedOn w:val="Bezlisty"/>
    <w:rsid w:val="005C1362"/>
  </w:style>
  <w:style w:type="paragraph" w:customStyle="1" w:styleId="listakreski">
    <w:name w:val="lista kreski"/>
    <w:basedOn w:val="Normalny"/>
    <w:link w:val="listakreskiZnak"/>
    <w:rsid w:val="00FB79BF"/>
    <w:pPr>
      <w:widowControl/>
      <w:numPr>
        <w:numId w:val="7"/>
      </w:numPr>
      <w:tabs>
        <w:tab w:val="left" w:pos="1134"/>
      </w:tabs>
      <w:suppressAutoHyphens w:val="0"/>
      <w:overflowPunct/>
      <w:spacing w:after="120"/>
      <w:ind w:left="1134" w:firstLine="0"/>
      <w:jc w:val="both"/>
      <w:textAlignment w:val="auto"/>
    </w:pPr>
    <w:rPr>
      <w:kern w:val="1"/>
    </w:rPr>
  </w:style>
  <w:style w:type="character" w:customStyle="1" w:styleId="listakreskiZnak">
    <w:name w:val="lista kreski Znak"/>
    <w:link w:val="listakreski"/>
    <w:rsid w:val="00FB79BF"/>
    <w:rPr>
      <w:kern w:val="1"/>
      <w:sz w:val="24"/>
      <w:lang w:eastAsia="ar-SA"/>
    </w:rPr>
  </w:style>
  <w:style w:type="paragraph" w:customStyle="1" w:styleId="Poziom4">
    <w:name w:val="Poziom 4"/>
    <w:basedOn w:val="Poziom3"/>
    <w:next w:val="Poziom3"/>
    <w:qFormat/>
    <w:rsid w:val="00E37018"/>
    <w:pPr>
      <w:ind w:left="0" w:firstLine="0"/>
    </w:pPr>
  </w:style>
  <w:style w:type="paragraph" w:customStyle="1" w:styleId="listalitery">
    <w:name w:val="lista litery"/>
    <w:basedOn w:val="Normalny"/>
    <w:rsid w:val="00E37018"/>
    <w:pPr>
      <w:widowControl/>
      <w:numPr>
        <w:numId w:val="9"/>
      </w:numPr>
      <w:suppressAutoHyphens w:val="0"/>
      <w:overflowPunct/>
      <w:spacing w:after="120"/>
      <w:jc w:val="both"/>
      <w:textAlignment w:val="auto"/>
    </w:pPr>
    <w:rPr>
      <w:kern w:val="1"/>
    </w:rPr>
  </w:style>
  <w:style w:type="paragraph" w:customStyle="1" w:styleId="listakropki">
    <w:name w:val="lista kropki"/>
    <w:basedOn w:val="listakreski"/>
    <w:rsid w:val="00E37018"/>
    <w:pPr>
      <w:numPr>
        <w:numId w:val="10"/>
      </w:numPr>
      <w:tabs>
        <w:tab w:val="clear" w:pos="709"/>
        <w:tab w:val="clear" w:pos="1134"/>
        <w:tab w:val="num" w:pos="360"/>
      </w:tabs>
      <w:autoSpaceDN w:val="0"/>
      <w:ind w:left="2268"/>
      <w:contextualSpacing/>
    </w:pPr>
    <w:rPr>
      <w:kern w:val="0"/>
      <w:lang w:val="x-none" w:eastAsia="x-none"/>
    </w:rPr>
  </w:style>
  <w:style w:type="numbering" w:customStyle="1" w:styleId="WW8Num1612">
    <w:name w:val="WW8Num1612"/>
    <w:basedOn w:val="Bezlisty"/>
    <w:rsid w:val="00E37018"/>
  </w:style>
  <w:style w:type="character" w:customStyle="1" w:styleId="AkapitzlistZnak">
    <w:name w:val="Akapit z listą Znak"/>
    <w:aliases w:val="punk 1 Znak,Obiekt Znak,List Paragraph1 Znak,BulletC Znak,Wyliczanie Znak,Akapit z listą31 Znak,Normal Znak,Akapit z listą3 Znak,Akapit z listą11 Znak,maz_wyliczenie Znak,opis dzialania Znak,K-P_odwolanie Znak,A_wyliczenie Znak"/>
    <w:basedOn w:val="Domylnaczcionkaakapitu"/>
    <w:link w:val="Akapitzlist"/>
    <w:qFormat/>
    <w:locked/>
    <w:rsid w:val="00FA703F"/>
    <w:rPr>
      <w:sz w:val="24"/>
      <w:lang w:eastAsia="ar-SA"/>
    </w:rPr>
  </w:style>
  <w:style w:type="paragraph" w:customStyle="1" w:styleId="Poziom2">
    <w:name w:val="Poziom 2"/>
    <w:basedOn w:val="Normalny"/>
    <w:next w:val="Normalny"/>
    <w:link w:val="Poziom2Znak"/>
    <w:rsid w:val="003E368E"/>
    <w:pPr>
      <w:keepNext/>
      <w:widowControl/>
      <w:tabs>
        <w:tab w:val="left" w:pos="567"/>
        <w:tab w:val="num" w:pos="709"/>
      </w:tabs>
      <w:suppressAutoHyphens w:val="0"/>
      <w:overflowPunct/>
      <w:spacing w:after="120"/>
      <w:jc w:val="both"/>
      <w:textAlignment w:val="auto"/>
    </w:pPr>
    <w:rPr>
      <w:b/>
      <w:bCs/>
      <w:kern w:val="1"/>
      <w:szCs w:val="24"/>
    </w:rPr>
  </w:style>
  <w:style w:type="character" w:customStyle="1" w:styleId="Poziom2Znak">
    <w:name w:val="Poziom 2 Znak"/>
    <w:link w:val="Poziom2"/>
    <w:rsid w:val="003E368E"/>
    <w:rPr>
      <w:b/>
      <w:bCs/>
      <w:kern w:val="1"/>
      <w:sz w:val="24"/>
      <w:szCs w:val="24"/>
      <w:lang w:eastAsia="ar-SA"/>
    </w:rPr>
  </w:style>
  <w:style w:type="paragraph" w:customStyle="1" w:styleId="Poziom1">
    <w:name w:val="Poziom 1"/>
    <w:basedOn w:val="Normalny"/>
    <w:next w:val="Poziom2"/>
    <w:link w:val="Poziom1Znak"/>
    <w:rsid w:val="008E64CB"/>
    <w:pPr>
      <w:keepNext/>
      <w:widowControl/>
      <w:numPr>
        <w:numId w:val="14"/>
      </w:numPr>
      <w:tabs>
        <w:tab w:val="left" w:pos="539"/>
      </w:tabs>
      <w:suppressAutoHyphens w:val="0"/>
      <w:overflowPunct/>
      <w:spacing w:after="120"/>
      <w:jc w:val="both"/>
      <w:textAlignment w:val="auto"/>
    </w:pPr>
    <w:rPr>
      <w:b/>
      <w:caps/>
      <w:kern w:val="1"/>
      <w:sz w:val="28"/>
    </w:rPr>
  </w:style>
  <w:style w:type="character" w:customStyle="1" w:styleId="Poziom1Znak">
    <w:name w:val="Poziom 1 Znak"/>
    <w:link w:val="Poziom1"/>
    <w:rsid w:val="008E64CB"/>
    <w:rPr>
      <w:b/>
      <w:caps/>
      <w:kern w:val="1"/>
      <w:sz w:val="28"/>
      <w:lang w:eastAsia="ar-SA"/>
    </w:rPr>
  </w:style>
  <w:style w:type="paragraph" w:customStyle="1" w:styleId="listaliczby">
    <w:name w:val="lista liczby"/>
    <w:rsid w:val="00B355DE"/>
    <w:pPr>
      <w:numPr>
        <w:numId w:val="15"/>
      </w:numPr>
      <w:tabs>
        <w:tab w:val="left" w:pos="851"/>
        <w:tab w:val="left" w:pos="3402"/>
      </w:tabs>
      <w:suppressAutoHyphens/>
      <w:spacing w:after="120"/>
      <w:jc w:val="both"/>
    </w:pPr>
    <w:rPr>
      <w:rFonts w:eastAsia="Arial"/>
      <w:sz w:val="24"/>
      <w:szCs w:val="24"/>
      <w:lang w:eastAsia="ar-SA"/>
    </w:rPr>
  </w:style>
  <w:style w:type="numbering" w:customStyle="1" w:styleId="WW8Num1912">
    <w:name w:val="WW8Num1912"/>
    <w:basedOn w:val="Bezlisty"/>
    <w:rsid w:val="00D72859"/>
    <w:pPr>
      <w:numPr>
        <w:numId w:val="17"/>
      </w:numPr>
    </w:pPr>
  </w:style>
  <w:style w:type="numbering" w:customStyle="1" w:styleId="WW8Num842">
    <w:name w:val="WW8Num842"/>
    <w:basedOn w:val="Bezlisty"/>
    <w:rsid w:val="009B61E9"/>
    <w:pPr>
      <w:numPr>
        <w:numId w:val="19"/>
      </w:numPr>
    </w:pPr>
  </w:style>
  <w:style w:type="numbering" w:customStyle="1" w:styleId="WW8Num452">
    <w:name w:val="WW8Num452"/>
    <w:basedOn w:val="Bezlisty"/>
    <w:rsid w:val="009B61E9"/>
  </w:style>
  <w:style w:type="paragraph" w:customStyle="1" w:styleId="111Nagwek3Znak">
    <w:name w:val="1.1.1. Nagłówek 3 Znak"/>
    <w:basedOn w:val="Nagwek3"/>
    <w:next w:val="Tekstpodstawowy"/>
    <w:rsid w:val="00E2575C"/>
    <w:pPr>
      <w:keepNext w:val="0"/>
      <w:widowControl w:val="0"/>
      <w:numPr>
        <w:numId w:val="20"/>
      </w:numPr>
      <w:spacing w:before="120" w:after="120"/>
    </w:pPr>
    <w:rPr>
      <w:rFonts w:ascii="Times New Roman" w:eastAsia="Lucida Sans Unicode" w:hAnsi="Times New Roman"/>
      <w:kern w:val="1"/>
      <w:sz w:val="24"/>
      <w:szCs w:val="24"/>
    </w:rPr>
  </w:style>
  <w:style w:type="numbering" w:customStyle="1" w:styleId="WW8Num2711">
    <w:name w:val="WW8Num2711"/>
    <w:basedOn w:val="Bezlisty"/>
    <w:rsid w:val="00E2575C"/>
    <w:pPr>
      <w:numPr>
        <w:numId w:val="20"/>
      </w:numPr>
    </w:pPr>
  </w:style>
  <w:style w:type="numbering" w:customStyle="1" w:styleId="WW8Num5811">
    <w:name w:val="WW8Num5811"/>
    <w:basedOn w:val="Bezlisty"/>
    <w:rsid w:val="00E2575C"/>
    <w:pPr>
      <w:numPr>
        <w:numId w:val="21"/>
      </w:numPr>
    </w:pPr>
  </w:style>
  <w:style w:type="numbering" w:customStyle="1" w:styleId="WW8Num7611">
    <w:name w:val="WW8Num7611"/>
    <w:basedOn w:val="Bezlisty"/>
    <w:rsid w:val="00095545"/>
  </w:style>
  <w:style w:type="numbering" w:customStyle="1" w:styleId="WW8Num201">
    <w:name w:val="WW8Num201"/>
    <w:basedOn w:val="Bezlisty"/>
    <w:rsid w:val="00BE1892"/>
  </w:style>
  <w:style w:type="numbering" w:customStyle="1" w:styleId="WW8Num912">
    <w:name w:val="WW8Num912"/>
    <w:basedOn w:val="Bezlisty"/>
    <w:rsid w:val="006858C4"/>
  </w:style>
  <w:style w:type="numbering" w:customStyle="1" w:styleId="WW8Num2211">
    <w:name w:val="WW8Num2211"/>
    <w:basedOn w:val="Bezlisty"/>
    <w:rsid w:val="00B929C6"/>
  </w:style>
  <w:style w:type="paragraph" w:customStyle="1" w:styleId="WW-Listanumerowana">
    <w:name w:val="WW-Lista numerowana"/>
    <w:basedOn w:val="Domylnie"/>
    <w:next w:val="Domylnie"/>
    <w:rsid w:val="00014912"/>
    <w:pPr>
      <w:tabs>
        <w:tab w:val="num" w:pos="360"/>
      </w:tabs>
      <w:spacing w:before="0" w:after="0"/>
    </w:pPr>
    <w:rPr>
      <w:rFonts w:ascii="Courier New" w:hAnsi="Courier New"/>
    </w:rPr>
  </w:style>
  <w:style w:type="numbering" w:customStyle="1" w:styleId="WW8Num1011">
    <w:name w:val="WW8Num1011"/>
    <w:basedOn w:val="Bezlisty"/>
    <w:rsid w:val="0091047D"/>
    <w:pPr>
      <w:numPr>
        <w:numId w:val="26"/>
      </w:numPr>
    </w:pPr>
  </w:style>
  <w:style w:type="numbering" w:customStyle="1" w:styleId="WW8Num2811">
    <w:name w:val="WW8Num2811"/>
    <w:basedOn w:val="Bezlisty"/>
    <w:rsid w:val="006A155D"/>
  </w:style>
  <w:style w:type="numbering" w:customStyle="1" w:styleId="PunktowaneST">
    <w:name w:val="Punktowane ST"/>
    <w:basedOn w:val="Bezlisty"/>
    <w:rsid w:val="001A7344"/>
  </w:style>
  <w:style w:type="paragraph" w:customStyle="1" w:styleId="Lista1ST">
    <w:name w:val="Lista 1 ST"/>
    <w:basedOn w:val="Normalny"/>
    <w:rsid w:val="001A7344"/>
    <w:pPr>
      <w:widowControl/>
      <w:numPr>
        <w:numId w:val="29"/>
      </w:numPr>
      <w:tabs>
        <w:tab w:val="clear" w:pos="1004"/>
      </w:tabs>
      <w:suppressAutoHyphens w:val="0"/>
      <w:overflowPunct/>
      <w:autoSpaceDE/>
      <w:ind w:left="357" w:hanging="357"/>
      <w:jc w:val="both"/>
      <w:textAlignment w:val="auto"/>
    </w:pPr>
    <w:rPr>
      <w:rFonts w:ascii="Arial" w:hAnsi="Arial"/>
      <w:lang w:eastAsia="pl-PL"/>
    </w:rPr>
  </w:style>
  <w:style w:type="paragraph" w:customStyle="1" w:styleId="podpkt11">
    <w:name w:val="pod_pkt1.1"/>
    <w:basedOn w:val="Normalny"/>
    <w:rsid w:val="00432C8C"/>
    <w:pPr>
      <w:keepNext/>
      <w:widowControl/>
      <w:suppressAutoHyphens w:val="0"/>
      <w:overflowPunct/>
      <w:autoSpaceDE/>
      <w:spacing w:after="120"/>
      <w:ind w:left="425" w:hanging="425"/>
      <w:textAlignment w:val="auto"/>
    </w:pPr>
    <w:rPr>
      <w:lang w:eastAsia="pl-PL"/>
    </w:rPr>
  </w:style>
  <w:style w:type="paragraph" w:customStyle="1" w:styleId="Tekstwstpniesformatowany">
    <w:name w:val="Tekst wstępnie sformatowany"/>
    <w:basedOn w:val="Normalny"/>
    <w:rsid w:val="006C0F92"/>
    <w:pPr>
      <w:overflowPunct/>
      <w:autoSpaceDE/>
      <w:textAlignment w:val="auto"/>
    </w:pPr>
    <w:rPr>
      <w:rFonts w:ascii="Courier New" w:eastAsia="Courier New" w:hAnsi="Courier New" w:cs="Courier New"/>
      <w:kern w:val="1"/>
      <w:sz w:val="20"/>
    </w:rPr>
  </w:style>
  <w:style w:type="character" w:customStyle="1" w:styleId="NormalnyWebZnak">
    <w:name w:val="Normalny (Web) Znak"/>
    <w:link w:val="NormalnyWeb"/>
    <w:uiPriority w:val="99"/>
    <w:rsid w:val="00151065"/>
    <w:rPr>
      <w:sz w:val="24"/>
      <w:szCs w:val="24"/>
    </w:rPr>
  </w:style>
  <w:style w:type="character" w:customStyle="1" w:styleId="Domylnaczcionkaakapitu5">
    <w:name w:val="Domyślna czcionka akapitu5"/>
    <w:rsid w:val="00C4191D"/>
  </w:style>
  <w:style w:type="character" w:customStyle="1" w:styleId="Nagwek5Znak">
    <w:name w:val="Nagłówek 5 Znak"/>
    <w:basedOn w:val="Domylnaczcionkaakapitu"/>
    <w:link w:val="Nagwek5"/>
    <w:rsid w:val="00F45500"/>
    <w:rPr>
      <w:rFonts w:ascii="Tahoma" w:eastAsia="Lucida Sans Unicode" w:hAnsi="Tahoma" w:cs="Tahoma"/>
      <w:b/>
      <w:bCs/>
      <w:kern w:val="1"/>
      <w:sz w:val="22"/>
      <w:szCs w:val="24"/>
      <w:lang w:eastAsia="ar-SA"/>
    </w:rPr>
  </w:style>
  <w:style w:type="character" w:customStyle="1" w:styleId="Nagwek6Znak">
    <w:name w:val="Nagłówek 6 Znak"/>
    <w:basedOn w:val="Domylnaczcionkaakapitu"/>
    <w:link w:val="Nagwek6"/>
    <w:uiPriority w:val="9"/>
    <w:rsid w:val="00F45500"/>
    <w:rPr>
      <w:rFonts w:ascii="Tahoma" w:eastAsia="Lucida Sans Unicode" w:hAnsi="Tahoma" w:cs="Tahoma"/>
      <w:b/>
      <w:bCs/>
      <w:kern w:val="1"/>
      <w:sz w:val="22"/>
      <w:szCs w:val="24"/>
      <w:lang w:eastAsia="ar-SA"/>
    </w:rPr>
  </w:style>
  <w:style w:type="character" w:customStyle="1" w:styleId="Nagwek7Znak">
    <w:name w:val="Nagłówek 7 Znak"/>
    <w:basedOn w:val="Domylnaczcionkaakapitu"/>
    <w:link w:val="Nagwek7"/>
    <w:uiPriority w:val="9"/>
    <w:rsid w:val="00F45500"/>
    <w:rPr>
      <w:rFonts w:ascii="Arial" w:eastAsia="Lucida Sans Unicode" w:hAnsi="Arial" w:cs="Arial"/>
      <w:b/>
      <w:bCs/>
      <w:kern w:val="1"/>
      <w:sz w:val="24"/>
      <w:szCs w:val="24"/>
      <w:lang w:eastAsia="ar-SA"/>
    </w:rPr>
  </w:style>
  <w:style w:type="character" w:customStyle="1" w:styleId="Nagwek8Znak">
    <w:name w:val="Nagłówek 8 Znak"/>
    <w:basedOn w:val="Domylnaczcionkaakapitu"/>
    <w:link w:val="Nagwek8"/>
    <w:uiPriority w:val="9"/>
    <w:rsid w:val="00F45500"/>
    <w:rPr>
      <w:rFonts w:ascii="Tahoma" w:eastAsia="Lucida Sans Unicode" w:hAnsi="Tahoma" w:cs="Tahoma"/>
      <w:b/>
      <w:kern w:val="1"/>
      <w:sz w:val="22"/>
      <w:szCs w:val="24"/>
      <w:lang w:eastAsia="ar-SA"/>
    </w:rPr>
  </w:style>
  <w:style w:type="character" w:customStyle="1" w:styleId="Nagwek9Znak">
    <w:name w:val="Nagłówek 9 Znak"/>
    <w:basedOn w:val="Domylnaczcionkaakapitu"/>
    <w:link w:val="Nagwek9"/>
    <w:uiPriority w:val="9"/>
    <w:rsid w:val="00F45500"/>
    <w:rPr>
      <w:rFonts w:ascii="Arial" w:eastAsia="Lucida Sans Unicode" w:hAnsi="Arial" w:cs="Arial"/>
      <w:kern w:val="1"/>
      <w:sz w:val="24"/>
      <w:szCs w:val="24"/>
      <w:u w:val="single"/>
      <w:lang w:eastAsia="ar-SA"/>
    </w:rPr>
  </w:style>
  <w:style w:type="paragraph" w:customStyle="1" w:styleId="Kolorowalistaakcent11">
    <w:name w:val="Kolorowa lista — akcent 11"/>
    <w:basedOn w:val="Normalny"/>
    <w:qFormat/>
    <w:rsid w:val="00F45500"/>
    <w:pPr>
      <w:overflowPunct/>
      <w:autoSpaceDE/>
      <w:spacing w:line="360" w:lineRule="auto"/>
      <w:ind w:left="720"/>
      <w:textAlignment w:val="auto"/>
    </w:pPr>
    <w:rPr>
      <w:rFonts w:ascii="Calibri" w:eastAsia="Calibri" w:hAnsi="Calibri"/>
      <w:kern w:val="1"/>
      <w:sz w:val="22"/>
      <w:szCs w:val="22"/>
    </w:rPr>
  </w:style>
  <w:style w:type="paragraph" w:customStyle="1" w:styleId="Kolorowasiatkaakcent11">
    <w:name w:val="Kolorowa siatka — akcent 11"/>
    <w:basedOn w:val="Normalny"/>
    <w:link w:val="Kolorowasiatkaakcent1Znak"/>
    <w:qFormat/>
    <w:rsid w:val="00F45500"/>
    <w:pPr>
      <w:tabs>
        <w:tab w:val="left" w:pos="992"/>
      </w:tabs>
      <w:overflowPunct/>
      <w:autoSpaceDE/>
      <w:spacing w:before="80" w:after="283" w:line="276" w:lineRule="auto"/>
      <w:ind w:left="567" w:right="567"/>
      <w:jc w:val="both"/>
      <w:textAlignment w:val="auto"/>
    </w:pPr>
    <w:rPr>
      <w:rFonts w:eastAsia="Lucida Sans Unicode"/>
      <w:kern w:val="1"/>
      <w:sz w:val="20"/>
      <w:lang w:eastAsia="en-US"/>
    </w:rPr>
  </w:style>
  <w:style w:type="character" w:customStyle="1" w:styleId="Kolorowasiatkaakcent1Znak">
    <w:name w:val="Kolorowa siatka — akcent 1 Znak"/>
    <w:basedOn w:val="Domylnaczcionkaakapitu"/>
    <w:link w:val="Kolorowasiatkaakcent11"/>
    <w:rsid w:val="00F45500"/>
    <w:rPr>
      <w:rFonts w:eastAsia="Lucida Sans Unicode"/>
      <w:kern w:val="1"/>
      <w:lang w:eastAsia="en-US"/>
    </w:rPr>
  </w:style>
  <w:style w:type="character" w:customStyle="1" w:styleId="Nagwek1Znak">
    <w:name w:val="Nagłówek 1 Znak"/>
    <w:aliases w:val="N_Kasia1 Znak Znak,Tytuł1 Znak,Tytu31 Znak,Tytuł 1 st. Znak,Tytu³1 Znak,Section Heading Char Znak,Tytuł11 Znak,Tytuł12 Znak,Tytuł111 Znak,Tytuł13 Znak,Tytuł112 Znak,Tytuł121 Znak,Tytuł1111 Znak,Tytuł14 Znak,Tytuł113 Znak,Tytuł122 Znak"/>
    <w:link w:val="Nagwek1"/>
    <w:rsid w:val="00F45500"/>
    <w:rPr>
      <w:rFonts w:ascii="Arial" w:hAnsi="Arial"/>
      <w:b/>
      <w:sz w:val="32"/>
      <w:lang w:eastAsia="ar-SA"/>
    </w:rPr>
  </w:style>
  <w:style w:type="character" w:customStyle="1" w:styleId="Nagwek2Znak">
    <w:name w:val="Nagłówek 2 Znak"/>
    <w:aliases w:val="N_Kasia2 Znak Znak,Podtytuł1 Znak,Podtytu³1 Znak,Podtytu31 Znak,Overskrift 2 Tegn1 Znak,Overskrift 2 Tegn2 Tegn Znak,Overskrift 2 Tegn1 Tegn Tegn Znak,Overskrift 2 Tegn Tegn Tegn Tegn Znak,ASAPHeading 2 Znak,Numbered - 2 Znak,h 3 Znak"/>
    <w:basedOn w:val="Domylnaczcionkaakapitu"/>
    <w:link w:val="Nagwek2"/>
    <w:rsid w:val="00F45500"/>
    <w:rPr>
      <w:rFonts w:ascii="Arial" w:hAnsi="Arial" w:cs="Arial"/>
      <w:b/>
      <w:bCs/>
      <w:i/>
      <w:iCs/>
      <w:sz w:val="28"/>
      <w:szCs w:val="28"/>
      <w:lang w:eastAsia="ar-SA"/>
    </w:rPr>
  </w:style>
  <w:style w:type="character" w:customStyle="1" w:styleId="Nagwek3Znak">
    <w:name w:val="Nagłówek 3 Znak"/>
    <w:aliases w:val="N_Kasia3 Znak Znak,Podtytuł2 Znak,Char Char Char Char Char Char Char Char Znak,Level 1 - 1 Znak,Podtytu32 Znak, Char Char Char Char Char Char Char Char Znak"/>
    <w:link w:val="Nagwek3"/>
    <w:rsid w:val="00F45500"/>
    <w:rPr>
      <w:rFonts w:ascii="Arial" w:hAnsi="Arial" w:cs="Arial"/>
      <w:b/>
      <w:bCs/>
      <w:sz w:val="26"/>
      <w:szCs w:val="26"/>
      <w:lang w:eastAsia="ar-SA"/>
    </w:rPr>
  </w:style>
  <w:style w:type="character" w:customStyle="1" w:styleId="Nagwek4Znak">
    <w:name w:val="Nagłówek 4 Znak"/>
    <w:basedOn w:val="Domylnaczcionkaakapitu"/>
    <w:link w:val="Nagwek4"/>
    <w:rsid w:val="00F45500"/>
    <w:rPr>
      <w:rFonts w:ascii="Arial" w:hAnsi="Arial" w:cs="Arial"/>
      <w:sz w:val="22"/>
      <w:u w:val="single"/>
      <w:lang w:eastAsia="ar-SA"/>
    </w:rPr>
  </w:style>
  <w:style w:type="paragraph" w:styleId="Legenda">
    <w:name w:val="caption"/>
    <w:basedOn w:val="Normalny"/>
    <w:next w:val="Normalny"/>
    <w:qFormat/>
    <w:rsid w:val="00F45500"/>
    <w:pPr>
      <w:overflowPunct/>
      <w:autoSpaceDE/>
      <w:spacing w:line="360" w:lineRule="auto"/>
      <w:textAlignment w:val="auto"/>
    </w:pPr>
    <w:rPr>
      <w:rFonts w:ascii="Tahoma" w:eastAsia="Lucida Sans Unicode" w:hAnsi="Tahoma" w:cs="Tahoma"/>
      <w:b/>
      <w:kern w:val="1"/>
      <w:sz w:val="22"/>
      <w:szCs w:val="24"/>
    </w:rPr>
  </w:style>
  <w:style w:type="character" w:customStyle="1" w:styleId="TytuZnak">
    <w:name w:val="Tytuł Znak"/>
    <w:link w:val="Tytu"/>
    <w:uiPriority w:val="10"/>
    <w:rsid w:val="00F45500"/>
    <w:rPr>
      <w:b/>
      <w:sz w:val="28"/>
      <w:lang w:eastAsia="ar-SA"/>
    </w:rPr>
  </w:style>
  <w:style w:type="character" w:customStyle="1" w:styleId="PodtytuZnak">
    <w:name w:val="Podtytuł Znak"/>
    <w:link w:val="Podtytu"/>
    <w:uiPriority w:val="11"/>
    <w:rsid w:val="00F45500"/>
    <w:rPr>
      <w:b/>
      <w:sz w:val="28"/>
      <w:lang w:eastAsia="ar-SA"/>
    </w:rPr>
  </w:style>
  <w:style w:type="character" w:customStyle="1" w:styleId="WW8Num6z5">
    <w:name w:val="WW8Num6z5"/>
    <w:rsid w:val="00F45500"/>
    <w:rPr>
      <w:rFonts w:ascii="Wingdings" w:hAnsi="Wingdings"/>
    </w:rPr>
  </w:style>
  <w:style w:type="character" w:customStyle="1" w:styleId="WW8Num6z6">
    <w:name w:val="WW8Num6z6"/>
    <w:rsid w:val="00F45500"/>
    <w:rPr>
      <w:rFonts w:ascii="Symbol" w:hAnsi="Symbol"/>
    </w:rPr>
  </w:style>
  <w:style w:type="character" w:customStyle="1" w:styleId="WW8Num7z0">
    <w:name w:val="WW8Num7z0"/>
    <w:rsid w:val="00F45500"/>
    <w:rPr>
      <w:rFonts w:ascii="Wingdings" w:hAnsi="Wingdings"/>
      <w:sz w:val="16"/>
      <w:szCs w:val="16"/>
    </w:rPr>
  </w:style>
  <w:style w:type="character" w:customStyle="1" w:styleId="WW8Num21z0">
    <w:name w:val="WW8Num21z0"/>
    <w:rsid w:val="00F45500"/>
    <w:rPr>
      <w:rFonts w:ascii="Symbol" w:hAnsi="Symbol"/>
      <w:sz w:val="20"/>
      <w:szCs w:val="20"/>
    </w:rPr>
  </w:style>
  <w:style w:type="character" w:customStyle="1" w:styleId="WW8Num23z0">
    <w:name w:val="WW8Num23z0"/>
    <w:rsid w:val="00F45500"/>
    <w:rPr>
      <w:rFonts w:ascii="Wingdings" w:hAnsi="Wingdings"/>
      <w:sz w:val="16"/>
    </w:rPr>
  </w:style>
  <w:style w:type="character" w:customStyle="1" w:styleId="WW8Num25z0">
    <w:name w:val="WW8Num25z0"/>
    <w:rsid w:val="00F45500"/>
    <w:rPr>
      <w:rFonts w:ascii="Wingdings" w:hAnsi="Wingdings"/>
      <w:sz w:val="16"/>
    </w:rPr>
  </w:style>
  <w:style w:type="character" w:customStyle="1" w:styleId="WW8Num26z0">
    <w:name w:val="WW8Num26z0"/>
    <w:rsid w:val="00F45500"/>
    <w:rPr>
      <w:rFonts w:ascii="Wingdings" w:hAnsi="Wingdings"/>
      <w:sz w:val="16"/>
    </w:rPr>
  </w:style>
  <w:style w:type="character" w:customStyle="1" w:styleId="WW8Num27z0">
    <w:name w:val="WW8Num27z0"/>
    <w:rsid w:val="00F45500"/>
    <w:rPr>
      <w:rFonts w:ascii="Wingdings" w:hAnsi="Wingdings"/>
      <w:sz w:val="16"/>
    </w:rPr>
  </w:style>
  <w:style w:type="character" w:customStyle="1" w:styleId="WW8Num29z1">
    <w:name w:val="WW8Num29z1"/>
    <w:rsid w:val="00F45500"/>
    <w:rPr>
      <w:rFonts w:ascii="Wingdings" w:hAnsi="Wingdings"/>
      <w:sz w:val="16"/>
    </w:rPr>
  </w:style>
  <w:style w:type="character" w:customStyle="1" w:styleId="WW8Num29z2">
    <w:name w:val="WW8Num29z2"/>
    <w:rsid w:val="00F45500"/>
    <w:rPr>
      <w:rFonts w:ascii="Wingdings" w:hAnsi="Wingdings"/>
    </w:rPr>
  </w:style>
  <w:style w:type="character" w:customStyle="1" w:styleId="WW8Num29z4">
    <w:name w:val="WW8Num29z4"/>
    <w:rsid w:val="00F45500"/>
    <w:rPr>
      <w:rFonts w:ascii="Courier New" w:hAnsi="Courier New" w:cs="Courier New"/>
    </w:rPr>
  </w:style>
  <w:style w:type="character" w:customStyle="1" w:styleId="WW8Num33z0">
    <w:name w:val="WW8Num33z0"/>
    <w:rsid w:val="00F45500"/>
    <w:rPr>
      <w:rFonts w:ascii="Times New Roman" w:hAnsi="Times New Roman"/>
      <w:sz w:val="16"/>
    </w:rPr>
  </w:style>
  <w:style w:type="character" w:customStyle="1" w:styleId="WW8Num36z0">
    <w:name w:val="WW8Num36z0"/>
    <w:rsid w:val="00F45500"/>
    <w:rPr>
      <w:rFonts w:ascii="Wingdings" w:hAnsi="Wingdings"/>
      <w:sz w:val="16"/>
    </w:rPr>
  </w:style>
  <w:style w:type="character" w:customStyle="1" w:styleId="WW8Num45z0">
    <w:name w:val="WW8Num45z0"/>
    <w:rsid w:val="00F45500"/>
    <w:rPr>
      <w:rFonts w:ascii="Wingdings" w:hAnsi="Wingdings"/>
      <w:sz w:val="16"/>
    </w:rPr>
  </w:style>
  <w:style w:type="character" w:customStyle="1" w:styleId="WW8Num46z0">
    <w:name w:val="WW8Num46z0"/>
    <w:rsid w:val="00F45500"/>
    <w:rPr>
      <w:rFonts w:ascii="Wingdings" w:hAnsi="Wingdings"/>
      <w:sz w:val="16"/>
    </w:rPr>
  </w:style>
  <w:style w:type="character" w:customStyle="1" w:styleId="WW8Num47z0">
    <w:name w:val="WW8Num47z0"/>
    <w:rsid w:val="00F45500"/>
    <w:rPr>
      <w:rFonts w:ascii="Wingdings" w:hAnsi="Wingdings"/>
      <w:sz w:val="16"/>
    </w:rPr>
  </w:style>
  <w:style w:type="character" w:customStyle="1" w:styleId="WW8Num48z0">
    <w:name w:val="WW8Num48z0"/>
    <w:rsid w:val="00F45500"/>
    <w:rPr>
      <w:rFonts w:ascii="StarSymbol" w:hAnsi="StarSymbol"/>
      <w:sz w:val="16"/>
    </w:rPr>
  </w:style>
  <w:style w:type="character" w:customStyle="1" w:styleId="WW8Num49z0">
    <w:name w:val="WW8Num49z0"/>
    <w:rsid w:val="00F45500"/>
    <w:rPr>
      <w:rFonts w:ascii="StarSymbol" w:hAnsi="StarSymbol"/>
      <w:sz w:val="16"/>
    </w:rPr>
  </w:style>
  <w:style w:type="character" w:customStyle="1" w:styleId="WW8Num50z0">
    <w:name w:val="WW8Num50z0"/>
    <w:rsid w:val="00F45500"/>
    <w:rPr>
      <w:rFonts w:ascii="StarSymbol" w:hAnsi="StarSymbol"/>
      <w:sz w:val="16"/>
    </w:rPr>
  </w:style>
  <w:style w:type="character" w:customStyle="1" w:styleId="WW8Num51z0">
    <w:name w:val="WW8Num51z0"/>
    <w:rsid w:val="00F45500"/>
    <w:rPr>
      <w:rFonts w:ascii="Wingdings" w:hAnsi="Wingdings"/>
      <w:sz w:val="16"/>
    </w:rPr>
  </w:style>
  <w:style w:type="character" w:customStyle="1" w:styleId="WW8Num52z0">
    <w:name w:val="WW8Num52z0"/>
    <w:rsid w:val="00F45500"/>
    <w:rPr>
      <w:rFonts w:ascii="Wingdings" w:hAnsi="Wingdings"/>
      <w:sz w:val="16"/>
    </w:rPr>
  </w:style>
  <w:style w:type="character" w:customStyle="1" w:styleId="WW8Num53z0">
    <w:name w:val="WW8Num53z0"/>
    <w:rsid w:val="00F45500"/>
    <w:rPr>
      <w:rFonts w:ascii="Wingdings" w:hAnsi="Wingdings"/>
      <w:sz w:val="16"/>
    </w:rPr>
  </w:style>
  <w:style w:type="character" w:customStyle="1" w:styleId="WW8Num54z0">
    <w:name w:val="WW8Num54z0"/>
    <w:rsid w:val="00F45500"/>
    <w:rPr>
      <w:rFonts w:ascii="Wingdings" w:hAnsi="Wingdings"/>
      <w:sz w:val="16"/>
    </w:rPr>
  </w:style>
  <w:style w:type="character" w:customStyle="1" w:styleId="WW8Num55z0">
    <w:name w:val="WW8Num55z0"/>
    <w:rsid w:val="00F45500"/>
    <w:rPr>
      <w:rFonts w:ascii="Wingdings" w:hAnsi="Wingdings"/>
      <w:sz w:val="16"/>
    </w:rPr>
  </w:style>
  <w:style w:type="character" w:customStyle="1" w:styleId="WW8Num56z0">
    <w:name w:val="WW8Num56z0"/>
    <w:rsid w:val="00F45500"/>
    <w:rPr>
      <w:rFonts w:ascii="Wingdings" w:hAnsi="Wingdings"/>
      <w:sz w:val="16"/>
    </w:rPr>
  </w:style>
  <w:style w:type="character" w:customStyle="1" w:styleId="WW8Num57z0">
    <w:name w:val="WW8Num57z0"/>
    <w:rsid w:val="00F45500"/>
    <w:rPr>
      <w:rFonts w:ascii="Wingdings" w:hAnsi="Wingdings"/>
      <w:sz w:val="16"/>
    </w:rPr>
  </w:style>
  <w:style w:type="character" w:customStyle="1" w:styleId="WW8Num58z0">
    <w:name w:val="WW8Num58z0"/>
    <w:rsid w:val="00F45500"/>
    <w:rPr>
      <w:rFonts w:ascii="Wingdings" w:hAnsi="Wingdings"/>
      <w:sz w:val="16"/>
      <w:szCs w:val="16"/>
    </w:rPr>
  </w:style>
  <w:style w:type="character" w:customStyle="1" w:styleId="WW8Num59z0">
    <w:name w:val="WW8Num59z0"/>
    <w:rsid w:val="00F45500"/>
    <w:rPr>
      <w:rFonts w:ascii="Wingdings" w:hAnsi="Wingdings"/>
      <w:sz w:val="16"/>
    </w:rPr>
  </w:style>
  <w:style w:type="character" w:customStyle="1" w:styleId="WW8Num60z0">
    <w:name w:val="WW8Num60z0"/>
    <w:rsid w:val="00F45500"/>
    <w:rPr>
      <w:rFonts w:ascii="Wingdings" w:hAnsi="Wingdings"/>
      <w:sz w:val="16"/>
    </w:rPr>
  </w:style>
  <w:style w:type="character" w:customStyle="1" w:styleId="WW8Num61z0">
    <w:name w:val="WW8Num61z0"/>
    <w:rsid w:val="00F45500"/>
    <w:rPr>
      <w:rFonts w:ascii="Wingdings" w:hAnsi="Wingdings"/>
      <w:sz w:val="16"/>
    </w:rPr>
  </w:style>
  <w:style w:type="character" w:customStyle="1" w:styleId="WW8Num62z0">
    <w:name w:val="WW8Num62z0"/>
    <w:rsid w:val="00F45500"/>
    <w:rPr>
      <w:rFonts w:ascii="Wingdings" w:hAnsi="Wingdings"/>
      <w:sz w:val="16"/>
    </w:rPr>
  </w:style>
  <w:style w:type="character" w:customStyle="1" w:styleId="WW8Num63z0">
    <w:name w:val="WW8Num63z0"/>
    <w:rsid w:val="00F45500"/>
    <w:rPr>
      <w:rFonts w:ascii="Symbol" w:hAnsi="Symbol"/>
      <w:sz w:val="16"/>
    </w:rPr>
  </w:style>
  <w:style w:type="character" w:customStyle="1" w:styleId="WW8Num64z0">
    <w:name w:val="WW8Num64z0"/>
    <w:rsid w:val="00F45500"/>
    <w:rPr>
      <w:rFonts w:ascii="Wingdings" w:hAnsi="Wingdings"/>
      <w:sz w:val="16"/>
    </w:rPr>
  </w:style>
  <w:style w:type="character" w:customStyle="1" w:styleId="WW8Num65z0">
    <w:name w:val="WW8Num65z0"/>
    <w:rsid w:val="00F45500"/>
    <w:rPr>
      <w:rFonts w:ascii="Symbol" w:hAnsi="Symbol"/>
      <w:sz w:val="16"/>
    </w:rPr>
  </w:style>
  <w:style w:type="character" w:customStyle="1" w:styleId="WW8Num66z0">
    <w:name w:val="WW8Num66z0"/>
    <w:rsid w:val="00F45500"/>
    <w:rPr>
      <w:rFonts w:ascii="Wingdings" w:hAnsi="Wingdings"/>
    </w:rPr>
  </w:style>
  <w:style w:type="character" w:customStyle="1" w:styleId="WW8Num67z0">
    <w:name w:val="WW8Num67z0"/>
    <w:rsid w:val="00F45500"/>
    <w:rPr>
      <w:rFonts w:ascii="Wingdings" w:hAnsi="Wingdings"/>
      <w:sz w:val="16"/>
    </w:rPr>
  </w:style>
  <w:style w:type="character" w:customStyle="1" w:styleId="WW8Num68z0">
    <w:name w:val="WW8Num68z0"/>
    <w:rsid w:val="00F45500"/>
    <w:rPr>
      <w:rFonts w:ascii="Symbol" w:hAnsi="Symbol"/>
      <w:sz w:val="16"/>
    </w:rPr>
  </w:style>
  <w:style w:type="character" w:customStyle="1" w:styleId="WW8Num69z0">
    <w:name w:val="WW8Num69z0"/>
    <w:rsid w:val="00F45500"/>
    <w:rPr>
      <w:rFonts w:ascii="Wingdings" w:hAnsi="Wingdings"/>
      <w:sz w:val="16"/>
    </w:rPr>
  </w:style>
  <w:style w:type="character" w:customStyle="1" w:styleId="WW8Num70z0">
    <w:name w:val="WW8Num70z0"/>
    <w:rsid w:val="00F45500"/>
    <w:rPr>
      <w:rFonts w:ascii="StarSymbol" w:hAnsi="StarSymbol" w:cs="StarSymbol"/>
      <w:sz w:val="18"/>
      <w:szCs w:val="18"/>
    </w:rPr>
  </w:style>
  <w:style w:type="character" w:customStyle="1" w:styleId="WW8Num71z0">
    <w:name w:val="WW8Num71z0"/>
    <w:rsid w:val="00F45500"/>
    <w:rPr>
      <w:rFonts w:ascii="Symbol" w:hAnsi="Symbol" w:cs="StarSymbol"/>
      <w:sz w:val="18"/>
      <w:szCs w:val="18"/>
    </w:rPr>
  </w:style>
  <w:style w:type="character" w:customStyle="1" w:styleId="WW8Num74z0">
    <w:name w:val="WW8Num74z0"/>
    <w:rsid w:val="00F45500"/>
    <w:rPr>
      <w:rFonts w:ascii="Times New Roman" w:hAnsi="Times New Roman"/>
    </w:rPr>
  </w:style>
  <w:style w:type="character" w:customStyle="1" w:styleId="WW8Num76z0">
    <w:name w:val="WW8Num76z0"/>
    <w:rsid w:val="00F45500"/>
    <w:rPr>
      <w:rFonts w:ascii="Symbol" w:hAnsi="Symbol"/>
    </w:rPr>
  </w:style>
  <w:style w:type="character" w:customStyle="1" w:styleId="WW8Num77z0">
    <w:name w:val="WW8Num77z0"/>
    <w:rsid w:val="00F45500"/>
    <w:rPr>
      <w:rFonts w:ascii="Symbol" w:hAnsi="Symbol"/>
      <w:color w:val="000000"/>
      <w:sz w:val="20"/>
    </w:rPr>
  </w:style>
  <w:style w:type="character" w:customStyle="1" w:styleId="WW8Num78z0">
    <w:name w:val="WW8Num78z0"/>
    <w:rsid w:val="00F45500"/>
    <w:rPr>
      <w:rFonts w:ascii="Symbol" w:hAnsi="Symbol" w:cs="Symbol"/>
    </w:rPr>
  </w:style>
  <w:style w:type="character" w:customStyle="1" w:styleId="WW8Num81z0">
    <w:name w:val="WW8Num81z0"/>
    <w:rsid w:val="00F45500"/>
    <w:rPr>
      <w:rFonts w:ascii="Symbol" w:hAnsi="Symbol" w:cs="Symbol"/>
    </w:rPr>
  </w:style>
  <w:style w:type="character" w:customStyle="1" w:styleId="WW8Num82z0">
    <w:name w:val="WW8Num82z0"/>
    <w:rsid w:val="00F45500"/>
    <w:rPr>
      <w:rFonts w:ascii="Symbol" w:hAnsi="Symbol"/>
    </w:rPr>
  </w:style>
  <w:style w:type="character" w:customStyle="1" w:styleId="WW8Num83z0">
    <w:name w:val="WW8Num83z0"/>
    <w:rsid w:val="00F45500"/>
    <w:rPr>
      <w:rFonts w:ascii="Symbol" w:hAnsi="Symbol"/>
    </w:rPr>
  </w:style>
  <w:style w:type="character" w:customStyle="1" w:styleId="WW8Num84z0">
    <w:name w:val="WW8Num84z0"/>
    <w:rsid w:val="00F45500"/>
    <w:rPr>
      <w:b/>
      <w:bCs/>
      <w:i w:val="0"/>
      <w:iCs w:val="0"/>
    </w:rPr>
  </w:style>
  <w:style w:type="character" w:customStyle="1" w:styleId="WW8Num86z0">
    <w:name w:val="WW8Num86z0"/>
    <w:rsid w:val="00F45500"/>
    <w:rPr>
      <w:rFonts w:ascii="Symbol" w:hAnsi="Symbol" w:cs="Symbol"/>
    </w:rPr>
  </w:style>
  <w:style w:type="character" w:customStyle="1" w:styleId="WW8Num86z1">
    <w:name w:val="WW8Num86z1"/>
    <w:rsid w:val="00F45500"/>
    <w:rPr>
      <w:rFonts w:ascii="Courier New" w:hAnsi="Courier New" w:cs="Courier New"/>
    </w:rPr>
  </w:style>
  <w:style w:type="character" w:customStyle="1" w:styleId="WW8Num87z0">
    <w:name w:val="WW8Num87z0"/>
    <w:rsid w:val="00F45500"/>
    <w:rPr>
      <w:b/>
      <w:bCs/>
      <w:i w:val="0"/>
      <w:iCs w:val="0"/>
    </w:rPr>
  </w:style>
  <w:style w:type="character" w:customStyle="1" w:styleId="WW8Num88z0">
    <w:name w:val="WW8Num88z0"/>
    <w:rsid w:val="00F45500"/>
    <w:rPr>
      <w:b/>
    </w:rPr>
  </w:style>
  <w:style w:type="character" w:customStyle="1" w:styleId="WW8Num90z0">
    <w:name w:val="WW8Num90z0"/>
    <w:rsid w:val="00F45500"/>
    <w:rPr>
      <w:rFonts w:ascii="Symbol" w:hAnsi="Symbol"/>
      <w:sz w:val="16"/>
    </w:rPr>
  </w:style>
  <w:style w:type="character" w:customStyle="1" w:styleId="WW8Num91z0">
    <w:name w:val="WW8Num91z0"/>
    <w:rsid w:val="00F45500"/>
    <w:rPr>
      <w:rFonts w:ascii="Wingdings" w:hAnsi="Wingdings"/>
      <w:sz w:val="16"/>
    </w:rPr>
  </w:style>
  <w:style w:type="character" w:customStyle="1" w:styleId="WW8Num93z0">
    <w:name w:val="WW8Num93z0"/>
    <w:rsid w:val="00F45500"/>
    <w:rPr>
      <w:rFonts w:ascii="Symbol" w:hAnsi="Symbol"/>
      <w:color w:val="000000"/>
      <w:sz w:val="20"/>
    </w:rPr>
  </w:style>
  <w:style w:type="character" w:customStyle="1" w:styleId="WW8Num95z0">
    <w:name w:val="WW8Num95z0"/>
    <w:rsid w:val="00F45500"/>
    <w:rPr>
      <w:rFonts w:ascii="Wingdings" w:hAnsi="Wingdings"/>
      <w:color w:val="000000"/>
      <w:sz w:val="20"/>
    </w:rPr>
  </w:style>
  <w:style w:type="character" w:customStyle="1" w:styleId="WW8Num96z0">
    <w:name w:val="WW8Num96z0"/>
    <w:rsid w:val="00F45500"/>
    <w:rPr>
      <w:rFonts w:ascii="Symbol" w:hAnsi="Symbol"/>
      <w:color w:val="000000"/>
      <w:sz w:val="20"/>
    </w:rPr>
  </w:style>
  <w:style w:type="character" w:customStyle="1" w:styleId="WW8Num97z0">
    <w:name w:val="WW8Num97z0"/>
    <w:rsid w:val="00F45500"/>
    <w:rPr>
      <w:b/>
      <w:i w:val="0"/>
    </w:rPr>
  </w:style>
  <w:style w:type="character" w:customStyle="1" w:styleId="WW8Num98z0">
    <w:name w:val="WW8Num98z0"/>
    <w:rsid w:val="00F45500"/>
    <w:rPr>
      <w:rFonts w:ascii="Symbol" w:hAnsi="Symbol"/>
    </w:rPr>
  </w:style>
  <w:style w:type="character" w:customStyle="1" w:styleId="WW8Num99z0">
    <w:name w:val="WW8Num99z0"/>
    <w:rsid w:val="00F45500"/>
    <w:rPr>
      <w:b/>
      <w:i w:val="0"/>
    </w:rPr>
  </w:style>
  <w:style w:type="character" w:customStyle="1" w:styleId="WW8Num101z0">
    <w:name w:val="WW8Num101z0"/>
    <w:rsid w:val="00F45500"/>
    <w:rPr>
      <w:rFonts w:ascii="Symbol" w:hAnsi="Symbol"/>
    </w:rPr>
  </w:style>
  <w:style w:type="character" w:customStyle="1" w:styleId="WW8Num103z1">
    <w:name w:val="WW8Num103z1"/>
    <w:rsid w:val="00F45500"/>
    <w:rPr>
      <w:rFonts w:ascii="Courier New" w:hAnsi="Courier New" w:cs="Courier New"/>
    </w:rPr>
  </w:style>
  <w:style w:type="character" w:customStyle="1" w:styleId="WW8Num105z0">
    <w:name w:val="WW8Num105z0"/>
    <w:rsid w:val="00F45500"/>
    <w:rPr>
      <w:rFonts w:ascii="Symbol" w:hAnsi="Symbol"/>
    </w:rPr>
  </w:style>
  <w:style w:type="character" w:customStyle="1" w:styleId="WW8Num105z1">
    <w:name w:val="WW8Num105z1"/>
    <w:rsid w:val="00F45500"/>
    <w:rPr>
      <w:rFonts w:ascii="Courier New" w:hAnsi="Courier New" w:cs="Courier New"/>
    </w:rPr>
  </w:style>
  <w:style w:type="character" w:customStyle="1" w:styleId="WW8Num105z2">
    <w:name w:val="WW8Num105z2"/>
    <w:rsid w:val="00F45500"/>
    <w:rPr>
      <w:rFonts w:ascii="Wingdings" w:hAnsi="Wingdings"/>
    </w:rPr>
  </w:style>
  <w:style w:type="character" w:customStyle="1" w:styleId="WW8Num105z3">
    <w:name w:val="WW8Num105z3"/>
    <w:rsid w:val="00F45500"/>
    <w:rPr>
      <w:b w:val="0"/>
      <w:i w:val="0"/>
    </w:rPr>
  </w:style>
  <w:style w:type="character" w:customStyle="1" w:styleId="WW8Num106z0">
    <w:name w:val="WW8Num106z0"/>
    <w:rsid w:val="00F45500"/>
    <w:rPr>
      <w:rFonts w:ascii="Times New Roman" w:hAnsi="Times New Roman"/>
    </w:rPr>
  </w:style>
  <w:style w:type="character" w:customStyle="1" w:styleId="WW8Num106z1">
    <w:name w:val="WW8Num106z1"/>
    <w:rsid w:val="00F45500"/>
    <w:rPr>
      <w:rFonts w:ascii="Courier New" w:hAnsi="Courier New" w:cs="Courier New"/>
    </w:rPr>
  </w:style>
  <w:style w:type="character" w:customStyle="1" w:styleId="WW8Num107z0">
    <w:name w:val="WW8Num107z0"/>
    <w:rsid w:val="00F45500"/>
    <w:rPr>
      <w:rFonts w:ascii="Symbol" w:hAnsi="Symbol"/>
    </w:rPr>
  </w:style>
  <w:style w:type="character" w:customStyle="1" w:styleId="WW8Num109z0">
    <w:name w:val="WW8Num109z0"/>
    <w:rsid w:val="00F45500"/>
    <w:rPr>
      <w:rFonts w:ascii="Symbol" w:hAnsi="Symbol"/>
    </w:rPr>
  </w:style>
  <w:style w:type="character" w:customStyle="1" w:styleId="WW8Num110z0">
    <w:name w:val="WW8Num110z0"/>
    <w:rsid w:val="00F45500"/>
    <w:rPr>
      <w:rFonts w:ascii="Symbol" w:hAnsi="Symbol"/>
    </w:rPr>
  </w:style>
  <w:style w:type="character" w:customStyle="1" w:styleId="WW8Num112z0">
    <w:name w:val="WW8Num112z0"/>
    <w:rsid w:val="00F45500"/>
    <w:rPr>
      <w:rFonts w:ascii="Symbol" w:hAnsi="Symbol"/>
    </w:rPr>
  </w:style>
  <w:style w:type="character" w:customStyle="1" w:styleId="WW8Num118z0">
    <w:name w:val="WW8Num118z0"/>
    <w:rsid w:val="00F45500"/>
    <w:rPr>
      <w:rFonts w:ascii="Symbol" w:hAnsi="Symbol" w:cs="Times New Roman"/>
      <w:b w:val="0"/>
      <w:i w:val="0"/>
      <w:sz w:val="20"/>
      <w:u w:val="none"/>
    </w:rPr>
  </w:style>
  <w:style w:type="character" w:customStyle="1" w:styleId="WW8Num123z0">
    <w:name w:val="WW8Num123z0"/>
    <w:rsid w:val="00F45500"/>
    <w:rPr>
      <w:rFonts w:ascii="Symbol" w:hAnsi="Symbol"/>
    </w:rPr>
  </w:style>
  <w:style w:type="character" w:customStyle="1" w:styleId="WW8Num124z0">
    <w:name w:val="WW8Num124z0"/>
    <w:rsid w:val="00F45500"/>
    <w:rPr>
      <w:sz w:val="24"/>
      <w:szCs w:val="24"/>
    </w:rPr>
  </w:style>
  <w:style w:type="character" w:customStyle="1" w:styleId="WW8Num125z0">
    <w:name w:val="WW8Num125z0"/>
    <w:rsid w:val="00F45500"/>
    <w:rPr>
      <w:rFonts w:ascii="Symbol" w:hAnsi="Symbol"/>
      <w:sz w:val="20"/>
    </w:rPr>
  </w:style>
  <w:style w:type="character" w:customStyle="1" w:styleId="WW8Num126z0">
    <w:name w:val="WW8Num126z0"/>
    <w:rsid w:val="00F45500"/>
    <w:rPr>
      <w:rFonts w:ascii="Symbol" w:hAnsi="Symbol"/>
      <w:sz w:val="20"/>
    </w:rPr>
  </w:style>
  <w:style w:type="character" w:customStyle="1" w:styleId="WW8Num127z0">
    <w:name w:val="WW8Num127z0"/>
    <w:rsid w:val="00F45500"/>
    <w:rPr>
      <w:rFonts w:ascii="Times New Roman" w:hAnsi="Times New Roman" w:cs="Times New Roman"/>
      <w:b w:val="0"/>
      <w:i w:val="0"/>
      <w:sz w:val="20"/>
      <w:u w:val="none"/>
    </w:rPr>
  </w:style>
  <w:style w:type="character" w:customStyle="1" w:styleId="WW8Num128z0">
    <w:name w:val="WW8Num128z0"/>
    <w:rsid w:val="00F45500"/>
    <w:rPr>
      <w:rFonts w:ascii="Arial" w:hAnsi="Arial"/>
    </w:rPr>
  </w:style>
  <w:style w:type="character" w:customStyle="1" w:styleId="WW8Num128z1">
    <w:name w:val="WW8Num128z1"/>
    <w:rsid w:val="00F45500"/>
    <w:rPr>
      <w:rFonts w:ascii="Courier New" w:hAnsi="Courier New" w:cs="Courier New"/>
    </w:rPr>
  </w:style>
  <w:style w:type="character" w:customStyle="1" w:styleId="WW8Num128z2">
    <w:name w:val="WW8Num128z2"/>
    <w:rsid w:val="00F45500"/>
    <w:rPr>
      <w:rFonts w:ascii="Wingdings" w:hAnsi="Wingdings"/>
    </w:rPr>
  </w:style>
  <w:style w:type="character" w:customStyle="1" w:styleId="WW8Num128z3">
    <w:name w:val="WW8Num128z3"/>
    <w:rsid w:val="00F45500"/>
    <w:rPr>
      <w:rFonts w:ascii="Symbol" w:hAnsi="Symbol"/>
    </w:rPr>
  </w:style>
  <w:style w:type="character" w:customStyle="1" w:styleId="WW8Num133z0">
    <w:name w:val="WW8Num133z0"/>
    <w:rsid w:val="00F45500"/>
    <w:rPr>
      <w:rFonts w:ascii="Symbol" w:hAnsi="Symbol"/>
      <w:sz w:val="20"/>
    </w:rPr>
  </w:style>
  <w:style w:type="character" w:customStyle="1" w:styleId="WW8Num135z0">
    <w:name w:val="WW8Num135z0"/>
    <w:rsid w:val="00F45500"/>
    <w:rPr>
      <w:rFonts w:ascii="Arial" w:hAnsi="Arial" w:cs="Arial"/>
      <w:b/>
      <w:i w:val="0"/>
      <w:sz w:val="20"/>
      <w:szCs w:val="20"/>
    </w:rPr>
  </w:style>
  <w:style w:type="character" w:customStyle="1" w:styleId="WW8Num135z1">
    <w:name w:val="WW8Num135z1"/>
    <w:rsid w:val="00F45500"/>
    <w:rPr>
      <w:b/>
    </w:rPr>
  </w:style>
  <w:style w:type="character" w:customStyle="1" w:styleId="WW8Num135z2">
    <w:name w:val="WW8Num135z2"/>
    <w:rsid w:val="00F45500"/>
    <w:rPr>
      <w:rFonts w:ascii="Times New Roman" w:hAnsi="Times New Roman"/>
      <w:b w:val="0"/>
      <w:i w:val="0"/>
      <w:sz w:val="24"/>
      <w:szCs w:val="24"/>
    </w:rPr>
  </w:style>
  <w:style w:type="character" w:customStyle="1" w:styleId="WW8Num135z3">
    <w:name w:val="WW8Num135z3"/>
    <w:rsid w:val="00F45500"/>
    <w:rPr>
      <w:b w:val="0"/>
      <w:i w:val="0"/>
    </w:rPr>
  </w:style>
  <w:style w:type="character" w:customStyle="1" w:styleId="WW8Num137z0">
    <w:name w:val="WW8Num137z0"/>
    <w:rsid w:val="00F45500"/>
    <w:rPr>
      <w:rFonts w:ascii="Symbol" w:hAnsi="Symbol"/>
    </w:rPr>
  </w:style>
  <w:style w:type="character" w:customStyle="1" w:styleId="WW8Num137z1">
    <w:name w:val="WW8Num137z1"/>
    <w:rsid w:val="00F45500"/>
    <w:rPr>
      <w:rFonts w:ascii="Courier New" w:hAnsi="Courier New" w:cs="Courier New"/>
    </w:rPr>
  </w:style>
  <w:style w:type="character" w:customStyle="1" w:styleId="WW8Num137z2">
    <w:name w:val="WW8Num137z2"/>
    <w:rsid w:val="00F45500"/>
    <w:rPr>
      <w:rFonts w:ascii="Wingdings" w:hAnsi="Wingdings"/>
    </w:rPr>
  </w:style>
  <w:style w:type="character" w:customStyle="1" w:styleId="WW8Num138z0">
    <w:name w:val="WW8Num138z0"/>
    <w:rsid w:val="00F45500"/>
    <w:rPr>
      <w:rFonts w:ascii="Symbol" w:hAnsi="Symbol" w:cs="Times New Roman"/>
    </w:rPr>
  </w:style>
  <w:style w:type="character" w:customStyle="1" w:styleId="WW8Num141z0">
    <w:name w:val="WW8Num141z0"/>
    <w:rsid w:val="00F45500"/>
    <w:rPr>
      <w:rFonts w:ascii="Symbol" w:hAnsi="Symbol" w:cs="Times New Roman"/>
    </w:rPr>
  </w:style>
  <w:style w:type="character" w:customStyle="1" w:styleId="WW8Num144z0">
    <w:name w:val="WW8Num144z0"/>
    <w:rsid w:val="00F45500"/>
    <w:rPr>
      <w:b w:val="0"/>
      <w:i w:val="0"/>
      <w:sz w:val="20"/>
    </w:rPr>
  </w:style>
  <w:style w:type="character" w:customStyle="1" w:styleId="WW8Num145z0">
    <w:name w:val="WW8Num145z0"/>
    <w:rsid w:val="00F45500"/>
    <w:rPr>
      <w:rFonts w:ascii="Times New Roman" w:hAnsi="Times New Roman" w:cs="Times New Roman"/>
    </w:rPr>
  </w:style>
  <w:style w:type="character" w:customStyle="1" w:styleId="WW8Num145z1">
    <w:name w:val="WW8Num145z1"/>
    <w:rsid w:val="00F45500"/>
    <w:rPr>
      <w:rFonts w:ascii="Courier New" w:hAnsi="Courier New" w:cs="Courier New"/>
    </w:rPr>
  </w:style>
  <w:style w:type="character" w:customStyle="1" w:styleId="WW8Num145z2">
    <w:name w:val="WW8Num145z2"/>
    <w:rsid w:val="00F45500"/>
    <w:rPr>
      <w:rFonts w:ascii="Wingdings" w:hAnsi="Wingdings"/>
    </w:rPr>
  </w:style>
  <w:style w:type="character" w:customStyle="1" w:styleId="WW8Num145z3">
    <w:name w:val="WW8Num145z3"/>
    <w:rsid w:val="00F45500"/>
    <w:rPr>
      <w:rFonts w:ascii="Symbol" w:hAnsi="Symbol"/>
    </w:rPr>
  </w:style>
  <w:style w:type="character" w:customStyle="1" w:styleId="WW8Num151z0">
    <w:name w:val="WW8Num151z0"/>
    <w:rsid w:val="00F45500"/>
    <w:rPr>
      <w:rFonts w:ascii="Times New Roman" w:hAnsi="Times New Roman" w:cs="Times New Roman"/>
    </w:rPr>
  </w:style>
  <w:style w:type="character" w:customStyle="1" w:styleId="Domylnaczcionkaakapitu6">
    <w:name w:val="Domyślna czcionka akapitu6"/>
    <w:rsid w:val="00F45500"/>
  </w:style>
  <w:style w:type="character" w:customStyle="1" w:styleId="WW8Num87z1">
    <w:name w:val="WW8Num87z1"/>
    <w:rsid w:val="00F45500"/>
    <w:rPr>
      <w:b w:val="0"/>
      <w:bCs w:val="0"/>
      <w:i w:val="0"/>
      <w:iCs w:val="0"/>
    </w:rPr>
  </w:style>
  <w:style w:type="character" w:customStyle="1" w:styleId="WW8Num87z3">
    <w:name w:val="WW8Num87z3"/>
    <w:rsid w:val="00F45500"/>
    <w:rPr>
      <w:rFonts w:ascii="Symbol" w:hAnsi="Symbol"/>
    </w:rPr>
  </w:style>
  <w:style w:type="character" w:customStyle="1" w:styleId="WW8Num88z1">
    <w:name w:val="WW8Num88z1"/>
    <w:rsid w:val="00F45500"/>
    <w:rPr>
      <w:rFonts w:ascii="Wingdings" w:hAnsi="Wingdings"/>
    </w:rPr>
  </w:style>
  <w:style w:type="character" w:customStyle="1" w:styleId="WW8Num89z0">
    <w:name w:val="WW8Num89z0"/>
    <w:rsid w:val="00F45500"/>
    <w:rPr>
      <w:b/>
      <w:i w:val="0"/>
      <w:sz w:val="24"/>
    </w:rPr>
  </w:style>
  <w:style w:type="character" w:customStyle="1" w:styleId="WW8Num89z1">
    <w:name w:val="WW8Num89z1"/>
    <w:rsid w:val="00F45500"/>
    <w:rPr>
      <w:b w:val="0"/>
      <w:i w:val="0"/>
    </w:rPr>
  </w:style>
  <w:style w:type="character" w:customStyle="1" w:styleId="WW8Num89z3">
    <w:name w:val="WW8Num89z3"/>
    <w:rsid w:val="00F45500"/>
    <w:rPr>
      <w:rFonts w:ascii="Symbol" w:hAnsi="Symbol"/>
    </w:rPr>
  </w:style>
  <w:style w:type="character" w:customStyle="1" w:styleId="WW8Num91z1">
    <w:name w:val="WW8Num91z1"/>
    <w:rsid w:val="00F45500"/>
    <w:rPr>
      <w:rFonts w:ascii="Courier New" w:hAnsi="Courier New" w:cs="Courier New"/>
    </w:rPr>
  </w:style>
  <w:style w:type="character" w:customStyle="1" w:styleId="WW8Num91z3">
    <w:name w:val="WW8Num91z3"/>
    <w:rsid w:val="00F45500"/>
    <w:rPr>
      <w:rFonts w:ascii="Symbol" w:hAnsi="Symbol"/>
    </w:rPr>
  </w:style>
  <w:style w:type="character" w:customStyle="1" w:styleId="WW8Num92z0">
    <w:name w:val="WW8Num92z0"/>
    <w:rsid w:val="00F45500"/>
    <w:rPr>
      <w:rFonts w:ascii="Symbol" w:hAnsi="Symbol"/>
    </w:rPr>
  </w:style>
  <w:style w:type="character" w:customStyle="1" w:styleId="WW8Num92z1">
    <w:name w:val="WW8Num92z1"/>
    <w:rsid w:val="00F45500"/>
    <w:rPr>
      <w:rFonts w:ascii="Courier New" w:hAnsi="Courier New" w:cs="Courier New"/>
    </w:rPr>
  </w:style>
  <w:style w:type="character" w:customStyle="1" w:styleId="WW8Num92z3">
    <w:name w:val="WW8Num92z3"/>
    <w:rsid w:val="00F45500"/>
    <w:rPr>
      <w:rFonts w:ascii="Symbol" w:hAnsi="Symbol"/>
    </w:rPr>
  </w:style>
  <w:style w:type="character" w:customStyle="1" w:styleId="WW8Num94z0">
    <w:name w:val="WW8Num94z0"/>
    <w:rsid w:val="00F45500"/>
    <w:rPr>
      <w:rFonts w:ascii="Symbol" w:hAnsi="Symbol"/>
    </w:rPr>
  </w:style>
  <w:style w:type="character" w:customStyle="1" w:styleId="WW8Num94z1">
    <w:name w:val="WW8Num94z1"/>
    <w:rsid w:val="00F45500"/>
    <w:rPr>
      <w:rFonts w:ascii="Courier New" w:hAnsi="Courier New" w:cs="Courier New"/>
    </w:rPr>
  </w:style>
  <w:style w:type="character" w:customStyle="1" w:styleId="WW8Num94z3">
    <w:name w:val="WW8Num94z3"/>
    <w:rsid w:val="00F45500"/>
    <w:rPr>
      <w:rFonts w:ascii="Symbol" w:hAnsi="Symbol"/>
    </w:rPr>
  </w:style>
  <w:style w:type="character" w:customStyle="1" w:styleId="WW8Num96z1">
    <w:name w:val="WW8Num96z1"/>
    <w:rsid w:val="00F45500"/>
    <w:rPr>
      <w:rFonts w:ascii="Courier New" w:hAnsi="Courier New" w:cs="Courier New"/>
    </w:rPr>
  </w:style>
  <w:style w:type="character" w:customStyle="1" w:styleId="WW8Num96z3">
    <w:name w:val="WW8Num96z3"/>
    <w:rsid w:val="00F45500"/>
    <w:rPr>
      <w:rFonts w:ascii="Symbol" w:hAnsi="Symbol"/>
    </w:rPr>
  </w:style>
  <w:style w:type="character" w:customStyle="1" w:styleId="WW8Num97z1">
    <w:name w:val="WW8Num97z1"/>
    <w:rsid w:val="00F45500"/>
    <w:rPr>
      <w:b w:val="0"/>
      <w:i w:val="0"/>
    </w:rPr>
  </w:style>
  <w:style w:type="character" w:customStyle="1" w:styleId="WW8Num97z3">
    <w:name w:val="WW8Num97z3"/>
    <w:rsid w:val="00F45500"/>
    <w:rPr>
      <w:rFonts w:ascii="Symbol" w:hAnsi="Symbol"/>
    </w:rPr>
  </w:style>
  <w:style w:type="character" w:customStyle="1" w:styleId="WW8Num98z1">
    <w:name w:val="WW8Num98z1"/>
    <w:rsid w:val="00F45500"/>
    <w:rPr>
      <w:rFonts w:ascii="Courier New" w:hAnsi="Courier New" w:cs="Courier New"/>
    </w:rPr>
  </w:style>
  <w:style w:type="character" w:customStyle="1" w:styleId="WW8Num98z3">
    <w:name w:val="WW8Num98z3"/>
    <w:rsid w:val="00F45500"/>
    <w:rPr>
      <w:rFonts w:ascii="Symbol" w:hAnsi="Symbol"/>
    </w:rPr>
  </w:style>
  <w:style w:type="character" w:customStyle="1" w:styleId="WW8Num99z1">
    <w:name w:val="WW8Num99z1"/>
    <w:rsid w:val="00F45500"/>
    <w:rPr>
      <w:rFonts w:ascii="Times New Roman" w:hAnsi="Times New Roman" w:cs="Times New Roman"/>
      <w:b/>
      <w:sz w:val="20"/>
      <w:szCs w:val="20"/>
    </w:rPr>
  </w:style>
  <w:style w:type="character" w:customStyle="1" w:styleId="WW8Num99z3">
    <w:name w:val="WW8Num99z3"/>
    <w:rsid w:val="00F45500"/>
    <w:rPr>
      <w:rFonts w:ascii="Symbol" w:hAnsi="Symbol"/>
    </w:rPr>
  </w:style>
  <w:style w:type="character" w:customStyle="1" w:styleId="WW8Num100z0">
    <w:name w:val="WW8Num100z0"/>
    <w:rsid w:val="00F45500"/>
    <w:rPr>
      <w:rFonts w:ascii="Symbol" w:hAnsi="Symbol"/>
    </w:rPr>
  </w:style>
  <w:style w:type="character" w:customStyle="1" w:styleId="WW8Num100z1">
    <w:name w:val="WW8Num100z1"/>
    <w:rsid w:val="00F45500"/>
    <w:rPr>
      <w:rFonts w:ascii="Courier New" w:hAnsi="Courier New" w:cs="Courier New"/>
    </w:rPr>
  </w:style>
  <w:style w:type="character" w:customStyle="1" w:styleId="WW8Num100z3">
    <w:name w:val="WW8Num100z3"/>
    <w:rsid w:val="00F45500"/>
    <w:rPr>
      <w:rFonts w:ascii="Symbol" w:hAnsi="Symbol"/>
    </w:rPr>
  </w:style>
  <w:style w:type="character" w:customStyle="1" w:styleId="WW8Num101z1">
    <w:name w:val="WW8Num101z1"/>
    <w:rsid w:val="00F45500"/>
    <w:rPr>
      <w:rFonts w:ascii="Courier New" w:hAnsi="Courier New" w:cs="Courier New"/>
    </w:rPr>
  </w:style>
  <w:style w:type="character" w:customStyle="1" w:styleId="WW8Num101z3">
    <w:name w:val="WW8Num101z3"/>
    <w:rsid w:val="00F45500"/>
    <w:rPr>
      <w:rFonts w:ascii="Symbol" w:hAnsi="Symbol"/>
    </w:rPr>
  </w:style>
  <w:style w:type="character" w:customStyle="1" w:styleId="WW8Num102z1">
    <w:name w:val="WW8Num102z1"/>
    <w:rsid w:val="00F45500"/>
    <w:rPr>
      <w:rFonts w:ascii="Times New Roman" w:hAnsi="Times New Roman" w:cs="Times New Roman"/>
      <w:b/>
      <w:sz w:val="20"/>
      <w:szCs w:val="20"/>
    </w:rPr>
  </w:style>
  <w:style w:type="character" w:customStyle="1" w:styleId="WW8Num103z0">
    <w:name w:val="WW8Num103z0"/>
    <w:rsid w:val="00F45500"/>
    <w:rPr>
      <w:rFonts w:ascii="Symbol" w:hAnsi="Symbol"/>
    </w:rPr>
  </w:style>
  <w:style w:type="character" w:customStyle="1" w:styleId="WW8Num103z3">
    <w:name w:val="WW8Num103z3"/>
    <w:rsid w:val="00F45500"/>
    <w:rPr>
      <w:rFonts w:ascii="Symbol" w:hAnsi="Symbol"/>
    </w:rPr>
  </w:style>
  <w:style w:type="character" w:customStyle="1" w:styleId="Domylnaczcionkaakapitu4">
    <w:name w:val="Domyślna czcionka akapitu4"/>
    <w:rsid w:val="00F45500"/>
  </w:style>
  <w:style w:type="character" w:customStyle="1" w:styleId="Absatz-Standardschriftart">
    <w:name w:val="Absatz-Standardschriftart"/>
    <w:rsid w:val="00F45500"/>
  </w:style>
  <w:style w:type="character" w:customStyle="1" w:styleId="WW-Absatz-Standardschriftart">
    <w:name w:val="WW-Absatz-Standardschriftart"/>
    <w:rsid w:val="00F45500"/>
  </w:style>
  <w:style w:type="character" w:customStyle="1" w:styleId="WW-Absatz-Standardschriftart1">
    <w:name w:val="WW-Absatz-Standardschriftart1"/>
    <w:rsid w:val="00F45500"/>
  </w:style>
  <w:style w:type="character" w:customStyle="1" w:styleId="Domylnaczcionkaakapitu3">
    <w:name w:val="Domyślna czcionka akapitu3"/>
    <w:rsid w:val="00F45500"/>
  </w:style>
  <w:style w:type="character" w:customStyle="1" w:styleId="WW8Num72z0">
    <w:name w:val="WW8Num72z0"/>
    <w:rsid w:val="00F45500"/>
    <w:rPr>
      <w:rFonts w:ascii="Times New Roman" w:hAnsi="Times New Roman"/>
      <w:color w:val="000000"/>
      <w:sz w:val="20"/>
    </w:rPr>
  </w:style>
  <w:style w:type="character" w:customStyle="1" w:styleId="WW8Num75z0">
    <w:name w:val="WW8Num75z0"/>
    <w:rsid w:val="00F45500"/>
    <w:rPr>
      <w:rFonts w:ascii="Times New Roman" w:hAnsi="Times New Roman"/>
      <w:color w:val="000000"/>
      <w:sz w:val="20"/>
    </w:rPr>
  </w:style>
  <w:style w:type="character" w:customStyle="1" w:styleId="WW8Num79z0">
    <w:name w:val="WW8Num79z0"/>
    <w:rsid w:val="00F45500"/>
    <w:rPr>
      <w:rFonts w:ascii="Times New Roman" w:hAnsi="Times New Roman" w:cs="Times New Roman"/>
    </w:rPr>
  </w:style>
  <w:style w:type="character" w:customStyle="1" w:styleId="WW-Absatz-Standardschriftart11">
    <w:name w:val="WW-Absatz-Standardschriftart11"/>
    <w:rsid w:val="00F45500"/>
  </w:style>
  <w:style w:type="character" w:customStyle="1" w:styleId="Domylnaczcionkaakapitu2">
    <w:name w:val="Domyślna czcionka akapitu2"/>
    <w:rsid w:val="00F45500"/>
  </w:style>
  <w:style w:type="character" w:customStyle="1" w:styleId="WW-Absatz-Standardschriftart111">
    <w:name w:val="WW-Absatz-Standardschriftart111"/>
    <w:rsid w:val="00F45500"/>
  </w:style>
  <w:style w:type="character" w:customStyle="1" w:styleId="WW-Absatz-Standardschriftart1111">
    <w:name w:val="WW-Absatz-Standardschriftart1111"/>
    <w:rsid w:val="00F45500"/>
  </w:style>
  <w:style w:type="character" w:customStyle="1" w:styleId="WW-Absatz-Standardschriftart11111">
    <w:name w:val="WW-Absatz-Standardschriftart11111"/>
    <w:rsid w:val="00F45500"/>
  </w:style>
  <w:style w:type="character" w:customStyle="1" w:styleId="WW8Num80z0">
    <w:name w:val="WW8Num80z0"/>
    <w:rsid w:val="00F45500"/>
    <w:rPr>
      <w:b/>
    </w:rPr>
  </w:style>
  <w:style w:type="character" w:customStyle="1" w:styleId="WW-Absatz-Standardschriftart111111">
    <w:name w:val="WW-Absatz-Standardschriftart111111"/>
    <w:rsid w:val="00F45500"/>
  </w:style>
  <w:style w:type="character" w:customStyle="1" w:styleId="WW-Absatz-Standardschriftart1111111">
    <w:name w:val="WW-Absatz-Standardschriftart1111111"/>
    <w:rsid w:val="00F45500"/>
  </w:style>
  <w:style w:type="character" w:customStyle="1" w:styleId="WW-Absatz-Standardschriftart11111111">
    <w:name w:val="WW-Absatz-Standardschriftart11111111"/>
    <w:rsid w:val="00F45500"/>
  </w:style>
  <w:style w:type="character" w:customStyle="1" w:styleId="WW-Absatz-Standardschriftart111111111">
    <w:name w:val="WW-Absatz-Standardschriftart111111111"/>
    <w:rsid w:val="00F45500"/>
  </w:style>
  <w:style w:type="character" w:customStyle="1" w:styleId="WW-Absatz-Standardschriftart1111111111">
    <w:name w:val="WW-Absatz-Standardschriftart1111111111"/>
    <w:rsid w:val="00F45500"/>
  </w:style>
  <w:style w:type="character" w:customStyle="1" w:styleId="WW-Absatz-Standardschriftart11111111111">
    <w:name w:val="WW-Absatz-Standardschriftart11111111111"/>
    <w:rsid w:val="00F45500"/>
  </w:style>
  <w:style w:type="character" w:customStyle="1" w:styleId="WW-Absatz-Standardschriftart1111111111111">
    <w:name w:val="WW-Absatz-Standardschriftart1111111111111"/>
    <w:rsid w:val="00F45500"/>
  </w:style>
  <w:style w:type="character" w:customStyle="1" w:styleId="WW8Num5z5">
    <w:name w:val="WW8Num5z5"/>
    <w:rsid w:val="00F45500"/>
    <w:rPr>
      <w:rFonts w:ascii="Wingdings" w:hAnsi="Wingdings"/>
    </w:rPr>
  </w:style>
  <w:style w:type="character" w:customStyle="1" w:styleId="WW8Num5z6">
    <w:name w:val="WW8Num5z6"/>
    <w:rsid w:val="00F45500"/>
    <w:rPr>
      <w:rFonts w:ascii="Symbol" w:hAnsi="Symbol"/>
    </w:rPr>
  </w:style>
  <w:style w:type="character" w:customStyle="1" w:styleId="WW8Num28z1">
    <w:name w:val="WW8Num28z1"/>
    <w:rsid w:val="00F45500"/>
    <w:rPr>
      <w:rFonts w:ascii="Wingdings" w:hAnsi="Wingdings"/>
      <w:sz w:val="16"/>
    </w:rPr>
  </w:style>
  <w:style w:type="character" w:customStyle="1" w:styleId="WW8Num28z2">
    <w:name w:val="WW8Num28z2"/>
    <w:rsid w:val="00F45500"/>
    <w:rPr>
      <w:rFonts w:ascii="Wingdings" w:hAnsi="Wingdings"/>
    </w:rPr>
  </w:style>
  <w:style w:type="character" w:customStyle="1" w:styleId="WW8Num28z4">
    <w:name w:val="WW8Num28z4"/>
    <w:rsid w:val="00F45500"/>
    <w:rPr>
      <w:rFonts w:ascii="Courier New" w:hAnsi="Courier New" w:cs="Courier New"/>
    </w:rPr>
  </w:style>
  <w:style w:type="character" w:customStyle="1" w:styleId="WW8Num40z1">
    <w:name w:val="WW8Num40z1"/>
    <w:rsid w:val="00F45500"/>
    <w:rPr>
      <w:rFonts w:ascii="Wingdings" w:hAnsi="Wingdings"/>
      <w:sz w:val="16"/>
    </w:rPr>
  </w:style>
  <w:style w:type="character" w:customStyle="1" w:styleId="WW-Absatz-Standardschriftart111111111111111">
    <w:name w:val="WW-Absatz-Standardschriftart111111111111111"/>
    <w:rsid w:val="00F45500"/>
  </w:style>
  <w:style w:type="character" w:customStyle="1" w:styleId="WW-Absatz-Standardschriftart1111111111111111">
    <w:name w:val="WW-Absatz-Standardschriftart1111111111111111"/>
    <w:rsid w:val="00F45500"/>
  </w:style>
  <w:style w:type="character" w:customStyle="1" w:styleId="WW-Absatz-Standardschriftart11111111111111111">
    <w:name w:val="WW-Absatz-Standardschriftart11111111111111111"/>
    <w:rsid w:val="00F45500"/>
  </w:style>
  <w:style w:type="character" w:customStyle="1" w:styleId="WW-Absatz-Standardschriftart111111111111111111">
    <w:name w:val="WW-Absatz-Standardschriftart111111111111111111"/>
    <w:rsid w:val="00F45500"/>
  </w:style>
  <w:style w:type="character" w:customStyle="1" w:styleId="WW-Absatz-Standardschriftart1111111111111111111">
    <w:name w:val="WW-Absatz-Standardschriftart1111111111111111111"/>
    <w:rsid w:val="00F45500"/>
  </w:style>
  <w:style w:type="character" w:customStyle="1" w:styleId="WW-Absatz-Standardschriftart11111111111111111111">
    <w:name w:val="WW-Absatz-Standardschriftart11111111111111111111"/>
    <w:rsid w:val="00F45500"/>
  </w:style>
  <w:style w:type="character" w:customStyle="1" w:styleId="WW-Absatz-Standardschriftart111111111111111111111">
    <w:name w:val="WW-Absatz-Standardschriftart111111111111111111111"/>
    <w:rsid w:val="00F45500"/>
  </w:style>
  <w:style w:type="character" w:customStyle="1" w:styleId="WW-Absatz-Standardschriftart1111111111111111111111">
    <w:name w:val="WW-Absatz-Standardschriftart1111111111111111111111"/>
    <w:rsid w:val="00F45500"/>
  </w:style>
  <w:style w:type="character" w:customStyle="1" w:styleId="WW-Absatz-Standardschriftart11111111111111111111111">
    <w:name w:val="WW-Absatz-Standardschriftart11111111111111111111111"/>
    <w:rsid w:val="00F45500"/>
  </w:style>
  <w:style w:type="character" w:customStyle="1" w:styleId="WW-Absatz-Standardschriftart111111111111111111111111">
    <w:name w:val="WW-Absatz-Standardschriftart111111111111111111111111"/>
    <w:rsid w:val="00F45500"/>
  </w:style>
  <w:style w:type="character" w:customStyle="1" w:styleId="WW-Absatz-Standardschriftart1111111111111111111111111">
    <w:name w:val="WW-Absatz-Standardschriftart1111111111111111111111111"/>
    <w:rsid w:val="00F45500"/>
  </w:style>
  <w:style w:type="character" w:customStyle="1" w:styleId="WW-Absatz-Standardschriftart11111111111111111111111111">
    <w:name w:val="WW-Absatz-Standardschriftart11111111111111111111111111"/>
    <w:rsid w:val="00F45500"/>
  </w:style>
  <w:style w:type="character" w:customStyle="1" w:styleId="WW-Absatz-Standardschriftart111111111111111111111111111">
    <w:name w:val="WW-Absatz-Standardschriftart111111111111111111111111111"/>
    <w:rsid w:val="00F45500"/>
  </w:style>
  <w:style w:type="character" w:customStyle="1" w:styleId="WW-Absatz-Standardschriftart1111111111111111111111111111">
    <w:name w:val="WW-Absatz-Standardschriftart1111111111111111111111111111"/>
    <w:rsid w:val="00F45500"/>
  </w:style>
  <w:style w:type="character" w:customStyle="1" w:styleId="WW-Absatz-Standardschriftart11111111111111111111111111111">
    <w:name w:val="WW-Absatz-Standardschriftart11111111111111111111111111111"/>
    <w:rsid w:val="00F45500"/>
  </w:style>
  <w:style w:type="character" w:customStyle="1" w:styleId="WW8Num4z5">
    <w:name w:val="WW8Num4z5"/>
    <w:rsid w:val="00F45500"/>
    <w:rPr>
      <w:rFonts w:ascii="Wingdings" w:hAnsi="Wingdings"/>
    </w:rPr>
  </w:style>
  <w:style w:type="character" w:customStyle="1" w:styleId="WW8Num4z6">
    <w:name w:val="WW8Num4z6"/>
    <w:rsid w:val="00F45500"/>
    <w:rPr>
      <w:rFonts w:ascii="Symbol" w:hAnsi="Symbol"/>
    </w:rPr>
  </w:style>
  <w:style w:type="character" w:customStyle="1" w:styleId="WW8Num27z1">
    <w:name w:val="WW8Num27z1"/>
    <w:rsid w:val="00F45500"/>
    <w:rPr>
      <w:rFonts w:ascii="Wingdings" w:hAnsi="Wingdings"/>
      <w:sz w:val="16"/>
    </w:rPr>
  </w:style>
  <w:style w:type="character" w:customStyle="1" w:styleId="WW8Num27z2">
    <w:name w:val="WW8Num27z2"/>
    <w:rsid w:val="00F45500"/>
    <w:rPr>
      <w:rFonts w:ascii="Wingdings" w:hAnsi="Wingdings"/>
    </w:rPr>
  </w:style>
  <w:style w:type="character" w:customStyle="1" w:styleId="WW8Num27z4">
    <w:name w:val="WW8Num27z4"/>
    <w:rsid w:val="00F45500"/>
    <w:rPr>
      <w:rFonts w:ascii="Courier New" w:hAnsi="Courier New" w:cs="Courier New"/>
    </w:rPr>
  </w:style>
  <w:style w:type="character" w:customStyle="1" w:styleId="WW-Absatz-Standardschriftart111111111111111111111111111111">
    <w:name w:val="WW-Absatz-Standardschriftart111111111111111111111111111111"/>
    <w:rsid w:val="00F45500"/>
  </w:style>
  <w:style w:type="character" w:customStyle="1" w:styleId="WW-Absatz-Standardschriftart1111111111111111111111111111111">
    <w:name w:val="WW-Absatz-Standardschriftart1111111111111111111111111111111"/>
    <w:rsid w:val="00F45500"/>
  </w:style>
  <w:style w:type="character" w:customStyle="1" w:styleId="WW-Absatz-Standardschriftart11111111111111111111111111111111">
    <w:name w:val="WW-Absatz-Standardschriftart11111111111111111111111111111111"/>
    <w:rsid w:val="00F45500"/>
  </w:style>
  <w:style w:type="character" w:customStyle="1" w:styleId="WW-Absatz-Standardschriftart111111111111111111111111111111111">
    <w:name w:val="WW-Absatz-Standardschriftart111111111111111111111111111111111"/>
    <w:rsid w:val="00F45500"/>
  </w:style>
  <w:style w:type="character" w:customStyle="1" w:styleId="WW-Absatz-Standardschriftart1111111111111111111111111111111111">
    <w:name w:val="WW-Absatz-Standardschriftart1111111111111111111111111111111111"/>
    <w:rsid w:val="00F45500"/>
  </w:style>
  <w:style w:type="character" w:customStyle="1" w:styleId="WW-Absatz-Standardschriftart11111111111111111111111111111111111">
    <w:name w:val="WW-Absatz-Standardschriftart11111111111111111111111111111111111"/>
    <w:rsid w:val="00F45500"/>
  </w:style>
  <w:style w:type="character" w:customStyle="1" w:styleId="WW8Num30z4">
    <w:name w:val="WW8Num30z4"/>
    <w:rsid w:val="00F45500"/>
    <w:rPr>
      <w:rFonts w:ascii="Courier New" w:hAnsi="Courier New" w:cs="Courier New"/>
    </w:rPr>
  </w:style>
  <w:style w:type="character" w:customStyle="1" w:styleId="WW8Num42z1">
    <w:name w:val="WW8Num42z1"/>
    <w:rsid w:val="00F45500"/>
    <w:rPr>
      <w:rFonts w:ascii="Wingdings" w:hAnsi="Wingdings"/>
      <w:sz w:val="16"/>
    </w:rPr>
  </w:style>
  <w:style w:type="character" w:customStyle="1" w:styleId="WW-Absatz-Standardschriftart111111111111111111111111111111111111">
    <w:name w:val="WW-Absatz-Standardschriftart111111111111111111111111111111111111"/>
    <w:rsid w:val="00F45500"/>
  </w:style>
  <w:style w:type="character" w:customStyle="1" w:styleId="WW-Absatz-Standardschriftart1111111111111111111111111111111111111">
    <w:name w:val="WW-Absatz-Standardschriftart1111111111111111111111111111111111111"/>
    <w:rsid w:val="00F45500"/>
  </w:style>
  <w:style w:type="character" w:customStyle="1" w:styleId="WW-Absatz-Standardschriftart11111111111111111111111111111111111111">
    <w:name w:val="WW-Absatz-Standardschriftart11111111111111111111111111111111111111"/>
    <w:rsid w:val="00F45500"/>
  </w:style>
  <w:style w:type="character" w:customStyle="1" w:styleId="WW-Absatz-Standardschriftart111111111111111111111111111111111111111">
    <w:name w:val="WW-Absatz-Standardschriftart111111111111111111111111111111111111111"/>
    <w:rsid w:val="00F45500"/>
  </w:style>
  <w:style w:type="character" w:customStyle="1" w:styleId="WW8Num31z1">
    <w:name w:val="WW8Num31z1"/>
    <w:rsid w:val="00F45500"/>
    <w:rPr>
      <w:rFonts w:ascii="Wingdings" w:hAnsi="Wingdings"/>
      <w:sz w:val="16"/>
    </w:rPr>
  </w:style>
  <w:style w:type="character" w:customStyle="1" w:styleId="WW8Num31z2">
    <w:name w:val="WW8Num31z2"/>
    <w:rsid w:val="00F45500"/>
    <w:rPr>
      <w:rFonts w:ascii="Wingdings" w:hAnsi="Wingdings"/>
    </w:rPr>
  </w:style>
  <w:style w:type="character" w:customStyle="1" w:styleId="WW8Num31z4">
    <w:name w:val="WW8Num31z4"/>
    <w:rsid w:val="00F45500"/>
    <w:rPr>
      <w:rFonts w:ascii="Courier New" w:hAnsi="Courier New" w:cs="Courier New"/>
    </w:rPr>
  </w:style>
  <w:style w:type="character" w:customStyle="1" w:styleId="WW8Num45z1">
    <w:name w:val="WW8Num45z1"/>
    <w:rsid w:val="00F45500"/>
    <w:rPr>
      <w:rFonts w:ascii="Wingdings" w:hAnsi="Wingdings"/>
      <w:sz w:val="16"/>
    </w:rPr>
  </w:style>
  <w:style w:type="character" w:customStyle="1" w:styleId="WW-Absatz-Standardschriftart1111111111111111111111111111111111111111">
    <w:name w:val="WW-Absatz-Standardschriftart1111111111111111111111111111111111111111"/>
    <w:rsid w:val="00F45500"/>
  </w:style>
  <w:style w:type="character" w:customStyle="1" w:styleId="WW-Absatz-Standardschriftart11111111111111111111111111111111111111111">
    <w:name w:val="WW-Absatz-Standardschriftart11111111111111111111111111111111111111111"/>
    <w:rsid w:val="00F45500"/>
  </w:style>
  <w:style w:type="character" w:customStyle="1" w:styleId="WW-Absatz-Standardschriftart111111111111111111111111111111111111111111">
    <w:name w:val="WW-Absatz-Standardschriftart111111111111111111111111111111111111111111"/>
    <w:rsid w:val="00F45500"/>
  </w:style>
  <w:style w:type="character" w:customStyle="1" w:styleId="WW-Absatz-Standardschriftart1111111111111111111111111111111111111111111">
    <w:name w:val="WW-Absatz-Standardschriftart1111111111111111111111111111111111111111111"/>
    <w:rsid w:val="00F45500"/>
  </w:style>
  <w:style w:type="character" w:customStyle="1" w:styleId="WW-Absatz-Standardschriftart11111111111111111111111111111111111111111111">
    <w:name w:val="WW-Absatz-Standardschriftart11111111111111111111111111111111111111111111"/>
    <w:rsid w:val="00F45500"/>
  </w:style>
  <w:style w:type="character" w:customStyle="1" w:styleId="WW-Absatz-Standardschriftart111111111111111111111111111111111111111111111">
    <w:name w:val="WW-Absatz-Standardschriftart111111111111111111111111111111111111111111111"/>
    <w:rsid w:val="00F45500"/>
  </w:style>
  <w:style w:type="character" w:customStyle="1" w:styleId="WW-Absatz-Standardschriftart1111111111111111111111111111111111111111111111">
    <w:name w:val="WW-Absatz-Standardschriftart1111111111111111111111111111111111111111111111"/>
    <w:rsid w:val="00F45500"/>
  </w:style>
  <w:style w:type="character" w:customStyle="1" w:styleId="WW-Absatz-Standardschriftart11111111111111111111111111111111111111111111111">
    <w:name w:val="WW-Absatz-Standardschriftart11111111111111111111111111111111111111111111111"/>
    <w:rsid w:val="00F45500"/>
  </w:style>
  <w:style w:type="character" w:customStyle="1" w:styleId="WW-Absatz-Standardschriftart111111111111111111111111111111111111111111111111">
    <w:name w:val="WW-Absatz-Standardschriftart111111111111111111111111111111111111111111111111"/>
    <w:rsid w:val="00F45500"/>
  </w:style>
  <w:style w:type="character" w:customStyle="1" w:styleId="WW-Absatz-Standardschriftart1111111111111111111111111111111111111111111111111">
    <w:name w:val="WW-Absatz-Standardschriftart1111111111111111111111111111111111111111111111111"/>
    <w:rsid w:val="00F45500"/>
  </w:style>
  <w:style w:type="character" w:customStyle="1" w:styleId="WW8Num31z3">
    <w:name w:val="WW8Num31z3"/>
    <w:rsid w:val="00F45500"/>
    <w:rPr>
      <w:rFonts w:ascii="Symbol" w:hAnsi="Symbol"/>
    </w:rPr>
  </w:style>
  <w:style w:type="character" w:customStyle="1" w:styleId="WW8Num32z2">
    <w:name w:val="WW8Num32z2"/>
    <w:rsid w:val="00F45500"/>
    <w:rPr>
      <w:rFonts w:ascii="Wingdings" w:hAnsi="Wingdings"/>
    </w:rPr>
  </w:style>
  <w:style w:type="character" w:customStyle="1" w:styleId="WW8Num32z4">
    <w:name w:val="WW8Num32z4"/>
    <w:rsid w:val="00F45500"/>
    <w:rPr>
      <w:rFonts w:ascii="Courier New" w:hAnsi="Courier New" w:cs="Courier New"/>
    </w:rPr>
  </w:style>
  <w:style w:type="character" w:customStyle="1" w:styleId="WW8Num46z1">
    <w:name w:val="WW8Num46z1"/>
    <w:rsid w:val="00F45500"/>
    <w:rPr>
      <w:rFonts w:ascii="Wingdings" w:hAnsi="Wingdings"/>
      <w:sz w:val="16"/>
    </w:rPr>
  </w:style>
  <w:style w:type="character" w:customStyle="1" w:styleId="WW8Num62z1">
    <w:name w:val="WW8Num62z1"/>
    <w:rsid w:val="00F45500"/>
    <w:rPr>
      <w:b w:val="0"/>
      <w:bCs w:val="0"/>
      <w:i w:val="0"/>
      <w:iCs w:val="0"/>
    </w:rPr>
  </w:style>
  <w:style w:type="character" w:customStyle="1" w:styleId="WW-Absatz-Standardschriftart11111111111111111111111111111111111111111111111111">
    <w:name w:val="WW-Absatz-Standardschriftart11111111111111111111111111111111111111111111111111"/>
    <w:rsid w:val="00F45500"/>
  </w:style>
  <w:style w:type="character" w:customStyle="1" w:styleId="WW8Num65z1">
    <w:name w:val="WW8Num65z1"/>
    <w:rsid w:val="00F45500"/>
    <w:rPr>
      <w:rFonts w:ascii="Wingdings" w:hAnsi="Wingdings" w:cs="Courier New"/>
    </w:rPr>
  </w:style>
  <w:style w:type="character" w:customStyle="1" w:styleId="WW8Num68z1">
    <w:name w:val="WW8Num68z1"/>
    <w:rsid w:val="00F45500"/>
    <w:rPr>
      <w:rFonts w:ascii="Wingdings" w:hAnsi="Wingdings" w:cs="Courier New"/>
    </w:rPr>
  </w:style>
  <w:style w:type="character" w:customStyle="1" w:styleId="WW8Num68z2">
    <w:name w:val="WW8Num68z2"/>
    <w:rsid w:val="00F45500"/>
    <w:rPr>
      <w:rFonts w:ascii="Wingdings" w:hAnsi="Wingdings"/>
      <w:b/>
      <w:color w:val="000000"/>
    </w:rPr>
  </w:style>
  <w:style w:type="character" w:customStyle="1" w:styleId="WW8Num71z1">
    <w:name w:val="WW8Num71z1"/>
    <w:rsid w:val="00F45500"/>
    <w:rPr>
      <w:b w:val="0"/>
      <w:bCs w:val="0"/>
      <w:i w:val="0"/>
      <w:iCs w:val="0"/>
    </w:rPr>
  </w:style>
  <w:style w:type="character" w:customStyle="1" w:styleId="WW8Num72z1">
    <w:name w:val="WW8Num72z1"/>
    <w:rsid w:val="00F45500"/>
    <w:rPr>
      <w:b w:val="0"/>
      <w:bCs w:val="0"/>
      <w:i w:val="0"/>
      <w:iCs w:val="0"/>
    </w:rPr>
  </w:style>
  <w:style w:type="character" w:customStyle="1" w:styleId="WW8Num73z0">
    <w:name w:val="WW8Num73z0"/>
    <w:rsid w:val="00F45500"/>
    <w:rPr>
      <w:rFonts w:ascii="Symbol" w:hAnsi="Symbol"/>
      <w:color w:val="000000"/>
      <w:sz w:val="20"/>
    </w:rPr>
  </w:style>
  <w:style w:type="character" w:customStyle="1" w:styleId="WW8Num73z1">
    <w:name w:val="WW8Num73z1"/>
    <w:rsid w:val="00F45500"/>
    <w:rPr>
      <w:rFonts w:ascii="Courier New" w:hAnsi="Courier New" w:cs="Courier New"/>
    </w:rPr>
  </w:style>
  <w:style w:type="character" w:customStyle="1" w:styleId="WW8Num75z1">
    <w:name w:val="WW8Num75z1"/>
    <w:rsid w:val="00F45500"/>
    <w:rPr>
      <w:color w:val="000000"/>
      <w:sz w:val="20"/>
    </w:rPr>
  </w:style>
  <w:style w:type="character" w:customStyle="1" w:styleId="WW8Num78z1">
    <w:name w:val="WW8Num78z1"/>
    <w:rsid w:val="00F45500"/>
    <w:rPr>
      <w:rFonts w:ascii="Courier New" w:hAnsi="Courier New" w:cs="Courier New"/>
    </w:rPr>
  </w:style>
  <w:style w:type="character" w:customStyle="1" w:styleId="WW8Num79z1">
    <w:name w:val="WW8Num79z1"/>
    <w:rsid w:val="00F45500"/>
    <w:rPr>
      <w:rFonts w:ascii="Courier New" w:hAnsi="Courier New" w:cs="Courier New"/>
    </w:rPr>
  </w:style>
  <w:style w:type="character" w:customStyle="1" w:styleId="WW8Num80z1">
    <w:name w:val="WW8Num80z1"/>
    <w:rsid w:val="00F45500"/>
    <w:rPr>
      <w:b w:val="0"/>
      <w:i w:val="0"/>
    </w:rPr>
  </w:style>
  <w:style w:type="character" w:customStyle="1" w:styleId="WW-Absatz-Standardschriftart111111111111111111111111111111111111111111111111111">
    <w:name w:val="WW-Absatz-Standardschriftart111111111111111111111111111111111111111111111111111"/>
    <w:rsid w:val="00F45500"/>
  </w:style>
  <w:style w:type="character" w:customStyle="1" w:styleId="WW8Num66z1">
    <w:name w:val="WW8Num66z1"/>
    <w:rsid w:val="00F45500"/>
    <w:rPr>
      <w:rFonts w:ascii="Wingdings" w:hAnsi="Wingdings" w:cs="Courier New"/>
    </w:rPr>
  </w:style>
  <w:style w:type="character" w:customStyle="1" w:styleId="WW8Num69z1">
    <w:name w:val="WW8Num69z1"/>
    <w:rsid w:val="00F45500"/>
    <w:rPr>
      <w:rFonts w:ascii="Courier New" w:hAnsi="Courier New" w:cs="Courier New"/>
    </w:rPr>
  </w:style>
  <w:style w:type="character" w:customStyle="1" w:styleId="WW8Num69z2">
    <w:name w:val="WW8Num69z2"/>
    <w:rsid w:val="00F45500"/>
    <w:rPr>
      <w:rFonts w:ascii="Wingdings" w:hAnsi="Wingdings"/>
    </w:rPr>
  </w:style>
  <w:style w:type="character" w:customStyle="1" w:styleId="WW8Num74z1">
    <w:name w:val="WW8Num74z1"/>
    <w:rsid w:val="00F45500"/>
    <w:rPr>
      <w:b w:val="0"/>
      <w:bCs w:val="0"/>
      <w:i w:val="0"/>
      <w:iCs w:val="0"/>
    </w:rPr>
  </w:style>
  <w:style w:type="character" w:customStyle="1" w:styleId="WW8Num76z1">
    <w:name w:val="WW8Num76z1"/>
    <w:rsid w:val="00F45500"/>
    <w:rPr>
      <w:rFonts w:ascii="Courier New" w:hAnsi="Courier New" w:cs="Courier New"/>
    </w:rPr>
  </w:style>
  <w:style w:type="character" w:customStyle="1" w:styleId="WW8Num81z1">
    <w:name w:val="WW8Num81z1"/>
    <w:rsid w:val="00F45500"/>
    <w:rPr>
      <w:rFonts w:ascii="Courier New" w:hAnsi="Courier New" w:cs="Courier New"/>
    </w:rPr>
  </w:style>
  <w:style w:type="character" w:customStyle="1" w:styleId="WW-Absatz-Standardschriftart1111111111111111111111111111111111111111111111111111">
    <w:name w:val="WW-Absatz-Standardschriftart1111111111111111111111111111111111111111111111111111"/>
    <w:rsid w:val="00F45500"/>
  </w:style>
  <w:style w:type="character" w:customStyle="1" w:styleId="WW8Num77z1">
    <w:name w:val="WW8Num77z1"/>
    <w:rsid w:val="00F45500"/>
    <w:rPr>
      <w:rFonts w:ascii="Courier New" w:hAnsi="Courier New" w:cs="Courier New"/>
    </w:rPr>
  </w:style>
  <w:style w:type="character" w:customStyle="1" w:styleId="WW8Num77z2">
    <w:name w:val="WW8Num77z2"/>
    <w:rsid w:val="00F45500"/>
    <w:rPr>
      <w:rFonts w:ascii="Wingdings" w:hAnsi="Wingdings"/>
    </w:rPr>
  </w:style>
  <w:style w:type="character" w:customStyle="1" w:styleId="WW8Num81z2">
    <w:name w:val="WW8Num81z2"/>
    <w:rsid w:val="00F45500"/>
    <w:rPr>
      <w:rFonts w:ascii="Wingdings" w:hAnsi="Wingdings" w:cs="Wingdings"/>
    </w:rPr>
  </w:style>
  <w:style w:type="character" w:customStyle="1" w:styleId="WW8Num84z1">
    <w:name w:val="WW8Num84z1"/>
    <w:rsid w:val="00F45500"/>
    <w:rPr>
      <w:b w:val="0"/>
      <w:bCs w:val="0"/>
      <w:i w:val="0"/>
      <w:iCs w:val="0"/>
    </w:rPr>
  </w:style>
  <w:style w:type="character" w:customStyle="1" w:styleId="WW8Num85z0">
    <w:name w:val="WW8Num85z0"/>
    <w:rsid w:val="00F45500"/>
    <w:rPr>
      <w:rFonts w:ascii="Symbol" w:hAnsi="Symbol"/>
    </w:rPr>
  </w:style>
  <w:style w:type="character" w:customStyle="1" w:styleId="WW8Num90z2">
    <w:name w:val="WW8Num90z2"/>
    <w:rsid w:val="00F45500"/>
    <w:rPr>
      <w:rFonts w:ascii="Times New Roman" w:hAnsi="Times New Roman" w:cs="Times New Roman"/>
      <w:b/>
      <w:sz w:val="20"/>
      <w:szCs w:val="20"/>
    </w:rPr>
  </w:style>
  <w:style w:type="character" w:customStyle="1" w:styleId="WW8Num102z0">
    <w:name w:val="WW8Num102z0"/>
    <w:rsid w:val="00F45500"/>
    <w:rPr>
      <w:b/>
    </w:rPr>
  </w:style>
  <w:style w:type="character" w:customStyle="1" w:styleId="WW8Num104z0">
    <w:name w:val="WW8Num104z0"/>
    <w:rsid w:val="00F45500"/>
    <w:rPr>
      <w:rFonts w:ascii="Symbol" w:hAnsi="Symbol"/>
      <w:color w:val="000000"/>
      <w:sz w:val="20"/>
    </w:rPr>
  </w:style>
  <w:style w:type="character" w:customStyle="1" w:styleId="WW8Num108z0">
    <w:name w:val="WW8Num108z0"/>
    <w:rsid w:val="00F45500"/>
    <w:rPr>
      <w:rFonts w:ascii="Symbol" w:hAnsi="Symbol" w:cs="Symbol"/>
    </w:rPr>
  </w:style>
  <w:style w:type="character" w:customStyle="1" w:styleId="WW8Num108z1">
    <w:name w:val="WW8Num108z1"/>
    <w:rsid w:val="00F45500"/>
    <w:rPr>
      <w:rFonts w:ascii="Courier New" w:hAnsi="Courier New" w:cs="Courier New"/>
    </w:rPr>
  </w:style>
  <w:style w:type="character" w:customStyle="1" w:styleId="WW8Num110z1">
    <w:name w:val="WW8Num110z1"/>
    <w:rsid w:val="00F45500"/>
    <w:rPr>
      <w:rFonts w:ascii="Courier New" w:hAnsi="Courier New" w:cs="Courier New"/>
    </w:rPr>
  </w:style>
  <w:style w:type="character" w:customStyle="1" w:styleId="WW8Num111z1">
    <w:name w:val="WW8Num111z1"/>
    <w:rsid w:val="00F45500"/>
    <w:rPr>
      <w:b w:val="0"/>
      <w:i w:val="0"/>
    </w:rPr>
  </w:style>
  <w:style w:type="character" w:customStyle="1" w:styleId="WW8Num113z0">
    <w:name w:val="WW8Num113z0"/>
    <w:rsid w:val="00F45500"/>
    <w:rPr>
      <w:b/>
      <w:i w:val="0"/>
    </w:rPr>
  </w:style>
  <w:style w:type="character" w:customStyle="1" w:styleId="WW8Num113z1">
    <w:name w:val="WW8Num113z1"/>
    <w:rsid w:val="00F45500"/>
    <w:rPr>
      <w:b w:val="0"/>
      <w:i w:val="0"/>
    </w:rPr>
  </w:style>
  <w:style w:type="character" w:customStyle="1" w:styleId="WW8Num113z4">
    <w:name w:val="WW8Num113z4"/>
    <w:rsid w:val="00F45500"/>
    <w:rPr>
      <w:rFonts w:ascii="Courier New" w:hAnsi="Courier New" w:cs="Courier New"/>
    </w:rPr>
  </w:style>
  <w:style w:type="character" w:customStyle="1" w:styleId="WW8Num115z0">
    <w:name w:val="WW8Num115z0"/>
    <w:rsid w:val="00F45500"/>
    <w:rPr>
      <w:rFonts w:ascii="Symbol" w:hAnsi="Symbol"/>
    </w:rPr>
  </w:style>
  <w:style w:type="character" w:customStyle="1" w:styleId="WW8Num116z0">
    <w:name w:val="WW8Num116z0"/>
    <w:rsid w:val="00F45500"/>
    <w:rPr>
      <w:rFonts w:ascii="Symbol" w:hAnsi="Symbol"/>
    </w:rPr>
  </w:style>
  <w:style w:type="character" w:customStyle="1" w:styleId="WW-Absatz-Standardschriftart11111111111111111111111111111111111111111111111111111">
    <w:name w:val="WW-Absatz-Standardschriftart11111111111111111111111111111111111111111111111111111"/>
    <w:rsid w:val="00F45500"/>
  </w:style>
  <w:style w:type="character" w:customStyle="1" w:styleId="WW-Absatz-Standardschriftart111111111111111111111111111111111111111111111111111111">
    <w:name w:val="WW-Absatz-Standardschriftart111111111111111111111111111111111111111111111111111111"/>
    <w:rsid w:val="00F45500"/>
  </w:style>
  <w:style w:type="character" w:customStyle="1" w:styleId="WW8Num7z1">
    <w:name w:val="WW8Num7z1"/>
    <w:rsid w:val="00F45500"/>
    <w:rPr>
      <w:rFonts w:ascii="Courier New" w:hAnsi="Courier New"/>
      <w:sz w:val="16"/>
    </w:rPr>
  </w:style>
  <w:style w:type="character" w:customStyle="1" w:styleId="WW8Num7z5">
    <w:name w:val="WW8Num7z5"/>
    <w:rsid w:val="00F45500"/>
    <w:rPr>
      <w:rFonts w:ascii="Wingdings" w:hAnsi="Wingdings"/>
    </w:rPr>
  </w:style>
  <w:style w:type="character" w:customStyle="1" w:styleId="WW8Num7z6">
    <w:name w:val="WW8Num7z6"/>
    <w:rsid w:val="00F45500"/>
    <w:rPr>
      <w:rFonts w:ascii="Symbol" w:hAnsi="Symbol"/>
    </w:rPr>
  </w:style>
  <w:style w:type="character" w:customStyle="1" w:styleId="WW8Num33z1">
    <w:name w:val="WW8Num33z1"/>
    <w:rsid w:val="00F45500"/>
    <w:rPr>
      <w:rFonts w:ascii="Wingdings" w:hAnsi="Wingdings"/>
      <w:sz w:val="16"/>
    </w:rPr>
  </w:style>
  <w:style w:type="character" w:customStyle="1" w:styleId="WW8Num33z2">
    <w:name w:val="WW8Num33z2"/>
    <w:rsid w:val="00F45500"/>
    <w:rPr>
      <w:rFonts w:ascii="Wingdings" w:hAnsi="Wingdings"/>
    </w:rPr>
  </w:style>
  <w:style w:type="character" w:customStyle="1" w:styleId="WW8Num33z3">
    <w:name w:val="WW8Num33z3"/>
    <w:rsid w:val="00F45500"/>
    <w:rPr>
      <w:rFonts w:ascii="Symbol" w:hAnsi="Symbol"/>
    </w:rPr>
  </w:style>
  <w:style w:type="character" w:customStyle="1" w:styleId="WW8Num33z4">
    <w:name w:val="WW8Num33z4"/>
    <w:rsid w:val="00F45500"/>
    <w:rPr>
      <w:rFonts w:ascii="Courier New" w:hAnsi="Courier New" w:cs="Courier New"/>
    </w:rPr>
  </w:style>
  <w:style w:type="character" w:customStyle="1" w:styleId="WW8Num34z4">
    <w:name w:val="WW8Num34z4"/>
    <w:rsid w:val="00F45500"/>
    <w:rPr>
      <w:rFonts w:ascii="Courier New" w:hAnsi="Courier New" w:cs="Courier New"/>
    </w:rPr>
  </w:style>
  <w:style w:type="character" w:customStyle="1" w:styleId="WW8Num73z2">
    <w:name w:val="WW8Num73z2"/>
    <w:rsid w:val="00F45500"/>
    <w:rPr>
      <w:rFonts w:ascii="Wingdings" w:hAnsi="Wingdings"/>
    </w:rPr>
  </w:style>
  <w:style w:type="character" w:customStyle="1" w:styleId="WW8Num73z3">
    <w:name w:val="WW8Num73z3"/>
    <w:rsid w:val="00F45500"/>
    <w:rPr>
      <w:rFonts w:ascii="Symbol" w:hAnsi="Symbol"/>
    </w:rPr>
  </w:style>
  <w:style w:type="character" w:customStyle="1" w:styleId="WW8Num75z2">
    <w:name w:val="WW8Num75z2"/>
    <w:rsid w:val="00F45500"/>
    <w:rPr>
      <w:rFonts w:ascii="Wingdings" w:hAnsi="Wingdings"/>
    </w:rPr>
  </w:style>
  <w:style w:type="character" w:customStyle="1" w:styleId="WW8Num75z3">
    <w:name w:val="WW8Num75z3"/>
    <w:rsid w:val="00F45500"/>
    <w:rPr>
      <w:rFonts w:ascii="Symbol" w:hAnsi="Symbol"/>
    </w:rPr>
  </w:style>
  <w:style w:type="character" w:customStyle="1" w:styleId="WW8Num75z4">
    <w:name w:val="WW8Num75z4"/>
    <w:rsid w:val="00F45500"/>
    <w:rPr>
      <w:rFonts w:ascii="Courier New" w:hAnsi="Courier New" w:cs="Courier New"/>
    </w:rPr>
  </w:style>
  <w:style w:type="character" w:customStyle="1" w:styleId="WW8Num76z2">
    <w:name w:val="WW8Num76z2"/>
    <w:rsid w:val="00F45500"/>
    <w:rPr>
      <w:rFonts w:ascii="Wingdings" w:hAnsi="Wingdings"/>
    </w:rPr>
  </w:style>
  <w:style w:type="character" w:customStyle="1" w:styleId="WW8Num77z3">
    <w:name w:val="WW8Num77z3"/>
    <w:rsid w:val="00F45500"/>
    <w:rPr>
      <w:rFonts w:ascii="Symbol" w:hAnsi="Symbol"/>
    </w:rPr>
  </w:style>
  <w:style w:type="character" w:customStyle="1" w:styleId="WW8Num80z2">
    <w:name w:val="WW8Num80z2"/>
    <w:rsid w:val="00F45500"/>
    <w:rPr>
      <w:b/>
      <w:i/>
    </w:rPr>
  </w:style>
  <w:style w:type="character" w:customStyle="1" w:styleId="WW8Num82z1">
    <w:name w:val="WW8Num82z1"/>
    <w:rsid w:val="00F45500"/>
    <w:rPr>
      <w:rFonts w:ascii="Courier New" w:hAnsi="Courier New" w:cs="Courier New"/>
    </w:rPr>
  </w:style>
  <w:style w:type="character" w:customStyle="1" w:styleId="WW8Num82z2">
    <w:name w:val="WW8Num82z2"/>
    <w:rsid w:val="00F45500"/>
    <w:rPr>
      <w:rFonts w:ascii="Wingdings" w:hAnsi="Wingdings"/>
    </w:rPr>
  </w:style>
  <w:style w:type="character" w:customStyle="1" w:styleId="WW8Num83z2">
    <w:name w:val="WW8Num83z2"/>
    <w:rsid w:val="00F45500"/>
    <w:rPr>
      <w:rFonts w:ascii="Wingdings" w:hAnsi="Wingdings"/>
    </w:rPr>
  </w:style>
  <w:style w:type="character" w:customStyle="1" w:styleId="WW8Num83z4">
    <w:name w:val="WW8Num83z4"/>
    <w:rsid w:val="00F45500"/>
    <w:rPr>
      <w:rFonts w:ascii="Courier New" w:hAnsi="Courier New" w:cs="Courier New"/>
    </w:rPr>
  </w:style>
  <w:style w:type="character" w:customStyle="1" w:styleId="WW8Num84z2">
    <w:name w:val="WW8Num84z2"/>
    <w:rsid w:val="00F45500"/>
    <w:rPr>
      <w:rFonts w:ascii="Symbol" w:hAnsi="Symbol"/>
    </w:rPr>
  </w:style>
  <w:style w:type="character" w:customStyle="1" w:styleId="WW8Num85z1">
    <w:name w:val="WW8Num85z1"/>
    <w:rsid w:val="00F45500"/>
    <w:rPr>
      <w:rFonts w:ascii="Courier New" w:hAnsi="Courier New" w:cs="Courier New"/>
    </w:rPr>
  </w:style>
  <w:style w:type="character" w:customStyle="1" w:styleId="WW8Num85z2">
    <w:name w:val="WW8Num85z2"/>
    <w:rsid w:val="00F45500"/>
    <w:rPr>
      <w:rFonts w:ascii="Wingdings" w:hAnsi="Wingdings"/>
    </w:rPr>
  </w:style>
  <w:style w:type="character" w:customStyle="1" w:styleId="WW8Num86z2">
    <w:name w:val="WW8Num86z2"/>
    <w:rsid w:val="00F45500"/>
    <w:rPr>
      <w:rFonts w:ascii="Wingdings" w:hAnsi="Wingdings" w:cs="Wingdings"/>
    </w:rPr>
  </w:style>
  <w:style w:type="character" w:customStyle="1" w:styleId="WW8Num90z1">
    <w:name w:val="WW8Num90z1"/>
    <w:rsid w:val="00F45500"/>
    <w:rPr>
      <w:b w:val="0"/>
      <w:bCs w:val="0"/>
      <w:i w:val="0"/>
      <w:iCs w:val="0"/>
    </w:rPr>
  </w:style>
  <w:style w:type="character" w:customStyle="1" w:styleId="WW8Num91z2">
    <w:name w:val="WW8Num91z2"/>
    <w:rsid w:val="00F45500"/>
    <w:rPr>
      <w:rFonts w:ascii="Wingdings" w:hAnsi="Wingdings"/>
    </w:rPr>
  </w:style>
  <w:style w:type="character" w:customStyle="1" w:styleId="WW8Num92z2">
    <w:name w:val="WW8Num92z2"/>
    <w:rsid w:val="00F45500"/>
    <w:rPr>
      <w:rFonts w:ascii="Wingdings" w:hAnsi="Wingdings"/>
    </w:rPr>
  </w:style>
  <w:style w:type="character" w:customStyle="1" w:styleId="WW8Num92z4">
    <w:name w:val="WW8Num92z4"/>
    <w:rsid w:val="00F45500"/>
    <w:rPr>
      <w:rFonts w:ascii="Courier New" w:hAnsi="Courier New" w:cs="Courier New"/>
    </w:rPr>
  </w:style>
  <w:style w:type="character" w:customStyle="1" w:styleId="WW8Num93z2">
    <w:name w:val="WW8Num93z2"/>
    <w:rsid w:val="00F45500"/>
    <w:rPr>
      <w:rFonts w:ascii="Times New Roman" w:hAnsi="Times New Roman" w:cs="Times New Roman"/>
      <w:b/>
      <w:sz w:val="20"/>
      <w:szCs w:val="20"/>
    </w:rPr>
  </w:style>
  <w:style w:type="character" w:customStyle="1" w:styleId="WW8Num94z2">
    <w:name w:val="WW8Num94z2"/>
    <w:rsid w:val="00F45500"/>
    <w:rPr>
      <w:rFonts w:ascii="Wingdings" w:hAnsi="Wingdings"/>
    </w:rPr>
  </w:style>
  <w:style w:type="character" w:customStyle="1" w:styleId="WW8Num96z2">
    <w:name w:val="WW8Num96z2"/>
    <w:rsid w:val="00F45500"/>
    <w:rPr>
      <w:rFonts w:ascii="Wingdings" w:hAnsi="Wingdings"/>
    </w:rPr>
  </w:style>
  <w:style w:type="character" w:customStyle="1" w:styleId="WW8Num100z2">
    <w:name w:val="WW8Num100z2"/>
    <w:rsid w:val="00F45500"/>
    <w:rPr>
      <w:rFonts w:ascii="Wingdings" w:hAnsi="Wingdings"/>
    </w:rPr>
  </w:style>
  <w:style w:type="character" w:customStyle="1" w:styleId="WW8Num101z2">
    <w:name w:val="WW8Num101z2"/>
    <w:rsid w:val="00F45500"/>
    <w:rPr>
      <w:rFonts w:ascii="Wingdings" w:hAnsi="Wingdings"/>
    </w:rPr>
  </w:style>
  <w:style w:type="character" w:customStyle="1" w:styleId="WW8Num103z2">
    <w:name w:val="WW8Num103z2"/>
    <w:rsid w:val="00F45500"/>
    <w:rPr>
      <w:rFonts w:ascii="Wingdings" w:hAnsi="Wingdings"/>
    </w:rPr>
  </w:style>
  <w:style w:type="character" w:customStyle="1" w:styleId="WW8Num104z1">
    <w:name w:val="WW8Num104z1"/>
    <w:rsid w:val="00F45500"/>
    <w:rPr>
      <w:rFonts w:ascii="Courier New" w:hAnsi="Courier New" w:cs="Courier New"/>
    </w:rPr>
  </w:style>
  <w:style w:type="character" w:customStyle="1" w:styleId="WW8Num104z2">
    <w:name w:val="WW8Num104z2"/>
    <w:rsid w:val="00F45500"/>
    <w:rPr>
      <w:rFonts w:ascii="Wingdings" w:hAnsi="Wingdings"/>
    </w:rPr>
  </w:style>
  <w:style w:type="character" w:customStyle="1" w:styleId="WW8Num104z3">
    <w:name w:val="WW8Num104z3"/>
    <w:rsid w:val="00F45500"/>
    <w:rPr>
      <w:rFonts w:ascii="Symbol" w:hAnsi="Symbol"/>
    </w:rPr>
  </w:style>
  <w:style w:type="character" w:customStyle="1" w:styleId="WW8Num106z2">
    <w:name w:val="WW8Num106z2"/>
    <w:rsid w:val="00F45500"/>
    <w:rPr>
      <w:rFonts w:ascii="Wingdings" w:hAnsi="Wingdings"/>
    </w:rPr>
  </w:style>
  <w:style w:type="character" w:customStyle="1" w:styleId="WW8Num106z3">
    <w:name w:val="WW8Num106z3"/>
    <w:rsid w:val="00F45500"/>
    <w:rPr>
      <w:rFonts w:ascii="Symbol" w:hAnsi="Symbol"/>
    </w:rPr>
  </w:style>
  <w:style w:type="character" w:customStyle="1" w:styleId="WW8Num107z1">
    <w:name w:val="WW8Num107z1"/>
    <w:rsid w:val="00F45500"/>
    <w:rPr>
      <w:rFonts w:ascii="Courier New" w:hAnsi="Courier New" w:cs="Courier New"/>
    </w:rPr>
  </w:style>
  <w:style w:type="character" w:customStyle="1" w:styleId="WW8Num107z2">
    <w:name w:val="WW8Num107z2"/>
    <w:rsid w:val="00F45500"/>
    <w:rPr>
      <w:rFonts w:ascii="Wingdings" w:hAnsi="Wingdings"/>
    </w:rPr>
  </w:style>
  <w:style w:type="character" w:customStyle="1" w:styleId="WW8Num108z2">
    <w:name w:val="WW8Num108z2"/>
    <w:rsid w:val="00F45500"/>
    <w:rPr>
      <w:rFonts w:ascii="Wingdings" w:hAnsi="Wingdings" w:cs="Wingdings"/>
    </w:rPr>
  </w:style>
  <w:style w:type="character" w:customStyle="1" w:styleId="WW8Num109z1">
    <w:name w:val="WW8Num109z1"/>
    <w:rsid w:val="00F45500"/>
    <w:rPr>
      <w:rFonts w:ascii="Courier New" w:hAnsi="Courier New" w:cs="Courier New"/>
    </w:rPr>
  </w:style>
  <w:style w:type="character" w:customStyle="1" w:styleId="WW8Num109z2">
    <w:name w:val="WW8Num109z2"/>
    <w:rsid w:val="00F45500"/>
    <w:rPr>
      <w:rFonts w:ascii="Wingdings" w:hAnsi="Wingdings"/>
    </w:rPr>
  </w:style>
  <w:style w:type="character" w:customStyle="1" w:styleId="WW8Num110z2">
    <w:name w:val="WW8Num110z2"/>
    <w:rsid w:val="00F45500"/>
    <w:rPr>
      <w:rFonts w:ascii="Wingdings" w:hAnsi="Wingdings"/>
    </w:rPr>
  </w:style>
  <w:style w:type="character" w:customStyle="1" w:styleId="WW8Num111z0">
    <w:name w:val="WW8Num111z0"/>
    <w:rsid w:val="00F45500"/>
    <w:rPr>
      <w:b/>
      <w:i w:val="0"/>
    </w:rPr>
  </w:style>
  <w:style w:type="character" w:customStyle="1" w:styleId="WW8Num112z1">
    <w:name w:val="WW8Num112z1"/>
    <w:rsid w:val="00F45500"/>
    <w:rPr>
      <w:rFonts w:ascii="Courier New" w:hAnsi="Courier New" w:cs="Courier New"/>
    </w:rPr>
  </w:style>
  <w:style w:type="character" w:customStyle="1" w:styleId="WW8Num112z2">
    <w:name w:val="WW8Num112z2"/>
    <w:rsid w:val="00F45500"/>
    <w:rPr>
      <w:rFonts w:ascii="Wingdings" w:hAnsi="Wingdings"/>
    </w:rPr>
  </w:style>
  <w:style w:type="character" w:customStyle="1" w:styleId="WW8Num114z1">
    <w:name w:val="WW8Num114z1"/>
    <w:rsid w:val="00F45500"/>
    <w:rPr>
      <w:b w:val="0"/>
      <w:i w:val="0"/>
    </w:rPr>
  </w:style>
  <w:style w:type="character" w:customStyle="1" w:styleId="WW8Num115z1">
    <w:name w:val="WW8Num115z1"/>
    <w:rsid w:val="00F45500"/>
    <w:rPr>
      <w:rFonts w:ascii="Courier New" w:hAnsi="Courier New" w:cs="Courier New"/>
    </w:rPr>
  </w:style>
  <w:style w:type="character" w:customStyle="1" w:styleId="WW8Num115z2">
    <w:name w:val="WW8Num115z2"/>
    <w:rsid w:val="00F45500"/>
    <w:rPr>
      <w:rFonts w:ascii="Wingdings" w:hAnsi="Wingdings"/>
    </w:rPr>
  </w:style>
  <w:style w:type="character" w:customStyle="1" w:styleId="WW8Num116z1">
    <w:name w:val="WW8Num116z1"/>
    <w:rsid w:val="00F45500"/>
    <w:rPr>
      <w:rFonts w:ascii="Wingdings" w:hAnsi="Wingdings"/>
    </w:rPr>
  </w:style>
  <w:style w:type="character" w:customStyle="1" w:styleId="WW8Num116z4">
    <w:name w:val="WW8Num116z4"/>
    <w:rsid w:val="00F45500"/>
    <w:rPr>
      <w:rFonts w:ascii="Courier New" w:hAnsi="Courier New" w:cs="Courier New"/>
    </w:rPr>
  </w:style>
  <w:style w:type="character" w:customStyle="1" w:styleId="WW8NumSt74z0">
    <w:name w:val="WW8NumSt74z0"/>
    <w:rsid w:val="00F45500"/>
    <w:rPr>
      <w:rFonts w:ascii="Symbol" w:hAnsi="Symbol"/>
    </w:rPr>
  </w:style>
  <w:style w:type="character" w:customStyle="1" w:styleId="Domylnaczcionkaakapitu1">
    <w:name w:val="Domyślna czcionka akapitu1"/>
    <w:rsid w:val="00F45500"/>
  </w:style>
  <w:style w:type="character" w:customStyle="1" w:styleId="WW-Absatz-Standardschriftart1111111111111111111111111111111111111111111111111111111">
    <w:name w:val="WW-Absatz-Standardschriftart1111111111111111111111111111111111111111111111111111111"/>
    <w:rsid w:val="00F45500"/>
  </w:style>
  <w:style w:type="character" w:customStyle="1" w:styleId="WW-Absatz-Standardschriftart11111111111111111111111111111111111111111111111111111111">
    <w:name w:val="WW-Absatz-Standardschriftart11111111111111111111111111111111111111111111111111111111"/>
    <w:rsid w:val="00F45500"/>
  </w:style>
  <w:style w:type="character" w:customStyle="1" w:styleId="WW-Absatz-Standardschriftart111111111111111111111111111111111111111111111111111111111">
    <w:name w:val="WW-Absatz-Standardschriftart111111111111111111111111111111111111111111111111111111111"/>
    <w:rsid w:val="00F45500"/>
  </w:style>
  <w:style w:type="character" w:customStyle="1" w:styleId="WW-Absatz-Standardschriftart1111111111111111111111111111111111111111111111111111111111">
    <w:name w:val="WW-Absatz-Standardschriftart1111111111111111111111111111111111111111111111111111111111"/>
    <w:rsid w:val="00F45500"/>
  </w:style>
  <w:style w:type="character" w:customStyle="1" w:styleId="WW8Num34z3">
    <w:name w:val="WW8Num34z3"/>
    <w:rsid w:val="00F45500"/>
    <w:rPr>
      <w:rFonts w:ascii="Symbol" w:hAnsi="Symbol"/>
    </w:rPr>
  </w:style>
  <w:style w:type="character" w:customStyle="1" w:styleId="WW8Num37z4">
    <w:name w:val="WW8Num37z4"/>
    <w:rsid w:val="00F45500"/>
    <w:rPr>
      <w:rFonts w:ascii="Courier New" w:hAnsi="Courier New" w:cs="Courier New"/>
    </w:rPr>
  </w:style>
  <w:style w:type="character" w:customStyle="1" w:styleId="WW8Num68z4">
    <w:name w:val="WW8Num68z4"/>
    <w:rsid w:val="00F45500"/>
    <w:rPr>
      <w:rFonts w:ascii="Courier New" w:hAnsi="Courier New" w:cs="Courier New"/>
    </w:rPr>
  </w:style>
  <w:style w:type="character" w:customStyle="1" w:styleId="WW-Absatz-Standardschriftart11111111111111111111111111111111111111111111111111111111111">
    <w:name w:val="WW-Absatz-Standardschriftart11111111111111111111111111111111111111111111111111111111111"/>
    <w:rsid w:val="00F45500"/>
  </w:style>
  <w:style w:type="character" w:customStyle="1" w:styleId="WW-Absatz-Standardschriftart111111111111111111111111111111111111111111111111111111111111">
    <w:name w:val="WW-Absatz-Standardschriftart111111111111111111111111111111111111111111111111111111111111"/>
    <w:rsid w:val="00F45500"/>
  </w:style>
  <w:style w:type="character" w:customStyle="1" w:styleId="WW-Absatz-Standardschriftart1111111111111111111111111111111111111111111111111111111111111">
    <w:name w:val="WW-Absatz-Standardschriftart1111111111111111111111111111111111111111111111111111111111111"/>
    <w:rsid w:val="00F45500"/>
  </w:style>
  <w:style w:type="character" w:customStyle="1" w:styleId="WW-Absatz-Standardschriftart11111111111111111111111111111111111111111111111111111111111111">
    <w:name w:val="WW-Absatz-Standardschriftart11111111111111111111111111111111111111111111111111111111111111"/>
    <w:rsid w:val="00F45500"/>
  </w:style>
  <w:style w:type="character" w:customStyle="1" w:styleId="WW-Absatz-Standardschriftart111111111111111111111111111111111111111111111111111111111111111">
    <w:name w:val="WW-Absatz-Standardschriftart111111111111111111111111111111111111111111111111111111111111111"/>
    <w:rsid w:val="00F45500"/>
  </w:style>
  <w:style w:type="character" w:customStyle="1" w:styleId="WW-Absatz-Standardschriftart1111111111111111111111111111111111111111111111111111111111111111">
    <w:name w:val="WW-Absatz-Standardschriftart1111111111111111111111111111111111111111111111111111111111111111"/>
    <w:rsid w:val="00F45500"/>
  </w:style>
  <w:style w:type="character" w:customStyle="1" w:styleId="WW-Absatz-Standardschriftart11111111111111111111111111111111111111111111111111111111111111111">
    <w:name w:val="WW-Absatz-Standardschriftart11111111111111111111111111111111111111111111111111111111111111111"/>
    <w:rsid w:val="00F45500"/>
  </w:style>
  <w:style w:type="character" w:customStyle="1" w:styleId="WW-Absatz-Standardschriftart111111111111111111111111111111111111111111111111111111111111111111">
    <w:name w:val="WW-Absatz-Standardschriftart111111111111111111111111111111111111111111111111111111111111111111"/>
    <w:rsid w:val="00F45500"/>
  </w:style>
  <w:style w:type="character" w:customStyle="1" w:styleId="WW8Num36z1">
    <w:name w:val="WW8Num36z1"/>
    <w:rsid w:val="00F45500"/>
    <w:rPr>
      <w:rFonts w:ascii="Wingdings" w:hAnsi="Wingdings" w:cs="Courier New"/>
    </w:rPr>
  </w:style>
  <w:style w:type="character" w:customStyle="1" w:styleId="WW8Num36z2">
    <w:name w:val="WW8Num36z2"/>
    <w:rsid w:val="00F45500"/>
    <w:rPr>
      <w:rFonts w:ascii="Wingdings" w:hAnsi="Wingdings"/>
      <w:b/>
      <w:color w:val="000000"/>
    </w:rPr>
  </w:style>
  <w:style w:type="character" w:customStyle="1" w:styleId="WW8Num36z4">
    <w:name w:val="WW8Num36z4"/>
    <w:rsid w:val="00F45500"/>
    <w:rPr>
      <w:rFonts w:ascii="Courier New" w:hAnsi="Courier New" w:cs="Courier New"/>
    </w:rPr>
  </w:style>
  <w:style w:type="character" w:customStyle="1" w:styleId="WW8Num67z1">
    <w:name w:val="WW8Num67z1"/>
    <w:rsid w:val="00F45500"/>
    <w:rPr>
      <w:rFonts w:ascii="Wingdings" w:hAnsi="Wingdings" w:cs="Courier New"/>
    </w:rPr>
  </w:style>
  <w:style w:type="character" w:customStyle="1" w:styleId="WW8Num67z2">
    <w:name w:val="WW8Num67z2"/>
    <w:rsid w:val="00F45500"/>
    <w:rPr>
      <w:rFonts w:ascii="Wingdings" w:hAnsi="Wingdings"/>
      <w:b/>
      <w:color w:val="000000"/>
    </w:rPr>
  </w:style>
  <w:style w:type="character" w:customStyle="1" w:styleId="WW8Num67z4">
    <w:name w:val="WW8Num67z4"/>
    <w:rsid w:val="00F45500"/>
    <w:rPr>
      <w:rFonts w:ascii="Courier New" w:hAnsi="Courier New" w:cs="Courier New"/>
    </w:rPr>
  </w:style>
  <w:style w:type="character" w:customStyle="1" w:styleId="WW-Absatz-Standardschriftart1111111111111111111111111111111111111111111111111111111111111111111">
    <w:name w:val="WW-Absatz-Standardschriftart1111111111111111111111111111111111111111111111111111111111111111111"/>
    <w:rsid w:val="00F45500"/>
  </w:style>
  <w:style w:type="character" w:customStyle="1" w:styleId="WW-Absatz-Standardschriftart11111111111111111111111111111111111111111111111111111111111111111111">
    <w:name w:val="WW-Absatz-Standardschriftart11111111111111111111111111111111111111111111111111111111111111111111"/>
    <w:rsid w:val="00F45500"/>
  </w:style>
  <w:style w:type="character" w:customStyle="1" w:styleId="WW-Absatz-Standardschriftart111111111111111111111111111111111111111111111111111111111111111111111">
    <w:name w:val="WW-Absatz-Standardschriftart111111111111111111111111111111111111111111111111111111111111111111111"/>
    <w:rsid w:val="00F45500"/>
  </w:style>
  <w:style w:type="character" w:customStyle="1" w:styleId="WW-Absatz-Standardschriftart1111111111111111111111111111111111111111111111111111111111111111111111">
    <w:name w:val="WW-Absatz-Standardschriftart1111111111111111111111111111111111111111111111111111111111111111111111"/>
    <w:rsid w:val="00F45500"/>
  </w:style>
  <w:style w:type="character" w:customStyle="1" w:styleId="WW-Absatz-Standardschriftart11111111111111111111111111111111111111111111111111111111111111111111111">
    <w:name w:val="WW-Absatz-Standardschriftart11111111111111111111111111111111111111111111111111111111111111111111111"/>
    <w:rsid w:val="00F45500"/>
  </w:style>
  <w:style w:type="character" w:customStyle="1" w:styleId="WW-Absatz-Standardschriftart111111111111111111111111111111111111111111111111111111111111111111111111">
    <w:name w:val="WW-Absatz-Standardschriftart111111111111111111111111111111111111111111111111111111111111111111111111"/>
    <w:rsid w:val="00F45500"/>
  </w:style>
  <w:style w:type="character" w:customStyle="1" w:styleId="WW-Absatz-Standardschriftart1111111111111111111111111111111111111111111111111111111111111111111111111">
    <w:name w:val="WW-Absatz-Standardschriftart1111111111111111111111111111111111111111111111111111111111111111111111111"/>
    <w:rsid w:val="00F45500"/>
  </w:style>
  <w:style w:type="character" w:customStyle="1" w:styleId="WW-Absatz-Standardschriftart11111111111111111111111111111111111111111111111111111111111111111111111111">
    <w:name w:val="WW-Absatz-Standardschriftart11111111111111111111111111111111111111111111111111111111111111111111111111"/>
    <w:rsid w:val="00F45500"/>
  </w:style>
  <w:style w:type="character" w:customStyle="1" w:styleId="WW-Absatz-Standardschriftart111111111111111111111111111111111111111111111111111111111111111111111111111">
    <w:name w:val="WW-Absatz-Standardschriftart111111111111111111111111111111111111111111111111111111111111111111111111111"/>
    <w:rsid w:val="00F45500"/>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F45500"/>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F45500"/>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F45500"/>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F45500"/>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F45500"/>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F45500"/>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F45500"/>
  </w:style>
  <w:style w:type="character" w:customStyle="1" w:styleId="WW8Num23z1">
    <w:name w:val="WW8Num23z1"/>
    <w:rsid w:val="00F45500"/>
    <w:rPr>
      <w:rFonts w:ascii="Wingdings" w:hAnsi="Wingdings"/>
      <w:sz w:val="16"/>
    </w:rPr>
  </w:style>
  <w:style w:type="character" w:customStyle="1" w:styleId="WW8Num23z5">
    <w:name w:val="WW8Num23z5"/>
    <w:rsid w:val="00F45500"/>
    <w:rPr>
      <w:rFonts w:ascii="Wingdings" w:hAnsi="Wingdings"/>
    </w:rPr>
  </w:style>
  <w:style w:type="character" w:customStyle="1" w:styleId="WW8Num23z6">
    <w:name w:val="WW8Num23z6"/>
    <w:rsid w:val="00F45500"/>
    <w:rPr>
      <w:rFonts w:ascii="Symbol" w:hAnsi="Symbol"/>
    </w:rPr>
  </w:style>
  <w:style w:type="character" w:customStyle="1" w:styleId="WW8Num2z0">
    <w:name w:val="WW8Num2z0"/>
    <w:rsid w:val="00F45500"/>
    <w:rPr>
      <w:rFonts w:ascii="Wingdings" w:hAnsi="Wingdings"/>
      <w:sz w:val="16"/>
    </w:rPr>
  </w:style>
  <w:style w:type="character" w:customStyle="1" w:styleId="WW8Num19z4">
    <w:name w:val="WW8Num19z4"/>
    <w:rsid w:val="00F45500"/>
    <w:rPr>
      <w:rFonts w:ascii="Courier New" w:hAnsi="Courier New" w:cs="Courier New"/>
    </w:rPr>
  </w:style>
  <w:style w:type="character" w:customStyle="1" w:styleId="WW8Num26z1">
    <w:name w:val="WW8Num26z1"/>
    <w:rsid w:val="00F45500"/>
    <w:rPr>
      <w:rFonts w:ascii="Wingdings" w:hAnsi="Wingdings" w:cs="Courier New"/>
    </w:rPr>
  </w:style>
  <w:style w:type="character" w:customStyle="1" w:styleId="WW8Num26z2">
    <w:name w:val="WW8Num26z2"/>
    <w:rsid w:val="00F45500"/>
    <w:rPr>
      <w:rFonts w:ascii="Wingdings" w:hAnsi="Wingdings"/>
      <w:b/>
      <w:color w:val="000000"/>
    </w:rPr>
  </w:style>
  <w:style w:type="character" w:customStyle="1" w:styleId="WW8Num26z4">
    <w:name w:val="WW8Num26z4"/>
    <w:rsid w:val="00F45500"/>
    <w:rPr>
      <w:rFonts w:ascii="Courier New" w:hAnsi="Courier New" w:cs="Courier New"/>
    </w:rPr>
  </w:style>
  <w:style w:type="character" w:customStyle="1" w:styleId="NumberingSymbols">
    <w:name w:val="Numbering Symbols"/>
    <w:rsid w:val="00F45500"/>
  </w:style>
  <w:style w:type="character" w:customStyle="1" w:styleId="Bullets">
    <w:name w:val="Bullets"/>
    <w:rsid w:val="00F45500"/>
    <w:rPr>
      <w:rFonts w:ascii="StarSymbol" w:eastAsia="StarSymbol" w:hAnsi="StarSymbol" w:cs="StarSymbol"/>
      <w:sz w:val="18"/>
      <w:szCs w:val="18"/>
    </w:rPr>
  </w:style>
  <w:style w:type="character" w:customStyle="1" w:styleId="WW8NumSt42z0">
    <w:name w:val="WW8NumSt42z0"/>
    <w:rsid w:val="00F45500"/>
    <w:rPr>
      <w:rFonts w:ascii="Symbol" w:hAnsi="Symbol"/>
    </w:rPr>
  </w:style>
  <w:style w:type="character" w:customStyle="1" w:styleId="Tekstpodstawowywcity2Znak">
    <w:name w:val="Tekst podstawowy wcięty 2 Znak"/>
    <w:rsid w:val="00F45500"/>
    <w:rPr>
      <w:rFonts w:eastAsia="Lucida Sans Unicode"/>
      <w:kern w:val="1"/>
      <w:sz w:val="24"/>
      <w:szCs w:val="24"/>
    </w:rPr>
  </w:style>
  <w:style w:type="character" w:customStyle="1" w:styleId="Tekstpodstawowywcity3Znak">
    <w:name w:val="Tekst podstawowy wcięty 3 Znak"/>
    <w:rsid w:val="00F45500"/>
    <w:rPr>
      <w:rFonts w:eastAsia="Lucida Sans Unicode"/>
      <w:kern w:val="1"/>
      <w:sz w:val="16"/>
      <w:szCs w:val="16"/>
    </w:rPr>
  </w:style>
  <w:style w:type="character" w:customStyle="1" w:styleId="NagwekZnak">
    <w:name w:val="Nagłówek Znak"/>
    <w:rsid w:val="00F45500"/>
    <w:rPr>
      <w:rFonts w:ascii="Arial" w:eastAsia="Lucida Sans Unicode" w:hAnsi="Arial" w:cs="Tahoma"/>
      <w:kern w:val="1"/>
      <w:sz w:val="28"/>
      <w:szCs w:val="28"/>
    </w:rPr>
  </w:style>
  <w:style w:type="character" w:customStyle="1" w:styleId="WW8NumSt21z0">
    <w:name w:val="WW8NumSt21z0"/>
    <w:rsid w:val="00F45500"/>
    <w:rPr>
      <w:rFonts w:ascii="Symbol" w:hAnsi="Symbol"/>
      <w:sz w:val="20"/>
    </w:rPr>
  </w:style>
  <w:style w:type="character" w:customStyle="1" w:styleId="WW8NumSt33z0">
    <w:name w:val="WW8NumSt33z0"/>
    <w:rsid w:val="00F45500"/>
    <w:rPr>
      <w:rFonts w:ascii="Symbol" w:hAnsi="Symbol"/>
    </w:rPr>
  </w:style>
  <w:style w:type="character" w:customStyle="1" w:styleId="WW8NumSt39z0">
    <w:name w:val="WW8NumSt39z0"/>
    <w:rsid w:val="00F45500"/>
    <w:rPr>
      <w:rFonts w:ascii="Symbol" w:hAnsi="Symbol"/>
      <w:sz w:val="20"/>
    </w:rPr>
  </w:style>
  <w:style w:type="character" w:customStyle="1" w:styleId="WW8NumSt48z0">
    <w:name w:val="WW8NumSt48z0"/>
    <w:rsid w:val="00F45500"/>
    <w:rPr>
      <w:rFonts w:ascii="Bookman Old Style" w:hAnsi="Bookman Old Style"/>
      <w:sz w:val="24"/>
    </w:rPr>
  </w:style>
  <w:style w:type="character" w:customStyle="1" w:styleId="WW8NumSt30z0">
    <w:name w:val="WW8NumSt30z0"/>
    <w:rsid w:val="00F45500"/>
    <w:rPr>
      <w:rFonts w:ascii="Symbol" w:hAnsi="Symbol"/>
    </w:rPr>
  </w:style>
  <w:style w:type="character" w:customStyle="1" w:styleId="WW8NumSt57z0">
    <w:name w:val="WW8NumSt57z0"/>
    <w:rsid w:val="00F45500"/>
    <w:rPr>
      <w:rFonts w:ascii="Symbol" w:hAnsi="Symbol"/>
      <w:sz w:val="24"/>
    </w:rPr>
  </w:style>
  <w:style w:type="character" w:customStyle="1" w:styleId="WW8NumSt6z0">
    <w:name w:val="WW8NumSt6z0"/>
    <w:rsid w:val="00F45500"/>
    <w:rPr>
      <w:rFonts w:ascii="Symbol" w:hAnsi="Symbol"/>
      <w:sz w:val="20"/>
    </w:rPr>
  </w:style>
  <w:style w:type="character" w:customStyle="1" w:styleId="WW8NumSt11z0">
    <w:name w:val="WW8NumSt11z0"/>
    <w:rsid w:val="00F45500"/>
    <w:rPr>
      <w:rFonts w:ascii="Symbol" w:hAnsi="Symbol"/>
    </w:rPr>
  </w:style>
  <w:style w:type="character" w:customStyle="1" w:styleId="Odwoaniedokomentarza1">
    <w:name w:val="Odwołanie do komentarza1"/>
    <w:rsid w:val="00F45500"/>
    <w:rPr>
      <w:sz w:val="16"/>
      <w:szCs w:val="16"/>
    </w:rPr>
  </w:style>
  <w:style w:type="character" w:customStyle="1" w:styleId="TekstkomentarzaZnak">
    <w:name w:val="Tekst komentarza Znak"/>
    <w:uiPriority w:val="99"/>
    <w:rsid w:val="00F45500"/>
    <w:rPr>
      <w:rFonts w:eastAsia="Lucida Sans Unicode"/>
      <w:kern w:val="1"/>
    </w:rPr>
  </w:style>
  <w:style w:type="character" w:customStyle="1" w:styleId="TematkomentarzaZnak">
    <w:name w:val="Temat komentarza Znak"/>
    <w:uiPriority w:val="99"/>
    <w:rsid w:val="00F45500"/>
    <w:rPr>
      <w:rFonts w:eastAsia="Lucida Sans Unicode"/>
      <w:b/>
      <w:bCs/>
      <w:kern w:val="1"/>
    </w:rPr>
  </w:style>
  <w:style w:type="character" w:customStyle="1" w:styleId="WW8NumSt1z0">
    <w:name w:val="WW8NumSt1z0"/>
    <w:rsid w:val="00F45500"/>
    <w:rPr>
      <w:rFonts w:ascii="Symbol" w:hAnsi="Symbol"/>
    </w:rPr>
  </w:style>
  <w:style w:type="character" w:customStyle="1" w:styleId="Odwoaniedokomentarza2">
    <w:name w:val="Odwołanie do komentarza2"/>
    <w:rsid w:val="00F45500"/>
    <w:rPr>
      <w:sz w:val="16"/>
      <w:szCs w:val="16"/>
    </w:rPr>
  </w:style>
  <w:style w:type="character" w:customStyle="1" w:styleId="ZnakZnak">
    <w:name w:val="Znak Znak"/>
    <w:rsid w:val="00F45500"/>
    <w:rPr>
      <w:rFonts w:eastAsia="Lucida Sans Unicode"/>
      <w:kern w:val="1"/>
    </w:rPr>
  </w:style>
  <w:style w:type="character" w:customStyle="1" w:styleId="Tekstpodstawowywcity2Znak1">
    <w:name w:val="Tekst podstawowy wcięty 2 Znak1"/>
    <w:rsid w:val="00F45500"/>
    <w:rPr>
      <w:rFonts w:eastAsia="Lucida Sans Unicode" w:cs="Tahoma"/>
      <w:color w:val="000000"/>
      <w:kern w:val="1"/>
      <w:sz w:val="24"/>
      <w:szCs w:val="24"/>
      <w:lang w:val="en-US" w:eastAsia="en-US" w:bidi="en-US"/>
    </w:rPr>
  </w:style>
  <w:style w:type="character" w:customStyle="1" w:styleId="Tekstpodstawowy2Znak">
    <w:name w:val="Tekst podstawowy 2 Znak"/>
    <w:rsid w:val="00F45500"/>
    <w:rPr>
      <w:rFonts w:eastAsia="Lucida Sans Unicode" w:cs="Tahoma"/>
      <w:color w:val="000000"/>
      <w:kern w:val="1"/>
      <w:sz w:val="24"/>
      <w:szCs w:val="24"/>
      <w:lang w:val="en-US" w:eastAsia="en-US" w:bidi="en-US"/>
    </w:rPr>
  </w:style>
  <w:style w:type="character" w:customStyle="1" w:styleId="WW8NumSt26z0">
    <w:name w:val="WW8NumSt26z0"/>
    <w:rsid w:val="00F45500"/>
    <w:rPr>
      <w:rFonts w:ascii="Symbol" w:hAnsi="Symbol"/>
    </w:rPr>
  </w:style>
  <w:style w:type="character" w:customStyle="1" w:styleId="WW8NumSt23z0">
    <w:name w:val="WW8NumSt23z0"/>
    <w:rsid w:val="00F45500"/>
    <w:rPr>
      <w:rFonts w:ascii="Symbol" w:hAnsi="Symbol"/>
      <w:sz w:val="20"/>
    </w:rPr>
  </w:style>
  <w:style w:type="character" w:customStyle="1" w:styleId="WW8Num15z3">
    <w:name w:val="WW8Num15z3"/>
    <w:rsid w:val="00F45500"/>
    <w:rPr>
      <w:rFonts w:ascii="Symbol" w:hAnsi="Symbol"/>
    </w:rPr>
  </w:style>
  <w:style w:type="character" w:customStyle="1" w:styleId="WW8NumSt18z0">
    <w:name w:val="WW8NumSt18z0"/>
    <w:rsid w:val="00F45500"/>
    <w:rPr>
      <w:rFonts w:ascii="Symbol" w:hAnsi="Symbol"/>
      <w:sz w:val="20"/>
    </w:rPr>
  </w:style>
  <w:style w:type="character" w:customStyle="1" w:styleId="WW8NumSt16z0">
    <w:name w:val="WW8NumSt16z0"/>
    <w:rsid w:val="00F45500"/>
    <w:rPr>
      <w:rFonts w:ascii="Symbol" w:hAnsi="Symbol"/>
      <w:sz w:val="20"/>
    </w:rPr>
  </w:style>
  <w:style w:type="character" w:styleId="UyteHipercze">
    <w:name w:val="FollowedHyperlink"/>
    <w:uiPriority w:val="99"/>
    <w:rsid w:val="00F45500"/>
    <w:rPr>
      <w:color w:val="800000"/>
      <w:u w:val="single"/>
    </w:rPr>
  </w:style>
  <w:style w:type="character" w:customStyle="1" w:styleId="WWCharLFO162LVL1">
    <w:name w:val="WW_CharLFO162LVL1"/>
    <w:rsid w:val="00F45500"/>
    <w:rPr>
      <w:b/>
      <w:bCs/>
      <w:w w:val="99"/>
      <w:sz w:val="18"/>
      <w:szCs w:val="18"/>
    </w:rPr>
  </w:style>
  <w:style w:type="character" w:customStyle="1" w:styleId="WWCharLFO162LVL2">
    <w:name w:val="WW_CharLFO162LVL2"/>
    <w:rsid w:val="00F45500"/>
    <w:rPr>
      <w:b/>
      <w:bCs/>
      <w:w w:val="99"/>
      <w:sz w:val="20"/>
      <w:szCs w:val="20"/>
    </w:rPr>
  </w:style>
  <w:style w:type="character" w:customStyle="1" w:styleId="WWCharLFO162LVL3">
    <w:name w:val="WW_CharLFO162LVL3"/>
    <w:rsid w:val="00F45500"/>
    <w:rPr>
      <w:rFonts w:ascii="OpenSymbol" w:eastAsia="OpenSymbol" w:hAnsi="OpenSymbol" w:cs="OpenSymbol"/>
    </w:rPr>
  </w:style>
  <w:style w:type="character" w:customStyle="1" w:styleId="WWCharLFO162LVL4">
    <w:name w:val="WW_CharLFO162LVL4"/>
    <w:rsid w:val="00F45500"/>
    <w:rPr>
      <w:rFonts w:ascii="OpenSymbol" w:eastAsia="OpenSymbol" w:hAnsi="OpenSymbol" w:cs="OpenSymbol"/>
    </w:rPr>
  </w:style>
  <w:style w:type="character" w:customStyle="1" w:styleId="WWCharLFO162LVL5">
    <w:name w:val="WW_CharLFO162LVL5"/>
    <w:rsid w:val="00F45500"/>
    <w:rPr>
      <w:rFonts w:ascii="OpenSymbol" w:eastAsia="OpenSymbol" w:hAnsi="OpenSymbol" w:cs="OpenSymbol"/>
    </w:rPr>
  </w:style>
  <w:style w:type="character" w:customStyle="1" w:styleId="WWCharLFO162LVL6">
    <w:name w:val="WW_CharLFO162LVL6"/>
    <w:rsid w:val="00F45500"/>
    <w:rPr>
      <w:rFonts w:ascii="OpenSymbol" w:eastAsia="OpenSymbol" w:hAnsi="OpenSymbol" w:cs="OpenSymbol"/>
    </w:rPr>
  </w:style>
  <w:style w:type="character" w:customStyle="1" w:styleId="WWCharLFO162LVL7">
    <w:name w:val="WW_CharLFO162LVL7"/>
    <w:rsid w:val="00F45500"/>
    <w:rPr>
      <w:rFonts w:ascii="OpenSymbol" w:eastAsia="OpenSymbol" w:hAnsi="OpenSymbol" w:cs="OpenSymbol"/>
    </w:rPr>
  </w:style>
  <w:style w:type="character" w:customStyle="1" w:styleId="WWCharLFO162LVL8">
    <w:name w:val="WW_CharLFO162LVL8"/>
    <w:rsid w:val="00F45500"/>
    <w:rPr>
      <w:rFonts w:ascii="OpenSymbol" w:eastAsia="OpenSymbol" w:hAnsi="OpenSymbol" w:cs="OpenSymbol"/>
    </w:rPr>
  </w:style>
  <w:style w:type="character" w:customStyle="1" w:styleId="WWCharLFO162LVL9">
    <w:name w:val="WW_CharLFO162LVL9"/>
    <w:rsid w:val="00F45500"/>
    <w:rPr>
      <w:rFonts w:ascii="OpenSymbol" w:eastAsia="OpenSymbol" w:hAnsi="OpenSymbol" w:cs="OpenSymbol"/>
    </w:rPr>
  </w:style>
  <w:style w:type="character" w:customStyle="1" w:styleId="WWCharLFO163LVL1">
    <w:name w:val="WW_CharLFO163LVL1"/>
    <w:rsid w:val="00F45500"/>
    <w:rPr>
      <w:b/>
      <w:bCs/>
      <w:w w:val="99"/>
      <w:sz w:val="18"/>
      <w:szCs w:val="18"/>
    </w:rPr>
  </w:style>
  <w:style w:type="character" w:customStyle="1" w:styleId="WWCharLFO163LVL2">
    <w:name w:val="WW_CharLFO163LVL2"/>
    <w:rsid w:val="00F45500"/>
    <w:rPr>
      <w:b/>
      <w:bCs/>
      <w:w w:val="99"/>
      <w:sz w:val="18"/>
      <w:szCs w:val="18"/>
    </w:rPr>
  </w:style>
  <w:style w:type="character" w:customStyle="1" w:styleId="WWCharLFO163LVL3">
    <w:name w:val="WW_CharLFO163LVL3"/>
    <w:rsid w:val="00F45500"/>
    <w:rPr>
      <w:rFonts w:ascii="Arial" w:eastAsia="OpenSymbol" w:hAnsi="Arial" w:cs="OpenSymbol"/>
    </w:rPr>
  </w:style>
  <w:style w:type="character" w:customStyle="1" w:styleId="WWCharLFO163LVL4">
    <w:name w:val="WW_CharLFO163LVL4"/>
    <w:rsid w:val="00F45500"/>
    <w:rPr>
      <w:rFonts w:ascii="OpenSymbol" w:eastAsia="OpenSymbol" w:hAnsi="OpenSymbol" w:cs="OpenSymbol"/>
    </w:rPr>
  </w:style>
  <w:style w:type="character" w:customStyle="1" w:styleId="WWCharLFO163LVL5">
    <w:name w:val="WW_CharLFO163LVL5"/>
    <w:rsid w:val="00F45500"/>
    <w:rPr>
      <w:rFonts w:ascii="OpenSymbol" w:eastAsia="OpenSymbol" w:hAnsi="OpenSymbol" w:cs="OpenSymbol"/>
    </w:rPr>
  </w:style>
  <w:style w:type="character" w:customStyle="1" w:styleId="WWCharLFO163LVL6">
    <w:name w:val="WW_CharLFO163LVL6"/>
    <w:rsid w:val="00F45500"/>
    <w:rPr>
      <w:rFonts w:ascii="OpenSymbol" w:eastAsia="OpenSymbol" w:hAnsi="OpenSymbol" w:cs="OpenSymbol"/>
    </w:rPr>
  </w:style>
  <w:style w:type="character" w:customStyle="1" w:styleId="WWCharLFO163LVL7">
    <w:name w:val="WW_CharLFO163LVL7"/>
    <w:rsid w:val="00F45500"/>
    <w:rPr>
      <w:rFonts w:ascii="OpenSymbol" w:eastAsia="OpenSymbol" w:hAnsi="OpenSymbol" w:cs="OpenSymbol"/>
    </w:rPr>
  </w:style>
  <w:style w:type="character" w:customStyle="1" w:styleId="WWCharLFO163LVL8">
    <w:name w:val="WW_CharLFO163LVL8"/>
    <w:rsid w:val="00F45500"/>
    <w:rPr>
      <w:rFonts w:ascii="OpenSymbol" w:eastAsia="OpenSymbol" w:hAnsi="OpenSymbol" w:cs="OpenSymbol"/>
    </w:rPr>
  </w:style>
  <w:style w:type="character" w:customStyle="1" w:styleId="WWCharLFO163LVL9">
    <w:name w:val="WW_CharLFO163LVL9"/>
    <w:rsid w:val="00F45500"/>
    <w:rPr>
      <w:rFonts w:ascii="OpenSymbol" w:eastAsia="OpenSymbol" w:hAnsi="OpenSymbol" w:cs="OpenSymbol"/>
    </w:rPr>
  </w:style>
  <w:style w:type="character" w:customStyle="1" w:styleId="WWCharLFO164LVL1">
    <w:name w:val="WW_CharLFO164LVL1"/>
    <w:rsid w:val="00F45500"/>
    <w:rPr>
      <w:rFonts w:ascii="Symbol" w:hAnsi="Symbol"/>
      <w:b/>
      <w:bCs/>
      <w:w w:val="99"/>
      <w:sz w:val="18"/>
      <w:szCs w:val="18"/>
    </w:rPr>
  </w:style>
  <w:style w:type="character" w:customStyle="1" w:styleId="WWCharLFO164LVL2">
    <w:name w:val="WW_CharLFO164LVL2"/>
    <w:rsid w:val="00F45500"/>
    <w:rPr>
      <w:rFonts w:ascii="OpenSymbol" w:hAnsi="OpenSymbol"/>
      <w:b/>
      <w:bCs/>
      <w:w w:val="99"/>
      <w:sz w:val="18"/>
      <w:szCs w:val="18"/>
    </w:rPr>
  </w:style>
  <w:style w:type="character" w:customStyle="1" w:styleId="WWCharLFO164LVL3">
    <w:name w:val="WW_CharLFO164LVL3"/>
    <w:rsid w:val="00F45500"/>
    <w:rPr>
      <w:rFonts w:ascii="OpenSymbol" w:eastAsia="OpenSymbol" w:hAnsi="OpenSymbol" w:cs="OpenSymbol"/>
    </w:rPr>
  </w:style>
  <w:style w:type="character" w:customStyle="1" w:styleId="WWCharLFO164LVL4">
    <w:name w:val="WW_CharLFO164LVL4"/>
    <w:rsid w:val="00F45500"/>
    <w:rPr>
      <w:rFonts w:ascii="OpenSymbol" w:eastAsia="OpenSymbol" w:hAnsi="OpenSymbol" w:cs="OpenSymbol"/>
    </w:rPr>
  </w:style>
  <w:style w:type="character" w:customStyle="1" w:styleId="WWCharLFO164LVL5">
    <w:name w:val="WW_CharLFO164LVL5"/>
    <w:rsid w:val="00F45500"/>
    <w:rPr>
      <w:rFonts w:ascii="OpenSymbol" w:eastAsia="OpenSymbol" w:hAnsi="OpenSymbol" w:cs="OpenSymbol"/>
    </w:rPr>
  </w:style>
  <w:style w:type="character" w:customStyle="1" w:styleId="WWCharLFO164LVL6">
    <w:name w:val="WW_CharLFO164LVL6"/>
    <w:rsid w:val="00F45500"/>
    <w:rPr>
      <w:rFonts w:ascii="OpenSymbol" w:eastAsia="OpenSymbol" w:hAnsi="OpenSymbol" w:cs="OpenSymbol"/>
    </w:rPr>
  </w:style>
  <w:style w:type="character" w:customStyle="1" w:styleId="WWCharLFO164LVL7">
    <w:name w:val="WW_CharLFO164LVL7"/>
    <w:rsid w:val="00F45500"/>
    <w:rPr>
      <w:rFonts w:ascii="OpenSymbol" w:eastAsia="OpenSymbol" w:hAnsi="OpenSymbol" w:cs="OpenSymbol"/>
    </w:rPr>
  </w:style>
  <w:style w:type="character" w:customStyle="1" w:styleId="WWCharLFO164LVL8">
    <w:name w:val="WW_CharLFO164LVL8"/>
    <w:rsid w:val="00F45500"/>
    <w:rPr>
      <w:rFonts w:ascii="OpenSymbol" w:eastAsia="OpenSymbol" w:hAnsi="OpenSymbol" w:cs="OpenSymbol"/>
    </w:rPr>
  </w:style>
  <w:style w:type="character" w:customStyle="1" w:styleId="WWCharLFO164LVL9">
    <w:name w:val="WW_CharLFO164LVL9"/>
    <w:rsid w:val="00F45500"/>
    <w:rPr>
      <w:rFonts w:ascii="OpenSymbol" w:eastAsia="OpenSymbol" w:hAnsi="OpenSymbol" w:cs="OpenSymbol"/>
    </w:rPr>
  </w:style>
  <w:style w:type="character" w:customStyle="1" w:styleId="WWCharLFO165LVL1">
    <w:name w:val="WW_CharLFO165LVL1"/>
    <w:rsid w:val="00F45500"/>
    <w:rPr>
      <w:b/>
      <w:bCs/>
      <w:w w:val="99"/>
      <w:sz w:val="18"/>
      <w:szCs w:val="18"/>
    </w:rPr>
  </w:style>
  <w:style w:type="character" w:customStyle="1" w:styleId="WWCharLFO165LVL2">
    <w:name w:val="WW_CharLFO165LVL2"/>
    <w:rsid w:val="00F45500"/>
    <w:rPr>
      <w:b/>
      <w:bCs/>
      <w:w w:val="99"/>
      <w:sz w:val="18"/>
      <w:szCs w:val="18"/>
    </w:rPr>
  </w:style>
  <w:style w:type="character" w:customStyle="1" w:styleId="WWCharLFO165LVL3">
    <w:name w:val="WW_CharLFO165LVL3"/>
    <w:rsid w:val="00F45500"/>
    <w:rPr>
      <w:rFonts w:ascii="OpenSymbol" w:eastAsia="OpenSymbol" w:hAnsi="OpenSymbol" w:cs="OpenSymbol"/>
    </w:rPr>
  </w:style>
  <w:style w:type="character" w:customStyle="1" w:styleId="WWCharLFO165LVL4">
    <w:name w:val="WW_CharLFO165LVL4"/>
    <w:rsid w:val="00F45500"/>
    <w:rPr>
      <w:rFonts w:ascii="OpenSymbol" w:eastAsia="OpenSymbol" w:hAnsi="OpenSymbol" w:cs="OpenSymbol"/>
    </w:rPr>
  </w:style>
  <w:style w:type="character" w:customStyle="1" w:styleId="WWCharLFO165LVL5">
    <w:name w:val="WW_CharLFO165LVL5"/>
    <w:rsid w:val="00F45500"/>
    <w:rPr>
      <w:rFonts w:ascii="OpenSymbol" w:eastAsia="OpenSymbol" w:hAnsi="OpenSymbol" w:cs="OpenSymbol"/>
    </w:rPr>
  </w:style>
  <w:style w:type="character" w:customStyle="1" w:styleId="WWCharLFO165LVL6">
    <w:name w:val="WW_CharLFO165LVL6"/>
    <w:rsid w:val="00F45500"/>
    <w:rPr>
      <w:rFonts w:ascii="OpenSymbol" w:eastAsia="OpenSymbol" w:hAnsi="OpenSymbol" w:cs="OpenSymbol"/>
    </w:rPr>
  </w:style>
  <w:style w:type="character" w:customStyle="1" w:styleId="WWCharLFO165LVL7">
    <w:name w:val="WW_CharLFO165LVL7"/>
    <w:rsid w:val="00F45500"/>
    <w:rPr>
      <w:rFonts w:ascii="OpenSymbol" w:eastAsia="OpenSymbol" w:hAnsi="OpenSymbol" w:cs="OpenSymbol"/>
    </w:rPr>
  </w:style>
  <w:style w:type="character" w:customStyle="1" w:styleId="WWCharLFO165LVL8">
    <w:name w:val="WW_CharLFO165LVL8"/>
    <w:rsid w:val="00F45500"/>
    <w:rPr>
      <w:rFonts w:ascii="OpenSymbol" w:eastAsia="OpenSymbol" w:hAnsi="OpenSymbol" w:cs="OpenSymbol"/>
    </w:rPr>
  </w:style>
  <w:style w:type="character" w:customStyle="1" w:styleId="WWCharLFO165LVL9">
    <w:name w:val="WW_CharLFO165LVL9"/>
    <w:rsid w:val="00F45500"/>
    <w:rPr>
      <w:rFonts w:ascii="OpenSymbol" w:eastAsia="OpenSymbol" w:hAnsi="OpenSymbol" w:cs="OpenSymbol"/>
    </w:rPr>
  </w:style>
  <w:style w:type="character" w:customStyle="1" w:styleId="WWCharLFO166LVL1">
    <w:name w:val="WW_CharLFO166LVL1"/>
    <w:rsid w:val="00F45500"/>
    <w:rPr>
      <w:b/>
      <w:bCs/>
      <w:w w:val="99"/>
      <w:sz w:val="18"/>
      <w:szCs w:val="18"/>
    </w:rPr>
  </w:style>
  <w:style w:type="character" w:customStyle="1" w:styleId="WWCharLFO166LVL2">
    <w:name w:val="WW_CharLFO166LVL2"/>
    <w:rsid w:val="00F45500"/>
    <w:rPr>
      <w:b/>
      <w:bCs/>
      <w:w w:val="99"/>
      <w:sz w:val="18"/>
      <w:szCs w:val="18"/>
    </w:rPr>
  </w:style>
  <w:style w:type="character" w:customStyle="1" w:styleId="WWCharLFO166LVL3">
    <w:name w:val="WW_CharLFO166LVL3"/>
    <w:rsid w:val="00F45500"/>
    <w:rPr>
      <w:rFonts w:ascii="OpenSymbol" w:eastAsia="OpenSymbol" w:hAnsi="OpenSymbol" w:cs="OpenSymbol"/>
    </w:rPr>
  </w:style>
  <w:style w:type="character" w:customStyle="1" w:styleId="WWCharLFO166LVL4">
    <w:name w:val="WW_CharLFO166LVL4"/>
    <w:rsid w:val="00F45500"/>
    <w:rPr>
      <w:rFonts w:ascii="OpenSymbol" w:eastAsia="OpenSymbol" w:hAnsi="OpenSymbol" w:cs="OpenSymbol"/>
    </w:rPr>
  </w:style>
  <w:style w:type="character" w:customStyle="1" w:styleId="WWCharLFO166LVL5">
    <w:name w:val="WW_CharLFO166LVL5"/>
    <w:rsid w:val="00F45500"/>
    <w:rPr>
      <w:rFonts w:ascii="OpenSymbol" w:eastAsia="OpenSymbol" w:hAnsi="OpenSymbol" w:cs="OpenSymbol"/>
    </w:rPr>
  </w:style>
  <w:style w:type="character" w:customStyle="1" w:styleId="WWCharLFO166LVL6">
    <w:name w:val="WW_CharLFO166LVL6"/>
    <w:rsid w:val="00F45500"/>
    <w:rPr>
      <w:rFonts w:ascii="OpenSymbol" w:eastAsia="OpenSymbol" w:hAnsi="OpenSymbol" w:cs="OpenSymbol"/>
    </w:rPr>
  </w:style>
  <w:style w:type="character" w:customStyle="1" w:styleId="WWCharLFO166LVL7">
    <w:name w:val="WW_CharLFO166LVL7"/>
    <w:rsid w:val="00F45500"/>
    <w:rPr>
      <w:rFonts w:ascii="OpenSymbol" w:eastAsia="OpenSymbol" w:hAnsi="OpenSymbol" w:cs="OpenSymbol"/>
    </w:rPr>
  </w:style>
  <w:style w:type="character" w:customStyle="1" w:styleId="WWCharLFO166LVL8">
    <w:name w:val="WW_CharLFO166LVL8"/>
    <w:rsid w:val="00F45500"/>
    <w:rPr>
      <w:rFonts w:ascii="OpenSymbol" w:eastAsia="OpenSymbol" w:hAnsi="OpenSymbol" w:cs="OpenSymbol"/>
    </w:rPr>
  </w:style>
  <w:style w:type="character" w:customStyle="1" w:styleId="WWCharLFO166LVL9">
    <w:name w:val="WW_CharLFO166LVL9"/>
    <w:rsid w:val="00F45500"/>
    <w:rPr>
      <w:rFonts w:ascii="OpenSymbol" w:eastAsia="OpenSymbol" w:hAnsi="OpenSymbol" w:cs="OpenSymbol"/>
    </w:rPr>
  </w:style>
  <w:style w:type="character" w:customStyle="1" w:styleId="WWCharLFO168LVL1">
    <w:name w:val="WW_CharLFO168LVL1"/>
    <w:rsid w:val="00F45500"/>
    <w:rPr>
      <w:b/>
      <w:bCs/>
      <w:w w:val="99"/>
      <w:sz w:val="18"/>
      <w:szCs w:val="18"/>
    </w:rPr>
  </w:style>
  <w:style w:type="character" w:customStyle="1" w:styleId="WWCharLFO168LVL2">
    <w:name w:val="WW_CharLFO168LVL2"/>
    <w:rsid w:val="00F45500"/>
    <w:rPr>
      <w:b/>
      <w:bCs/>
      <w:w w:val="99"/>
      <w:sz w:val="18"/>
      <w:szCs w:val="18"/>
    </w:rPr>
  </w:style>
  <w:style w:type="character" w:customStyle="1" w:styleId="WWCharLFO168LVL3">
    <w:name w:val="WW_CharLFO168LVL3"/>
    <w:rsid w:val="00F45500"/>
    <w:rPr>
      <w:rFonts w:ascii="OpenSymbol" w:eastAsia="OpenSymbol" w:hAnsi="OpenSymbol" w:cs="OpenSymbol"/>
    </w:rPr>
  </w:style>
  <w:style w:type="character" w:customStyle="1" w:styleId="WWCharLFO168LVL4">
    <w:name w:val="WW_CharLFO168LVL4"/>
    <w:rsid w:val="00F45500"/>
    <w:rPr>
      <w:rFonts w:ascii="OpenSymbol" w:eastAsia="OpenSymbol" w:hAnsi="OpenSymbol" w:cs="OpenSymbol"/>
    </w:rPr>
  </w:style>
  <w:style w:type="character" w:customStyle="1" w:styleId="WWCharLFO168LVL5">
    <w:name w:val="WW_CharLFO168LVL5"/>
    <w:rsid w:val="00F45500"/>
    <w:rPr>
      <w:rFonts w:ascii="OpenSymbol" w:eastAsia="OpenSymbol" w:hAnsi="OpenSymbol" w:cs="OpenSymbol"/>
    </w:rPr>
  </w:style>
  <w:style w:type="character" w:customStyle="1" w:styleId="WWCharLFO168LVL6">
    <w:name w:val="WW_CharLFO168LVL6"/>
    <w:rsid w:val="00F45500"/>
    <w:rPr>
      <w:rFonts w:ascii="OpenSymbol" w:eastAsia="OpenSymbol" w:hAnsi="OpenSymbol" w:cs="OpenSymbol"/>
    </w:rPr>
  </w:style>
  <w:style w:type="character" w:customStyle="1" w:styleId="WWCharLFO168LVL7">
    <w:name w:val="WW_CharLFO168LVL7"/>
    <w:rsid w:val="00F45500"/>
    <w:rPr>
      <w:rFonts w:ascii="OpenSymbol" w:eastAsia="OpenSymbol" w:hAnsi="OpenSymbol" w:cs="OpenSymbol"/>
    </w:rPr>
  </w:style>
  <w:style w:type="character" w:customStyle="1" w:styleId="WWCharLFO168LVL8">
    <w:name w:val="WW_CharLFO168LVL8"/>
    <w:rsid w:val="00F45500"/>
    <w:rPr>
      <w:rFonts w:ascii="OpenSymbol" w:eastAsia="OpenSymbol" w:hAnsi="OpenSymbol" w:cs="OpenSymbol"/>
    </w:rPr>
  </w:style>
  <w:style w:type="character" w:customStyle="1" w:styleId="WWCharLFO168LVL9">
    <w:name w:val="WW_CharLFO168LVL9"/>
    <w:rsid w:val="00F45500"/>
    <w:rPr>
      <w:rFonts w:ascii="OpenSymbol" w:eastAsia="OpenSymbol" w:hAnsi="OpenSymbol" w:cs="OpenSymbol"/>
    </w:rPr>
  </w:style>
  <w:style w:type="character" w:customStyle="1" w:styleId="WWCharLFO169LVL1">
    <w:name w:val="WW_CharLFO169LVL1"/>
    <w:rsid w:val="00F45500"/>
    <w:rPr>
      <w:rFonts w:ascii="Symbol" w:hAnsi="Symbol"/>
      <w:b/>
      <w:bCs/>
      <w:w w:val="99"/>
      <w:sz w:val="18"/>
      <w:szCs w:val="18"/>
    </w:rPr>
  </w:style>
  <w:style w:type="character" w:customStyle="1" w:styleId="WWCharLFO169LVL2">
    <w:name w:val="WW_CharLFO169LVL2"/>
    <w:rsid w:val="00F45500"/>
    <w:rPr>
      <w:rFonts w:ascii="OpenSymbol" w:hAnsi="OpenSymbol"/>
      <w:b/>
      <w:bCs/>
      <w:w w:val="99"/>
      <w:sz w:val="18"/>
      <w:szCs w:val="18"/>
    </w:rPr>
  </w:style>
  <w:style w:type="character" w:customStyle="1" w:styleId="WWCharLFO169LVL3">
    <w:name w:val="WW_CharLFO169LVL3"/>
    <w:rsid w:val="00F45500"/>
    <w:rPr>
      <w:rFonts w:ascii="OpenSymbol" w:eastAsia="OpenSymbol" w:hAnsi="OpenSymbol" w:cs="OpenSymbol"/>
    </w:rPr>
  </w:style>
  <w:style w:type="character" w:customStyle="1" w:styleId="WWCharLFO169LVL4">
    <w:name w:val="WW_CharLFO169LVL4"/>
    <w:rsid w:val="00F45500"/>
    <w:rPr>
      <w:rFonts w:ascii="OpenSymbol" w:eastAsia="OpenSymbol" w:hAnsi="OpenSymbol" w:cs="OpenSymbol"/>
    </w:rPr>
  </w:style>
  <w:style w:type="character" w:customStyle="1" w:styleId="WWCharLFO169LVL5">
    <w:name w:val="WW_CharLFO169LVL5"/>
    <w:rsid w:val="00F45500"/>
    <w:rPr>
      <w:rFonts w:ascii="OpenSymbol" w:eastAsia="OpenSymbol" w:hAnsi="OpenSymbol" w:cs="OpenSymbol"/>
    </w:rPr>
  </w:style>
  <w:style w:type="character" w:customStyle="1" w:styleId="WWCharLFO169LVL6">
    <w:name w:val="WW_CharLFO169LVL6"/>
    <w:rsid w:val="00F45500"/>
    <w:rPr>
      <w:rFonts w:ascii="OpenSymbol" w:eastAsia="OpenSymbol" w:hAnsi="OpenSymbol" w:cs="OpenSymbol"/>
    </w:rPr>
  </w:style>
  <w:style w:type="character" w:customStyle="1" w:styleId="WWCharLFO169LVL7">
    <w:name w:val="WW_CharLFO169LVL7"/>
    <w:rsid w:val="00F45500"/>
    <w:rPr>
      <w:rFonts w:ascii="OpenSymbol" w:eastAsia="OpenSymbol" w:hAnsi="OpenSymbol" w:cs="OpenSymbol"/>
    </w:rPr>
  </w:style>
  <w:style w:type="character" w:customStyle="1" w:styleId="WWCharLFO169LVL8">
    <w:name w:val="WW_CharLFO169LVL8"/>
    <w:rsid w:val="00F45500"/>
    <w:rPr>
      <w:rFonts w:ascii="OpenSymbol" w:eastAsia="OpenSymbol" w:hAnsi="OpenSymbol" w:cs="OpenSymbol"/>
    </w:rPr>
  </w:style>
  <w:style w:type="character" w:customStyle="1" w:styleId="WWCharLFO169LVL9">
    <w:name w:val="WW_CharLFO169LVL9"/>
    <w:rsid w:val="00F45500"/>
    <w:rPr>
      <w:rFonts w:ascii="OpenSymbol" w:eastAsia="OpenSymbol" w:hAnsi="OpenSymbol" w:cs="OpenSymbol"/>
    </w:rPr>
  </w:style>
  <w:style w:type="character" w:customStyle="1" w:styleId="WWCharLFO170LVL1">
    <w:name w:val="WW_CharLFO170LVL1"/>
    <w:rsid w:val="00F45500"/>
    <w:rPr>
      <w:rFonts w:ascii="Arial" w:hAnsi="Arial"/>
      <w:b/>
      <w:bCs/>
      <w:w w:val="99"/>
      <w:sz w:val="18"/>
      <w:szCs w:val="18"/>
    </w:rPr>
  </w:style>
  <w:style w:type="character" w:customStyle="1" w:styleId="WWCharLFO170LVL2">
    <w:name w:val="WW_CharLFO170LVL2"/>
    <w:rsid w:val="00F45500"/>
    <w:rPr>
      <w:rFonts w:ascii="OpenSymbol" w:hAnsi="OpenSymbol"/>
      <w:b/>
      <w:bCs/>
      <w:w w:val="99"/>
      <w:sz w:val="18"/>
      <w:szCs w:val="18"/>
    </w:rPr>
  </w:style>
  <w:style w:type="character" w:customStyle="1" w:styleId="WWCharLFO170LVL3">
    <w:name w:val="WW_CharLFO170LVL3"/>
    <w:rsid w:val="00F45500"/>
    <w:rPr>
      <w:rFonts w:ascii="OpenSymbol" w:eastAsia="OpenSymbol" w:hAnsi="OpenSymbol" w:cs="OpenSymbol"/>
    </w:rPr>
  </w:style>
  <w:style w:type="character" w:customStyle="1" w:styleId="WWCharLFO170LVL4">
    <w:name w:val="WW_CharLFO170LVL4"/>
    <w:rsid w:val="00F45500"/>
    <w:rPr>
      <w:rFonts w:ascii="OpenSymbol" w:eastAsia="OpenSymbol" w:hAnsi="OpenSymbol" w:cs="OpenSymbol"/>
    </w:rPr>
  </w:style>
  <w:style w:type="character" w:customStyle="1" w:styleId="WWCharLFO170LVL5">
    <w:name w:val="WW_CharLFO170LVL5"/>
    <w:rsid w:val="00F45500"/>
    <w:rPr>
      <w:rFonts w:ascii="OpenSymbol" w:eastAsia="OpenSymbol" w:hAnsi="OpenSymbol" w:cs="OpenSymbol"/>
    </w:rPr>
  </w:style>
  <w:style w:type="character" w:customStyle="1" w:styleId="WWCharLFO170LVL6">
    <w:name w:val="WW_CharLFO170LVL6"/>
    <w:rsid w:val="00F45500"/>
    <w:rPr>
      <w:rFonts w:ascii="OpenSymbol" w:eastAsia="OpenSymbol" w:hAnsi="OpenSymbol" w:cs="OpenSymbol"/>
    </w:rPr>
  </w:style>
  <w:style w:type="character" w:customStyle="1" w:styleId="WWCharLFO170LVL7">
    <w:name w:val="WW_CharLFO170LVL7"/>
    <w:rsid w:val="00F45500"/>
    <w:rPr>
      <w:rFonts w:ascii="OpenSymbol" w:eastAsia="OpenSymbol" w:hAnsi="OpenSymbol" w:cs="OpenSymbol"/>
    </w:rPr>
  </w:style>
  <w:style w:type="character" w:customStyle="1" w:styleId="WWCharLFO170LVL8">
    <w:name w:val="WW_CharLFO170LVL8"/>
    <w:rsid w:val="00F45500"/>
    <w:rPr>
      <w:rFonts w:ascii="OpenSymbol" w:eastAsia="OpenSymbol" w:hAnsi="OpenSymbol" w:cs="OpenSymbol"/>
    </w:rPr>
  </w:style>
  <w:style w:type="character" w:customStyle="1" w:styleId="WWCharLFO170LVL9">
    <w:name w:val="WW_CharLFO170LVL9"/>
    <w:rsid w:val="00F45500"/>
    <w:rPr>
      <w:rFonts w:ascii="OpenSymbol" w:eastAsia="OpenSymbol" w:hAnsi="OpenSymbol" w:cs="OpenSymbol"/>
    </w:rPr>
  </w:style>
  <w:style w:type="character" w:customStyle="1" w:styleId="WWCharLFO171LVL1">
    <w:name w:val="WW_CharLFO171LVL1"/>
    <w:rsid w:val="00F45500"/>
    <w:rPr>
      <w:rFonts w:ascii="Arial" w:hAnsi="Arial"/>
      <w:b/>
      <w:bCs/>
      <w:w w:val="99"/>
      <w:sz w:val="18"/>
      <w:szCs w:val="18"/>
    </w:rPr>
  </w:style>
  <w:style w:type="character" w:customStyle="1" w:styleId="WWCharLFO171LVL2">
    <w:name w:val="WW_CharLFO171LVL2"/>
    <w:rsid w:val="00F45500"/>
    <w:rPr>
      <w:rFonts w:ascii="OpenSymbol" w:hAnsi="OpenSymbol"/>
      <w:b/>
      <w:bCs/>
      <w:w w:val="99"/>
      <w:sz w:val="18"/>
      <w:szCs w:val="18"/>
    </w:rPr>
  </w:style>
  <w:style w:type="character" w:customStyle="1" w:styleId="WWCharLFO171LVL3">
    <w:name w:val="WW_CharLFO171LVL3"/>
    <w:rsid w:val="00F45500"/>
    <w:rPr>
      <w:rFonts w:ascii="OpenSymbol" w:eastAsia="OpenSymbol" w:hAnsi="OpenSymbol" w:cs="OpenSymbol"/>
    </w:rPr>
  </w:style>
  <w:style w:type="character" w:customStyle="1" w:styleId="WWCharLFO171LVL4">
    <w:name w:val="WW_CharLFO171LVL4"/>
    <w:rsid w:val="00F45500"/>
    <w:rPr>
      <w:rFonts w:ascii="OpenSymbol" w:eastAsia="OpenSymbol" w:hAnsi="OpenSymbol" w:cs="OpenSymbol"/>
    </w:rPr>
  </w:style>
  <w:style w:type="character" w:customStyle="1" w:styleId="WWCharLFO171LVL5">
    <w:name w:val="WW_CharLFO171LVL5"/>
    <w:rsid w:val="00F45500"/>
    <w:rPr>
      <w:rFonts w:ascii="OpenSymbol" w:eastAsia="OpenSymbol" w:hAnsi="OpenSymbol" w:cs="OpenSymbol"/>
    </w:rPr>
  </w:style>
  <w:style w:type="character" w:customStyle="1" w:styleId="WWCharLFO171LVL6">
    <w:name w:val="WW_CharLFO171LVL6"/>
    <w:rsid w:val="00F45500"/>
    <w:rPr>
      <w:rFonts w:ascii="OpenSymbol" w:eastAsia="OpenSymbol" w:hAnsi="OpenSymbol" w:cs="OpenSymbol"/>
    </w:rPr>
  </w:style>
  <w:style w:type="character" w:customStyle="1" w:styleId="WWCharLFO171LVL7">
    <w:name w:val="WW_CharLFO171LVL7"/>
    <w:rsid w:val="00F45500"/>
    <w:rPr>
      <w:rFonts w:ascii="OpenSymbol" w:eastAsia="OpenSymbol" w:hAnsi="OpenSymbol" w:cs="OpenSymbol"/>
    </w:rPr>
  </w:style>
  <w:style w:type="character" w:customStyle="1" w:styleId="WWCharLFO171LVL8">
    <w:name w:val="WW_CharLFO171LVL8"/>
    <w:rsid w:val="00F45500"/>
    <w:rPr>
      <w:rFonts w:ascii="OpenSymbol" w:eastAsia="OpenSymbol" w:hAnsi="OpenSymbol" w:cs="OpenSymbol"/>
    </w:rPr>
  </w:style>
  <w:style w:type="character" w:customStyle="1" w:styleId="WWCharLFO171LVL9">
    <w:name w:val="WW_CharLFO171LVL9"/>
    <w:rsid w:val="00F45500"/>
    <w:rPr>
      <w:rFonts w:ascii="OpenSymbol" w:eastAsia="OpenSymbol" w:hAnsi="OpenSymbol" w:cs="OpenSymbol"/>
    </w:rPr>
  </w:style>
  <w:style w:type="character" w:customStyle="1" w:styleId="WWCharLFO172LVL1">
    <w:name w:val="WW_CharLFO172LVL1"/>
    <w:rsid w:val="00F45500"/>
    <w:rPr>
      <w:b/>
      <w:bCs/>
      <w:w w:val="99"/>
      <w:sz w:val="18"/>
      <w:szCs w:val="18"/>
    </w:rPr>
  </w:style>
  <w:style w:type="character" w:customStyle="1" w:styleId="WWCharLFO172LVL2">
    <w:name w:val="WW_CharLFO172LVL2"/>
    <w:rsid w:val="00F45500"/>
    <w:rPr>
      <w:rFonts w:ascii="OpenSymbol" w:hAnsi="OpenSymbol"/>
      <w:b/>
      <w:bCs/>
      <w:w w:val="99"/>
      <w:sz w:val="18"/>
      <w:szCs w:val="18"/>
    </w:rPr>
  </w:style>
  <w:style w:type="character" w:customStyle="1" w:styleId="WWCharLFO172LVL3">
    <w:name w:val="WW_CharLFO172LVL3"/>
    <w:rsid w:val="00F45500"/>
    <w:rPr>
      <w:rFonts w:ascii="OpenSymbol" w:eastAsia="OpenSymbol" w:hAnsi="OpenSymbol" w:cs="OpenSymbol"/>
    </w:rPr>
  </w:style>
  <w:style w:type="character" w:customStyle="1" w:styleId="WWCharLFO172LVL4">
    <w:name w:val="WW_CharLFO172LVL4"/>
    <w:rsid w:val="00F45500"/>
    <w:rPr>
      <w:rFonts w:ascii="OpenSymbol" w:eastAsia="OpenSymbol" w:hAnsi="OpenSymbol" w:cs="OpenSymbol"/>
    </w:rPr>
  </w:style>
  <w:style w:type="character" w:customStyle="1" w:styleId="WWCharLFO172LVL5">
    <w:name w:val="WW_CharLFO172LVL5"/>
    <w:rsid w:val="00F45500"/>
    <w:rPr>
      <w:rFonts w:ascii="OpenSymbol" w:eastAsia="OpenSymbol" w:hAnsi="OpenSymbol" w:cs="OpenSymbol"/>
    </w:rPr>
  </w:style>
  <w:style w:type="character" w:customStyle="1" w:styleId="WWCharLFO172LVL6">
    <w:name w:val="WW_CharLFO172LVL6"/>
    <w:rsid w:val="00F45500"/>
    <w:rPr>
      <w:rFonts w:ascii="OpenSymbol" w:eastAsia="OpenSymbol" w:hAnsi="OpenSymbol" w:cs="OpenSymbol"/>
    </w:rPr>
  </w:style>
  <w:style w:type="character" w:customStyle="1" w:styleId="WWCharLFO172LVL7">
    <w:name w:val="WW_CharLFO172LVL7"/>
    <w:rsid w:val="00F45500"/>
    <w:rPr>
      <w:rFonts w:ascii="OpenSymbol" w:eastAsia="OpenSymbol" w:hAnsi="OpenSymbol" w:cs="OpenSymbol"/>
    </w:rPr>
  </w:style>
  <w:style w:type="character" w:customStyle="1" w:styleId="WWCharLFO172LVL8">
    <w:name w:val="WW_CharLFO172LVL8"/>
    <w:rsid w:val="00F45500"/>
    <w:rPr>
      <w:rFonts w:ascii="OpenSymbol" w:eastAsia="OpenSymbol" w:hAnsi="OpenSymbol" w:cs="OpenSymbol"/>
    </w:rPr>
  </w:style>
  <w:style w:type="character" w:customStyle="1" w:styleId="WWCharLFO172LVL9">
    <w:name w:val="WW_CharLFO172LVL9"/>
    <w:rsid w:val="00F45500"/>
    <w:rPr>
      <w:rFonts w:ascii="OpenSymbol" w:eastAsia="OpenSymbol" w:hAnsi="OpenSymbol" w:cs="OpenSymbol"/>
    </w:rPr>
  </w:style>
  <w:style w:type="character" w:customStyle="1" w:styleId="WWCharLFO173LVL1">
    <w:name w:val="WW_CharLFO173LVL1"/>
    <w:rsid w:val="00F45500"/>
    <w:rPr>
      <w:rFonts w:ascii="Times New Roman" w:hAnsi="Times New Roman"/>
      <w:b/>
      <w:bCs/>
      <w:w w:val="99"/>
      <w:sz w:val="18"/>
      <w:szCs w:val="18"/>
    </w:rPr>
  </w:style>
  <w:style w:type="character" w:customStyle="1" w:styleId="WWCharLFO173LVL2">
    <w:name w:val="WW_CharLFO173LVL2"/>
    <w:rsid w:val="00F45500"/>
    <w:rPr>
      <w:rFonts w:ascii="OpenSymbol" w:hAnsi="OpenSymbol"/>
      <w:b/>
      <w:bCs/>
      <w:w w:val="99"/>
      <w:sz w:val="18"/>
      <w:szCs w:val="18"/>
    </w:rPr>
  </w:style>
  <w:style w:type="character" w:customStyle="1" w:styleId="WWCharLFO173LVL3">
    <w:name w:val="WW_CharLFO173LVL3"/>
    <w:rsid w:val="00F45500"/>
    <w:rPr>
      <w:rFonts w:ascii="OpenSymbol" w:eastAsia="OpenSymbol" w:hAnsi="OpenSymbol" w:cs="OpenSymbol"/>
    </w:rPr>
  </w:style>
  <w:style w:type="character" w:customStyle="1" w:styleId="WWCharLFO173LVL4">
    <w:name w:val="WW_CharLFO173LVL4"/>
    <w:rsid w:val="00F45500"/>
    <w:rPr>
      <w:rFonts w:ascii="OpenSymbol" w:eastAsia="OpenSymbol" w:hAnsi="OpenSymbol" w:cs="OpenSymbol"/>
    </w:rPr>
  </w:style>
  <w:style w:type="character" w:customStyle="1" w:styleId="WWCharLFO173LVL5">
    <w:name w:val="WW_CharLFO173LVL5"/>
    <w:rsid w:val="00F45500"/>
    <w:rPr>
      <w:rFonts w:ascii="OpenSymbol" w:eastAsia="OpenSymbol" w:hAnsi="OpenSymbol" w:cs="OpenSymbol"/>
    </w:rPr>
  </w:style>
  <w:style w:type="character" w:customStyle="1" w:styleId="WWCharLFO173LVL6">
    <w:name w:val="WW_CharLFO173LVL6"/>
    <w:rsid w:val="00F45500"/>
    <w:rPr>
      <w:rFonts w:ascii="OpenSymbol" w:eastAsia="OpenSymbol" w:hAnsi="OpenSymbol" w:cs="OpenSymbol"/>
    </w:rPr>
  </w:style>
  <w:style w:type="character" w:customStyle="1" w:styleId="WWCharLFO173LVL7">
    <w:name w:val="WW_CharLFO173LVL7"/>
    <w:rsid w:val="00F45500"/>
    <w:rPr>
      <w:rFonts w:ascii="OpenSymbol" w:eastAsia="OpenSymbol" w:hAnsi="OpenSymbol" w:cs="OpenSymbol"/>
    </w:rPr>
  </w:style>
  <w:style w:type="character" w:customStyle="1" w:styleId="WWCharLFO173LVL8">
    <w:name w:val="WW_CharLFO173LVL8"/>
    <w:rsid w:val="00F45500"/>
    <w:rPr>
      <w:rFonts w:ascii="OpenSymbol" w:eastAsia="OpenSymbol" w:hAnsi="OpenSymbol" w:cs="OpenSymbol"/>
    </w:rPr>
  </w:style>
  <w:style w:type="character" w:customStyle="1" w:styleId="WWCharLFO173LVL9">
    <w:name w:val="WW_CharLFO173LVL9"/>
    <w:rsid w:val="00F45500"/>
    <w:rPr>
      <w:rFonts w:ascii="OpenSymbol" w:eastAsia="OpenSymbol" w:hAnsi="OpenSymbol" w:cs="OpenSymbol"/>
    </w:rPr>
  </w:style>
  <w:style w:type="character" w:customStyle="1" w:styleId="WWCharLFO174LVL1">
    <w:name w:val="WW_CharLFO174LVL1"/>
    <w:rsid w:val="00F45500"/>
    <w:rPr>
      <w:b/>
      <w:bCs/>
      <w:w w:val="99"/>
      <w:sz w:val="18"/>
      <w:szCs w:val="18"/>
    </w:rPr>
  </w:style>
  <w:style w:type="character" w:customStyle="1" w:styleId="WWCharLFO174LVL2">
    <w:name w:val="WW_CharLFO174LVL2"/>
    <w:rsid w:val="00F45500"/>
    <w:rPr>
      <w:b/>
      <w:bCs/>
      <w:w w:val="99"/>
      <w:sz w:val="18"/>
      <w:szCs w:val="18"/>
    </w:rPr>
  </w:style>
  <w:style w:type="character" w:customStyle="1" w:styleId="WWCharLFO174LVL3">
    <w:name w:val="WW_CharLFO174LVL3"/>
    <w:rsid w:val="00F45500"/>
    <w:rPr>
      <w:rFonts w:ascii="OpenSymbol" w:eastAsia="OpenSymbol" w:hAnsi="OpenSymbol" w:cs="OpenSymbol"/>
    </w:rPr>
  </w:style>
  <w:style w:type="character" w:customStyle="1" w:styleId="WWCharLFO174LVL4">
    <w:name w:val="WW_CharLFO174LVL4"/>
    <w:rsid w:val="00F45500"/>
    <w:rPr>
      <w:rFonts w:ascii="OpenSymbol" w:eastAsia="OpenSymbol" w:hAnsi="OpenSymbol" w:cs="OpenSymbol"/>
    </w:rPr>
  </w:style>
  <w:style w:type="character" w:customStyle="1" w:styleId="WWCharLFO174LVL5">
    <w:name w:val="WW_CharLFO174LVL5"/>
    <w:rsid w:val="00F45500"/>
    <w:rPr>
      <w:rFonts w:ascii="OpenSymbol" w:eastAsia="OpenSymbol" w:hAnsi="OpenSymbol" w:cs="OpenSymbol"/>
    </w:rPr>
  </w:style>
  <w:style w:type="character" w:customStyle="1" w:styleId="WWCharLFO174LVL6">
    <w:name w:val="WW_CharLFO174LVL6"/>
    <w:rsid w:val="00F45500"/>
    <w:rPr>
      <w:rFonts w:ascii="OpenSymbol" w:eastAsia="OpenSymbol" w:hAnsi="OpenSymbol" w:cs="OpenSymbol"/>
    </w:rPr>
  </w:style>
  <w:style w:type="character" w:customStyle="1" w:styleId="WWCharLFO174LVL7">
    <w:name w:val="WW_CharLFO174LVL7"/>
    <w:rsid w:val="00F45500"/>
    <w:rPr>
      <w:rFonts w:ascii="OpenSymbol" w:eastAsia="OpenSymbol" w:hAnsi="OpenSymbol" w:cs="OpenSymbol"/>
    </w:rPr>
  </w:style>
  <w:style w:type="character" w:customStyle="1" w:styleId="WWCharLFO174LVL8">
    <w:name w:val="WW_CharLFO174LVL8"/>
    <w:rsid w:val="00F45500"/>
    <w:rPr>
      <w:rFonts w:ascii="OpenSymbol" w:eastAsia="OpenSymbol" w:hAnsi="OpenSymbol" w:cs="OpenSymbol"/>
    </w:rPr>
  </w:style>
  <w:style w:type="character" w:customStyle="1" w:styleId="WWCharLFO174LVL9">
    <w:name w:val="WW_CharLFO174LVL9"/>
    <w:rsid w:val="00F45500"/>
    <w:rPr>
      <w:rFonts w:ascii="OpenSymbol" w:eastAsia="OpenSymbol" w:hAnsi="OpenSymbol" w:cs="OpenSymbol"/>
    </w:rPr>
  </w:style>
  <w:style w:type="character" w:customStyle="1" w:styleId="WWCharLFO175LVL1">
    <w:name w:val="WW_CharLFO175LVL1"/>
    <w:rsid w:val="00F45500"/>
    <w:rPr>
      <w:rFonts w:ascii="Symbol" w:hAnsi="Symbol"/>
      <w:b/>
      <w:bCs/>
      <w:w w:val="99"/>
      <w:sz w:val="18"/>
      <w:szCs w:val="18"/>
    </w:rPr>
  </w:style>
  <w:style w:type="character" w:customStyle="1" w:styleId="WWCharLFO175LVL2">
    <w:name w:val="WW_CharLFO175LVL2"/>
    <w:rsid w:val="00F45500"/>
    <w:rPr>
      <w:rFonts w:ascii="OpenSymbol" w:hAnsi="OpenSymbol"/>
      <w:b/>
      <w:bCs/>
      <w:w w:val="99"/>
      <w:sz w:val="18"/>
      <w:szCs w:val="18"/>
    </w:rPr>
  </w:style>
  <w:style w:type="character" w:customStyle="1" w:styleId="WWCharLFO175LVL3">
    <w:name w:val="WW_CharLFO175LVL3"/>
    <w:rsid w:val="00F45500"/>
    <w:rPr>
      <w:rFonts w:ascii="OpenSymbol" w:eastAsia="OpenSymbol" w:hAnsi="OpenSymbol" w:cs="OpenSymbol"/>
    </w:rPr>
  </w:style>
  <w:style w:type="character" w:customStyle="1" w:styleId="WWCharLFO175LVL4">
    <w:name w:val="WW_CharLFO175LVL4"/>
    <w:rsid w:val="00F45500"/>
    <w:rPr>
      <w:rFonts w:ascii="OpenSymbol" w:eastAsia="OpenSymbol" w:hAnsi="OpenSymbol" w:cs="OpenSymbol"/>
    </w:rPr>
  </w:style>
  <w:style w:type="character" w:customStyle="1" w:styleId="WWCharLFO175LVL5">
    <w:name w:val="WW_CharLFO175LVL5"/>
    <w:rsid w:val="00F45500"/>
    <w:rPr>
      <w:rFonts w:ascii="OpenSymbol" w:eastAsia="OpenSymbol" w:hAnsi="OpenSymbol" w:cs="OpenSymbol"/>
    </w:rPr>
  </w:style>
  <w:style w:type="character" w:customStyle="1" w:styleId="WWCharLFO175LVL6">
    <w:name w:val="WW_CharLFO175LVL6"/>
    <w:rsid w:val="00F45500"/>
    <w:rPr>
      <w:rFonts w:ascii="OpenSymbol" w:eastAsia="OpenSymbol" w:hAnsi="OpenSymbol" w:cs="OpenSymbol"/>
    </w:rPr>
  </w:style>
  <w:style w:type="character" w:customStyle="1" w:styleId="WWCharLFO175LVL7">
    <w:name w:val="WW_CharLFO175LVL7"/>
    <w:rsid w:val="00F45500"/>
    <w:rPr>
      <w:rFonts w:ascii="OpenSymbol" w:eastAsia="OpenSymbol" w:hAnsi="OpenSymbol" w:cs="OpenSymbol"/>
    </w:rPr>
  </w:style>
  <w:style w:type="character" w:customStyle="1" w:styleId="WWCharLFO175LVL8">
    <w:name w:val="WW_CharLFO175LVL8"/>
    <w:rsid w:val="00F45500"/>
    <w:rPr>
      <w:rFonts w:ascii="OpenSymbol" w:eastAsia="OpenSymbol" w:hAnsi="OpenSymbol" w:cs="OpenSymbol"/>
    </w:rPr>
  </w:style>
  <w:style w:type="character" w:customStyle="1" w:styleId="WWCharLFO175LVL9">
    <w:name w:val="WW_CharLFO175LVL9"/>
    <w:rsid w:val="00F45500"/>
    <w:rPr>
      <w:rFonts w:ascii="OpenSymbol" w:eastAsia="OpenSymbol" w:hAnsi="OpenSymbol" w:cs="OpenSymbol"/>
    </w:rPr>
  </w:style>
  <w:style w:type="character" w:customStyle="1" w:styleId="WWCharLFO176LVL1">
    <w:name w:val="WW_CharLFO176LVL1"/>
    <w:rsid w:val="00F45500"/>
    <w:rPr>
      <w:rFonts w:ascii="Symbol" w:hAnsi="Symbol"/>
      <w:b/>
      <w:bCs/>
      <w:w w:val="99"/>
      <w:sz w:val="18"/>
      <w:szCs w:val="18"/>
    </w:rPr>
  </w:style>
  <w:style w:type="character" w:customStyle="1" w:styleId="WWCharLFO176LVL2">
    <w:name w:val="WW_CharLFO176LVL2"/>
    <w:rsid w:val="00F45500"/>
    <w:rPr>
      <w:rFonts w:ascii="OpenSymbol" w:hAnsi="OpenSymbol"/>
      <w:b/>
      <w:bCs/>
      <w:w w:val="99"/>
      <w:sz w:val="18"/>
      <w:szCs w:val="18"/>
    </w:rPr>
  </w:style>
  <w:style w:type="character" w:customStyle="1" w:styleId="WWCharLFO176LVL3">
    <w:name w:val="WW_CharLFO176LVL3"/>
    <w:rsid w:val="00F45500"/>
    <w:rPr>
      <w:rFonts w:ascii="OpenSymbol" w:eastAsia="OpenSymbol" w:hAnsi="OpenSymbol" w:cs="OpenSymbol"/>
    </w:rPr>
  </w:style>
  <w:style w:type="character" w:customStyle="1" w:styleId="WWCharLFO176LVL4">
    <w:name w:val="WW_CharLFO176LVL4"/>
    <w:rsid w:val="00F45500"/>
    <w:rPr>
      <w:rFonts w:ascii="OpenSymbol" w:eastAsia="OpenSymbol" w:hAnsi="OpenSymbol" w:cs="OpenSymbol"/>
    </w:rPr>
  </w:style>
  <w:style w:type="character" w:customStyle="1" w:styleId="WWCharLFO176LVL5">
    <w:name w:val="WW_CharLFO176LVL5"/>
    <w:rsid w:val="00F45500"/>
    <w:rPr>
      <w:rFonts w:ascii="OpenSymbol" w:eastAsia="OpenSymbol" w:hAnsi="OpenSymbol" w:cs="OpenSymbol"/>
    </w:rPr>
  </w:style>
  <w:style w:type="character" w:customStyle="1" w:styleId="WWCharLFO176LVL6">
    <w:name w:val="WW_CharLFO176LVL6"/>
    <w:rsid w:val="00F45500"/>
    <w:rPr>
      <w:rFonts w:ascii="OpenSymbol" w:eastAsia="OpenSymbol" w:hAnsi="OpenSymbol" w:cs="OpenSymbol"/>
    </w:rPr>
  </w:style>
  <w:style w:type="character" w:customStyle="1" w:styleId="WWCharLFO176LVL7">
    <w:name w:val="WW_CharLFO176LVL7"/>
    <w:rsid w:val="00F45500"/>
    <w:rPr>
      <w:rFonts w:ascii="OpenSymbol" w:eastAsia="OpenSymbol" w:hAnsi="OpenSymbol" w:cs="OpenSymbol"/>
    </w:rPr>
  </w:style>
  <w:style w:type="character" w:customStyle="1" w:styleId="WWCharLFO176LVL8">
    <w:name w:val="WW_CharLFO176LVL8"/>
    <w:rsid w:val="00F45500"/>
    <w:rPr>
      <w:rFonts w:ascii="OpenSymbol" w:eastAsia="OpenSymbol" w:hAnsi="OpenSymbol" w:cs="OpenSymbol"/>
    </w:rPr>
  </w:style>
  <w:style w:type="character" w:customStyle="1" w:styleId="WWCharLFO176LVL9">
    <w:name w:val="WW_CharLFO176LVL9"/>
    <w:rsid w:val="00F45500"/>
    <w:rPr>
      <w:rFonts w:ascii="OpenSymbol" w:eastAsia="OpenSymbol" w:hAnsi="OpenSymbol" w:cs="OpenSymbol"/>
    </w:rPr>
  </w:style>
  <w:style w:type="character" w:customStyle="1" w:styleId="WWCharLFO177LVL1">
    <w:name w:val="WW_CharLFO177LVL1"/>
    <w:rsid w:val="00F45500"/>
    <w:rPr>
      <w:rFonts w:ascii="Symbol" w:hAnsi="Symbol"/>
      <w:b/>
      <w:bCs/>
      <w:w w:val="99"/>
      <w:sz w:val="18"/>
      <w:szCs w:val="18"/>
    </w:rPr>
  </w:style>
  <w:style w:type="character" w:customStyle="1" w:styleId="WWCharLFO177LVL2">
    <w:name w:val="WW_CharLFO177LVL2"/>
    <w:rsid w:val="00F45500"/>
    <w:rPr>
      <w:rFonts w:ascii="OpenSymbol" w:hAnsi="OpenSymbol"/>
      <w:b/>
      <w:bCs/>
      <w:w w:val="99"/>
      <w:sz w:val="18"/>
      <w:szCs w:val="18"/>
    </w:rPr>
  </w:style>
  <w:style w:type="character" w:customStyle="1" w:styleId="WWCharLFO177LVL3">
    <w:name w:val="WW_CharLFO177LVL3"/>
    <w:rsid w:val="00F45500"/>
    <w:rPr>
      <w:rFonts w:ascii="OpenSymbol" w:eastAsia="OpenSymbol" w:hAnsi="OpenSymbol" w:cs="OpenSymbol"/>
    </w:rPr>
  </w:style>
  <w:style w:type="character" w:customStyle="1" w:styleId="WWCharLFO177LVL4">
    <w:name w:val="WW_CharLFO177LVL4"/>
    <w:rsid w:val="00F45500"/>
    <w:rPr>
      <w:rFonts w:ascii="OpenSymbol" w:eastAsia="OpenSymbol" w:hAnsi="OpenSymbol" w:cs="OpenSymbol"/>
    </w:rPr>
  </w:style>
  <w:style w:type="character" w:customStyle="1" w:styleId="WWCharLFO177LVL5">
    <w:name w:val="WW_CharLFO177LVL5"/>
    <w:rsid w:val="00F45500"/>
    <w:rPr>
      <w:rFonts w:ascii="OpenSymbol" w:eastAsia="OpenSymbol" w:hAnsi="OpenSymbol" w:cs="OpenSymbol"/>
    </w:rPr>
  </w:style>
  <w:style w:type="character" w:customStyle="1" w:styleId="WWCharLFO177LVL6">
    <w:name w:val="WW_CharLFO177LVL6"/>
    <w:rsid w:val="00F45500"/>
    <w:rPr>
      <w:rFonts w:ascii="OpenSymbol" w:eastAsia="OpenSymbol" w:hAnsi="OpenSymbol" w:cs="OpenSymbol"/>
    </w:rPr>
  </w:style>
  <w:style w:type="character" w:customStyle="1" w:styleId="WWCharLFO177LVL7">
    <w:name w:val="WW_CharLFO177LVL7"/>
    <w:rsid w:val="00F45500"/>
    <w:rPr>
      <w:rFonts w:ascii="OpenSymbol" w:eastAsia="OpenSymbol" w:hAnsi="OpenSymbol" w:cs="OpenSymbol"/>
    </w:rPr>
  </w:style>
  <w:style w:type="character" w:customStyle="1" w:styleId="WWCharLFO177LVL8">
    <w:name w:val="WW_CharLFO177LVL8"/>
    <w:rsid w:val="00F45500"/>
    <w:rPr>
      <w:rFonts w:ascii="OpenSymbol" w:eastAsia="OpenSymbol" w:hAnsi="OpenSymbol" w:cs="OpenSymbol"/>
    </w:rPr>
  </w:style>
  <w:style w:type="character" w:customStyle="1" w:styleId="WWCharLFO177LVL9">
    <w:name w:val="WW_CharLFO177LVL9"/>
    <w:rsid w:val="00F45500"/>
    <w:rPr>
      <w:rFonts w:ascii="OpenSymbol" w:eastAsia="OpenSymbol" w:hAnsi="OpenSymbol" w:cs="OpenSymbol"/>
    </w:rPr>
  </w:style>
  <w:style w:type="character" w:customStyle="1" w:styleId="WWCharLFO178LVL1">
    <w:name w:val="WW_CharLFO178LVL1"/>
    <w:rsid w:val="00F45500"/>
    <w:rPr>
      <w:b/>
      <w:bCs/>
      <w:w w:val="99"/>
      <w:sz w:val="20"/>
      <w:szCs w:val="20"/>
    </w:rPr>
  </w:style>
  <w:style w:type="character" w:customStyle="1" w:styleId="WWCharLFO178LVL2">
    <w:name w:val="WW_CharLFO178LVL2"/>
    <w:rsid w:val="00F45500"/>
    <w:rPr>
      <w:b/>
      <w:bCs/>
      <w:w w:val="99"/>
      <w:sz w:val="18"/>
      <w:szCs w:val="18"/>
    </w:rPr>
  </w:style>
  <w:style w:type="character" w:customStyle="1" w:styleId="WWCharLFO178LVL3">
    <w:name w:val="WW_CharLFO178LVL3"/>
    <w:rsid w:val="00F45500"/>
    <w:rPr>
      <w:rFonts w:ascii="OpenSymbol" w:eastAsia="OpenSymbol" w:hAnsi="OpenSymbol" w:cs="OpenSymbol"/>
    </w:rPr>
  </w:style>
  <w:style w:type="character" w:customStyle="1" w:styleId="WWCharLFO178LVL4">
    <w:name w:val="WW_CharLFO178LVL4"/>
    <w:rsid w:val="00F45500"/>
    <w:rPr>
      <w:rFonts w:ascii="OpenSymbol" w:eastAsia="OpenSymbol" w:hAnsi="OpenSymbol" w:cs="OpenSymbol"/>
    </w:rPr>
  </w:style>
  <w:style w:type="character" w:customStyle="1" w:styleId="WWCharLFO178LVL5">
    <w:name w:val="WW_CharLFO178LVL5"/>
    <w:rsid w:val="00F45500"/>
    <w:rPr>
      <w:rFonts w:ascii="OpenSymbol" w:eastAsia="OpenSymbol" w:hAnsi="OpenSymbol" w:cs="OpenSymbol"/>
    </w:rPr>
  </w:style>
  <w:style w:type="character" w:customStyle="1" w:styleId="WWCharLFO178LVL6">
    <w:name w:val="WW_CharLFO178LVL6"/>
    <w:rsid w:val="00F45500"/>
    <w:rPr>
      <w:rFonts w:ascii="OpenSymbol" w:eastAsia="OpenSymbol" w:hAnsi="OpenSymbol" w:cs="OpenSymbol"/>
    </w:rPr>
  </w:style>
  <w:style w:type="character" w:customStyle="1" w:styleId="WWCharLFO178LVL7">
    <w:name w:val="WW_CharLFO178LVL7"/>
    <w:rsid w:val="00F45500"/>
    <w:rPr>
      <w:rFonts w:ascii="OpenSymbol" w:eastAsia="OpenSymbol" w:hAnsi="OpenSymbol" w:cs="OpenSymbol"/>
    </w:rPr>
  </w:style>
  <w:style w:type="character" w:customStyle="1" w:styleId="WWCharLFO178LVL8">
    <w:name w:val="WW_CharLFO178LVL8"/>
    <w:rsid w:val="00F45500"/>
    <w:rPr>
      <w:rFonts w:ascii="OpenSymbol" w:eastAsia="OpenSymbol" w:hAnsi="OpenSymbol" w:cs="OpenSymbol"/>
    </w:rPr>
  </w:style>
  <w:style w:type="character" w:customStyle="1" w:styleId="WWCharLFO178LVL9">
    <w:name w:val="WW_CharLFO178LVL9"/>
    <w:rsid w:val="00F45500"/>
    <w:rPr>
      <w:rFonts w:ascii="OpenSymbol" w:eastAsia="OpenSymbol" w:hAnsi="OpenSymbol" w:cs="OpenSymbol"/>
    </w:rPr>
  </w:style>
  <w:style w:type="character" w:customStyle="1" w:styleId="WWCharLFO179LVL1">
    <w:name w:val="WW_CharLFO179LVL1"/>
    <w:rsid w:val="00F45500"/>
    <w:rPr>
      <w:rFonts w:ascii="Symbol" w:hAnsi="Symbol"/>
      <w:b/>
      <w:bCs/>
      <w:w w:val="99"/>
      <w:sz w:val="18"/>
      <w:szCs w:val="18"/>
    </w:rPr>
  </w:style>
  <w:style w:type="character" w:customStyle="1" w:styleId="WWCharLFO179LVL2">
    <w:name w:val="WW_CharLFO179LVL2"/>
    <w:rsid w:val="00F45500"/>
    <w:rPr>
      <w:rFonts w:ascii="OpenSymbol" w:hAnsi="OpenSymbol"/>
      <w:b/>
      <w:bCs/>
      <w:w w:val="99"/>
      <w:sz w:val="18"/>
      <w:szCs w:val="18"/>
    </w:rPr>
  </w:style>
  <w:style w:type="character" w:customStyle="1" w:styleId="WWCharLFO179LVL3">
    <w:name w:val="WW_CharLFO179LVL3"/>
    <w:rsid w:val="00F45500"/>
    <w:rPr>
      <w:rFonts w:ascii="OpenSymbol" w:eastAsia="OpenSymbol" w:hAnsi="OpenSymbol" w:cs="OpenSymbol"/>
    </w:rPr>
  </w:style>
  <w:style w:type="character" w:customStyle="1" w:styleId="WWCharLFO179LVL4">
    <w:name w:val="WW_CharLFO179LVL4"/>
    <w:rsid w:val="00F45500"/>
    <w:rPr>
      <w:rFonts w:ascii="OpenSymbol" w:eastAsia="OpenSymbol" w:hAnsi="OpenSymbol" w:cs="OpenSymbol"/>
    </w:rPr>
  </w:style>
  <w:style w:type="character" w:customStyle="1" w:styleId="WWCharLFO179LVL5">
    <w:name w:val="WW_CharLFO179LVL5"/>
    <w:rsid w:val="00F45500"/>
    <w:rPr>
      <w:rFonts w:ascii="OpenSymbol" w:eastAsia="OpenSymbol" w:hAnsi="OpenSymbol" w:cs="OpenSymbol"/>
    </w:rPr>
  </w:style>
  <w:style w:type="character" w:customStyle="1" w:styleId="WWCharLFO179LVL6">
    <w:name w:val="WW_CharLFO179LVL6"/>
    <w:rsid w:val="00F45500"/>
    <w:rPr>
      <w:rFonts w:ascii="OpenSymbol" w:eastAsia="OpenSymbol" w:hAnsi="OpenSymbol" w:cs="OpenSymbol"/>
    </w:rPr>
  </w:style>
  <w:style w:type="character" w:customStyle="1" w:styleId="WWCharLFO179LVL7">
    <w:name w:val="WW_CharLFO179LVL7"/>
    <w:rsid w:val="00F45500"/>
    <w:rPr>
      <w:rFonts w:ascii="OpenSymbol" w:eastAsia="OpenSymbol" w:hAnsi="OpenSymbol" w:cs="OpenSymbol"/>
    </w:rPr>
  </w:style>
  <w:style w:type="character" w:customStyle="1" w:styleId="WWCharLFO179LVL8">
    <w:name w:val="WW_CharLFO179LVL8"/>
    <w:rsid w:val="00F45500"/>
    <w:rPr>
      <w:rFonts w:ascii="OpenSymbol" w:eastAsia="OpenSymbol" w:hAnsi="OpenSymbol" w:cs="OpenSymbol"/>
    </w:rPr>
  </w:style>
  <w:style w:type="character" w:customStyle="1" w:styleId="WWCharLFO179LVL9">
    <w:name w:val="WW_CharLFO179LVL9"/>
    <w:rsid w:val="00F45500"/>
    <w:rPr>
      <w:rFonts w:ascii="OpenSymbol" w:eastAsia="OpenSymbol" w:hAnsi="OpenSymbol" w:cs="OpenSymbol"/>
    </w:rPr>
  </w:style>
  <w:style w:type="character" w:customStyle="1" w:styleId="WWCharLFO180LVL1">
    <w:name w:val="WW_CharLFO180LVL1"/>
    <w:rsid w:val="00F45500"/>
    <w:rPr>
      <w:rFonts w:ascii="Symbol" w:hAnsi="Symbol"/>
      <w:b/>
      <w:bCs/>
      <w:w w:val="99"/>
      <w:sz w:val="18"/>
      <w:szCs w:val="18"/>
    </w:rPr>
  </w:style>
  <w:style w:type="character" w:customStyle="1" w:styleId="WWCharLFO180LVL2">
    <w:name w:val="WW_CharLFO180LVL2"/>
    <w:rsid w:val="00F45500"/>
    <w:rPr>
      <w:rFonts w:ascii="OpenSymbol" w:hAnsi="OpenSymbol"/>
      <w:b/>
      <w:bCs/>
      <w:w w:val="99"/>
      <w:sz w:val="18"/>
      <w:szCs w:val="18"/>
    </w:rPr>
  </w:style>
  <w:style w:type="character" w:customStyle="1" w:styleId="WWCharLFO180LVL3">
    <w:name w:val="WW_CharLFO180LVL3"/>
    <w:rsid w:val="00F45500"/>
    <w:rPr>
      <w:rFonts w:ascii="OpenSymbol" w:eastAsia="OpenSymbol" w:hAnsi="OpenSymbol" w:cs="OpenSymbol"/>
    </w:rPr>
  </w:style>
  <w:style w:type="character" w:customStyle="1" w:styleId="WWCharLFO180LVL4">
    <w:name w:val="WW_CharLFO180LVL4"/>
    <w:rsid w:val="00F45500"/>
    <w:rPr>
      <w:rFonts w:ascii="OpenSymbol" w:eastAsia="OpenSymbol" w:hAnsi="OpenSymbol" w:cs="OpenSymbol"/>
    </w:rPr>
  </w:style>
  <w:style w:type="character" w:customStyle="1" w:styleId="WWCharLFO180LVL5">
    <w:name w:val="WW_CharLFO180LVL5"/>
    <w:rsid w:val="00F45500"/>
    <w:rPr>
      <w:rFonts w:ascii="OpenSymbol" w:eastAsia="OpenSymbol" w:hAnsi="OpenSymbol" w:cs="OpenSymbol"/>
    </w:rPr>
  </w:style>
  <w:style w:type="character" w:customStyle="1" w:styleId="WWCharLFO180LVL6">
    <w:name w:val="WW_CharLFO180LVL6"/>
    <w:rsid w:val="00F45500"/>
    <w:rPr>
      <w:rFonts w:ascii="OpenSymbol" w:eastAsia="OpenSymbol" w:hAnsi="OpenSymbol" w:cs="OpenSymbol"/>
    </w:rPr>
  </w:style>
  <w:style w:type="character" w:customStyle="1" w:styleId="WWCharLFO180LVL7">
    <w:name w:val="WW_CharLFO180LVL7"/>
    <w:rsid w:val="00F45500"/>
    <w:rPr>
      <w:rFonts w:ascii="OpenSymbol" w:eastAsia="OpenSymbol" w:hAnsi="OpenSymbol" w:cs="OpenSymbol"/>
    </w:rPr>
  </w:style>
  <w:style w:type="character" w:customStyle="1" w:styleId="WWCharLFO180LVL8">
    <w:name w:val="WW_CharLFO180LVL8"/>
    <w:rsid w:val="00F45500"/>
    <w:rPr>
      <w:rFonts w:ascii="OpenSymbol" w:eastAsia="OpenSymbol" w:hAnsi="OpenSymbol" w:cs="OpenSymbol"/>
    </w:rPr>
  </w:style>
  <w:style w:type="character" w:customStyle="1" w:styleId="WWCharLFO180LVL9">
    <w:name w:val="WW_CharLFO180LVL9"/>
    <w:rsid w:val="00F45500"/>
    <w:rPr>
      <w:rFonts w:ascii="OpenSymbol" w:eastAsia="OpenSymbol" w:hAnsi="OpenSymbol" w:cs="OpenSymbol"/>
    </w:rPr>
  </w:style>
  <w:style w:type="character" w:customStyle="1" w:styleId="WWCharLFO181LVL1">
    <w:name w:val="WW_CharLFO181LVL1"/>
    <w:rsid w:val="00F45500"/>
    <w:rPr>
      <w:b/>
      <w:bCs/>
      <w:w w:val="99"/>
      <w:sz w:val="18"/>
      <w:szCs w:val="18"/>
    </w:rPr>
  </w:style>
  <w:style w:type="character" w:customStyle="1" w:styleId="WWCharLFO181LVL2">
    <w:name w:val="WW_CharLFO181LVL2"/>
    <w:rsid w:val="00F45500"/>
    <w:rPr>
      <w:b/>
      <w:bCs/>
      <w:w w:val="99"/>
      <w:sz w:val="18"/>
      <w:szCs w:val="18"/>
    </w:rPr>
  </w:style>
  <w:style w:type="character" w:customStyle="1" w:styleId="WWCharLFO181LVL3">
    <w:name w:val="WW_CharLFO181LVL3"/>
    <w:rsid w:val="00F45500"/>
    <w:rPr>
      <w:rFonts w:ascii="Symbol" w:eastAsia="OpenSymbol" w:hAnsi="Symbol" w:cs="OpenSymbol"/>
    </w:rPr>
  </w:style>
  <w:style w:type="character" w:customStyle="1" w:styleId="WWCharLFO181LVL4">
    <w:name w:val="WW_CharLFO181LVL4"/>
    <w:rsid w:val="00F45500"/>
    <w:rPr>
      <w:rFonts w:ascii="OpenSymbol" w:eastAsia="OpenSymbol" w:hAnsi="OpenSymbol" w:cs="OpenSymbol"/>
    </w:rPr>
  </w:style>
  <w:style w:type="character" w:customStyle="1" w:styleId="WWCharLFO181LVL5">
    <w:name w:val="WW_CharLFO181LVL5"/>
    <w:rsid w:val="00F45500"/>
    <w:rPr>
      <w:rFonts w:ascii="OpenSymbol" w:eastAsia="OpenSymbol" w:hAnsi="OpenSymbol" w:cs="OpenSymbol"/>
    </w:rPr>
  </w:style>
  <w:style w:type="character" w:customStyle="1" w:styleId="WWCharLFO181LVL6">
    <w:name w:val="WW_CharLFO181LVL6"/>
    <w:rsid w:val="00F45500"/>
    <w:rPr>
      <w:rFonts w:ascii="OpenSymbol" w:eastAsia="OpenSymbol" w:hAnsi="OpenSymbol" w:cs="OpenSymbol"/>
    </w:rPr>
  </w:style>
  <w:style w:type="character" w:customStyle="1" w:styleId="WWCharLFO181LVL7">
    <w:name w:val="WW_CharLFO181LVL7"/>
    <w:rsid w:val="00F45500"/>
    <w:rPr>
      <w:rFonts w:ascii="OpenSymbol" w:eastAsia="OpenSymbol" w:hAnsi="OpenSymbol" w:cs="OpenSymbol"/>
    </w:rPr>
  </w:style>
  <w:style w:type="character" w:customStyle="1" w:styleId="WWCharLFO181LVL8">
    <w:name w:val="WW_CharLFO181LVL8"/>
    <w:rsid w:val="00F45500"/>
    <w:rPr>
      <w:rFonts w:ascii="OpenSymbol" w:eastAsia="OpenSymbol" w:hAnsi="OpenSymbol" w:cs="OpenSymbol"/>
    </w:rPr>
  </w:style>
  <w:style w:type="character" w:customStyle="1" w:styleId="WWCharLFO181LVL9">
    <w:name w:val="WW_CharLFO181LVL9"/>
    <w:rsid w:val="00F45500"/>
    <w:rPr>
      <w:rFonts w:ascii="OpenSymbol" w:eastAsia="OpenSymbol" w:hAnsi="OpenSymbol" w:cs="OpenSymbol"/>
    </w:rPr>
  </w:style>
  <w:style w:type="character" w:customStyle="1" w:styleId="WWCharLFO182LVL1">
    <w:name w:val="WW_CharLFO182LVL1"/>
    <w:rsid w:val="00F45500"/>
    <w:rPr>
      <w:b/>
      <w:bCs/>
      <w:w w:val="99"/>
      <w:sz w:val="18"/>
      <w:szCs w:val="18"/>
    </w:rPr>
  </w:style>
  <w:style w:type="character" w:customStyle="1" w:styleId="WWCharLFO182LVL2">
    <w:name w:val="WW_CharLFO182LVL2"/>
    <w:rsid w:val="00F45500"/>
    <w:rPr>
      <w:rFonts w:ascii="OpenSymbol" w:hAnsi="OpenSymbol"/>
      <w:b/>
      <w:bCs/>
      <w:w w:val="99"/>
      <w:sz w:val="18"/>
      <w:szCs w:val="18"/>
    </w:rPr>
  </w:style>
  <w:style w:type="character" w:customStyle="1" w:styleId="WWCharLFO182LVL3">
    <w:name w:val="WW_CharLFO182LVL3"/>
    <w:rsid w:val="00F45500"/>
    <w:rPr>
      <w:rFonts w:ascii="OpenSymbol" w:eastAsia="OpenSymbol" w:hAnsi="OpenSymbol" w:cs="OpenSymbol"/>
    </w:rPr>
  </w:style>
  <w:style w:type="character" w:customStyle="1" w:styleId="WWCharLFO182LVL4">
    <w:name w:val="WW_CharLFO182LVL4"/>
    <w:rsid w:val="00F45500"/>
    <w:rPr>
      <w:rFonts w:ascii="OpenSymbol" w:eastAsia="OpenSymbol" w:hAnsi="OpenSymbol" w:cs="OpenSymbol"/>
    </w:rPr>
  </w:style>
  <w:style w:type="character" w:customStyle="1" w:styleId="WWCharLFO182LVL5">
    <w:name w:val="WW_CharLFO182LVL5"/>
    <w:rsid w:val="00F45500"/>
    <w:rPr>
      <w:rFonts w:ascii="OpenSymbol" w:eastAsia="OpenSymbol" w:hAnsi="OpenSymbol" w:cs="OpenSymbol"/>
    </w:rPr>
  </w:style>
  <w:style w:type="character" w:customStyle="1" w:styleId="WWCharLFO182LVL6">
    <w:name w:val="WW_CharLFO182LVL6"/>
    <w:rsid w:val="00F45500"/>
    <w:rPr>
      <w:rFonts w:ascii="OpenSymbol" w:eastAsia="OpenSymbol" w:hAnsi="OpenSymbol" w:cs="OpenSymbol"/>
    </w:rPr>
  </w:style>
  <w:style w:type="character" w:customStyle="1" w:styleId="WWCharLFO182LVL7">
    <w:name w:val="WW_CharLFO182LVL7"/>
    <w:rsid w:val="00F45500"/>
    <w:rPr>
      <w:rFonts w:ascii="OpenSymbol" w:eastAsia="OpenSymbol" w:hAnsi="OpenSymbol" w:cs="OpenSymbol"/>
    </w:rPr>
  </w:style>
  <w:style w:type="character" w:customStyle="1" w:styleId="WWCharLFO182LVL8">
    <w:name w:val="WW_CharLFO182LVL8"/>
    <w:rsid w:val="00F45500"/>
    <w:rPr>
      <w:rFonts w:ascii="OpenSymbol" w:eastAsia="OpenSymbol" w:hAnsi="OpenSymbol" w:cs="OpenSymbol"/>
    </w:rPr>
  </w:style>
  <w:style w:type="character" w:customStyle="1" w:styleId="WWCharLFO182LVL9">
    <w:name w:val="WW_CharLFO182LVL9"/>
    <w:rsid w:val="00F45500"/>
    <w:rPr>
      <w:rFonts w:ascii="OpenSymbol" w:eastAsia="OpenSymbol" w:hAnsi="OpenSymbol" w:cs="OpenSymbol"/>
    </w:rPr>
  </w:style>
  <w:style w:type="character" w:customStyle="1" w:styleId="NagwekZnak1">
    <w:name w:val="Nagłówek Znak1"/>
    <w:basedOn w:val="Domylnaczcionkaakapitu"/>
    <w:link w:val="Nagwek"/>
    <w:uiPriority w:val="99"/>
    <w:rsid w:val="00F45500"/>
    <w:rPr>
      <w:rFonts w:ascii="Arial" w:hAnsi="Arial"/>
      <w:sz w:val="28"/>
      <w:lang w:eastAsia="ar-SA"/>
    </w:rPr>
  </w:style>
  <w:style w:type="paragraph" w:customStyle="1" w:styleId="Podpis6">
    <w:name w:val="Podpis6"/>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70">
    <w:name w:val="Nagłówek7"/>
    <w:basedOn w:val="Normalny"/>
    <w:next w:val="Tekstpodstawowy"/>
    <w:rsid w:val="00F45500"/>
    <w:pPr>
      <w:keepNext/>
      <w:overflowPunct/>
      <w:autoSpaceDE/>
      <w:spacing w:before="240" w:after="120"/>
      <w:textAlignment w:val="auto"/>
    </w:pPr>
    <w:rPr>
      <w:rFonts w:ascii="Arial" w:eastAsia="Microsoft YaHei" w:hAnsi="Arial" w:cs="Mangal"/>
      <w:kern w:val="1"/>
      <w:sz w:val="28"/>
      <w:szCs w:val="28"/>
    </w:rPr>
  </w:style>
  <w:style w:type="paragraph" w:customStyle="1" w:styleId="Nagwek60">
    <w:name w:val="Nagłówek6"/>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5">
    <w:name w:val="Podpis5"/>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50">
    <w:name w:val="Nagłówek5"/>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4">
    <w:name w:val="Podpis4"/>
    <w:basedOn w:val="Normalny"/>
    <w:rsid w:val="00F45500"/>
    <w:pPr>
      <w:suppressLineNumbers/>
      <w:overflowPunct/>
      <w:autoSpaceDE/>
      <w:spacing w:before="120" w:after="120"/>
      <w:textAlignment w:val="auto"/>
    </w:pPr>
    <w:rPr>
      <w:rFonts w:ascii="Arial" w:eastAsia="Lucida Sans Unicode" w:hAnsi="Arial" w:cs="Mangal"/>
      <w:i/>
      <w:iCs/>
      <w:kern w:val="1"/>
      <w:szCs w:val="24"/>
    </w:rPr>
  </w:style>
  <w:style w:type="paragraph" w:customStyle="1" w:styleId="Nagwek40">
    <w:name w:val="Nagłówek4"/>
    <w:basedOn w:val="Normalny"/>
    <w:next w:val="Tekstpodstawowy"/>
    <w:rsid w:val="00F45500"/>
    <w:pPr>
      <w:keepNext/>
      <w:overflowPunct/>
      <w:autoSpaceDE/>
      <w:spacing w:before="240" w:after="120"/>
      <w:textAlignment w:val="auto"/>
    </w:pPr>
    <w:rPr>
      <w:rFonts w:ascii="Arial" w:eastAsia="Lucida Sans Unicode" w:hAnsi="Arial" w:cs="Mangal"/>
      <w:kern w:val="1"/>
      <w:sz w:val="28"/>
      <w:szCs w:val="28"/>
    </w:rPr>
  </w:style>
  <w:style w:type="paragraph" w:customStyle="1" w:styleId="Podpis3">
    <w:name w:val="Podpis3"/>
    <w:basedOn w:val="Normalny"/>
    <w:rsid w:val="00F45500"/>
    <w:pPr>
      <w:suppressLineNumbers/>
      <w:overflowPunct/>
      <w:autoSpaceDE/>
      <w:spacing w:before="120" w:after="120"/>
      <w:textAlignment w:val="auto"/>
    </w:pPr>
    <w:rPr>
      <w:rFonts w:eastAsia="Lucida Sans Unicode" w:cs="Mangal"/>
      <w:i/>
      <w:iCs/>
      <w:kern w:val="1"/>
      <w:szCs w:val="24"/>
    </w:rPr>
  </w:style>
  <w:style w:type="paragraph" w:customStyle="1" w:styleId="Nagwek30">
    <w:name w:val="Nagłówek3"/>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Podpis2">
    <w:name w:val="Podpis2"/>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Heading">
    <w:name w:val="Heading"/>
    <w:basedOn w:val="Normalny"/>
    <w:next w:val="Tekstpodstawowy"/>
    <w:uiPriority w:val="99"/>
    <w:rsid w:val="00F45500"/>
    <w:pPr>
      <w:keepNext/>
      <w:overflowPunct/>
      <w:autoSpaceDE/>
      <w:spacing w:before="240" w:after="120"/>
      <w:textAlignment w:val="auto"/>
    </w:pPr>
    <w:rPr>
      <w:rFonts w:ascii="Arial" w:eastAsia="Lucida Sans Unicode" w:hAnsi="Arial" w:cs="Tahoma"/>
      <w:kern w:val="1"/>
      <w:sz w:val="28"/>
      <w:szCs w:val="28"/>
    </w:rPr>
  </w:style>
  <w:style w:type="paragraph" w:customStyle="1" w:styleId="Legenda1">
    <w:name w:val="Legenda1"/>
    <w:basedOn w:val="Normalny"/>
    <w:rsid w:val="00F45500"/>
    <w:pPr>
      <w:suppressLineNumbers/>
      <w:overflowPunct/>
      <w:autoSpaceDE/>
      <w:spacing w:before="120" w:after="120"/>
      <w:textAlignment w:val="auto"/>
    </w:pPr>
    <w:rPr>
      <w:rFonts w:eastAsia="Lucida Sans Unicode" w:cs="Tahoma"/>
      <w:i/>
      <w:iCs/>
      <w:kern w:val="1"/>
      <w:szCs w:val="24"/>
    </w:rPr>
  </w:style>
  <w:style w:type="paragraph" w:customStyle="1" w:styleId="Index">
    <w:name w:val="Index"/>
    <w:basedOn w:val="Normalny"/>
    <w:uiPriority w:val="99"/>
    <w:rsid w:val="00F45500"/>
    <w:pPr>
      <w:suppressLineNumbers/>
      <w:overflowPunct/>
      <w:autoSpaceDE/>
      <w:textAlignment w:val="auto"/>
    </w:pPr>
    <w:rPr>
      <w:rFonts w:eastAsia="Lucida Sans Unicode" w:cs="Tahoma"/>
      <w:kern w:val="1"/>
      <w:szCs w:val="24"/>
    </w:rPr>
  </w:style>
  <w:style w:type="paragraph" w:customStyle="1" w:styleId="Nagwek21">
    <w:name w:val="Nagłówek2"/>
    <w:basedOn w:val="Normalny"/>
    <w:next w:val="Tekstpodstawowy"/>
    <w:rsid w:val="00F45500"/>
    <w:pPr>
      <w:keepNext/>
      <w:overflowPunct/>
      <w:autoSpaceDE/>
      <w:spacing w:before="240" w:after="120"/>
      <w:textAlignment w:val="auto"/>
    </w:pPr>
    <w:rPr>
      <w:rFonts w:ascii="Arial" w:eastAsia="Lucida Sans Unicode" w:hAnsi="Arial" w:cs="Tahoma"/>
      <w:kern w:val="1"/>
      <w:sz w:val="28"/>
      <w:szCs w:val="28"/>
    </w:rPr>
  </w:style>
  <w:style w:type="character" w:customStyle="1" w:styleId="StopkaZnak1">
    <w:name w:val="Stopka Znak1"/>
    <w:basedOn w:val="Domylnaczcionkaakapitu"/>
    <w:uiPriority w:val="99"/>
    <w:rsid w:val="00F45500"/>
    <w:rPr>
      <w:rFonts w:eastAsia="Lucida Sans Unicode"/>
      <w:kern w:val="1"/>
      <w:sz w:val="24"/>
      <w:szCs w:val="24"/>
      <w:lang w:eastAsia="ar-SA"/>
    </w:rPr>
  </w:style>
  <w:style w:type="paragraph" w:customStyle="1" w:styleId="StylIwony">
    <w:name w:val="Styl Iwony"/>
    <w:basedOn w:val="Normalny"/>
    <w:rsid w:val="00F45500"/>
    <w:pPr>
      <w:overflowPunct/>
      <w:autoSpaceDE/>
      <w:spacing w:before="120" w:after="120"/>
      <w:textAlignment w:val="auto"/>
    </w:pPr>
    <w:rPr>
      <w:rFonts w:ascii="Bookman Old Style" w:eastAsia="Lucida Sans Unicode" w:hAnsi="Bookman Old Style"/>
      <w:kern w:val="1"/>
      <w:szCs w:val="24"/>
    </w:rPr>
  </w:style>
  <w:style w:type="paragraph" w:customStyle="1" w:styleId="TableContents">
    <w:name w:val="Table Contents"/>
    <w:basedOn w:val="Normalny"/>
    <w:uiPriority w:val="99"/>
    <w:rsid w:val="00F45500"/>
    <w:pPr>
      <w:suppressLineNumbers/>
      <w:overflowPunct/>
      <w:autoSpaceDE/>
      <w:textAlignment w:val="auto"/>
    </w:pPr>
    <w:rPr>
      <w:rFonts w:eastAsia="Lucida Sans Unicode"/>
      <w:kern w:val="1"/>
      <w:szCs w:val="24"/>
    </w:rPr>
  </w:style>
  <w:style w:type="paragraph" w:customStyle="1" w:styleId="TableHeading">
    <w:name w:val="Table Heading"/>
    <w:basedOn w:val="TableContents"/>
    <w:uiPriority w:val="99"/>
    <w:rsid w:val="00F45500"/>
    <w:pPr>
      <w:jc w:val="center"/>
    </w:pPr>
    <w:rPr>
      <w:b/>
      <w:bCs/>
    </w:rPr>
  </w:style>
  <w:style w:type="paragraph" w:customStyle="1" w:styleId="PreformattedText">
    <w:name w:val="Preformatted Text"/>
    <w:basedOn w:val="Normalny"/>
    <w:rsid w:val="00F45500"/>
    <w:pPr>
      <w:overflowPunct/>
      <w:autoSpaceDE/>
      <w:textAlignment w:val="auto"/>
    </w:pPr>
    <w:rPr>
      <w:rFonts w:ascii="Courier New" w:eastAsia="Courier New" w:hAnsi="Courier New" w:cs="Courier New"/>
      <w:kern w:val="1"/>
      <w:sz w:val="20"/>
    </w:rPr>
  </w:style>
  <w:style w:type="paragraph" w:customStyle="1" w:styleId="Nagwek210">
    <w:name w:val="Nagłówek 21"/>
    <w:basedOn w:val="Normalny1"/>
    <w:next w:val="Normalny1"/>
    <w:rsid w:val="00F45500"/>
    <w:pPr>
      <w:keepNext/>
      <w:tabs>
        <w:tab w:val="num" w:pos="0"/>
      </w:tabs>
      <w:overflowPunct/>
      <w:autoSpaceDE/>
      <w:spacing w:before="120" w:after="120"/>
      <w:textAlignment w:val="auto"/>
    </w:pPr>
    <w:rPr>
      <w:rFonts w:eastAsia="Lucida Sans Unicode"/>
      <w:b/>
      <w:bCs/>
      <w:kern w:val="1"/>
      <w:szCs w:val="24"/>
    </w:rPr>
  </w:style>
  <w:style w:type="paragraph" w:customStyle="1" w:styleId="Nagwek110">
    <w:name w:val="Nagłówek 11"/>
    <w:basedOn w:val="Normalny1"/>
    <w:next w:val="Normalny1"/>
    <w:rsid w:val="00F45500"/>
    <w:pPr>
      <w:keepNext/>
      <w:keepLines/>
      <w:tabs>
        <w:tab w:val="left" w:pos="0"/>
      </w:tabs>
      <w:overflowPunct/>
      <w:autoSpaceDE/>
      <w:spacing w:before="240" w:after="120"/>
      <w:textAlignment w:val="auto"/>
    </w:pPr>
    <w:rPr>
      <w:rFonts w:eastAsia="Lucida Sans Unicode"/>
      <w:b/>
      <w:bCs/>
      <w:caps/>
      <w:kern w:val="1"/>
      <w:szCs w:val="24"/>
    </w:rPr>
  </w:style>
  <w:style w:type="paragraph" w:customStyle="1" w:styleId="DefaultText">
    <w:name w:val="Default Text"/>
    <w:basedOn w:val="Normalny"/>
    <w:uiPriority w:val="99"/>
    <w:rsid w:val="00F45500"/>
    <w:pPr>
      <w:overflowPunct/>
      <w:autoSpaceDE/>
      <w:jc w:val="both"/>
      <w:textAlignment w:val="auto"/>
    </w:pPr>
    <w:rPr>
      <w:rFonts w:eastAsia="Lucida Sans Unicode"/>
      <w:kern w:val="1"/>
      <w:szCs w:val="24"/>
    </w:rPr>
  </w:style>
  <w:style w:type="paragraph" w:customStyle="1" w:styleId="rozdzia">
    <w:name w:val="rozdział"/>
    <w:basedOn w:val="Normalny"/>
    <w:rsid w:val="00F45500"/>
    <w:pPr>
      <w:overflowPunct/>
      <w:autoSpaceDE/>
      <w:jc w:val="both"/>
      <w:textAlignment w:val="auto"/>
    </w:pPr>
    <w:rPr>
      <w:rFonts w:eastAsia="Lucida Sans Unicode"/>
      <w:b/>
      <w:kern w:val="1"/>
      <w:sz w:val="28"/>
      <w:szCs w:val="24"/>
    </w:rPr>
  </w:style>
  <w:style w:type="paragraph" w:customStyle="1" w:styleId="rozdzia1">
    <w:name w:val="rozdział1"/>
    <w:basedOn w:val="Normalny"/>
    <w:next w:val="DefaultText"/>
    <w:rsid w:val="00F45500"/>
    <w:pPr>
      <w:overflowPunct/>
      <w:autoSpaceDE/>
      <w:textAlignment w:val="auto"/>
    </w:pPr>
    <w:rPr>
      <w:rFonts w:eastAsia="Lucida Sans Unicode"/>
      <w:b/>
      <w:kern w:val="1"/>
      <w:szCs w:val="24"/>
    </w:rPr>
  </w:style>
  <w:style w:type="paragraph" w:customStyle="1" w:styleId="Tekstpodstawowywcity22">
    <w:name w:val="Tekst podstawowy wcięty 22"/>
    <w:basedOn w:val="Normalny"/>
    <w:rsid w:val="00F45500"/>
    <w:pPr>
      <w:tabs>
        <w:tab w:val="left" w:pos="1267"/>
      </w:tabs>
      <w:overflowPunct/>
      <w:autoSpaceDE/>
      <w:ind w:left="1276"/>
      <w:textAlignment w:val="auto"/>
    </w:pPr>
    <w:rPr>
      <w:rFonts w:eastAsia="Lucida Sans Unicode"/>
      <w:kern w:val="1"/>
      <w:szCs w:val="24"/>
    </w:rPr>
  </w:style>
  <w:style w:type="paragraph" w:customStyle="1" w:styleId="norods1">
    <w:name w:val="norods1"/>
    <w:basedOn w:val="Normalny"/>
    <w:rsid w:val="00F45500"/>
    <w:pPr>
      <w:overflowPunct/>
      <w:autoSpaceDE/>
      <w:jc w:val="both"/>
      <w:textAlignment w:val="auto"/>
    </w:pPr>
    <w:rPr>
      <w:rFonts w:eastAsia="Lucida Sans Unicode"/>
      <w:kern w:val="1"/>
      <w:szCs w:val="24"/>
    </w:rPr>
  </w:style>
  <w:style w:type="paragraph" w:customStyle="1" w:styleId="BodySingle">
    <w:name w:val="Body Single"/>
    <w:basedOn w:val="Normalny"/>
    <w:rsid w:val="00F45500"/>
    <w:pPr>
      <w:overflowPunct/>
      <w:autoSpaceDE/>
      <w:textAlignment w:val="auto"/>
    </w:pPr>
    <w:rPr>
      <w:rFonts w:eastAsia="Lucida Sans Unicode"/>
      <w:kern w:val="1"/>
      <w:szCs w:val="24"/>
    </w:rPr>
  </w:style>
  <w:style w:type="paragraph" w:customStyle="1" w:styleId="gruby">
    <w:name w:val="gruby"/>
    <w:basedOn w:val="Normalny"/>
    <w:rsid w:val="00F45500"/>
    <w:pPr>
      <w:overflowPunct/>
      <w:autoSpaceDE/>
      <w:textAlignment w:val="auto"/>
    </w:pPr>
    <w:rPr>
      <w:rFonts w:eastAsia="Lucida Sans Unicode"/>
      <w:b/>
      <w:kern w:val="1"/>
      <w:szCs w:val="24"/>
    </w:rPr>
  </w:style>
  <w:style w:type="paragraph" w:customStyle="1" w:styleId="sst2">
    <w:name w:val="sst2"/>
    <w:basedOn w:val="Normalny"/>
    <w:rsid w:val="00F45500"/>
    <w:pPr>
      <w:overflowPunct/>
      <w:autoSpaceDE/>
      <w:textAlignment w:val="auto"/>
    </w:pPr>
    <w:rPr>
      <w:rFonts w:eastAsia="Lucida Sans Unicode"/>
      <w:b/>
      <w:kern w:val="1"/>
      <w:szCs w:val="24"/>
      <w:u w:val="single"/>
    </w:rPr>
  </w:style>
  <w:style w:type="paragraph" w:customStyle="1" w:styleId="Listapunktowana1">
    <w:name w:val="Lista punktowana1"/>
    <w:basedOn w:val="Normalny"/>
    <w:rsid w:val="00F45500"/>
    <w:pPr>
      <w:numPr>
        <w:numId w:val="31"/>
      </w:numPr>
      <w:overflowPunct/>
      <w:autoSpaceDE/>
      <w:spacing w:line="300" w:lineRule="atLeast"/>
      <w:textAlignment w:val="auto"/>
    </w:pPr>
    <w:rPr>
      <w:rFonts w:eastAsia="Lucida Sans Unicode"/>
      <w:kern w:val="1"/>
      <w:szCs w:val="24"/>
    </w:rPr>
  </w:style>
  <w:style w:type="paragraph" w:customStyle="1" w:styleId="Tekstpodstawowywcity23">
    <w:name w:val="Tekst podstawowy wcięty 23"/>
    <w:basedOn w:val="Normalny"/>
    <w:rsid w:val="00F45500"/>
    <w:pPr>
      <w:overflowPunct/>
      <w:autoSpaceDE/>
      <w:spacing w:after="120" w:line="480" w:lineRule="auto"/>
      <w:ind w:left="283"/>
      <w:textAlignment w:val="auto"/>
    </w:pPr>
    <w:rPr>
      <w:rFonts w:eastAsia="Lucida Sans Unicode"/>
      <w:kern w:val="1"/>
      <w:szCs w:val="24"/>
    </w:rPr>
  </w:style>
  <w:style w:type="paragraph" w:customStyle="1" w:styleId="Tekstpodstawowywcity33">
    <w:name w:val="Tekst podstawowy wcięty 33"/>
    <w:basedOn w:val="Normalny"/>
    <w:rsid w:val="00F45500"/>
    <w:pPr>
      <w:overflowPunct/>
      <w:autoSpaceDE/>
      <w:spacing w:after="120"/>
      <w:ind w:left="283"/>
      <w:textAlignment w:val="auto"/>
    </w:pPr>
    <w:rPr>
      <w:rFonts w:eastAsia="Lucida Sans Unicode"/>
      <w:kern w:val="1"/>
      <w:sz w:val="16"/>
      <w:szCs w:val="16"/>
    </w:rPr>
  </w:style>
  <w:style w:type="paragraph" w:customStyle="1" w:styleId="Listapunktowana2">
    <w:name w:val="Lista punktowana2"/>
    <w:basedOn w:val="Normalny"/>
    <w:rsid w:val="00F45500"/>
    <w:pPr>
      <w:widowControl/>
      <w:numPr>
        <w:numId w:val="32"/>
      </w:numPr>
      <w:suppressAutoHyphens w:val="0"/>
      <w:overflowPunct/>
      <w:autoSpaceDE/>
      <w:spacing w:line="300" w:lineRule="atLeast"/>
      <w:ind w:left="397" w:hanging="397"/>
      <w:textAlignment w:val="auto"/>
    </w:pPr>
    <w:rPr>
      <w:kern w:val="1"/>
    </w:rPr>
  </w:style>
  <w:style w:type="paragraph" w:customStyle="1" w:styleId="Solari">
    <w:name w:val="Solari"/>
    <w:basedOn w:val="Tekstpodstawowy"/>
    <w:rsid w:val="00F45500"/>
    <w:pPr>
      <w:widowControl/>
      <w:overflowPunct/>
      <w:autoSpaceDE/>
      <w:spacing w:before="120" w:after="0"/>
      <w:ind w:left="964"/>
      <w:jc w:val="both"/>
      <w:textAlignment w:val="auto"/>
    </w:pPr>
    <w:rPr>
      <w:kern w:val="1"/>
      <w:szCs w:val="24"/>
    </w:rPr>
  </w:style>
  <w:style w:type="paragraph" w:customStyle="1" w:styleId="Domyolnyteks">
    <w:name w:val="Domyolny teks"/>
    <w:basedOn w:val="Normalny"/>
    <w:rsid w:val="00F45500"/>
    <w:pPr>
      <w:widowControl/>
      <w:suppressAutoHyphens w:val="0"/>
      <w:overflowPunct/>
      <w:autoSpaceDE/>
      <w:textAlignment w:val="auto"/>
    </w:pPr>
    <w:rPr>
      <w:kern w:val="1"/>
      <w:szCs w:val="24"/>
    </w:rPr>
  </w:style>
  <w:style w:type="paragraph" w:customStyle="1" w:styleId="Tekstblokowy1">
    <w:name w:val="Tekst blokowy1"/>
    <w:basedOn w:val="Normalny"/>
    <w:rsid w:val="00F45500"/>
    <w:pPr>
      <w:widowControl/>
      <w:suppressAutoHyphens w:val="0"/>
      <w:overflowPunct/>
      <w:autoSpaceDE/>
      <w:spacing w:before="60"/>
      <w:ind w:left="1418" w:right="-828"/>
      <w:jc w:val="both"/>
      <w:textAlignment w:val="auto"/>
    </w:pPr>
    <w:rPr>
      <w:rFonts w:ascii="Arial" w:hAnsi="Arial" w:cs="Arial"/>
      <w:kern w:val="1"/>
      <w:sz w:val="22"/>
      <w:szCs w:val="24"/>
    </w:rPr>
  </w:style>
  <w:style w:type="paragraph" w:customStyle="1" w:styleId="tekstost">
    <w:name w:val="tekst ost"/>
    <w:basedOn w:val="Normalny"/>
    <w:rsid w:val="00F45500"/>
    <w:pPr>
      <w:overflowPunct/>
      <w:autoSpaceDE/>
      <w:jc w:val="both"/>
      <w:textAlignment w:val="auto"/>
    </w:pPr>
    <w:rPr>
      <w:rFonts w:eastAsia="Lucida Sans Unicode"/>
      <w:kern w:val="1"/>
      <w:szCs w:val="24"/>
    </w:rPr>
  </w:style>
  <w:style w:type="paragraph" w:customStyle="1" w:styleId="Tekstpodstawowywcity34">
    <w:name w:val="Tekst podstawowy wcięty 34"/>
    <w:basedOn w:val="Normalny"/>
    <w:rsid w:val="00F45500"/>
    <w:pPr>
      <w:tabs>
        <w:tab w:val="left" w:pos="1134"/>
      </w:tabs>
      <w:overflowPunct/>
      <w:autoSpaceDE/>
      <w:ind w:left="1134" w:hanging="774"/>
      <w:textAlignment w:val="auto"/>
    </w:pPr>
    <w:rPr>
      <w:rFonts w:eastAsia="Lucida Sans Unicode"/>
      <w:kern w:val="1"/>
    </w:rPr>
  </w:style>
  <w:style w:type="paragraph" w:styleId="Tekstprzypisudolnego">
    <w:name w:val="footnote text"/>
    <w:basedOn w:val="Normalny"/>
    <w:link w:val="TekstprzypisudolnegoZnak"/>
    <w:rsid w:val="00F45500"/>
    <w:pPr>
      <w:suppressAutoHyphens w:val="0"/>
      <w:overflowPunct/>
      <w:spacing w:line="100" w:lineRule="atLeast"/>
      <w:textAlignment w:val="auto"/>
    </w:pPr>
    <w:rPr>
      <w:rFonts w:eastAsia="Lucida Sans Unicode"/>
      <w:kern w:val="1"/>
      <w:szCs w:val="24"/>
    </w:rPr>
  </w:style>
  <w:style w:type="character" w:customStyle="1" w:styleId="TekstprzypisudolnegoZnak">
    <w:name w:val="Tekst przypisu dolnego Znak"/>
    <w:basedOn w:val="Domylnaczcionkaakapitu"/>
    <w:link w:val="Tekstprzypisudolnego"/>
    <w:rsid w:val="00F45500"/>
    <w:rPr>
      <w:rFonts w:eastAsia="Lucida Sans Unicode"/>
      <w:kern w:val="1"/>
      <w:sz w:val="24"/>
      <w:szCs w:val="24"/>
      <w:lang w:eastAsia="ar-SA"/>
    </w:rPr>
  </w:style>
  <w:style w:type="paragraph" w:customStyle="1" w:styleId="Listapunktowana31">
    <w:name w:val="Lista punktowana 31"/>
    <w:basedOn w:val="Normalny"/>
    <w:rsid w:val="00F45500"/>
    <w:pPr>
      <w:numPr>
        <w:numId w:val="33"/>
      </w:numPr>
      <w:suppressAutoHyphens w:val="0"/>
      <w:overflowPunct/>
      <w:jc w:val="both"/>
      <w:textAlignment w:val="auto"/>
    </w:pPr>
    <w:rPr>
      <w:rFonts w:eastAsia="Lucida Sans Unicode"/>
      <w:kern w:val="1"/>
      <w:szCs w:val="24"/>
    </w:rPr>
  </w:style>
  <w:style w:type="paragraph" w:customStyle="1" w:styleId="specyfikacje0">
    <w:name w:val="specyfikacje"/>
    <w:basedOn w:val="Normalny"/>
    <w:rsid w:val="00F45500"/>
    <w:pPr>
      <w:overflowPunct/>
      <w:autoSpaceDE/>
      <w:jc w:val="both"/>
      <w:textAlignment w:val="auto"/>
    </w:pPr>
    <w:rPr>
      <w:rFonts w:eastAsia="Lucida Sans Unicode"/>
      <w:b/>
      <w:spacing w:val="-3"/>
      <w:kern w:val="1"/>
      <w:szCs w:val="24"/>
    </w:rPr>
  </w:style>
  <w:style w:type="paragraph" w:customStyle="1" w:styleId="11txt">
    <w:name w:val="1.1.txt"/>
    <w:basedOn w:val="Normalny"/>
    <w:rsid w:val="00F45500"/>
    <w:pPr>
      <w:tabs>
        <w:tab w:val="left" w:pos="-426"/>
        <w:tab w:val="left" w:pos="142"/>
        <w:tab w:val="left" w:pos="1985"/>
        <w:tab w:val="left" w:pos="2041"/>
        <w:tab w:val="left" w:pos="2381"/>
        <w:tab w:val="left" w:pos="2722"/>
        <w:tab w:val="left" w:pos="3061"/>
        <w:tab w:val="left" w:pos="3402"/>
        <w:tab w:val="left" w:pos="3828"/>
        <w:tab w:val="left" w:pos="4678"/>
        <w:tab w:val="left" w:pos="5669"/>
      </w:tabs>
      <w:suppressAutoHyphens w:val="0"/>
      <w:overflowPunct/>
      <w:autoSpaceDE/>
      <w:ind w:left="426" w:firstLine="567"/>
      <w:jc w:val="both"/>
      <w:textAlignment w:val="auto"/>
    </w:pPr>
    <w:rPr>
      <w:rFonts w:eastAsia="Lucida Sans Unicode"/>
      <w:kern w:val="1"/>
      <w:szCs w:val="24"/>
    </w:rPr>
  </w:style>
  <w:style w:type="paragraph" w:customStyle="1" w:styleId="Tekstpodstawowywcity24">
    <w:name w:val="Tekst podstawowy wcięty 24"/>
    <w:basedOn w:val="Normalny"/>
    <w:rsid w:val="00F45500"/>
    <w:pPr>
      <w:suppressAutoHyphens w:val="0"/>
      <w:overflowPunct/>
      <w:autoSpaceDE/>
      <w:spacing w:line="100" w:lineRule="atLeast"/>
      <w:ind w:left="709"/>
      <w:textAlignment w:val="auto"/>
    </w:pPr>
    <w:rPr>
      <w:rFonts w:eastAsia="Lucida Sans Unicode"/>
      <w:kern w:val="1"/>
      <w:szCs w:val="24"/>
    </w:rPr>
  </w:style>
  <w:style w:type="paragraph" w:customStyle="1" w:styleId="styliwony0">
    <w:name w:val="styliwony"/>
    <w:basedOn w:val="Normalny"/>
    <w:rsid w:val="00F45500"/>
    <w:pPr>
      <w:suppressAutoHyphens w:val="0"/>
      <w:overflowPunct/>
      <w:autoSpaceDE/>
      <w:spacing w:before="100" w:after="100" w:line="100" w:lineRule="atLeast"/>
      <w:textAlignment w:val="auto"/>
    </w:pPr>
    <w:rPr>
      <w:rFonts w:eastAsia="Lucida Sans Unicode"/>
      <w:kern w:val="1"/>
      <w:szCs w:val="24"/>
    </w:rPr>
  </w:style>
  <w:style w:type="paragraph" w:customStyle="1" w:styleId="Styl15">
    <w:name w:val="Styl15"/>
    <w:basedOn w:val="Normalny"/>
    <w:rsid w:val="00F45500"/>
    <w:pPr>
      <w:suppressAutoHyphens w:val="0"/>
      <w:overflowPunct/>
      <w:autoSpaceDE/>
      <w:jc w:val="both"/>
      <w:textAlignment w:val="auto"/>
    </w:pPr>
    <w:rPr>
      <w:rFonts w:ascii="Arial" w:eastAsia="Lucida Sans Unicode" w:hAnsi="Arial"/>
      <w:kern w:val="1"/>
      <w:szCs w:val="24"/>
    </w:rPr>
  </w:style>
  <w:style w:type="paragraph" w:customStyle="1" w:styleId="Standardowytekst">
    <w:name w:val="Standardowy.tekst"/>
    <w:rsid w:val="00F45500"/>
    <w:pPr>
      <w:suppressAutoHyphens/>
      <w:overflowPunct w:val="0"/>
      <w:autoSpaceDE w:val="0"/>
      <w:jc w:val="both"/>
      <w:textAlignment w:val="baseline"/>
    </w:pPr>
    <w:rPr>
      <w:rFonts w:eastAsia="Arial"/>
      <w:lang w:eastAsia="ar-SA"/>
    </w:rPr>
  </w:style>
  <w:style w:type="character" w:customStyle="1" w:styleId="TekstdymkaZnak1">
    <w:name w:val="Tekst dymka Znak1"/>
    <w:basedOn w:val="Domylnaczcionkaakapitu"/>
    <w:uiPriority w:val="99"/>
    <w:rsid w:val="00F45500"/>
    <w:rPr>
      <w:rFonts w:ascii="Tahoma" w:eastAsia="Lucida Sans Unicode" w:hAnsi="Tahoma" w:cs="Tahoma"/>
      <w:kern w:val="1"/>
      <w:sz w:val="16"/>
      <w:szCs w:val="16"/>
      <w:lang w:eastAsia="ar-SA"/>
    </w:rPr>
  </w:style>
  <w:style w:type="paragraph" w:customStyle="1" w:styleId="Tekstkomentarza1">
    <w:name w:val="Tekst komentarza1"/>
    <w:basedOn w:val="Normalny"/>
    <w:rsid w:val="00F45500"/>
    <w:pPr>
      <w:overflowPunct/>
      <w:autoSpaceDE/>
      <w:textAlignment w:val="auto"/>
    </w:pPr>
    <w:rPr>
      <w:rFonts w:eastAsia="Lucida Sans Unicode"/>
      <w:kern w:val="1"/>
      <w:sz w:val="20"/>
    </w:rPr>
  </w:style>
  <w:style w:type="paragraph" w:styleId="Tekstkomentarza">
    <w:name w:val="annotation text"/>
    <w:basedOn w:val="Normalny"/>
    <w:link w:val="TekstkomentarzaZnak1"/>
    <w:uiPriority w:val="99"/>
    <w:unhideWhenUsed/>
    <w:rsid w:val="00F45500"/>
    <w:pPr>
      <w:overflowPunct/>
      <w:autoSpaceDE/>
      <w:textAlignment w:val="auto"/>
    </w:pPr>
    <w:rPr>
      <w:rFonts w:eastAsia="Lucida Sans Unicode"/>
      <w:kern w:val="1"/>
      <w:sz w:val="20"/>
    </w:rPr>
  </w:style>
  <w:style w:type="character" w:customStyle="1" w:styleId="TekstkomentarzaZnak1">
    <w:name w:val="Tekst komentarza Znak1"/>
    <w:basedOn w:val="Domylnaczcionkaakapitu"/>
    <w:link w:val="Tekstkomentarza"/>
    <w:rsid w:val="00F45500"/>
    <w:rPr>
      <w:rFonts w:eastAsia="Lucida Sans Unicode"/>
      <w:kern w:val="1"/>
      <w:lang w:eastAsia="ar-SA"/>
    </w:rPr>
  </w:style>
  <w:style w:type="paragraph" w:styleId="Tematkomentarza">
    <w:name w:val="annotation subject"/>
    <w:basedOn w:val="Tekstkomentarza1"/>
    <w:next w:val="Tekstkomentarza1"/>
    <w:link w:val="TematkomentarzaZnak1"/>
    <w:uiPriority w:val="99"/>
    <w:rsid w:val="00F45500"/>
    <w:rPr>
      <w:b/>
      <w:bCs/>
    </w:rPr>
  </w:style>
  <w:style w:type="character" w:customStyle="1" w:styleId="TematkomentarzaZnak1">
    <w:name w:val="Temat komentarza Znak1"/>
    <w:basedOn w:val="TekstkomentarzaZnak1"/>
    <w:link w:val="Tematkomentarza"/>
    <w:rsid w:val="00F45500"/>
    <w:rPr>
      <w:rFonts w:eastAsia="Lucida Sans Unicode"/>
      <w:b/>
      <w:bCs/>
      <w:kern w:val="1"/>
      <w:lang w:eastAsia="ar-SA"/>
    </w:rPr>
  </w:style>
  <w:style w:type="paragraph" w:customStyle="1" w:styleId="Tekstblokowy2">
    <w:name w:val="Tekst blokowy2"/>
    <w:basedOn w:val="Normalny"/>
    <w:rsid w:val="00F45500"/>
    <w:pPr>
      <w:overflowPunct/>
      <w:autoSpaceDE/>
      <w:spacing w:line="100" w:lineRule="atLeast"/>
      <w:ind w:left="709" w:right="-284"/>
      <w:jc w:val="both"/>
      <w:textAlignment w:val="auto"/>
    </w:pPr>
    <w:rPr>
      <w:rFonts w:eastAsia="Lucida Sans Unicode"/>
      <w:kern w:val="1"/>
      <w:szCs w:val="24"/>
    </w:rPr>
  </w:style>
  <w:style w:type="paragraph" w:customStyle="1" w:styleId="Tekstkomentarza2">
    <w:name w:val="Tekst komentarza2"/>
    <w:basedOn w:val="Normalny"/>
    <w:rsid w:val="00F45500"/>
    <w:pPr>
      <w:overflowPunct/>
      <w:autoSpaceDE/>
      <w:textAlignment w:val="auto"/>
    </w:pPr>
    <w:rPr>
      <w:rFonts w:eastAsia="Lucida Sans Unicode"/>
      <w:kern w:val="1"/>
      <w:sz w:val="20"/>
    </w:rPr>
  </w:style>
  <w:style w:type="paragraph" w:customStyle="1" w:styleId="Nagwek80">
    <w:name w:val="Nagłówek8"/>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Stopka1">
    <w:name w:val="Stopka1"/>
    <w:basedOn w:val="Standard"/>
    <w:rsid w:val="00F45500"/>
    <w:pPr>
      <w:widowControl w:val="0"/>
      <w:suppressLineNumbers/>
      <w:tabs>
        <w:tab w:val="center" w:pos="4818"/>
        <w:tab w:val="right" w:pos="9637"/>
      </w:tabs>
      <w:autoSpaceDN/>
      <w:textAlignment w:val="baseline"/>
    </w:pPr>
    <w:rPr>
      <w:kern w:val="1"/>
      <w:lang w:val="en-US" w:eastAsia="en-US" w:bidi="en-US"/>
    </w:rPr>
  </w:style>
  <w:style w:type="paragraph" w:customStyle="1" w:styleId="Textbody">
    <w:name w:val="Text body"/>
    <w:basedOn w:val="Standard"/>
    <w:uiPriority w:val="99"/>
    <w:rsid w:val="00F45500"/>
    <w:pPr>
      <w:widowControl w:val="0"/>
      <w:autoSpaceDN/>
      <w:spacing w:line="360" w:lineRule="auto"/>
    </w:pPr>
    <w:rPr>
      <w:kern w:val="1"/>
      <w:lang w:val="en-US" w:eastAsia="en-US" w:bidi="en-US"/>
    </w:rPr>
  </w:style>
  <w:style w:type="paragraph" w:customStyle="1" w:styleId="Nagwek12">
    <w:name w:val="Nagłówek 12"/>
    <w:basedOn w:val="Standard"/>
    <w:next w:val="Standard"/>
    <w:rsid w:val="00F45500"/>
    <w:pPr>
      <w:keepNext/>
      <w:keepLines/>
      <w:widowControl w:val="0"/>
      <w:autoSpaceDN/>
      <w:spacing w:before="120" w:after="120"/>
      <w:textAlignment w:val="baseline"/>
    </w:pPr>
    <w:rPr>
      <w:b/>
      <w:caps/>
      <w:kern w:val="1"/>
      <w:lang w:val="en-US" w:eastAsia="en-US" w:bidi="en-US"/>
    </w:rPr>
  </w:style>
  <w:style w:type="paragraph" w:customStyle="1" w:styleId="Nagwek22">
    <w:name w:val="Nagłówek 22"/>
    <w:basedOn w:val="Standard"/>
    <w:next w:val="Standard"/>
    <w:rsid w:val="00F45500"/>
    <w:pPr>
      <w:keepNext/>
      <w:widowControl w:val="0"/>
      <w:autoSpaceDN/>
      <w:spacing w:before="120" w:after="120"/>
      <w:textAlignment w:val="baseline"/>
    </w:pPr>
    <w:rPr>
      <w:b/>
      <w:kern w:val="1"/>
      <w:lang w:val="en-US" w:eastAsia="en-US" w:bidi="en-US"/>
    </w:rPr>
  </w:style>
  <w:style w:type="paragraph" w:customStyle="1" w:styleId="Nagwek31">
    <w:name w:val="Nagłówek 31"/>
    <w:basedOn w:val="Standard"/>
    <w:next w:val="Standard"/>
    <w:uiPriority w:val="99"/>
    <w:rsid w:val="00F45500"/>
    <w:pPr>
      <w:keepNext/>
      <w:widowControl w:val="0"/>
      <w:autoSpaceDN/>
      <w:spacing w:before="60" w:after="60"/>
      <w:textAlignment w:val="baseline"/>
    </w:pPr>
    <w:rPr>
      <w:kern w:val="1"/>
      <w:lang w:val="en-US" w:eastAsia="en-US" w:bidi="en-US"/>
    </w:rPr>
  </w:style>
  <w:style w:type="paragraph" w:customStyle="1" w:styleId="Footnote">
    <w:name w:val="Footnote"/>
    <w:basedOn w:val="Standard"/>
    <w:uiPriority w:val="99"/>
    <w:rsid w:val="00F45500"/>
    <w:pPr>
      <w:widowControl w:val="0"/>
      <w:autoSpaceDN/>
      <w:textAlignment w:val="baseline"/>
    </w:pPr>
    <w:rPr>
      <w:kern w:val="1"/>
      <w:lang w:val="en-US" w:eastAsia="en-US" w:bidi="en-US"/>
    </w:rPr>
  </w:style>
  <w:style w:type="paragraph" w:customStyle="1" w:styleId="Tekstpodstawowywcity25">
    <w:name w:val="Tekst podstawowy wcięty 25"/>
    <w:basedOn w:val="Standard"/>
    <w:rsid w:val="00F45500"/>
    <w:pPr>
      <w:widowControl w:val="0"/>
      <w:autoSpaceDN/>
      <w:ind w:left="142" w:firstLine="567"/>
      <w:textAlignment w:val="baseline"/>
    </w:pPr>
    <w:rPr>
      <w:kern w:val="1"/>
      <w:lang w:val="en-US" w:eastAsia="en-US" w:bidi="en-US"/>
    </w:rPr>
  </w:style>
  <w:style w:type="paragraph" w:customStyle="1" w:styleId="Tekstpodstawowy23">
    <w:name w:val="Tekst podstawowy 23"/>
    <w:basedOn w:val="Standard"/>
    <w:rsid w:val="00F45500"/>
    <w:pPr>
      <w:widowControl w:val="0"/>
      <w:autoSpaceDN/>
      <w:ind w:left="426" w:hanging="426"/>
      <w:textAlignment w:val="baseline"/>
    </w:pPr>
    <w:rPr>
      <w:kern w:val="1"/>
      <w:lang w:val="en-US" w:eastAsia="en-US" w:bidi="en-US"/>
    </w:rPr>
  </w:style>
  <w:style w:type="paragraph" w:customStyle="1" w:styleId="Textbodyindent">
    <w:name w:val="Text body indent"/>
    <w:basedOn w:val="Standard"/>
    <w:uiPriority w:val="99"/>
    <w:rsid w:val="00F45500"/>
    <w:pPr>
      <w:widowControl w:val="0"/>
      <w:tabs>
        <w:tab w:val="left" w:pos="1560"/>
        <w:tab w:val="right" w:leader="dot" w:pos="8647"/>
        <w:tab w:val="right" w:leader="dot" w:pos="10065"/>
      </w:tabs>
      <w:overflowPunct w:val="0"/>
      <w:autoSpaceDE w:val="0"/>
      <w:autoSpaceDN/>
      <w:ind w:left="1276" w:hanging="1186"/>
      <w:jc w:val="both"/>
      <w:textAlignment w:val="baseline"/>
    </w:pPr>
    <w:rPr>
      <w:b/>
      <w:kern w:val="1"/>
      <w:lang w:val="en-US" w:eastAsia="en-US" w:bidi="en-US"/>
    </w:rPr>
  </w:style>
  <w:style w:type="paragraph" w:customStyle="1" w:styleId="tablica">
    <w:name w:val="tablica"/>
    <w:basedOn w:val="Standard"/>
    <w:uiPriority w:val="99"/>
    <w:rsid w:val="00F45500"/>
    <w:pPr>
      <w:widowControl w:val="0"/>
      <w:autoSpaceDN/>
      <w:jc w:val="both"/>
      <w:textAlignment w:val="baseline"/>
    </w:pPr>
    <w:rPr>
      <w:b/>
      <w:kern w:val="1"/>
      <w:lang w:val="en-US" w:eastAsia="en-US" w:bidi="en-US"/>
    </w:rPr>
  </w:style>
  <w:style w:type="paragraph" w:customStyle="1" w:styleId="Tytutablicyrysunku">
    <w:name w:val="Tytuł tablicy/rysunku"/>
    <w:basedOn w:val="Normalny"/>
    <w:rsid w:val="00F45500"/>
    <w:pPr>
      <w:keepNext/>
      <w:widowControl/>
      <w:suppressAutoHyphens w:val="0"/>
      <w:overflowPunct/>
      <w:spacing w:after="60"/>
      <w:ind w:left="709"/>
      <w:textAlignment w:val="auto"/>
    </w:pPr>
    <w:rPr>
      <w:kern w:val="1"/>
    </w:rPr>
  </w:style>
  <w:style w:type="paragraph" w:customStyle="1" w:styleId="Tablica0">
    <w:name w:val="Tablica"/>
    <w:uiPriority w:val="99"/>
    <w:rsid w:val="00F45500"/>
    <w:pPr>
      <w:suppressAutoHyphens/>
      <w:overflowPunct w:val="0"/>
      <w:autoSpaceDE w:val="0"/>
      <w:textAlignment w:val="baseline"/>
    </w:pPr>
    <w:rPr>
      <w:rFonts w:eastAsia="Arial"/>
      <w:lang w:eastAsia="ar-SA"/>
    </w:rPr>
  </w:style>
  <w:style w:type="paragraph" w:customStyle="1" w:styleId="Nagwek100">
    <w:name w:val="Nagłówek 10"/>
    <w:basedOn w:val="Nagwek"/>
    <w:next w:val="Tekstpodstawowy"/>
    <w:rsid w:val="00F45500"/>
    <w:pPr>
      <w:tabs>
        <w:tab w:val="num" w:pos="0"/>
      </w:tabs>
      <w:overflowPunct/>
      <w:autoSpaceDE/>
      <w:textAlignment w:val="auto"/>
      <w:outlineLvl w:val="8"/>
    </w:pPr>
    <w:rPr>
      <w:rFonts w:eastAsia="Arial Unicode MS" w:cs="Mangal"/>
      <w:b/>
      <w:bCs/>
      <w:kern w:val="1"/>
      <w:sz w:val="21"/>
      <w:szCs w:val="21"/>
    </w:rPr>
  </w:style>
  <w:style w:type="paragraph" w:customStyle="1" w:styleId="Lista-kontynuacja21">
    <w:name w:val="Lista - kontynuacja 21"/>
    <w:basedOn w:val="Normalny"/>
    <w:rsid w:val="00F45500"/>
    <w:pPr>
      <w:overflowPunct/>
      <w:autoSpaceDE/>
      <w:spacing w:after="120"/>
      <w:ind w:left="566"/>
      <w:textAlignment w:val="auto"/>
    </w:pPr>
    <w:rPr>
      <w:rFonts w:ascii="Comic Sans MS" w:eastAsia="Lucida Sans Unicode" w:hAnsi="Comic Sans MS" w:cs="Arial"/>
      <w:kern w:val="1"/>
      <w:szCs w:val="24"/>
    </w:rPr>
  </w:style>
  <w:style w:type="paragraph" w:customStyle="1" w:styleId="tekst">
    <w:name w:val="tekst"/>
    <w:qFormat/>
    <w:rsid w:val="00F45500"/>
    <w:pPr>
      <w:suppressAutoHyphens/>
      <w:autoSpaceDE w:val="0"/>
    </w:pPr>
    <w:rPr>
      <w:rFonts w:eastAsia="Arial"/>
      <w:sz w:val="24"/>
      <w:szCs w:val="24"/>
      <w:lang w:eastAsia="ar-SA"/>
    </w:rPr>
  </w:style>
  <w:style w:type="paragraph" w:customStyle="1" w:styleId="TableParagraph">
    <w:name w:val="Table Paragraph"/>
    <w:basedOn w:val="Normalny"/>
    <w:next w:val="Normalny"/>
    <w:rsid w:val="00F45500"/>
    <w:pPr>
      <w:overflowPunct/>
      <w:autoSpaceDE/>
      <w:textAlignment w:val="auto"/>
    </w:pPr>
    <w:rPr>
      <w:rFonts w:eastAsia="Lucida Sans Unicode"/>
      <w:kern w:val="1"/>
      <w:szCs w:val="24"/>
    </w:rPr>
  </w:style>
  <w:style w:type="paragraph" w:styleId="Wcicienormalne">
    <w:name w:val="Normal Indent"/>
    <w:basedOn w:val="Normalny"/>
    <w:rsid w:val="00F45500"/>
    <w:pPr>
      <w:widowControl/>
      <w:suppressAutoHyphens w:val="0"/>
      <w:overflowPunct/>
      <w:autoSpaceDE/>
      <w:ind w:left="709"/>
      <w:jc w:val="both"/>
      <w:textAlignment w:val="auto"/>
    </w:pPr>
    <w:rPr>
      <w:rFonts w:ascii="Arial Narrow" w:hAnsi="Arial Narrow" w:cs="Arial"/>
      <w:noProof/>
      <w:sz w:val="22"/>
      <w:lang w:eastAsia="pl-PL"/>
    </w:rPr>
  </w:style>
  <w:style w:type="paragraph" w:styleId="Tekstpodstawowy2">
    <w:name w:val="Body Text 2"/>
    <w:basedOn w:val="Normalny"/>
    <w:link w:val="Tekstpodstawowy2Znak1"/>
    <w:unhideWhenUsed/>
    <w:rsid w:val="00F45500"/>
    <w:pPr>
      <w:overflowPunct/>
      <w:autoSpaceDE/>
      <w:spacing w:after="120" w:line="480" w:lineRule="auto"/>
      <w:textAlignment w:val="auto"/>
    </w:pPr>
    <w:rPr>
      <w:rFonts w:eastAsia="Lucida Sans Unicode"/>
      <w:kern w:val="1"/>
      <w:szCs w:val="24"/>
    </w:rPr>
  </w:style>
  <w:style w:type="character" w:customStyle="1" w:styleId="Tekstpodstawowy2Znak1">
    <w:name w:val="Tekst podstawowy 2 Znak1"/>
    <w:basedOn w:val="Domylnaczcionkaakapitu"/>
    <w:link w:val="Tekstpodstawowy2"/>
    <w:rsid w:val="00F45500"/>
    <w:rPr>
      <w:rFonts w:eastAsia="Lucida Sans Unicode"/>
      <w:kern w:val="1"/>
      <w:sz w:val="24"/>
      <w:szCs w:val="24"/>
      <w:lang w:eastAsia="ar-SA"/>
    </w:rPr>
  </w:style>
  <w:style w:type="paragraph" w:styleId="Tekstpodstawowywcity3">
    <w:name w:val="Body Text Indent 3"/>
    <w:basedOn w:val="Normalny"/>
    <w:link w:val="Tekstpodstawowywcity3Znak1"/>
    <w:unhideWhenUsed/>
    <w:rsid w:val="00F45500"/>
    <w:pPr>
      <w:overflowPunct/>
      <w:autoSpaceDE/>
      <w:spacing w:after="120"/>
      <w:ind w:left="283"/>
      <w:textAlignment w:val="auto"/>
    </w:pPr>
    <w:rPr>
      <w:rFonts w:eastAsia="Lucida Sans Unicode"/>
      <w:kern w:val="1"/>
      <w:sz w:val="16"/>
      <w:szCs w:val="16"/>
    </w:rPr>
  </w:style>
  <w:style w:type="character" w:customStyle="1" w:styleId="Tekstpodstawowywcity3Znak1">
    <w:name w:val="Tekst podstawowy wcięty 3 Znak1"/>
    <w:basedOn w:val="Domylnaczcionkaakapitu"/>
    <w:link w:val="Tekstpodstawowywcity3"/>
    <w:rsid w:val="00F45500"/>
    <w:rPr>
      <w:rFonts w:eastAsia="Lucida Sans Unicode"/>
      <w:kern w:val="1"/>
      <w:sz w:val="16"/>
      <w:szCs w:val="16"/>
      <w:lang w:eastAsia="ar-SA"/>
    </w:rPr>
  </w:style>
  <w:style w:type="paragraph" w:styleId="HTML-wstpniesformatowany">
    <w:name w:val="HTML Preformatted"/>
    <w:basedOn w:val="Normalny"/>
    <w:link w:val="HTML-wstpniesformatowanyZnak"/>
    <w:uiPriority w:val="99"/>
    <w:unhideWhenUsed/>
    <w:rsid w:val="00F4550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overflowPunct/>
      <w:autoSpaceDE/>
      <w:textAlignment w:val="auto"/>
    </w:pPr>
    <w:rPr>
      <w:rFonts w:ascii="Courier New" w:hAnsi="Courier New" w:cs="Courier New"/>
      <w:sz w:val="20"/>
      <w:lang w:eastAsia="pl-PL"/>
    </w:rPr>
  </w:style>
  <w:style w:type="character" w:customStyle="1" w:styleId="HTML-wstpniesformatowanyZnak">
    <w:name w:val="HTML - wstępnie sformatowany Znak"/>
    <w:basedOn w:val="Domylnaczcionkaakapitu"/>
    <w:link w:val="HTML-wstpniesformatowany"/>
    <w:uiPriority w:val="99"/>
    <w:rsid w:val="00F45500"/>
    <w:rPr>
      <w:rFonts w:ascii="Courier New" w:hAnsi="Courier New" w:cs="Courier New"/>
    </w:rPr>
  </w:style>
  <w:style w:type="numbering" w:customStyle="1" w:styleId="Konspekt">
    <w:name w:val="Konspekt"/>
    <w:basedOn w:val="Bezlisty"/>
    <w:rsid w:val="00F45500"/>
  </w:style>
  <w:style w:type="paragraph" w:customStyle="1" w:styleId="Tekstpodstawowy24">
    <w:name w:val="Tekst podstawowy 24"/>
    <w:basedOn w:val="Normalny"/>
    <w:rsid w:val="00F45500"/>
    <w:pPr>
      <w:overflowPunct/>
      <w:autoSpaceDE/>
      <w:jc w:val="center"/>
      <w:textAlignment w:val="auto"/>
    </w:pPr>
    <w:rPr>
      <w:rFonts w:eastAsia="Lucida Sans Unicode"/>
      <w:kern w:val="1"/>
      <w:szCs w:val="24"/>
    </w:rPr>
  </w:style>
  <w:style w:type="paragraph" w:styleId="Tekstpodstawowywcity2">
    <w:name w:val="Body Text Indent 2"/>
    <w:basedOn w:val="Normalny"/>
    <w:link w:val="Tekstpodstawowywcity2Znak2"/>
    <w:unhideWhenUsed/>
    <w:rsid w:val="00F45500"/>
    <w:pPr>
      <w:overflowPunct/>
      <w:autoSpaceDE/>
      <w:spacing w:after="120" w:line="480" w:lineRule="auto"/>
      <w:ind w:left="283"/>
      <w:textAlignment w:val="auto"/>
    </w:pPr>
    <w:rPr>
      <w:rFonts w:eastAsia="Lucida Sans Unicode"/>
      <w:kern w:val="1"/>
      <w:szCs w:val="24"/>
    </w:rPr>
  </w:style>
  <w:style w:type="character" w:customStyle="1" w:styleId="Tekstpodstawowywcity2Znak2">
    <w:name w:val="Tekst podstawowy wcięty 2 Znak2"/>
    <w:basedOn w:val="Domylnaczcionkaakapitu"/>
    <w:link w:val="Tekstpodstawowywcity2"/>
    <w:rsid w:val="00F45500"/>
    <w:rPr>
      <w:rFonts w:eastAsia="Lucida Sans Unicode"/>
      <w:kern w:val="1"/>
      <w:sz w:val="24"/>
      <w:szCs w:val="24"/>
      <w:lang w:eastAsia="ar-SA"/>
    </w:rPr>
  </w:style>
  <w:style w:type="character" w:customStyle="1" w:styleId="biggertext">
    <w:name w:val="biggertext"/>
    <w:basedOn w:val="Domylnaczcionkaakapitu"/>
    <w:rsid w:val="00F45500"/>
  </w:style>
  <w:style w:type="character" w:customStyle="1" w:styleId="Domylnaczcionkaakapitu7">
    <w:name w:val="Domyślna czcionka akapitu7"/>
    <w:rsid w:val="00F45500"/>
  </w:style>
  <w:style w:type="numbering" w:customStyle="1" w:styleId="Styl1">
    <w:name w:val="Styl1"/>
    <w:basedOn w:val="Bezlisty"/>
    <w:rsid w:val="00F45500"/>
  </w:style>
  <w:style w:type="paragraph" w:customStyle="1" w:styleId="Tekstpodstawowy25">
    <w:name w:val="Tekst podstawowy 25"/>
    <w:basedOn w:val="Normalny"/>
    <w:rsid w:val="00F45500"/>
    <w:pPr>
      <w:widowControl/>
      <w:tabs>
        <w:tab w:val="left" w:pos="284"/>
        <w:tab w:val="left" w:pos="426"/>
        <w:tab w:val="left" w:pos="1134"/>
        <w:tab w:val="left" w:pos="1701"/>
      </w:tabs>
      <w:spacing w:line="360" w:lineRule="auto"/>
      <w:jc w:val="both"/>
    </w:pPr>
    <w:rPr>
      <w:sz w:val="20"/>
    </w:rPr>
  </w:style>
  <w:style w:type="paragraph" w:customStyle="1" w:styleId="Framecontents">
    <w:name w:val="Frame contents"/>
    <w:basedOn w:val="Textbody"/>
    <w:uiPriority w:val="99"/>
    <w:rsid w:val="00F45500"/>
    <w:pPr>
      <w:autoSpaceDN w:val="0"/>
    </w:pPr>
    <w:rPr>
      <w:kern w:val="3"/>
      <w:lang w:val="pl-PL"/>
    </w:rPr>
  </w:style>
  <w:style w:type="paragraph" w:customStyle="1" w:styleId="WW-BodyText2">
    <w:name w:val="WW-Body Text 2"/>
    <w:basedOn w:val="Standard"/>
    <w:uiPriority w:val="99"/>
    <w:rsid w:val="00F45500"/>
    <w:pPr>
      <w:widowControl w:val="0"/>
      <w:pBdr>
        <w:top w:val="single" w:sz="4" w:space="1" w:color="000000"/>
        <w:bottom w:val="single" w:sz="4" w:space="1" w:color="000000"/>
      </w:pBdr>
      <w:spacing w:line="180" w:lineRule="exact"/>
      <w:textAlignment w:val="baseline"/>
    </w:pPr>
    <w:rPr>
      <w:sz w:val="16"/>
      <w:lang w:eastAsia="en-US" w:bidi="en-US"/>
    </w:rPr>
  </w:style>
  <w:style w:type="paragraph" w:styleId="Tekstpodstawowy3">
    <w:name w:val="Body Text 3"/>
    <w:basedOn w:val="Standard"/>
    <w:link w:val="Tekstpodstawowy3Znak"/>
    <w:rsid w:val="00F45500"/>
    <w:pPr>
      <w:widowControl w:val="0"/>
    </w:pPr>
    <w:rPr>
      <w:lang w:eastAsia="en-US" w:bidi="en-US"/>
    </w:rPr>
  </w:style>
  <w:style w:type="character" w:customStyle="1" w:styleId="Tekstpodstawowy3Znak">
    <w:name w:val="Tekst podstawowy 3 Znak"/>
    <w:basedOn w:val="Domylnaczcionkaakapitu"/>
    <w:link w:val="Tekstpodstawowy3"/>
    <w:rsid w:val="00F45500"/>
    <w:rPr>
      <w:rFonts w:eastAsia="Lucida Sans Unicode" w:cs="Tahoma"/>
      <w:color w:val="000000"/>
      <w:kern w:val="3"/>
      <w:sz w:val="24"/>
      <w:szCs w:val="24"/>
      <w:lang w:eastAsia="en-US" w:bidi="en-US"/>
    </w:rPr>
  </w:style>
  <w:style w:type="paragraph" w:customStyle="1" w:styleId="Numerowanie">
    <w:name w:val="Numerowanie"/>
    <w:basedOn w:val="Textbody"/>
    <w:uiPriority w:val="99"/>
    <w:rsid w:val="00F45500"/>
    <w:pPr>
      <w:autoSpaceDN w:val="0"/>
      <w:jc w:val="center"/>
    </w:pPr>
    <w:rPr>
      <w:kern w:val="3"/>
      <w:lang w:val="fr-FR"/>
    </w:rPr>
  </w:style>
  <w:style w:type="paragraph" w:customStyle="1" w:styleId="Teksttablicy">
    <w:name w:val="Tekst tablicy"/>
    <w:basedOn w:val="Textbody"/>
    <w:next w:val="Textbody"/>
    <w:uiPriority w:val="99"/>
    <w:rsid w:val="00F45500"/>
    <w:pPr>
      <w:keepLines/>
      <w:autoSpaceDN w:val="0"/>
      <w:jc w:val="center"/>
    </w:pPr>
    <w:rPr>
      <w:rFonts w:ascii="Arial" w:hAnsi="Arial" w:cs="Arial"/>
      <w:bCs/>
      <w:kern w:val="3"/>
      <w:lang w:val="fr-FR"/>
    </w:rPr>
  </w:style>
  <w:style w:type="paragraph" w:styleId="Listapunktowana">
    <w:name w:val="List Bullet"/>
    <w:basedOn w:val="Standard"/>
    <w:rsid w:val="00F45500"/>
    <w:pPr>
      <w:widowControl w:val="0"/>
      <w:numPr>
        <w:numId w:val="79"/>
      </w:numPr>
      <w:textAlignment w:val="baseline"/>
    </w:pPr>
    <w:rPr>
      <w:lang w:eastAsia="en-US" w:bidi="en-US"/>
    </w:rPr>
  </w:style>
  <w:style w:type="paragraph" w:customStyle="1" w:styleId="Heading10">
    <w:name w:val="Heading 10"/>
    <w:basedOn w:val="Heading"/>
    <w:next w:val="Textbody"/>
    <w:uiPriority w:val="99"/>
    <w:rsid w:val="00F45500"/>
    <w:pPr>
      <w:autoSpaceDN w:val="0"/>
      <w:textAlignment w:val="baseline"/>
    </w:pPr>
    <w:rPr>
      <w:rFonts w:ascii="Times New Roman" w:eastAsia="MS Mincho" w:hAnsi="Times New Roman"/>
      <w:b/>
      <w:bCs/>
      <w:color w:val="000000"/>
      <w:kern w:val="3"/>
      <w:lang w:eastAsia="en-US" w:bidi="en-US"/>
    </w:rPr>
  </w:style>
  <w:style w:type="paragraph" w:customStyle="1" w:styleId="Standarduser">
    <w:name w:val="Standard (user)"/>
    <w:rsid w:val="00F45500"/>
    <w:pPr>
      <w:widowControl w:val="0"/>
      <w:suppressAutoHyphens/>
      <w:overflowPunct w:val="0"/>
      <w:autoSpaceDE w:val="0"/>
      <w:autoSpaceDN w:val="0"/>
      <w:textAlignment w:val="baseline"/>
    </w:pPr>
    <w:rPr>
      <w:kern w:val="3"/>
      <w:sz w:val="24"/>
      <w:lang w:eastAsia="en-US"/>
    </w:rPr>
  </w:style>
  <w:style w:type="character" w:customStyle="1" w:styleId="WW8NumSt8z0">
    <w:name w:val="WW8NumSt8z0"/>
    <w:rsid w:val="00F45500"/>
    <w:rPr>
      <w:rFonts w:ascii="Symbol" w:hAnsi="Symbol" w:cs="Symbol"/>
    </w:rPr>
  </w:style>
  <w:style w:type="character" w:customStyle="1" w:styleId="BulletSymbols">
    <w:name w:val="Bullet Symbols"/>
    <w:rsid w:val="00F45500"/>
    <w:rPr>
      <w:rFonts w:ascii="OpenSymbol" w:eastAsia="OpenSymbol" w:hAnsi="OpenSymbol" w:cs="OpenSymbol"/>
    </w:rPr>
  </w:style>
  <w:style w:type="character" w:customStyle="1" w:styleId="WW8NumSt12z0">
    <w:name w:val="WW8NumSt12z0"/>
    <w:rsid w:val="00F45500"/>
    <w:rPr>
      <w:rFonts w:ascii="Symbol" w:hAnsi="Symbol" w:cs="Symbol"/>
      <w:sz w:val="20"/>
    </w:rPr>
  </w:style>
  <w:style w:type="character" w:customStyle="1" w:styleId="WW8Num1z0">
    <w:name w:val="WW8Num1z0"/>
    <w:rsid w:val="00F45500"/>
    <w:rPr>
      <w:rFonts w:ascii="Symbol" w:hAnsi="Symbol" w:cs="Symbol"/>
    </w:rPr>
  </w:style>
  <w:style w:type="character" w:customStyle="1" w:styleId="Internetlink">
    <w:name w:val="Internet link"/>
    <w:basedOn w:val="Domylnaczcionkaakapitu"/>
    <w:rsid w:val="00F45500"/>
    <w:rPr>
      <w:color w:val="0000FF"/>
      <w:u w:val="single"/>
    </w:rPr>
  </w:style>
  <w:style w:type="character" w:customStyle="1" w:styleId="StrongEmphasis">
    <w:name w:val="Strong Emphasis"/>
    <w:rsid w:val="00F45500"/>
    <w:rPr>
      <w:b/>
      <w:bCs/>
    </w:rPr>
  </w:style>
  <w:style w:type="character" w:customStyle="1" w:styleId="WW8NumSt22z0">
    <w:name w:val="WW8NumSt22z0"/>
    <w:rsid w:val="00F45500"/>
    <w:rPr>
      <w:rFonts w:ascii="Symbol" w:hAnsi="Symbol" w:cs="Symbol"/>
      <w:sz w:val="20"/>
    </w:rPr>
  </w:style>
  <w:style w:type="character" w:customStyle="1" w:styleId="WW8NumSt17z0">
    <w:name w:val="WW8NumSt17z0"/>
    <w:rsid w:val="00F45500"/>
    <w:rPr>
      <w:rFonts w:ascii="Symbol" w:hAnsi="Symbol" w:cs="Symbol"/>
      <w:sz w:val="20"/>
    </w:rPr>
  </w:style>
  <w:style w:type="character" w:customStyle="1" w:styleId="WW8NumSt15z0">
    <w:name w:val="WW8NumSt15z0"/>
    <w:rsid w:val="00F45500"/>
    <w:rPr>
      <w:rFonts w:ascii="Symbol" w:hAnsi="Symbol" w:cs="Symbol"/>
      <w:sz w:val="20"/>
    </w:rPr>
  </w:style>
  <w:style w:type="character" w:customStyle="1" w:styleId="WW8NumSt20z0">
    <w:name w:val="WW8NumSt20z0"/>
    <w:rsid w:val="00F45500"/>
    <w:rPr>
      <w:rFonts w:ascii="Symbol" w:hAnsi="Symbol" w:cs="Symbol"/>
      <w:sz w:val="20"/>
    </w:rPr>
  </w:style>
  <w:style w:type="character" w:customStyle="1" w:styleId="WW8NumSt9z0">
    <w:name w:val="WW8NumSt9z0"/>
    <w:rsid w:val="00F45500"/>
    <w:rPr>
      <w:rFonts w:ascii="Symbol" w:hAnsi="Symbol" w:cs="Symbol"/>
      <w:sz w:val="20"/>
    </w:rPr>
  </w:style>
  <w:style w:type="character" w:customStyle="1" w:styleId="WW8NumSt24z0">
    <w:name w:val="WW8NumSt24z0"/>
    <w:rsid w:val="00F45500"/>
    <w:rPr>
      <w:rFonts w:ascii="Symbol" w:hAnsi="Symbol" w:cs="Symbol"/>
      <w:sz w:val="20"/>
    </w:rPr>
  </w:style>
  <w:style w:type="numbering" w:customStyle="1" w:styleId="WW8Num34">
    <w:name w:val="WW8Num34"/>
    <w:basedOn w:val="Bezlisty"/>
    <w:rsid w:val="00F45500"/>
    <w:pPr>
      <w:numPr>
        <w:numId w:val="316"/>
      </w:numPr>
    </w:pPr>
  </w:style>
  <w:style w:type="numbering" w:customStyle="1" w:styleId="WW8Num17">
    <w:name w:val="WW8Num17"/>
    <w:basedOn w:val="Bezlisty"/>
    <w:rsid w:val="00F45500"/>
  </w:style>
  <w:style w:type="numbering" w:customStyle="1" w:styleId="WW8Num18">
    <w:name w:val="WW8Num18"/>
    <w:basedOn w:val="Bezlisty"/>
    <w:rsid w:val="00F45500"/>
  </w:style>
  <w:style w:type="numbering" w:customStyle="1" w:styleId="WW8Num19">
    <w:name w:val="WW8Num19"/>
    <w:basedOn w:val="Bezlisty"/>
    <w:rsid w:val="00F45500"/>
  </w:style>
  <w:style w:type="numbering" w:customStyle="1" w:styleId="WW8Num20">
    <w:name w:val="WW8Num20"/>
    <w:basedOn w:val="Bezlisty"/>
    <w:rsid w:val="00F45500"/>
  </w:style>
  <w:style w:type="numbering" w:customStyle="1" w:styleId="WW8Num21">
    <w:name w:val="WW8Num21"/>
    <w:basedOn w:val="Bezlisty"/>
    <w:rsid w:val="00F45500"/>
  </w:style>
  <w:style w:type="numbering" w:customStyle="1" w:styleId="WW8Num22">
    <w:name w:val="WW8Num22"/>
    <w:basedOn w:val="Bezlisty"/>
    <w:rsid w:val="00F45500"/>
    <w:pPr>
      <w:numPr>
        <w:numId w:val="41"/>
      </w:numPr>
    </w:pPr>
  </w:style>
  <w:style w:type="numbering" w:customStyle="1" w:styleId="WW8Num23">
    <w:name w:val="WW8Num23"/>
    <w:basedOn w:val="Bezlisty"/>
    <w:rsid w:val="00F45500"/>
  </w:style>
  <w:style w:type="numbering" w:customStyle="1" w:styleId="WW8Num24">
    <w:name w:val="WW8Num24"/>
    <w:basedOn w:val="Bezlisty"/>
    <w:rsid w:val="00F45500"/>
  </w:style>
  <w:style w:type="numbering" w:customStyle="1" w:styleId="WW8Num25">
    <w:name w:val="WW8Num25"/>
    <w:basedOn w:val="Bezlisty"/>
    <w:rsid w:val="00F45500"/>
  </w:style>
  <w:style w:type="numbering" w:customStyle="1" w:styleId="WW8Num26">
    <w:name w:val="WW8Num26"/>
    <w:basedOn w:val="Bezlisty"/>
    <w:rsid w:val="00F45500"/>
  </w:style>
  <w:style w:type="numbering" w:customStyle="1" w:styleId="WW8Num27">
    <w:name w:val="WW8Num27"/>
    <w:basedOn w:val="Bezlisty"/>
    <w:rsid w:val="00F45500"/>
  </w:style>
  <w:style w:type="numbering" w:customStyle="1" w:styleId="WW8Num28">
    <w:name w:val="WW8Num28"/>
    <w:basedOn w:val="Bezlisty"/>
    <w:rsid w:val="00F45500"/>
  </w:style>
  <w:style w:type="numbering" w:customStyle="1" w:styleId="WW8Num29">
    <w:name w:val="WW8Num29"/>
    <w:basedOn w:val="Bezlisty"/>
    <w:rsid w:val="00F45500"/>
  </w:style>
  <w:style w:type="numbering" w:customStyle="1" w:styleId="WW8Num30">
    <w:name w:val="WW8Num30"/>
    <w:basedOn w:val="Bezlisty"/>
    <w:rsid w:val="00F45500"/>
    <w:pPr>
      <w:numPr>
        <w:numId w:val="49"/>
      </w:numPr>
    </w:pPr>
  </w:style>
  <w:style w:type="numbering" w:customStyle="1" w:styleId="WW8Num31">
    <w:name w:val="WW8Num31"/>
    <w:basedOn w:val="Bezlisty"/>
    <w:rsid w:val="00F45500"/>
    <w:pPr>
      <w:numPr>
        <w:numId w:val="50"/>
      </w:numPr>
    </w:pPr>
  </w:style>
  <w:style w:type="numbering" w:customStyle="1" w:styleId="WW8Num32">
    <w:name w:val="WW8Num32"/>
    <w:basedOn w:val="Bezlisty"/>
    <w:rsid w:val="00F45500"/>
    <w:pPr>
      <w:numPr>
        <w:numId w:val="51"/>
      </w:numPr>
    </w:pPr>
  </w:style>
  <w:style w:type="numbering" w:customStyle="1" w:styleId="WW8Num33">
    <w:name w:val="WW8Num33"/>
    <w:basedOn w:val="Bezlisty"/>
    <w:rsid w:val="00F45500"/>
    <w:pPr>
      <w:numPr>
        <w:numId w:val="52"/>
      </w:numPr>
    </w:pPr>
  </w:style>
  <w:style w:type="numbering" w:customStyle="1" w:styleId="WW8Num14">
    <w:name w:val="WW8Num14"/>
    <w:basedOn w:val="Bezlisty"/>
    <w:rsid w:val="00F45500"/>
  </w:style>
  <w:style w:type="numbering" w:customStyle="1" w:styleId="WW8Num13">
    <w:name w:val="WW8Num13"/>
    <w:basedOn w:val="Bezlisty"/>
    <w:rsid w:val="00F45500"/>
    <w:pPr>
      <w:numPr>
        <w:numId w:val="54"/>
      </w:numPr>
    </w:pPr>
  </w:style>
  <w:style w:type="numbering" w:customStyle="1" w:styleId="WW8Num6">
    <w:name w:val="WW8Num6"/>
    <w:basedOn w:val="Bezlisty"/>
    <w:rsid w:val="00F45500"/>
  </w:style>
  <w:style w:type="numbering" w:customStyle="1" w:styleId="WW8Num35">
    <w:name w:val="WW8Num35"/>
    <w:basedOn w:val="Bezlisty"/>
    <w:rsid w:val="00F45500"/>
    <w:pPr>
      <w:numPr>
        <w:numId w:val="56"/>
      </w:numPr>
    </w:pPr>
  </w:style>
  <w:style w:type="numbering" w:customStyle="1" w:styleId="WW8Num58">
    <w:name w:val="WW8Num58"/>
    <w:basedOn w:val="Bezlisty"/>
    <w:rsid w:val="00F45500"/>
    <w:pPr>
      <w:numPr>
        <w:numId w:val="57"/>
      </w:numPr>
    </w:pPr>
  </w:style>
  <w:style w:type="numbering" w:customStyle="1" w:styleId="WW8Num66">
    <w:name w:val="WW8Num66"/>
    <w:basedOn w:val="Bezlisty"/>
    <w:rsid w:val="00F45500"/>
    <w:pPr>
      <w:numPr>
        <w:numId w:val="58"/>
      </w:numPr>
    </w:pPr>
  </w:style>
  <w:style w:type="numbering" w:customStyle="1" w:styleId="WW8Num46">
    <w:name w:val="WW8Num46"/>
    <w:basedOn w:val="Bezlisty"/>
    <w:rsid w:val="00F45500"/>
    <w:pPr>
      <w:numPr>
        <w:numId w:val="59"/>
      </w:numPr>
    </w:pPr>
  </w:style>
  <w:style w:type="numbering" w:customStyle="1" w:styleId="WW8Num76">
    <w:name w:val="WW8Num76"/>
    <w:basedOn w:val="Bezlisty"/>
    <w:rsid w:val="00F45500"/>
    <w:pPr>
      <w:numPr>
        <w:numId w:val="60"/>
      </w:numPr>
    </w:pPr>
  </w:style>
  <w:style w:type="numbering" w:customStyle="1" w:styleId="WW8Num37">
    <w:name w:val="WW8Num37"/>
    <w:basedOn w:val="Bezlisty"/>
    <w:rsid w:val="00F45500"/>
    <w:pPr>
      <w:numPr>
        <w:numId w:val="61"/>
      </w:numPr>
    </w:pPr>
  </w:style>
  <w:style w:type="numbering" w:customStyle="1" w:styleId="WW8Num38">
    <w:name w:val="WW8Num38"/>
    <w:basedOn w:val="Bezlisty"/>
    <w:rsid w:val="00F45500"/>
    <w:pPr>
      <w:numPr>
        <w:numId w:val="62"/>
      </w:numPr>
    </w:pPr>
  </w:style>
  <w:style w:type="numbering" w:customStyle="1" w:styleId="WW8Num65">
    <w:name w:val="WW8Num65"/>
    <w:basedOn w:val="Bezlisty"/>
    <w:rsid w:val="00F45500"/>
    <w:pPr>
      <w:numPr>
        <w:numId w:val="63"/>
      </w:numPr>
    </w:pPr>
  </w:style>
  <w:style w:type="numbering" w:customStyle="1" w:styleId="WW8Num8">
    <w:name w:val="WW8Num8"/>
    <w:basedOn w:val="Bezlisty"/>
    <w:rsid w:val="00F45500"/>
    <w:pPr>
      <w:numPr>
        <w:numId w:val="64"/>
      </w:numPr>
    </w:pPr>
  </w:style>
  <w:style w:type="numbering" w:customStyle="1" w:styleId="WW8Num15">
    <w:name w:val="WW8Num15"/>
    <w:basedOn w:val="Bezlisty"/>
    <w:rsid w:val="00F45500"/>
    <w:pPr>
      <w:numPr>
        <w:numId w:val="65"/>
      </w:numPr>
    </w:pPr>
  </w:style>
  <w:style w:type="numbering" w:customStyle="1" w:styleId="WW8Num4">
    <w:name w:val="WW8Num4"/>
    <w:basedOn w:val="Bezlisty"/>
    <w:rsid w:val="00F45500"/>
  </w:style>
  <w:style w:type="numbering" w:customStyle="1" w:styleId="WW8Num9">
    <w:name w:val="WW8Num9"/>
    <w:basedOn w:val="Bezlisty"/>
    <w:rsid w:val="00F45500"/>
  </w:style>
  <w:style w:type="numbering" w:customStyle="1" w:styleId="WW8Num12">
    <w:name w:val="WW8Num12"/>
    <w:basedOn w:val="Bezlisty"/>
    <w:rsid w:val="00F45500"/>
  </w:style>
  <w:style w:type="numbering" w:customStyle="1" w:styleId="WW8Num11">
    <w:name w:val="WW8Num11"/>
    <w:basedOn w:val="Bezlisty"/>
    <w:rsid w:val="00F45500"/>
  </w:style>
  <w:style w:type="numbering" w:customStyle="1" w:styleId="WW8Num16">
    <w:name w:val="WW8Num16"/>
    <w:basedOn w:val="Bezlisty"/>
    <w:rsid w:val="00F45500"/>
    <w:pPr>
      <w:numPr>
        <w:numId w:val="70"/>
      </w:numPr>
    </w:pPr>
  </w:style>
  <w:style w:type="numbering" w:customStyle="1" w:styleId="WW8Num10">
    <w:name w:val="WW8Num10"/>
    <w:basedOn w:val="Bezlisty"/>
    <w:rsid w:val="00F45500"/>
    <w:pPr>
      <w:numPr>
        <w:numId w:val="71"/>
      </w:numPr>
    </w:pPr>
  </w:style>
  <w:style w:type="numbering" w:customStyle="1" w:styleId="WW8Num7">
    <w:name w:val="WW8Num7"/>
    <w:basedOn w:val="Bezlisty"/>
    <w:rsid w:val="00F45500"/>
  </w:style>
  <w:style w:type="numbering" w:customStyle="1" w:styleId="WW8Num2">
    <w:name w:val="WW8Num2"/>
    <w:basedOn w:val="Bezlisty"/>
    <w:rsid w:val="00F45500"/>
    <w:pPr>
      <w:numPr>
        <w:numId w:val="73"/>
      </w:numPr>
    </w:pPr>
  </w:style>
  <w:style w:type="numbering" w:customStyle="1" w:styleId="WW8Num80">
    <w:name w:val="WW8Num80"/>
    <w:basedOn w:val="Bezlisty"/>
    <w:rsid w:val="00F45500"/>
    <w:pPr>
      <w:numPr>
        <w:numId w:val="74"/>
      </w:numPr>
    </w:pPr>
  </w:style>
  <w:style w:type="numbering" w:customStyle="1" w:styleId="WW8Num81">
    <w:name w:val="WW8Num81"/>
    <w:basedOn w:val="Bezlisty"/>
    <w:rsid w:val="00F45500"/>
    <w:pPr>
      <w:numPr>
        <w:numId w:val="75"/>
      </w:numPr>
    </w:pPr>
  </w:style>
  <w:style w:type="numbering" w:customStyle="1" w:styleId="WW8Num82">
    <w:name w:val="WW8Num82"/>
    <w:basedOn w:val="Bezlisty"/>
    <w:rsid w:val="00F45500"/>
    <w:pPr>
      <w:numPr>
        <w:numId w:val="76"/>
      </w:numPr>
    </w:pPr>
  </w:style>
  <w:style w:type="numbering" w:customStyle="1" w:styleId="WW8Num83">
    <w:name w:val="WW8Num83"/>
    <w:basedOn w:val="Bezlisty"/>
    <w:rsid w:val="00F45500"/>
    <w:pPr>
      <w:numPr>
        <w:numId w:val="77"/>
      </w:numPr>
    </w:pPr>
  </w:style>
  <w:style w:type="numbering" w:customStyle="1" w:styleId="WW8StyleNum">
    <w:name w:val="WW8StyleNum"/>
    <w:basedOn w:val="Bezlisty"/>
    <w:rsid w:val="00F45500"/>
    <w:pPr>
      <w:numPr>
        <w:numId w:val="78"/>
      </w:numPr>
    </w:pPr>
  </w:style>
  <w:style w:type="numbering" w:customStyle="1" w:styleId="WW8Num1">
    <w:name w:val="WW8Num1"/>
    <w:basedOn w:val="Bezlisty"/>
    <w:rsid w:val="00F45500"/>
    <w:pPr>
      <w:numPr>
        <w:numId w:val="79"/>
      </w:numPr>
    </w:pPr>
  </w:style>
  <w:style w:type="numbering" w:customStyle="1" w:styleId="WW8Num88">
    <w:name w:val="WW8Num88"/>
    <w:basedOn w:val="Bezlisty"/>
    <w:rsid w:val="00F45500"/>
    <w:pPr>
      <w:numPr>
        <w:numId w:val="80"/>
      </w:numPr>
    </w:pPr>
  </w:style>
  <w:style w:type="character" w:customStyle="1" w:styleId="BezodstpwZnak">
    <w:name w:val="Bez odstępów Znak"/>
    <w:basedOn w:val="Domylnaczcionkaakapitu"/>
    <w:link w:val="Bezodstpw"/>
    <w:rsid w:val="00F45500"/>
    <w:rPr>
      <w:rFonts w:ascii="Arial" w:eastAsia="Calibri" w:hAnsi="Arial" w:cs="Calibri"/>
      <w:szCs w:val="22"/>
      <w:lang w:eastAsia="ar-SA"/>
    </w:rPr>
  </w:style>
  <w:style w:type="character" w:styleId="Odwoanieprzypisudolnego">
    <w:name w:val="footnote reference"/>
    <w:basedOn w:val="Domylnaczcionkaakapitu"/>
    <w:semiHidden/>
    <w:rsid w:val="00F45500"/>
    <w:rPr>
      <w:vertAlign w:val="superscript"/>
    </w:rPr>
  </w:style>
  <w:style w:type="paragraph" w:customStyle="1" w:styleId="10">
    <w:name w:val="_10"/>
    <w:basedOn w:val="Normalny"/>
    <w:rsid w:val="00F45500"/>
    <w:pPr>
      <w:widowControl/>
      <w:suppressAutoHyphens w:val="0"/>
      <w:overflowPunct/>
      <w:autoSpaceDE/>
      <w:jc w:val="both"/>
      <w:textAlignment w:val="auto"/>
    </w:pPr>
    <w:rPr>
      <w:lang w:eastAsia="pl-PL"/>
    </w:rPr>
  </w:style>
  <w:style w:type="paragraph" w:customStyle="1" w:styleId="Styl12ptWyjustowany">
    <w:name w:val="Styl 12 pt Wyjustowany"/>
    <w:basedOn w:val="Normalny"/>
    <w:rsid w:val="00F45500"/>
    <w:pPr>
      <w:widowControl/>
      <w:suppressAutoHyphens w:val="0"/>
      <w:overflowPunct/>
      <w:autoSpaceDE/>
      <w:jc w:val="both"/>
      <w:textAlignment w:val="auto"/>
    </w:pPr>
    <w:rPr>
      <w:lang w:eastAsia="pl-PL"/>
    </w:rPr>
  </w:style>
  <w:style w:type="character" w:customStyle="1" w:styleId="value">
    <w:name w:val="value"/>
    <w:basedOn w:val="Domylnaczcionkaakapitu"/>
    <w:rsid w:val="00F45500"/>
  </w:style>
  <w:style w:type="paragraph" w:styleId="Tekstprzypisukocowego">
    <w:name w:val="endnote text"/>
    <w:basedOn w:val="Normalny"/>
    <w:link w:val="TekstprzypisukocowegoZnak"/>
    <w:rsid w:val="00F45500"/>
    <w:pPr>
      <w:widowControl/>
      <w:suppressAutoHyphens w:val="0"/>
      <w:autoSpaceDN w:val="0"/>
      <w:adjustRightInd w:val="0"/>
      <w:jc w:val="both"/>
    </w:pPr>
    <w:rPr>
      <w:sz w:val="20"/>
      <w:lang w:eastAsia="pl-PL"/>
    </w:rPr>
  </w:style>
  <w:style w:type="character" w:customStyle="1" w:styleId="TekstprzypisukocowegoZnak">
    <w:name w:val="Tekst przypisu końcowego Znak"/>
    <w:basedOn w:val="Domylnaczcionkaakapitu"/>
    <w:link w:val="Tekstprzypisukocowego"/>
    <w:uiPriority w:val="99"/>
    <w:rsid w:val="00F45500"/>
  </w:style>
  <w:style w:type="character" w:styleId="Odwoanieprzypisukocowego">
    <w:name w:val="endnote reference"/>
    <w:basedOn w:val="Domylnaczcionkaakapitu"/>
    <w:rsid w:val="00F45500"/>
    <w:rPr>
      <w:vertAlign w:val="superscript"/>
    </w:rPr>
  </w:style>
  <w:style w:type="paragraph" w:customStyle="1" w:styleId="ContentsHeading">
    <w:name w:val="Contents Heading"/>
    <w:basedOn w:val="Nagwek"/>
    <w:uiPriority w:val="99"/>
    <w:rsid w:val="00F45500"/>
    <w:pPr>
      <w:suppressLineNumbers/>
      <w:autoSpaceDN w:val="0"/>
      <w:spacing w:before="0" w:after="0"/>
    </w:pPr>
    <w:rPr>
      <w:b/>
      <w:bCs/>
      <w:kern w:val="3"/>
      <w:sz w:val="32"/>
      <w:szCs w:val="32"/>
      <w:lang w:eastAsia="pl-PL"/>
    </w:rPr>
  </w:style>
  <w:style w:type="paragraph" w:customStyle="1" w:styleId="Contents1">
    <w:name w:val="Contents 1"/>
    <w:basedOn w:val="Standard"/>
    <w:next w:val="Standard"/>
    <w:uiPriority w:val="99"/>
    <w:rsid w:val="00F45500"/>
    <w:pPr>
      <w:widowControl w:val="0"/>
      <w:overflowPunct w:val="0"/>
      <w:autoSpaceDE w:val="0"/>
      <w:spacing w:before="120" w:after="120"/>
      <w:textAlignment w:val="baseline"/>
    </w:pPr>
    <w:rPr>
      <w:rFonts w:eastAsia="Times New Roman" w:cs="Times New Roman"/>
      <w:b/>
      <w:bCs/>
      <w:caps/>
      <w:color w:val="auto"/>
    </w:rPr>
  </w:style>
  <w:style w:type="paragraph" w:customStyle="1" w:styleId="Contents2">
    <w:name w:val="Contents 2"/>
    <w:basedOn w:val="Standard"/>
    <w:next w:val="Standard"/>
    <w:uiPriority w:val="99"/>
    <w:rsid w:val="00F45500"/>
    <w:pPr>
      <w:widowControl w:val="0"/>
      <w:overflowPunct w:val="0"/>
      <w:autoSpaceDE w:val="0"/>
      <w:ind w:left="240"/>
      <w:textAlignment w:val="baseline"/>
    </w:pPr>
    <w:rPr>
      <w:rFonts w:eastAsia="Times New Roman" w:cs="Times New Roman"/>
      <w:color w:val="auto"/>
    </w:rPr>
  </w:style>
  <w:style w:type="paragraph" w:customStyle="1" w:styleId="Contents3">
    <w:name w:val="Contents 3"/>
    <w:basedOn w:val="Standard"/>
    <w:next w:val="Standard"/>
    <w:uiPriority w:val="99"/>
    <w:rsid w:val="00F45500"/>
    <w:pPr>
      <w:widowControl w:val="0"/>
      <w:overflowPunct w:val="0"/>
      <w:autoSpaceDE w:val="0"/>
      <w:ind w:left="480"/>
      <w:textAlignment w:val="baseline"/>
    </w:pPr>
    <w:rPr>
      <w:rFonts w:eastAsia="Times New Roman" w:cs="Times New Roman"/>
      <w:i/>
      <w:iCs/>
      <w:color w:val="auto"/>
    </w:rPr>
  </w:style>
  <w:style w:type="paragraph" w:customStyle="1" w:styleId="Contents4">
    <w:name w:val="Contents 4"/>
    <w:basedOn w:val="Standard"/>
    <w:next w:val="Standard"/>
    <w:uiPriority w:val="99"/>
    <w:rsid w:val="00F45500"/>
    <w:pPr>
      <w:widowControl w:val="0"/>
      <w:overflowPunct w:val="0"/>
      <w:autoSpaceDE w:val="0"/>
      <w:ind w:left="720"/>
      <w:textAlignment w:val="baseline"/>
    </w:pPr>
    <w:rPr>
      <w:rFonts w:eastAsia="Times New Roman" w:cs="Times New Roman"/>
      <w:color w:val="auto"/>
      <w:szCs w:val="21"/>
    </w:rPr>
  </w:style>
  <w:style w:type="paragraph" w:customStyle="1" w:styleId="Contents5">
    <w:name w:val="Contents 5"/>
    <w:basedOn w:val="Standard"/>
    <w:next w:val="Standard"/>
    <w:uiPriority w:val="99"/>
    <w:rsid w:val="00F45500"/>
    <w:pPr>
      <w:widowControl w:val="0"/>
      <w:overflowPunct w:val="0"/>
      <w:autoSpaceDE w:val="0"/>
      <w:ind w:left="960"/>
      <w:textAlignment w:val="baseline"/>
    </w:pPr>
    <w:rPr>
      <w:rFonts w:eastAsia="Times New Roman" w:cs="Times New Roman"/>
      <w:color w:val="auto"/>
      <w:szCs w:val="21"/>
    </w:rPr>
  </w:style>
  <w:style w:type="paragraph" w:customStyle="1" w:styleId="Contents6">
    <w:name w:val="Contents 6"/>
    <w:basedOn w:val="Standard"/>
    <w:next w:val="Standard"/>
    <w:uiPriority w:val="99"/>
    <w:rsid w:val="00F45500"/>
    <w:pPr>
      <w:widowControl w:val="0"/>
      <w:overflowPunct w:val="0"/>
      <w:autoSpaceDE w:val="0"/>
      <w:ind w:left="1200"/>
      <w:textAlignment w:val="baseline"/>
    </w:pPr>
    <w:rPr>
      <w:rFonts w:eastAsia="Times New Roman" w:cs="Times New Roman"/>
      <w:color w:val="auto"/>
      <w:szCs w:val="21"/>
    </w:rPr>
  </w:style>
  <w:style w:type="paragraph" w:customStyle="1" w:styleId="Contents7">
    <w:name w:val="Contents 7"/>
    <w:basedOn w:val="Standard"/>
    <w:next w:val="Standard"/>
    <w:uiPriority w:val="99"/>
    <w:rsid w:val="00F45500"/>
    <w:pPr>
      <w:widowControl w:val="0"/>
      <w:overflowPunct w:val="0"/>
      <w:autoSpaceDE w:val="0"/>
      <w:ind w:left="1440"/>
      <w:textAlignment w:val="baseline"/>
    </w:pPr>
    <w:rPr>
      <w:rFonts w:eastAsia="Times New Roman" w:cs="Times New Roman"/>
      <w:color w:val="auto"/>
      <w:szCs w:val="21"/>
    </w:rPr>
  </w:style>
  <w:style w:type="paragraph" w:customStyle="1" w:styleId="Contents8">
    <w:name w:val="Contents 8"/>
    <w:basedOn w:val="Standard"/>
    <w:next w:val="Standard"/>
    <w:uiPriority w:val="99"/>
    <w:rsid w:val="00F45500"/>
    <w:pPr>
      <w:widowControl w:val="0"/>
      <w:overflowPunct w:val="0"/>
      <w:autoSpaceDE w:val="0"/>
      <w:ind w:left="1680"/>
      <w:textAlignment w:val="baseline"/>
    </w:pPr>
    <w:rPr>
      <w:rFonts w:eastAsia="Times New Roman" w:cs="Times New Roman"/>
      <w:color w:val="auto"/>
      <w:szCs w:val="21"/>
    </w:rPr>
  </w:style>
  <w:style w:type="paragraph" w:customStyle="1" w:styleId="Contents9">
    <w:name w:val="Contents 9"/>
    <w:basedOn w:val="Standard"/>
    <w:next w:val="Standard"/>
    <w:uiPriority w:val="99"/>
    <w:rsid w:val="00F45500"/>
    <w:pPr>
      <w:widowControl w:val="0"/>
      <w:overflowPunct w:val="0"/>
      <w:autoSpaceDE w:val="0"/>
      <w:ind w:left="1920"/>
      <w:textAlignment w:val="baseline"/>
    </w:pPr>
    <w:rPr>
      <w:rFonts w:eastAsia="Times New Roman" w:cs="Times New Roman"/>
      <w:color w:val="auto"/>
      <w:szCs w:val="21"/>
    </w:rPr>
  </w:style>
  <w:style w:type="paragraph" w:customStyle="1" w:styleId="Textbodyuser">
    <w:name w:val="Text body (user)"/>
    <w:basedOn w:val="Standarduser"/>
    <w:uiPriority w:val="99"/>
    <w:rsid w:val="00F45500"/>
    <w:pPr>
      <w:spacing w:after="120"/>
    </w:pPr>
    <w:rPr>
      <w:lang w:eastAsia="pl-PL"/>
    </w:rPr>
  </w:style>
  <w:style w:type="paragraph" w:customStyle="1" w:styleId="TableContentsuser">
    <w:name w:val="Table Contents (user)"/>
    <w:basedOn w:val="Textbodyuser"/>
    <w:uiPriority w:val="99"/>
    <w:rsid w:val="00F45500"/>
    <w:pPr>
      <w:suppressLineNumbers/>
    </w:pPr>
  </w:style>
  <w:style w:type="character" w:customStyle="1" w:styleId="FootnoteSymbol">
    <w:name w:val="Footnote Symbol"/>
    <w:rsid w:val="00F45500"/>
  </w:style>
  <w:style w:type="character" w:customStyle="1" w:styleId="EndnoteSymbol">
    <w:name w:val="Endnote Symbol"/>
    <w:rsid w:val="00F45500"/>
  </w:style>
  <w:style w:type="character" w:customStyle="1" w:styleId="DefaultFontStyle">
    <w:name w:val="DefaultFontStyle"/>
    <w:rsid w:val="00F45500"/>
    <w:rPr>
      <w:rFonts w:ascii="Courier New" w:eastAsia="Courier New" w:hAnsi="Courier New" w:cs="Courier New"/>
      <w:color w:val="000000"/>
      <w:spacing w:val="0"/>
      <w:w w:val="100"/>
      <w:position w:val="0"/>
      <w:sz w:val="24"/>
      <w:szCs w:val="24"/>
      <w:vertAlign w:val="baseline"/>
      <w:lang w:val="pl-PL" w:eastAsia="pl-PL" w:bidi="pl-PL"/>
    </w:rPr>
  </w:style>
  <w:style w:type="character" w:customStyle="1" w:styleId="CharStyle11">
    <w:name w:val="CharStyle11"/>
    <w:basedOn w:val="DefaultFontStyle"/>
    <w:rsid w:val="00F45500"/>
    <w:rPr>
      <w:rFonts w:ascii="Arial" w:eastAsia="Arial" w:hAnsi="Arial" w:cs="Arial"/>
      <w:b w:val="0"/>
      <w:bCs w:val="0"/>
      <w:i w:val="0"/>
      <w:iCs w:val="0"/>
      <w:strike w:val="0"/>
      <w:dstrike w:val="0"/>
      <w:color w:val="000000"/>
      <w:spacing w:val="0"/>
      <w:w w:val="100"/>
      <w:position w:val="0"/>
      <w:sz w:val="21"/>
      <w:szCs w:val="21"/>
      <w:u w:val="none"/>
      <w:vertAlign w:val="baseline"/>
      <w:lang w:val="pl-PL" w:eastAsia="pl-PL" w:bidi="pl-PL"/>
    </w:rPr>
  </w:style>
  <w:style w:type="character" w:customStyle="1" w:styleId="CharStyle4">
    <w:name w:val="CharStyle4"/>
    <w:basedOn w:val="DefaultFontStyle"/>
    <w:rsid w:val="00F45500"/>
    <w:rPr>
      <w:rFonts w:ascii="Arial" w:eastAsia="Arial" w:hAnsi="Arial" w:cs="Arial"/>
      <w:b w:val="0"/>
      <w:bCs w:val="0"/>
      <w:i w:val="0"/>
      <w:iCs w:val="0"/>
      <w:strike w:val="0"/>
      <w:dstrike w:val="0"/>
      <w:color w:val="000000"/>
      <w:spacing w:val="0"/>
      <w:w w:val="100"/>
      <w:position w:val="0"/>
      <w:sz w:val="22"/>
      <w:szCs w:val="22"/>
      <w:u w:val="none"/>
      <w:vertAlign w:val="baseline"/>
      <w:lang w:val="pl-PL" w:eastAsia="pl-PL" w:bidi="pl-PL"/>
    </w:rPr>
  </w:style>
  <w:style w:type="numbering" w:customStyle="1" w:styleId="WW8Num36">
    <w:name w:val="WW8Num36"/>
    <w:basedOn w:val="Bezlisty"/>
    <w:rsid w:val="00F45500"/>
    <w:pPr>
      <w:numPr>
        <w:numId w:val="81"/>
      </w:numPr>
    </w:pPr>
  </w:style>
  <w:style w:type="numbering" w:customStyle="1" w:styleId="WW8Num39">
    <w:name w:val="WW8Num39"/>
    <w:basedOn w:val="Bezlisty"/>
    <w:rsid w:val="00F45500"/>
    <w:pPr>
      <w:numPr>
        <w:numId w:val="82"/>
      </w:numPr>
    </w:pPr>
  </w:style>
  <w:style w:type="numbering" w:customStyle="1" w:styleId="WW8Num40">
    <w:name w:val="WW8Num40"/>
    <w:basedOn w:val="Bezlisty"/>
    <w:rsid w:val="00F45500"/>
    <w:pPr>
      <w:numPr>
        <w:numId w:val="83"/>
      </w:numPr>
    </w:pPr>
  </w:style>
  <w:style w:type="numbering" w:customStyle="1" w:styleId="WW8Num41">
    <w:name w:val="WW8Num41"/>
    <w:basedOn w:val="Bezlisty"/>
    <w:rsid w:val="00F45500"/>
    <w:pPr>
      <w:numPr>
        <w:numId w:val="84"/>
      </w:numPr>
    </w:pPr>
  </w:style>
  <w:style w:type="numbering" w:customStyle="1" w:styleId="WW8Num42">
    <w:name w:val="WW8Num42"/>
    <w:basedOn w:val="Bezlisty"/>
    <w:rsid w:val="00F45500"/>
    <w:pPr>
      <w:numPr>
        <w:numId w:val="85"/>
      </w:numPr>
    </w:pPr>
  </w:style>
  <w:style w:type="numbering" w:customStyle="1" w:styleId="WW8Num43">
    <w:name w:val="WW8Num43"/>
    <w:basedOn w:val="Bezlisty"/>
    <w:rsid w:val="00F45500"/>
  </w:style>
  <w:style w:type="numbering" w:customStyle="1" w:styleId="WW8Num44">
    <w:name w:val="WW8Num44"/>
    <w:basedOn w:val="Bezlisty"/>
    <w:rsid w:val="00F45500"/>
    <w:pPr>
      <w:numPr>
        <w:numId w:val="87"/>
      </w:numPr>
    </w:pPr>
  </w:style>
  <w:style w:type="paragraph" w:customStyle="1" w:styleId="Trectekstu">
    <w:name w:val="Treśc tekstu"/>
    <w:basedOn w:val="Normalny"/>
    <w:link w:val="TrectekstuZnak"/>
    <w:qFormat/>
    <w:rsid w:val="00F45500"/>
    <w:pPr>
      <w:widowControl/>
      <w:tabs>
        <w:tab w:val="left" w:pos="-1725"/>
        <w:tab w:val="left" w:pos="-1440"/>
        <w:tab w:val="left" w:pos="-1005"/>
        <w:tab w:val="left" w:pos="-720"/>
        <w:tab w:val="left" w:pos="-285"/>
        <w:tab w:val="left" w:pos="0"/>
        <w:tab w:val="left" w:pos="284"/>
        <w:tab w:val="left" w:pos="435"/>
        <w:tab w:val="left" w:pos="567"/>
        <w:tab w:val="left" w:pos="851"/>
        <w:tab w:val="left" w:pos="1155"/>
        <w:tab w:val="left" w:pos="1299"/>
        <w:tab w:val="left" w:pos="1701"/>
        <w:tab w:val="left" w:pos="1875"/>
        <w:tab w:val="left" w:pos="2268"/>
        <w:tab w:val="left" w:pos="2595"/>
        <w:tab w:val="left" w:pos="2835"/>
        <w:tab w:val="left" w:pos="3315"/>
        <w:tab w:val="left" w:pos="3402"/>
        <w:tab w:val="left" w:pos="4035"/>
        <w:tab w:val="left" w:pos="4755"/>
        <w:tab w:val="left" w:pos="5475"/>
        <w:tab w:val="left" w:pos="6195"/>
        <w:tab w:val="left" w:pos="6915"/>
        <w:tab w:val="left" w:pos="7635"/>
        <w:tab w:val="left" w:pos="8355"/>
        <w:tab w:val="left" w:pos="9075"/>
        <w:tab w:val="left" w:pos="9795"/>
        <w:tab w:val="left" w:pos="10515"/>
        <w:tab w:val="left" w:pos="11235"/>
        <w:tab w:val="left" w:pos="11955"/>
        <w:tab w:val="left" w:pos="12675"/>
        <w:tab w:val="left" w:pos="13395"/>
        <w:tab w:val="left" w:pos="14115"/>
        <w:tab w:val="left" w:pos="14835"/>
        <w:tab w:val="left" w:pos="15555"/>
        <w:tab w:val="left" w:pos="16275"/>
        <w:tab w:val="left" w:pos="16995"/>
        <w:tab w:val="left" w:pos="17715"/>
        <w:tab w:val="left" w:pos="18435"/>
      </w:tabs>
      <w:overflowPunct/>
      <w:autoSpaceDE/>
      <w:spacing w:after="120"/>
      <w:contextualSpacing/>
      <w:jc w:val="both"/>
      <w:textAlignment w:val="auto"/>
    </w:pPr>
    <w:rPr>
      <w:rFonts w:ascii="Arial" w:hAnsi="Arial"/>
      <w:w w:val="85"/>
      <w:sz w:val="20"/>
    </w:rPr>
  </w:style>
  <w:style w:type="character" w:customStyle="1" w:styleId="TrectekstuZnak">
    <w:name w:val="Treśc tekstu Znak"/>
    <w:link w:val="Trectekstu"/>
    <w:rsid w:val="00F45500"/>
    <w:rPr>
      <w:rFonts w:ascii="Arial" w:hAnsi="Arial"/>
      <w:w w:val="85"/>
      <w:lang w:eastAsia="ar-SA"/>
    </w:rPr>
  </w:style>
  <w:style w:type="character" w:styleId="Odwoaniedokomentarza">
    <w:name w:val="annotation reference"/>
    <w:basedOn w:val="Domylnaczcionkaakapitu"/>
    <w:uiPriority w:val="99"/>
    <w:semiHidden/>
    <w:unhideWhenUsed/>
    <w:rsid w:val="00F45500"/>
    <w:rPr>
      <w:sz w:val="16"/>
      <w:szCs w:val="16"/>
    </w:rPr>
  </w:style>
  <w:style w:type="character" w:customStyle="1" w:styleId="apple-converted-space">
    <w:name w:val="apple-converted-space"/>
    <w:basedOn w:val="Domylnaczcionkaakapitu"/>
    <w:rsid w:val="00F45500"/>
  </w:style>
  <w:style w:type="paragraph" w:customStyle="1" w:styleId="western">
    <w:name w:val="western"/>
    <w:basedOn w:val="Normalny"/>
    <w:rsid w:val="00F45500"/>
    <w:pPr>
      <w:widowControl/>
      <w:suppressAutoHyphens w:val="0"/>
      <w:overflowPunct/>
      <w:autoSpaceDE/>
      <w:spacing w:before="100" w:beforeAutospacing="1" w:after="119"/>
      <w:textAlignment w:val="auto"/>
    </w:pPr>
    <w:rPr>
      <w:rFonts w:ascii="Arial" w:hAnsi="Arial" w:cs="Arial"/>
      <w:szCs w:val="24"/>
      <w:lang w:eastAsia="pl-PL"/>
    </w:rPr>
  </w:style>
  <w:style w:type="paragraph" w:customStyle="1" w:styleId="Specyfikacja-podstawowy">
    <w:name w:val="Specyfikacja- podstawowy"/>
    <w:basedOn w:val="Normalny"/>
    <w:rsid w:val="00F45500"/>
    <w:pPr>
      <w:widowControl/>
      <w:overflowPunct/>
      <w:spacing w:after="120"/>
      <w:ind w:left="709"/>
      <w:jc w:val="both"/>
      <w:textAlignment w:val="auto"/>
    </w:pPr>
  </w:style>
  <w:style w:type="numbering" w:customStyle="1" w:styleId="WW8Num2101">
    <w:name w:val="WW8Num2101"/>
    <w:basedOn w:val="Bezlisty"/>
    <w:rsid w:val="00F45500"/>
    <w:pPr>
      <w:numPr>
        <w:numId w:val="104"/>
      </w:numPr>
    </w:pPr>
  </w:style>
  <w:style w:type="numbering" w:customStyle="1" w:styleId="WW8Num311">
    <w:name w:val="WW8Num311"/>
    <w:basedOn w:val="Bezlisty"/>
    <w:rsid w:val="00F45500"/>
    <w:pPr>
      <w:numPr>
        <w:numId w:val="88"/>
      </w:numPr>
    </w:pPr>
  </w:style>
  <w:style w:type="numbering" w:customStyle="1" w:styleId="WW8Num121">
    <w:name w:val="WW8Num121"/>
    <w:basedOn w:val="Bezlisty"/>
    <w:rsid w:val="00F45500"/>
  </w:style>
  <w:style w:type="numbering" w:customStyle="1" w:styleId="WW8Num181">
    <w:name w:val="WW8Num181"/>
    <w:basedOn w:val="Bezlisty"/>
    <w:rsid w:val="00F45500"/>
  </w:style>
  <w:style w:type="numbering" w:customStyle="1" w:styleId="Bezlisty1">
    <w:name w:val="Bez listy1"/>
    <w:next w:val="Bezlisty"/>
    <w:uiPriority w:val="99"/>
    <w:semiHidden/>
    <w:unhideWhenUsed/>
    <w:rsid w:val="00F45500"/>
  </w:style>
  <w:style w:type="numbering" w:customStyle="1" w:styleId="WW8Num341">
    <w:name w:val="WW8Num341"/>
    <w:basedOn w:val="Bezlisty"/>
    <w:rsid w:val="00F45500"/>
  </w:style>
  <w:style w:type="numbering" w:customStyle="1" w:styleId="WW8Num171">
    <w:name w:val="WW8Num171"/>
    <w:basedOn w:val="Bezlisty"/>
    <w:rsid w:val="00F45500"/>
  </w:style>
  <w:style w:type="numbering" w:customStyle="1" w:styleId="WW8Num182">
    <w:name w:val="WW8Num182"/>
    <w:basedOn w:val="Bezlisty"/>
    <w:rsid w:val="00F45500"/>
  </w:style>
  <w:style w:type="numbering" w:customStyle="1" w:styleId="WW8Num191">
    <w:name w:val="WW8Num191"/>
    <w:basedOn w:val="Bezlisty"/>
    <w:rsid w:val="00F45500"/>
  </w:style>
  <w:style w:type="numbering" w:customStyle="1" w:styleId="WW8Num211">
    <w:name w:val="WW8Num211"/>
    <w:basedOn w:val="Bezlisty"/>
    <w:rsid w:val="00F45500"/>
  </w:style>
  <w:style w:type="numbering" w:customStyle="1" w:styleId="WW8Num221">
    <w:name w:val="WW8Num221"/>
    <w:basedOn w:val="Bezlisty"/>
    <w:rsid w:val="00F45500"/>
  </w:style>
  <w:style w:type="numbering" w:customStyle="1" w:styleId="WW8Num231">
    <w:name w:val="WW8Num231"/>
    <w:basedOn w:val="Bezlisty"/>
    <w:rsid w:val="00F45500"/>
    <w:pPr>
      <w:numPr>
        <w:numId w:val="323"/>
      </w:numPr>
    </w:pPr>
  </w:style>
  <w:style w:type="numbering" w:customStyle="1" w:styleId="WW8Num241">
    <w:name w:val="WW8Num241"/>
    <w:basedOn w:val="Bezlisty"/>
    <w:rsid w:val="00F45500"/>
    <w:pPr>
      <w:numPr>
        <w:numId w:val="324"/>
      </w:numPr>
    </w:pPr>
  </w:style>
  <w:style w:type="numbering" w:customStyle="1" w:styleId="WW8Num251">
    <w:name w:val="WW8Num251"/>
    <w:basedOn w:val="Bezlisty"/>
    <w:rsid w:val="00F45500"/>
    <w:pPr>
      <w:numPr>
        <w:numId w:val="94"/>
      </w:numPr>
    </w:pPr>
  </w:style>
  <w:style w:type="numbering" w:customStyle="1" w:styleId="WW8Num261">
    <w:name w:val="WW8Num261"/>
    <w:basedOn w:val="Bezlisty"/>
    <w:rsid w:val="00F45500"/>
    <w:pPr>
      <w:numPr>
        <w:numId w:val="95"/>
      </w:numPr>
    </w:pPr>
  </w:style>
  <w:style w:type="numbering" w:customStyle="1" w:styleId="WW8Num271">
    <w:name w:val="WW8Num271"/>
    <w:basedOn w:val="Bezlisty"/>
    <w:rsid w:val="00F45500"/>
  </w:style>
  <w:style w:type="numbering" w:customStyle="1" w:styleId="WW8Num281">
    <w:name w:val="WW8Num281"/>
    <w:basedOn w:val="Bezlisty"/>
    <w:rsid w:val="00F45500"/>
  </w:style>
  <w:style w:type="numbering" w:customStyle="1" w:styleId="WW8Num291">
    <w:name w:val="WW8Num291"/>
    <w:basedOn w:val="Bezlisty"/>
    <w:rsid w:val="00F45500"/>
    <w:pPr>
      <w:numPr>
        <w:numId w:val="325"/>
      </w:numPr>
    </w:pPr>
  </w:style>
  <w:style w:type="numbering" w:customStyle="1" w:styleId="WW8Num301">
    <w:name w:val="WW8Num301"/>
    <w:basedOn w:val="Bezlisty"/>
    <w:rsid w:val="00F45500"/>
  </w:style>
  <w:style w:type="numbering" w:customStyle="1" w:styleId="WW8Num312">
    <w:name w:val="WW8Num312"/>
    <w:basedOn w:val="Bezlisty"/>
    <w:rsid w:val="00F45500"/>
  </w:style>
  <w:style w:type="numbering" w:customStyle="1" w:styleId="WW8Num321">
    <w:name w:val="WW8Num321"/>
    <w:basedOn w:val="Bezlisty"/>
    <w:rsid w:val="00F45500"/>
  </w:style>
  <w:style w:type="numbering" w:customStyle="1" w:styleId="WW8Num331">
    <w:name w:val="WW8Num331"/>
    <w:basedOn w:val="Bezlisty"/>
    <w:rsid w:val="00F45500"/>
  </w:style>
  <w:style w:type="numbering" w:customStyle="1" w:styleId="WW8Num141">
    <w:name w:val="WW8Num141"/>
    <w:basedOn w:val="Bezlisty"/>
    <w:rsid w:val="00F45500"/>
    <w:pPr>
      <w:numPr>
        <w:numId w:val="322"/>
      </w:numPr>
    </w:pPr>
  </w:style>
  <w:style w:type="numbering" w:customStyle="1" w:styleId="WW8Num131">
    <w:name w:val="WW8Num131"/>
    <w:basedOn w:val="Bezlisty"/>
    <w:rsid w:val="00F45500"/>
  </w:style>
  <w:style w:type="numbering" w:customStyle="1" w:styleId="WW8Num61">
    <w:name w:val="WW8Num61"/>
    <w:basedOn w:val="Bezlisty"/>
    <w:rsid w:val="00F45500"/>
  </w:style>
  <w:style w:type="numbering" w:customStyle="1" w:styleId="WW8Num351">
    <w:name w:val="WW8Num351"/>
    <w:basedOn w:val="Bezlisty"/>
    <w:rsid w:val="00F45500"/>
  </w:style>
  <w:style w:type="numbering" w:customStyle="1" w:styleId="WW8Num581">
    <w:name w:val="WW8Num581"/>
    <w:basedOn w:val="Bezlisty"/>
    <w:rsid w:val="00F45500"/>
  </w:style>
  <w:style w:type="numbering" w:customStyle="1" w:styleId="WW8Num661">
    <w:name w:val="WW8Num661"/>
    <w:basedOn w:val="Bezlisty"/>
    <w:rsid w:val="00F45500"/>
  </w:style>
  <w:style w:type="numbering" w:customStyle="1" w:styleId="WW8Num461">
    <w:name w:val="WW8Num461"/>
    <w:basedOn w:val="Bezlisty"/>
    <w:rsid w:val="00F45500"/>
  </w:style>
  <w:style w:type="numbering" w:customStyle="1" w:styleId="WW8Num310">
    <w:name w:val="WW8Num310"/>
    <w:basedOn w:val="Bezlisty"/>
    <w:rsid w:val="00F45500"/>
  </w:style>
  <w:style w:type="numbering" w:customStyle="1" w:styleId="WW8Num761">
    <w:name w:val="WW8Num761"/>
    <w:basedOn w:val="Bezlisty"/>
    <w:rsid w:val="00F45500"/>
  </w:style>
  <w:style w:type="numbering" w:customStyle="1" w:styleId="WW8Num371">
    <w:name w:val="WW8Num371"/>
    <w:basedOn w:val="Bezlisty"/>
    <w:rsid w:val="00F45500"/>
  </w:style>
  <w:style w:type="numbering" w:customStyle="1" w:styleId="WW8Num381">
    <w:name w:val="WW8Num381"/>
    <w:basedOn w:val="Bezlisty"/>
    <w:rsid w:val="00F45500"/>
  </w:style>
  <w:style w:type="numbering" w:customStyle="1" w:styleId="WW8Num651">
    <w:name w:val="WW8Num651"/>
    <w:basedOn w:val="Bezlisty"/>
    <w:rsid w:val="00F45500"/>
  </w:style>
  <w:style w:type="numbering" w:customStyle="1" w:styleId="WW8Num84">
    <w:name w:val="WW8Num84"/>
    <w:basedOn w:val="Bezlisty"/>
    <w:rsid w:val="00F45500"/>
    <w:pPr>
      <w:numPr>
        <w:numId w:val="321"/>
      </w:numPr>
    </w:pPr>
  </w:style>
  <w:style w:type="numbering" w:customStyle="1" w:styleId="WW8Num151">
    <w:name w:val="WW8Num151"/>
    <w:basedOn w:val="Bezlisty"/>
    <w:rsid w:val="00F45500"/>
  </w:style>
  <w:style w:type="numbering" w:customStyle="1" w:styleId="WW8Num45">
    <w:name w:val="WW8Num45"/>
    <w:basedOn w:val="Bezlisty"/>
    <w:rsid w:val="00F45500"/>
  </w:style>
  <w:style w:type="numbering" w:customStyle="1" w:styleId="WW8Num91">
    <w:name w:val="WW8Num91"/>
    <w:basedOn w:val="Bezlisty"/>
    <w:rsid w:val="00F45500"/>
  </w:style>
  <w:style w:type="numbering" w:customStyle="1" w:styleId="WW8Num122">
    <w:name w:val="WW8Num122"/>
    <w:basedOn w:val="Bezlisty"/>
    <w:rsid w:val="00F45500"/>
  </w:style>
  <w:style w:type="numbering" w:customStyle="1" w:styleId="WW8Num111">
    <w:name w:val="WW8Num111"/>
    <w:basedOn w:val="Bezlisty"/>
    <w:rsid w:val="00F45500"/>
  </w:style>
  <w:style w:type="numbering" w:customStyle="1" w:styleId="WW8Num161">
    <w:name w:val="WW8Num161"/>
    <w:basedOn w:val="Bezlisty"/>
    <w:rsid w:val="00F45500"/>
  </w:style>
  <w:style w:type="numbering" w:customStyle="1" w:styleId="WW8Num101">
    <w:name w:val="WW8Num101"/>
    <w:basedOn w:val="Bezlisty"/>
    <w:rsid w:val="00F45500"/>
  </w:style>
  <w:style w:type="numbering" w:customStyle="1" w:styleId="WW8Num71">
    <w:name w:val="WW8Num71"/>
    <w:basedOn w:val="Bezlisty"/>
    <w:rsid w:val="00F45500"/>
  </w:style>
  <w:style w:type="numbering" w:customStyle="1" w:styleId="WW8Num210">
    <w:name w:val="WW8Num210"/>
    <w:basedOn w:val="Bezlisty"/>
    <w:rsid w:val="00F45500"/>
  </w:style>
  <w:style w:type="numbering" w:customStyle="1" w:styleId="WW8Num51">
    <w:name w:val="WW8Num51"/>
    <w:basedOn w:val="Bezlisty"/>
    <w:rsid w:val="00F45500"/>
  </w:style>
  <w:style w:type="numbering" w:customStyle="1" w:styleId="WW8Num801">
    <w:name w:val="WW8Num801"/>
    <w:basedOn w:val="Bezlisty"/>
    <w:rsid w:val="00F45500"/>
  </w:style>
  <w:style w:type="numbering" w:customStyle="1" w:styleId="WW8Num811">
    <w:name w:val="WW8Num811"/>
    <w:basedOn w:val="Bezlisty"/>
    <w:rsid w:val="00F45500"/>
  </w:style>
  <w:style w:type="numbering" w:customStyle="1" w:styleId="WW8Num821">
    <w:name w:val="WW8Num821"/>
    <w:basedOn w:val="Bezlisty"/>
    <w:rsid w:val="00F45500"/>
    <w:pPr>
      <w:numPr>
        <w:numId w:val="156"/>
      </w:numPr>
    </w:pPr>
  </w:style>
  <w:style w:type="numbering" w:customStyle="1" w:styleId="WW8Num831">
    <w:name w:val="WW8Num831"/>
    <w:basedOn w:val="Bezlisty"/>
    <w:rsid w:val="00F45500"/>
    <w:pPr>
      <w:numPr>
        <w:numId w:val="157"/>
      </w:numPr>
    </w:pPr>
  </w:style>
  <w:style w:type="numbering" w:customStyle="1" w:styleId="WW8StyleNum1">
    <w:name w:val="WW8StyleNum1"/>
    <w:basedOn w:val="Bezlisty"/>
    <w:rsid w:val="00F45500"/>
    <w:pPr>
      <w:numPr>
        <w:numId w:val="158"/>
      </w:numPr>
    </w:pPr>
  </w:style>
  <w:style w:type="numbering" w:customStyle="1" w:styleId="WW8Num110">
    <w:name w:val="WW8Num110"/>
    <w:basedOn w:val="Bezlisty"/>
    <w:rsid w:val="00F45500"/>
  </w:style>
  <w:style w:type="numbering" w:customStyle="1" w:styleId="WW8Num881">
    <w:name w:val="WW8Num881"/>
    <w:basedOn w:val="Bezlisty"/>
    <w:rsid w:val="00F45500"/>
    <w:pPr>
      <w:numPr>
        <w:numId w:val="159"/>
      </w:numPr>
    </w:pPr>
  </w:style>
  <w:style w:type="numbering" w:customStyle="1" w:styleId="WW8Num313">
    <w:name w:val="WW8Num313"/>
    <w:basedOn w:val="Bezlisty"/>
    <w:rsid w:val="00F45500"/>
  </w:style>
  <w:style w:type="numbering" w:customStyle="1" w:styleId="WW8Num123">
    <w:name w:val="WW8Num123"/>
    <w:basedOn w:val="Bezlisty"/>
    <w:rsid w:val="00F45500"/>
  </w:style>
  <w:style w:type="numbering" w:customStyle="1" w:styleId="Bezlisty2">
    <w:name w:val="Bez listy2"/>
    <w:next w:val="Bezlisty"/>
    <w:uiPriority w:val="99"/>
    <w:semiHidden/>
    <w:unhideWhenUsed/>
    <w:rsid w:val="00F45500"/>
  </w:style>
  <w:style w:type="numbering" w:customStyle="1" w:styleId="WW8Num342">
    <w:name w:val="WW8Num342"/>
    <w:basedOn w:val="Bezlisty"/>
    <w:rsid w:val="00F45500"/>
    <w:pPr>
      <w:numPr>
        <w:numId w:val="112"/>
      </w:numPr>
    </w:pPr>
  </w:style>
  <w:style w:type="numbering" w:customStyle="1" w:styleId="WW8Num172">
    <w:name w:val="WW8Num172"/>
    <w:basedOn w:val="Bezlisty"/>
    <w:rsid w:val="00F45500"/>
    <w:pPr>
      <w:numPr>
        <w:numId w:val="113"/>
      </w:numPr>
    </w:pPr>
  </w:style>
  <w:style w:type="numbering" w:customStyle="1" w:styleId="WW8Num183">
    <w:name w:val="WW8Num183"/>
    <w:basedOn w:val="Bezlisty"/>
    <w:rsid w:val="00F45500"/>
    <w:pPr>
      <w:numPr>
        <w:numId w:val="114"/>
      </w:numPr>
    </w:pPr>
  </w:style>
  <w:style w:type="numbering" w:customStyle="1" w:styleId="WW8Num192">
    <w:name w:val="WW8Num192"/>
    <w:basedOn w:val="Bezlisty"/>
    <w:rsid w:val="00F45500"/>
    <w:pPr>
      <w:numPr>
        <w:numId w:val="115"/>
      </w:numPr>
    </w:pPr>
  </w:style>
  <w:style w:type="numbering" w:customStyle="1" w:styleId="WW8Num202">
    <w:name w:val="WW8Num202"/>
    <w:basedOn w:val="Bezlisty"/>
    <w:rsid w:val="00F45500"/>
    <w:pPr>
      <w:numPr>
        <w:numId w:val="116"/>
      </w:numPr>
    </w:pPr>
  </w:style>
  <w:style w:type="numbering" w:customStyle="1" w:styleId="WW8Num212">
    <w:name w:val="WW8Num212"/>
    <w:basedOn w:val="Bezlisty"/>
    <w:rsid w:val="00F45500"/>
    <w:pPr>
      <w:numPr>
        <w:numId w:val="117"/>
      </w:numPr>
    </w:pPr>
  </w:style>
  <w:style w:type="numbering" w:customStyle="1" w:styleId="WW8Num222">
    <w:name w:val="WW8Num222"/>
    <w:basedOn w:val="Bezlisty"/>
    <w:rsid w:val="00F45500"/>
    <w:pPr>
      <w:numPr>
        <w:numId w:val="118"/>
      </w:numPr>
    </w:pPr>
  </w:style>
  <w:style w:type="numbering" w:customStyle="1" w:styleId="WW8Num232">
    <w:name w:val="WW8Num232"/>
    <w:basedOn w:val="Bezlisty"/>
    <w:rsid w:val="00F45500"/>
    <w:pPr>
      <w:numPr>
        <w:numId w:val="119"/>
      </w:numPr>
    </w:pPr>
  </w:style>
  <w:style w:type="numbering" w:customStyle="1" w:styleId="WW8Num242">
    <w:name w:val="WW8Num242"/>
    <w:basedOn w:val="Bezlisty"/>
    <w:rsid w:val="00F45500"/>
  </w:style>
  <w:style w:type="numbering" w:customStyle="1" w:styleId="WW8Num252">
    <w:name w:val="WW8Num252"/>
    <w:basedOn w:val="Bezlisty"/>
    <w:rsid w:val="00F45500"/>
    <w:pPr>
      <w:numPr>
        <w:numId w:val="121"/>
      </w:numPr>
    </w:pPr>
  </w:style>
  <w:style w:type="numbering" w:customStyle="1" w:styleId="WW8Num262">
    <w:name w:val="WW8Num262"/>
    <w:basedOn w:val="Bezlisty"/>
    <w:rsid w:val="00F45500"/>
    <w:pPr>
      <w:numPr>
        <w:numId w:val="122"/>
      </w:numPr>
    </w:pPr>
  </w:style>
  <w:style w:type="numbering" w:customStyle="1" w:styleId="WW8Num272">
    <w:name w:val="WW8Num272"/>
    <w:basedOn w:val="Bezlisty"/>
    <w:rsid w:val="00F45500"/>
    <w:pPr>
      <w:numPr>
        <w:numId w:val="123"/>
      </w:numPr>
    </w:pPr>
  </w:style>
  <w:style w:type="numbering" w:customStyle="1" w:styleId="WW8Num282">
    <w:name w:val="WW8Num282"/>
    <w:basedOn w:val="Bezlisty"/>
    <w:rsid w:val="00F45500"/>
  </w:style>
  <w:style w:type="numbering" w:customStyle="1" w:styleId="WW8Num292">
    <w:name w:val="WW8Num292"/>
    <w:basedOn w:val="Bezlisty"/>
    <w:rsid w:val="00F45500"/>
    <w:pPr>
      <w:numPr>
        <w:numId w:val="125"/>
      </w:numPr>
    </w:pPr>
  </w:style>
  <w:style w:type="numbering" w:customStyle="1" w:styleId="WW8Num302">
    <w:name w:val="WW8Num302"/>
    <w:basedOn w:val="Bezlisty"/>
    <w:rsid w:val="00F45500"/>
    <w:pPr>
      <w:numPr>
        <w:numId w:val="126"/>
      </w:numPr>
    </w:pPr>
  </w:style>
  <w:style w:type="numbering" w:customStyle="1" w:styleId="WW8Num314">
    <w:name w:val="WW8Num314"/>
    <w:basedOn w:val="Bezlisty"/>
    <w:rsid w:val="00F45500"/>
    <w:pPr>
      <w:numPr>
        <w:numId w:val="127"/>
      </w:numPr>
    </w:pPr>
  </w:style>
  <w:style w:type="numbering" w:customStyle="1" w:styleId="WW8Num322">
    <w:name w:val="WW8Num322"/>
    <w:basedOn w:val="Bezlisty"/>
    <w:rsid w:val="00F45500"/>
    <w:pPr>
      <w:numPr>
        <w:numId w:val="128"/>
      </w:numPr>
    </w:pPr>
  </w:style>
  <w:style w:type="numbering" w:customStyle="1" w:styleId="WW8Num332">
    <w:name w:val="WW8Num332"/>
    <w:basedOn w:val="Bezlisty"/>
    <w:rsid w:val="00F45500"/>
    <w:pPr>
      <w:numPr>
        <w:numId w:val="129"/>
      </w:numPr>
    </w:pPr>
  </w:style>
  <w:style w:type="numbering" w:customStyle="1" w:styleId="WW8Num142">
    <w:name w:val="WW8Num142"/>
    <w:basedOn w:val="Bezlisty"/>
    <w:rsid w:val="00F45500"/>
    <w:pPr>
      <w:numPr>
        <w:numId w:val="130"/>
      </w:numPr>
    </w:pPr>
  </w:style>
  <w:style w:type="numbering" w:customStyle="1" w:styleId="WW8Num132">
    <w:name w:val="WW8Num132"/>
    <w:basedOn w:val="Bezlisty"/>
    <w:rsid w:val="00F45500"/>
    <w:pPr>
      <w:numPr>
        <w:numId w:val="131"/>
      </w:numPr>
    </w:pPr>
  </w:style>
  <w:style w:type="numbering" w:customStyle="1" w:styleId="WW8Num62">
    <w:name w:val="WW8Num62"/>
    <w:basedOn w:val="Bezlisty"/>
    <w:rsid w:val="00F45500"/>
    <w:pPr>
      <w:numPr>
        <w:numId w:val="132"/>
      </w:numPr>
    </w:pPr>
  </w:style>
  <w:style w:type="numbering" w:customStyle="1" w:styleId="WW8Num352">
    <w:name w:val="WW8Num352"/>
    <w:basedOn w:val="Bezlisty"/>
    <w:rsid w:val="00F45500"/>
    <w:pPr>
      <w:numPr>
        <w:numId w:val="133"/>
      </w:numPr>
    </w:pPr>
  </w:style>
  <w:style w:type="numbering" w:customStyle="1" w:styleId="WW8Num582">
    <w:name w:val="WW8Num582"/>
    <w:basedOn w:val="Bezlisty"/>
    <w:rsid w:val="00F45500"/>
    <w:pPr>
      <w:numPr>
        <w:numId w:val="134"/>
      </w:numPr>
    </w:pPr>
  </w:style>
  <w:style w:type="numbering" w:customStyle="1" w:styleId="WW8Num662">
    <w:name w:val="WW8Num662"/>
    <w:basedOn w:val="Bezlisty"/>
    <w:rsid w:val="00F45500"/>
    <w:pPr>
      <w:numPr>
        <w:numId w:val="135"/>
      </w:numPr>
    </w:pPr>
  </w:style>
  <w:style w:type="numbering" w:customStyle="1" w:styleId="WW8Num462">
    <w:name w:val="WW8Num462"/>
    <w:basedOn w:val="Bezlisty"/>
    <w:rsid w:val="00F45500"/>
    <w:pPr>
      <w:numPr>
        <w:numId w:val="136"/>
      </w:numPr>
    </w:pPr>
  </w:style>
  <w:style w:type="numbering" w:customStyle="1" w:styleId="WW8Num315">
    <w:name w:val="WW8Num315"/>
    <w:basedOn w:val="Bezlisty"/>
    <w:rsid w:val="00F45500"/>
    <w:pPr>
      <w:numPr>
        <w:numId w:val="137"/>
      </w:numPr>
    </w:pPr>
  </w:style>
  <w:style w:type="numbering" w:customStyle="1" w:styleId="WW8Num762">
    <w:name w:val="WW8Num762"/>
    <w:basedOn w:val="Bezlisty"/>
    <w:rsid w:val="00F45500"/>
    <w:pPr>
      <w:numPr>
        <w:numId w:val="138"/>
      </w:numPr>
    </w:pPr>
  </w:style>
  <w:style w:type="numbering" w:customStyle="1" w:styleId="WW8Num372">
    <w:name w:val="WW8Num372"/>
    <w:basedOn w:val="Bezlisty"/>
    <w:rsid w:val="00F45500"/>
    <w:pPr>
      <w:numPr>
        <w:numId w:val="139"/>
      </w:numPr>
    </w:pPr>
  </w:style>
  <w:style w:type="numbering" w:customStyle="1" w:styleId="WW8Num382">
    <w:name w:val="WW8Num382"/>
    <w:basedOn w:val="Bezlisty"/>
    <w:rsid w:val="00F45500"/>
    <w:pPr>
      <w:numPr>
        <w:numId w:val="140"/>
      </w:numPr>
    </w:pPr>
  </w:style>
  <w:style w:type="numbering" w:customStyle="1" w:styleId="WW8Num652">
    <w:name w:val="WW8Num652"/>
    <w:basedOn w:val="Bezlisty"/>
    <w:rsid w:val="00F45500"/>
    <w:pPr>
      <w:numPr>
        <w:numId w:val="141"/>
      </w:numPr>
    </w:pPr>
  </w:style>
  <w:style w:type="numbering" w:customStyle="1" w:styleId="WW8Num85">
    <w:name w:val="WW8Num85"/>
    <w:basedOn w:val="Bezlisty"/>
    <w:rsid w:val="00F45500"/>
    <w:pPr>
      <w:numPr>
        <w:numId w:val="142"/>
      </w:numPr>
    </w:pPr>
  </w:style>
  <w:style w:type="numbering" w:customStyle="1" w:styleId="WW8Num152">
    <w:name w:val="WW8Num152"/>
    <w:basedOn w:val="Bezlisty"/>
    <w:rsid w:val="00F45500"/>
    <w:pPr>
      <w:numPr>
        <w:numId w:val="143"/>
      </w:numPr>
    </w:pPr>
  </w:style>
  <w:style w:type="numbering" w:customStyle="1" w:styleId="WW8Num47">
    <w:name w:val="WW8Num47"/>
    <w:basedOn w:val="Bezlisty"/>
    <w:rsid w:val="00F45500"/>
    <w:pPr>
      <w:numPr>
        <w:numId w:val="144"/>
      </w:numPr>
    </w:pPr>
  </w:style>
  <w:style w:type="numbering" w:customStyle="1" w:styleId="WW8Num92">
    <w:name w:val="WW8Num92"/>
    <w:basedOn w:val="Bezlisty"/>
    <w:rsid w:val="00F45500"/>
    <w:pPr>
      <w:numPr>
        <w:numId w:val="145"/>
      </w:numPr>
    </w:pPr>
  </w:style>
  <w:style w:type="numbering" w:customStyle="1" w:styleId="WW8Num124">
    <w:name w:val="WW8Num124"/>
    <w:basedOn w:val="Bezlisty"/>
    <w:rsid w:val="00F45500"/>
    <w:pPr>
      <w:numPr>
        <w:numId w:val="146"/>
      </w:numPr>
    </w:pPr>
  </w:style>
  <w:style w:type="numbering" w:customStyle="1" w:styleId="WW8Num112">
    <w:name w:val="WW8Num112"/>
    <w:basedOn w:val="Bezlisty"/>
    <w:rsid w:val="00F45500"/>
    <w:pPr>
      <w:numPr>
        <w:numId w:val="105"/>
      </w:numPr>
    </w:pPr>
  </w:style>
  <w:style w:type="numbering" w:customStyle="1" w:styleId="WW8Num162">
    <w:name w:val="WW8Num162"/>
    <w:basedOn w:val="Bezlisty"/>
    <w:rsid w:val="00F45500"/>
    <w:pPr>
      <w:numPr>
        <w:numId w:val="147"/>
      </w:numPr>
    </w:pPr>
  </w:style>
  <w:style w:type="numbering" w:customStyle="1" w:styleId="WW8Num102">
    <w:name w:val="WW8Num102"/>
    <w:basedOn w:val="Bezlisty"/>
    <w:rsid w:val="00F45500"/>
    <w:pPr>
      <w:numPr>
        <w:numId w:val="148"/>
      </w:numPr>
    </w:pPr>
  </w:style>
  <w:style w:type="numbering" w:customStyle="1" w:styleId="WW8Num72">
    <w:name w:val="WW8Num72"/>
    <w:basedOn w:val="Bezlisty"/>
    <w:rsid w:val="00F45500"/>
    <w:pPr>
      <w:numPr>
        <w:numId w:val="106"/>
      </w:numPr>
    </w:pPr>
  </w:style>
  <w:style w:type="numbering" w:customStyle="1" w:styleId="WW8Num213">
    <w:name w:val="WW8Num213"/>
    <w:basedOn w:val="Bezlisty"/>
    <w:rsid w:val="00F45500"/>
    <w:pPr>
      <w:numPr>
        <w:numId w:val="107"/>
      </w:numPr>
    </w:pPr>
  </w:style>
  <w:style w:type="numbering" w:customStyle="1" w:styleId="WW8Num52">
    <w:name w:val="WW8Num52"/>
    <w:basedOn w:val="Bezlisty"/>
    <w:rsid w:val="00F45500"/>
  </w:style>
  <w:style w:type="numbering" w:customStyle="1" w:styleId="WW8Num802">
    <w:name w:val="WW8Num802"/>
    <w:basedOn w:val="Bezlisty"/>
    <w:rsid w:val="00F45500"/>
    <w:pPr>
      <w:numPr>
        <w:numId w:val="109"/>
      </w:numPr>
    </w:pPr>
  </w:style>
  <w:style w:type="numbering" w:customStyle="1" w:styleId="WW8Num812">
    <w:name w:val="WW8Num812"/>
    <w:basedOn w:val="Bezlisty"/>
    <w:rsid w:val="00F45500"/>
    <w:pPr>
      <w:numPr>
        <w:numId w:val="110"/>
      </w:numPr>
    </w:pPr>
  </w:style>
  <w:style w:type="numbering" w:customStyle="1" w:styleId="WW8Num822">
    <w:name w:val="WW8Num822"/>
    <w:basedOn w:val="Bezlisty"/>
    <w:rsid w:val="00F45500"/>
    <w:pPr>
      <w:numPr>
        <w:numId w:val="111"/>
      </w:numPr>
    </w:pPr>
  </w:style>
  <w:style w:type="numbering" w:customStyle="1" w:styleId="WW8Num832">
    <w:name w:val="WW8Num832"/>
    <w:basedOn w:val="Bezlisty"/>
    <w:rsid w:val="00F45500"/>
  </w:style>
  <w:style w:type="numbering" w:customStyle="1" w:styleId="WW8StyleNum2">
    <w:name w:val="WW8StyleNum2"/>
    <w:basedOn w:val="Bezlisty"/>
    <w:rsid w:val="00F45500"/>
  </w:style>
  <w:style w:type="numbering" w:customStyle="1" w:styleId="WW8Num113">
    <w:name w:val="WW8Num113"/>
    <w:basedOn w:val="Bezlisty"/>
    <w:rsid w:val="00F45500"/>
  </w:style>
  <w:style w:type="numbering" w:customStyle="1" w:styleId="WW8Num882">
    <w:name w:val="WW8Num882"/>
    <w:basedOn w:val="Bezlisty"/>
    <w:rsid w:val="00F45500"/>
  </w:style>
  <w:style w:type="numbering" w:customStyle="1" w:styleId="Bezlisty3">
    <w:name w:val="Bez listy3"/>
    <w:next w:val="Bezlisty"/>
    <w:semiHidden/>
    <w:rsid w:val="00F45500"/>
  </w:style>
  <w:style w:type="table" w:customStyle="1" w:styleId="Tabela-Siatka1">
    <w:name w:val="Tabela - Siatka1"/>
    <w:basedOn w:val="Standardowy"/>
    <w:next w:val="Tabela-Siatka"/>
    <w:uiPriority w:val="59"/>
    <w:rsid w:val="00F45500"/>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184">
    <w:name w:val="WW8Num184"/>
    <w:basedOn w:val="Bezlisty"/>
    <w:rsid w:val="00F45500"/>
  </w:style>
  <w:style w:type="numbering" w:customStyle="1" w:styleId="WW8Num361">
    <w:name w:val="WW8Num361"/>
    <w:basedOn w:val="Bezlisty"/>
    <w:rsid w:val="00F45500"/>
  </w:style>
  <w:style w:type="numbering" w:customStyle="1" w:styleId="WW8Num391">
    <w:name w:val="WW8Num391"/>
    <w:basedOn w:val="Bezlisty"/>
    <w:rsid w:val="00F45500"/>
  </w:style>
  <w:style w:type="numbering" w:customStyle="1" w:styleId="WW8Num401">
    <w:name w:val="WW8Num401"/>
    <w:basedOn w:val="Bezlisty"/>
    <w:rsid w:val="00F45500"/>
  </w:style>
  <w:style w:type="numbering" w:customStyle="1" w:styleId="WW8Num411">
    <w:name w:val="WW8Num411"/>
    <w:basedOn w:val="Bezlisty"/>
    <w:rsid w:val="00F45500"/>
    <w:pPr>
      <w:numPr>
        <w:numId w:val="315"/>
      </w:numPr>
    </w:pPr>
  </w:style>
  <w:style w:type="numbering" w:customStyle="1" w:styleId="WW8Num421">
    <w:name w:val="WW8Num421"/>
    <w:basedOn w:val="Bezlisty"/>
    <w:rsid w:val="00F45500"/>
  </w:style>
  <w:style w:type="numbering" w:customStyle="1" w:styleId="WW8Num431">
    <w:name w:val="WW8Num431"/>
    <w:basedOn w:val="Bezlisty"/>
    <w:rsid w:val="00F45500"/>
  </w:style>
  <w:style w:type="numbering" w:customStyle="1" w:styleId="WW8Num441">
    <w:name w:val="WW8Num441"/>
    <w:basedOn w:val="Bezlisty"/>
    <w:rsid w:val="00F45500"/>
  </w:style>
  <w:style w:type="numbering" w:customStyle="1" w:styleId="WW8Num3111">
    <w:name w:val="WW8Num3111"/>
    <w:basedOn w:val="Bezlisty"/>
    <w:rsid w:val="00F45500"/>
  </w:style>
  <w:style w:type="numbering" w:customStyle="1" w:styleId="WW8Num1211">
    <w:name w:val="WW8Num1211"/>
    <w:basedOn w:val="Bezlisty"/>
    <w:rsid w:val="00F45500"/>
  </w:style>
  <w:style w:type="numbering" w:customStyle="1" w:styleId="WW8Num1811">
    <w:name w:val="WW8Num1811"/>
    <w:basedOn w:val="Bezlisty"/>
    <w:rsid w:val="00F45500"/>
    <w:pPr>
      <w:numPr>
        <w:numId w:val="90"/>
      </w:numPr>
    </w:pPr>
  </w:style>
  <w:style w:type="numbering" w:customStyle="1" w:styleId="Bezlisty11">
    <w:name w:val="Bez listy11"/>
    <w:next w:val="Bezlisty"/>
    <w:uiPriority w:val="99"/>
    <w:semiHidden/>
    <w:unhideWhenUsed/>
    <w:rsid w:val="00F45500"/>
  </w:style>
  <w:style w:type="numbering" w:customStyle="1" w:styleId="WW8Num3411">
    <w:name w:val="WW8Num3411"/>
    <w:basedOn w:val="Bezlisty"/>
    <w:rsid w:val="00F45500"/>
  </w:style>
  <w:style w:type="numbering" w:customStyle="1" w:styleId="WW8Num1711">
    <w:name w:val="WW8Num1711"/>
    <w:basedOn w:val="Bezlisty"/>
    <w:rsid w:val="00F45500"/>
  </w:style>
  <w:style w:type="numbering" w:customStyle="1" w:styleId="WW8Num1911">
    <w:name w:val="WW8Num1911"/>
    <w:basedOn w:val="Bezlisty"/>
    <w:rsid w:val="00F45500"/>
  </w:style>
  <w:style w:type="numbering" w:customStyle="1" w:styleId="WW8Num2011">
    <w:name w:val="WW8Num2011"/>
    <w:basedOn w:val="Bezlisty"/>
    <w:rsid w:val="00F45500"/>
    <w:pPr>
      <w:numPr>
        <w:numId w:val="31"/>
      </w:numPr>
    </w:pPr>
  </w:style>
  <w:style w:type="numbering" w:customStyle="1" w:styleId="WW8Num2111">
    <w:name w:val="WW8Num2111"/>
    <w:basedOn w:val="Bezlisty"/>
    <w:rsid w:val="00F45500"/>
    <w:pPr>
      <w:numPr>
        <w:numId w:val="162"/>
      </w:numPr>
    </w:pPr>
  </w:style>
  <w:style w:type="numbering" w:customStyle="1" w:styleId="WW8Num2311">
    <w:name w:val="WW8Num2311"/>
    <w:basedOn w:val="Bezlisty"/>
    <w:rsid w:val="00F45500"/>
  </w:style>
  <w:style w:type="numbering" w:customStyle="1" w:styleId="WW8Num2411">
    <w:name w:val="WW8Num2411"/>
    <w:basedOn w:val="Bezlisty"/>
    <w:rsid w:val="00F45500"/>
    <w:pPr>
      <w:numPr>
        <w:numId w:val="93"/>
      </w:numPr>
    </w:pPr>
  </w:style>
  <w:style w:type="numbering" w:customStyle="1" w:styleId="WW8Num2511">
    <w:name w:val="WW8Num2511"/>
    <w:basedOn w:val="Bezlisty"/>
    <w:rsid w:val="00F45500"/>
  </w:style>
  <w:style w:type="numbering" w:customStyle="1" w:styleId="WW8Num2611">
    <w:name w:val="WW8Num2611"/>
    <w:basedOn w:val="Bezlisty"/>
    <w:rsid w:val="00F45500"/>
  </w:style>
  <w:style w:type="numbering" w:customStyle="1" w:styleId="WW8Num2911">
    <w:name w:val="WW8Num2911"/>
    <w:basedOn w:val="Bezlisty"/>
    <w:rsid w:val="00F45500"/>
  </w:style>
  <w:style w:type="numbering" w:customStyle="1" w:styleId="WW8Num3011">
    <w:name w:val="WW8Num3011"/>
    <w:basedOn w:val="Bezlisty"/>
    <w:rsid w:val="00F45500"/>
  </w:style>
  <w:style w:type="numbering" w:customStyle="1" w:styleId="WW8Num3211">
    <w:name w:val="WW8Num3211"/>
    <w:basedOn w:val="Bezlisty"/>
    <w:rsid w:val="00F45500"/>
  </w:style>
  <w:style w:type="numbering" w:customStyle="1" w:styleId="WW8Num3311">
    <w:name w:val="WW8Num3311"/>
    <w:basedOn w:val="Bezlisty"/>
    <w:rsid w:val="00F45500"/>
  </w:style>
  <w:style w:type="numbering" w:customStyle="1" w:styleId="WW8Num1411">
    <w:name w:val="WW8Num1411"/>
    <w:basedOn w:val="Bezlisty"/>
    <w:rsid w:val="00F45500"/>
  </w:style>
  <w:style w:type="numbering" w:customStyle="1" w:styleId="WW8Num1311">
    <w:name w:val="WW8Num1311"/>
    <w:basedOn w:val="Bezlisty"/>
    <w:rsid w:val="00F45500"/>
  </w:style>
  <w:style w:type="numbering" w:customStyle="1" w:styleId="WW8Num611">
    <w:name w:val="WW8Num611"/>
    <w:basedOn w:val="Bezlisty"/>
    <w:rsid w:val="00F45500"/>
  </w:style>
  <w:style w:type="numbering" w:customStyle="1" w:styleId="WW8Num3511">
    <w:name w:val="WW8Num3511"/>
    <w:basedOn w:val="Bezlisty"/>
    <w:rsid w:val="00F45500"/>
  </w:style>
  <w:style w:type="numbering" w:customStyle="1" w:styleId="WW8Num6611">
    <w:name w:val="WW8Num6611"/>
    <w:basedOn w:val="Bezlisty"/>
    <w:rsid w:val="00F45500"/>
  </w:style>
  <w:style w:type="numbering" w:customStyle="1" w:styleId="WW8Num4611">
    <w:name w:val="WW8Num4611"/>
    <w:basedOn w:val="Bezlisty"/>
    <w:rsid w:val="00F45500"/>
  </w:style>
  <w:style w:type="numbering" w:customStyle="1" w:styleId="WW8Num3101">
    <w:name w:val="WW8Num3101"/>
    <w:basedOn w:val="Bezlisty"/>
    <w:rsid w:val="00F45500"/>
  </w:style>
  <w:style w:type="numbering" w:customStyle="1" w:styleId="WW8Num3711">
    <w:name w:val="WW8Num3711"/>
    <w:basedOn w:val="Bezlisty"/>
    <w:rsid w:val="00F45500"/>
  </w:style>
  <w:style w:type="numbering" w:customStyle="1" w:styleId="WW8Num3811">
    <w:name w:val="WW8Num3811"/>
    <w:basedOn w:val="Bezlisty"/>
    <w:rsid w:val="00F45500"/>
    <w:pPr>
      <w:numPr>
        <w:numId w:val="285"/>
      </w:numPr>
    </w:pPr>
  </w:style>
  <w:style w:type="numbering" w:customStyle="1" w:styleId="WW8Num841">
    <w:name w:val="WW8Num841"/>
    <w:basedOn w:val="Bezlisty"/>
    <w:rsid w:val="00F45500"/>
    <w:pPr>
      <w:numPr>
        <w:numId w:val="96"/>
      </w:numPr>
    </w:pPr>
  </w:style>
  <w:style w:type="numbering" w:customStyle="1" w:styleId="WW8Num1511">
    <w:name w:val="WW8Num1511"/>
    <w:basedOn w:val="Bezlisty"/>
    <w:rsid w:val="00F45500"/>
  </w:style>
  <w:style w:type="numbering" w:customStyle="1" w:styleId="WW8Num451">
    <w:name w:val="WW8Num451"/>
    <w:basedOn w:val="Bezlisty"/>
    <w:rsid w:val="00F45500"/>
  </w:style>
  <w:style w:type="numbering" w:customStyle="1" w:styleId="WW8Num911">
    <w:name w:val="WW8Num911"/>
    <w:basedOn w:val="Bezlisty"/>
    <w:rsid w:val="00F45500"/>
  </w:style>
  <w:style w:type="numbering" w:customStyle="1" w:styleId="WW8Num1111">
    <w:name w:val="WW8Num1111"/>
    <w:basedOn w:val="Bezlisty"/>
    <w:rsid w:val="00F45500"/>
  </w:style>
  <w:style w:type="numbering" w:customStyle="1" w:styleId="WW8Num1611">
    <w:name w:val="WW8Num1611"/>
    <w:basedOn w:val="Bezlisty"/>
    <w:rsid w:val="00F45500"/>
  </w:style>
  <w:style w:type="numbering" w:customStyle="1" w:styleId="WW8Num711">
    <w:name w:val="WW8Num711"/>
    <w:basedOn w:val="Bezlisty"/>
    <w:rsid w:val="00F45500"/>
  </w:style>
  <w:style w:type="numbering" w:customStyle="1" w:styleId="WW8Num511">
    <w:name w:val="WW8Num511"/>
    <w:basedOn w:val="Bezlisty"/>
    <w:rsid w:val="00F45500"/>
    <w:pPr>
      <w:numPr>
        <w:numId w:val="163"/>
      </w:numPr>
    </w:pPr>
  </w:style>
  <w:style w:type="numbering" w:customStyle="1" w:styleId="WW8Num8011">
    <w:name w:val="WW8Num8011"/>
    <w:basedOn w:val="Bezlisty"/>
    <w:rsid w:val="00F45500"/>
  </w:style>
  <w:style w:type="numbering" w:customStyle="1" w:styleId="WW8Num8111">
    <w:name w:val="WW8Num8111"/>
    <w:basedOn w:val="Bezlisty"/>
    <w:rsid w:val="00F45500"/>
    <w:pPr>
      <w:numPr>
        <w:numId w:val="98"/>
      </w:numPr>
    </w:pPr>
  </w:style>
  <w:style w:type="numbering" w:customStyle="1" w:styleId="WW8Num8211">
    <w:name w:val="WW8Num8211"/>
    <w:basedOn w:val="Bezlisty"/>
    <w:rsid w:val="00F45500"/>
  </w:style>
  <w:style w:type="numbering" w:customStyle="1" w:styleId="WW8Num8311">
    <w:name w:val="WW8Num8311"/>
    <w:basedOn w:val="Bezlisty"/>
    <w:rsid w:val="00F45500"/>
    <w:pPr>
      <w:numPr>
        <w:numId w:val="164"/>
      </w:numPr>
    </w:pPr>
  </w:style>
  <w:style w:type="numbering" w:customStyle="1" w:styleId="WW8StyleNum11">
    <w:name w:val="WW8StyleNum11"/>
    <w:basedOn w:val="Bezlisty"/>
    <w:rsid w:val="00F45500"/>
    <w:pPr>
      <w:numPr>
        <w:numId w:val="100"/>
      </w:numPr>
    </w:pPr>
  </w:style>
  <w:style w:type="numbering" w:customStyle="1" w:styleId="WW8Num1101">
    <w:name w:val="WW8Num1101"/>
    <w:basedOn w:val="Bezlisty"/>
    <w:rsid w:val="00F45500"/>
  </w:style>
  <w:style w:type="numbering" w:customStyle="1" w:styleId="WW8Num8811">
    <w:name w:val="WW8Num8811"/>
    <w:basedOn w:val="Bezlisty"/>
    <w:rsid w:val="00F45500"/>
    <w:pPr>
      <w:numPr>
        <w:numId w:val="102"/>
      </w:numPr>
    </w:pPr>
  </w:style>
  <w:style w:type="character" w:customStyle="1" w:styleId="Styl12pt">
    <w:name w:val="Styl 12 pt"/>
    <w:basedOn w:val="Domylnaczcionkaakapitu"/>
    <w:rsid w:val="00F45500"/>
    <w:rPr>
      <w:rFonts w:ascii="Arial" w:hAnsi="Arial" w:cs="Arial" w:hint="default"/>
      <w:sz w:val="20"/>
    </w:rPr>
  </w:style>
  <w:style w:type="numbering" w:customStyle="1" w:styleId="WW8Num1821">
    <w:name w:val="WW8Num1821"/>
    <w:basedOn w:val="Bezlisty"/>
    <w:rsid w:val="00F45500"/>
  </w:style>
  <w:style w:type="numbering" w:customStyle="1" w:styleId="WW8Num3121">
    <w:name w:val="WW8Num3121"/>
    <w:basedOn w:val="Bezlisty"/>
    <w:rsid w:val="00F45500"/>
  </w:style>
  <w:style w:type="numbering" w:customStyle="1" w:styleId="WW8Num1221">
    <w:name w:val="WW8Num1221"/>
    <w:basedOn w:val="Bezlisty"/>
    <w:rsid w:val="00F45500"/>
  </w:style>
  <w:style w:type="numbering" w:customStyle="1" w:styleId="Bezlisty21">
    <w:name w:val="Bez listy21"/>
    <w:next w:val="Bezlisty"/>
    <w:uiPriority w:val="99"/>
    <w:semiHidden/>
    <w:unhideWhenUsed/>
    <w:rsid w:val="00F45500"/>
  </w:style>
  <w:style w:type="numbering" w:customStyle="1" w:styleId="WW8Num1212">
    <w:name w:val="WW8Num1212"/>
    <w:basedOn w:val="Bezlisty"/>
    <w:rsid w:val="00F45500"/>
    <w:pPr>
      <w:numPr>
        <w:numId w:val="89"/>
      </w:numPr>
    </w:pPr>
  </w:style>
  <w:style w:type="numbering" w:customStyle="1" w:styleId="WW8Num1412">
    <w:name w:val="WW8Num1412"/>
    <w:basedOn w:val="Bezlisty"/>
    <w:rsid w:val="00F45500"/>
    <w:pPr>
      <w:numPr>
        <w:numId w:val="161"/>
      </w:numPr>
    </w:pPr>
  </w:style>
  <w:style w:type="numbering" w:customStyle="1" w:styleId="WW8Num1512">
    <w:name w:val="WW8Num1512"/>
    <w:basedOn w:val="Bezlisty"/>
    <w:rsid w:val="00F45500"/>
    <w:pPr>
      <w:numPr>
        <w:numId w:val="97"/>
      </w:numPr>
    </w:pPr>
  </w:style>
  <w:style w:type="numbering" w:customStyle="1" w:styleId="WW8Num712">
    <w:name w:val="WW8Num712"/>
    <w:basedOn w:val="Bezlisty"/>
    <w:rsid w:val="00F45500"/>
    <w:pPr>
      <w:numPr>
        <w:numId w:val="160"/>
      </w:numPr>
    </w:pPr>
  </w:style>
  <w:style w:type="numbering" w:customStyle="1" w:styleId="WW8Num21011">
    <w:name w:val="WW8Num21011"/>
    <w:basedOn w:val="Bezlisty"/>
    <w:rsid w:val="00F45500"/>
    <w:pPr>
      <w:numPr>
        <w:numId w:val="124"/>
      </w:numPr>
    </w:pPr>
  </w:style>
  <w:style w:type="table" w:customStyle="1" w:styleId="Tabela-Siatka2">
    <w:name w:val="Tabela - Siatka2"/>
    <w:basedOn w:val="Standardowy"/>
    <w:next w:val="Tabela-Siatka"/>
    <w:uiPriority w:val="59"/>
    <w:rsid w:val="00F455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8Num343">
    <w:name w:val="WW8Num343"/>
    <w:basedOn w:val="Bezlisty"/>
    <w:rsid w:val="00F45500"/>
  </w:style>
  <w:style w:type="numbering" w:customStyle="1" w:styleId="WW8Num143">
    <w:name w:val="WW8Num143"/>
    <w:basedOn w:val="Bezlisty"/>
    <w:rsid w:val="00F45500"/>
  </w:style>
  <w:style w:type="numbering" w:customStyle="1" w:styleId="WW8Num133">
    <w:name w:val="WW8Num133"/>
    <w:basedOn w:val="Bezlisty"/>
    <w:rsid w:val="00F45500"/>
  </w:style>
  <w:style w:type="numbering" w:customStyle="1" w:styleId="WW8Num63">
    <w:name w:val="WW8Num63"/>
    <w:basedOn w:val="Bezlisty"/>
    <w:rsid w:val="00F45500"/>
  </w:style>
  <w:style w:type="numbering" w:customStyle="1" w:styleId="WW8Num653">
    <w:name w:val="WW8Num653"/>
    <w:basedOn w:val="Bezlisty"/>
    <w:rsid w:val="00F45500"/>
  </w:style>
  <w:style w:type="numbering" w:customStyle="1" w:styleId="WW8Num86">
    <w:name w:val="WW8Num86"/>
    <w:basedOn w:val="Bezlisty"/>
    <w:rsid w:val="00F45500"/>
  </w:style>
  <w:style w:type="numbering" w:customStyle="1" w:styleId="WW8Num11011">
    <w:name w:val="WW8Num11011"/>
    <w:basedOn w:val="Bezlisty"/>
    <w:rsid w:val="00F45500"/>
  </w:style>
  <w:style w:type="numbering" w:customStyle="1" w:styleId="WW8Num8813">
    <w:name w:val="WW8Num8813"/>
    <w:basedOn w:val="Bezlisty"/>
    <w:rsid w:val="00F45500"/>
  </w:style>
  <w:style w:type="numbering" w:customStyle="1" w:styleId="WW8Num28112">
    <w:name w:val="WW8Num28112"/>
    <w:basedOn w:val="Bezlisty"/>
    <w:rsid w:val="00F45500"/>
  </w:style>
  <w:style w:type="numbering" w:customStyle="1" w:styleId="WW8Num10113">
    <w:name w:val="WW8Num10113"/>
    <w:basedOn w:val="Bezlisty"/>
    <w:rsid w:val="00F45500"/>
  </w:style>
  <w:style w:type="paragraph" w:customStyle="1" w:styleId="Moj3">
    <w:name w:val="Moj_3"/>
    <w:basedOn w:val="Nagwek3"/>
    <w:qFormat/>
    <w:rsid w:val="00F45500"/>
    <w:pPr>
      <w:numPr>
        <w:ilvl w:val="2"/>
        <w:numId w:val="274"/>
      </w:numPr>
      <w:tabs>
        <w:tab w:val="center" w:pos="851"/>
        <w:tab w:val="center" w:pos="993"/>
      </w:tabs>
      <w:spacing w:before="120" w:after="120" w:line="360" w:lineRule="auto"/>
    </w:pPr>
    <w:rPr>
      <w:rFonts w:ascii="Century Gothic" w:hAnsi="Century Gothic" w:cs="Times New Roman"/>
      <w:sz w:val="20"/>
      <w:szCs w:val="24"/>
      <w:lang w:val="en-US" w:eastAsia="x-none"/>
    </w:rPr>
  </w:style>
  <w:style w:type="paragraph" w:customStyle="1" w:styleId="Moj1">
    <w:name w:val="Moj_1"/>
    <w:basedOn w:val="Nagwek1"/>
    <w:qFormat/>
    <w:rsid w:val="00F45500"/>
    <w:pPr>
      <w:numPr>
        <w:numId w:val="274"/>
      </w:numPr>
      <w:suppressAutoHyphens w:val="0"/>
      <w:overflowPunct/>
      <w:autoSpaceDE/>
      <w:spacing w:after="240" w:line="360" w:lineRule="auto"/>
      <w:textAlignment w:val="auto"/>
    </w:pPr>
    <w:rPr>
      <w:rFonts w:ascii="Century Gothic" w:eastAsia="Lucida Sans Unicode" w:hAnsi="Century Gothic"/>
      <w:bCs/>
      <w:kern w:val="32"/>
      <w:sz w:val="20"/>
      <w:szCs w:val="28"/>
      <w:lang w:val="x-none" w:eastAsia="pl-PL"/>
    </w:rPr>
  </w:style>
  <w:style w:type="paragraph" w:customStyle="1" w:styleId="Moj2">
    <w:name w:val="Moj_2"/>
    <w:basedOn w:val="Nagwek2"/>
    <w:qFormat/>
    <w:rsid w:val="00F45500"/>
    <w:pPr>
      <w:numPr>
        <w:ilvl w:val="1"/>
        <w:numId w:val="274"/>
      </w:numPr>
      <w:tabs>
        <w:tab w:val="left" w:pos="993"/>
      </w:tabs>
      <w:suppressAutoHyphens w:val="0"/>
      <w:overflowPunct/>
      <w:autoSpaceDE/>
      <w:spacing w:before="40" w:after="120" w:line="360" w:lineRule="auto"/>
      <w:textAlignment w:val="auto"/>
    </w:pPr>
    <w:rPr>
      <w:rFonts w:ascii="Century Gothic" w:eastAsia="Lucida Sans Unicode" w:hAnsi="Century Gothic" w:cs="Times New Roman"/>
      <w:i w:val="0"/>
      <w:kern w:val="1"/>
      <w:sz w:val="20"/>
      <w:szCs w:val="24"/>
      <w:lang w:val="x-none" w:eastAsia="pl-PL"/>
    </w:rPr>
  </w:style>
  <w:style w:type="numbering" w:customStyle="1" w:styleId="WW8Num58112">
    <w:name w:val="WW8Num58112"/>
    <w:basedOn w:val="Bezlisty"/>
    <w:rsid w:val="000C7B34"/>
  </w:style>
  <w:style w:type="numbering" w:customStyle="1" w:styleId="WW8Num27112">
    <w:name w:val="WW8Num27112"/>
    <w:basedOn w:val="Bezlisty"/>
    <w:rsid w:val="000D799E"/>
  </w:style>
  <w:style w:type="numbering" w:customStyle="1" w:styleId="WW8Num173">
    <w:name w:val="WW8Num173"/>
    <w:basedOn w:val="Bezlisty"/>
    <w:rsid w:val="00C12426"/>
    <w:pPr>
      <w:numPr>
        <w:numId w:val="2"/>
      </w:numPr>
    </w:pPr>
  </w:style>
  <w:style w:type="numbering" w:customStyle="1" w:styleId="WW8Num214">
    <w:name w:val="WW8Num214"/>
    <w:basedOn w:val="Bezlisty"/>
    <w:rsid w:val="00C12426"/>
  </w:style>
  <w:style w:type="numbering" w:customStyle="1" w:styleId="WW8Num223">
    <w:name w:val="WW8Num223"/>
    <w:basedOn w:val="Bezlisty"/>
    <w:rsid w:val="00C12426"/>
    <w:pPr>
      <w:numPr>
        <w:numId w:val="7"/>
      </w:numPr>
    </w:pPr>
  </w:style>
  <w:style w:type="numbering" w:customStyle="1" w:styleId="WW8Num243">
    <w:name w:val="WW8Num243"/>
    <w:basedOn w:val="Bezlisty"/>
    <w:rsid w:val="00C12426"/>
  </w:style>
  <w:style w:type="numbering" w:customStyle="1" w:styleId="WW8Num253">
    <w:name w:val="WW8Num253"/>
    <w:basedOn w:val="Bezlisty"/>
    <w:rsid w:val="00C12426"/>
  </w:style>
  <w:style w:type="numbering" w:customStyle="1" w:styleId="WW8Num263">
    <w:name w:val="WW8Num263"/>
    <w:basedOn w:val="Bezlisty"/>
    <w:rsid w:val="00C12426"/>
    <w:pPr>
      <w:numPr>
        <w:numId w:val="11"/>
      </w:numPr>
    </w:pPr>
  </w:style>
  <w:style w:type="numbering" w:customStyle="1" w:styleId="WW8Num273">
    <w:name w:val="WW8Num273"/>
    <w:basedOn w:val="Bezlisty"/>
    <w:rsid w:val="00C12426"/>
    <w:pPr>
      <w:numPr>
        <w:numId w:val="12"/>
      </w:numPr>
    </w:pPr>
  </w:style>
  <w:style w:type="numbering" w:customStyle="1" w:styleId="WW8Num293">
    <w:name w:val="WW8Num293"/>
    <w:basedOn w:val="Bezlisty"/>
    <w:rsid w:val="00C12426"/>
    <w:pPr>
      <w:numPr>
        <w:numId w:val="14"/>
      </w:numPr>
    </w:pPr>
  </w:style>
  <w:style w:type="numbering" w:customStyle="1" w:styleId="WW8Num303">
    <w:name w:val="WW8Num303"/>
    <w:basedOn w:val="Bezlisty"/>
    <w:rsid w:val="00C12426"/>
  </w:style>
  <w:style w:type="numbering" w:customStyle="1" w:styleId="WW8Num323">
    <w:name w:val="WW8Num323"/>
    <w:basedOn w:val="Bezlisty"/>
    <w:rsid w:val="00C12426"/>
  </w:style>
  <w:style w:type="numbering" w:customStyle="1" w:styleId="WW8Num333">
    <w:name w:val="WW8Num333"/>
    <w:basedOn w:val="Bezlisty"/>
    <w:rsid w:val="00C12426"/>
    <w:pPr>
      <w:numPr>
        <w:numId w:val="18"/>
      </w:numPr>
    </w:pPr>
  </w:style>
  <w:style w:type="numbering" w:customStyle="1" w:styleId="WW8Num583">
    <w:name w:val="WW8Num583"/>
    <w:basedOn w:val="Bezlisty"/>
    <w:rsid w:val="00C12426"/>
    <w:pPr>
      <w:numPr>
        <w:numId w:val="23"/>
      </w:numPr>
    </w:pPr>
  </w:style>
  <w:style w:type="numbering" w:customStyle="1" w:styleId="WW8Num663">
    <w:name w:val="WW8Num663"/>
    <w:basedOn w:val="Bezlisty"/>
    <w:rsid w:val="00C12426"/>
    <w:pPr>
      <w:numPr>
        <w:numId w:val="24"/>
      </w:numPr>
    </w:pPr>
  </w:style>
  <w:style w:type="numbering" w:customStyle="1" w:styleId="WW8Num463">
    <w:name w:val="WW8Num463"/>
    <w:basedOn w:val="Bezlisty"/>
    <w:rsid w:val="00C12426"/>
    <w:pPr>
      <w:numPr>
        <w:numId w:val="25"/>
      </w:numPr>
    </w:pPr>
  </w:style>
  <w:style w:type="numbering" w:customStyle="1" w:styleId="WW8Num316">
    <w:name w:val="WW8Num316"/>
    <w:basedOn w:val="Bezlisty"/>
    <w:rsid w:val="00C12426"/>
    <w:pPr>
      <w:numPr>
        <w:numId w:val="279"/>
      </w:numPr>
    </w:pPr>
  </w:style>
  <w:style w:type="numbering" w:customStyle="1" w:styleId="WW8Num763">
    <w:name w:val="WW8Num763"/>
    <w:basedOn w:val="Bezlisty"/>
    <w:rsid w:val="00C12426"/>
    <w:pPr>
      <w:numPr>
        <w:numId w:val="27"/>
      </w:numPr>
    </w:pPr>
  </w:style>
  <w:style w:type="numbering" w:customStyle="1" w:styleId="WW8Num373">
    <w:name w:val="WW8Num373"/>
    <w:basedOn w:val="Bezlisty"/>
    <w:rsid w:val="00C12426"/>
    <w:pPr>
      <w:numPr>
        <w:numId w:val="28"/>
      </w:numPr>
    </w:pPr>
  </w:style>
  <w:style w:type="numbering" w:customStyle="1" w:styleId="WW8Num383">
    <w:name w:val="WW8Num383"/>
    <w:basedOn w:val="Bezlisty"/>
    <w:rsid w:val="00C12426"/>
    <w:pPr>
      <w:numPr>
        <w:numId w:val="29"/>
      </w:numPr>
    </w:pPr>
  </w:style>
  <w:style w:type="numbering" w:customStyle="1" w:styleId="WW8Num153">
    <w:name w:val="WW8Num153"/>
    <w:basedOn w:val="Bezlisty"/>
    <w:rsid w:val="00C12426"/>
  </w:style>
  <w:style w:type="numbering" w:customStyle="1" w:styleId="WW8Num114">
    <w:name w:val="WW8Num114"/>
    <w:basedOn w:val="Bezlisty"/>
    <w:rsid w:val="00C12426"/>
  </w:style>
  <w:style w:type="numbering" w:customStyle="1" w:styleId="WW8Num163">
    <w:name w:val="WW8Num163"/>
    <w:basedOn w:val="Bezlisty"/>
    <w:rsid w:val="00C12426"/>
    <w:pPr>
      <w:numPr>
        <w:numId w:val="37"/>
      </w:numPr>
    </w:pPr>
  </w:style>
  <w:style w:type="numbering" w:customStyle="1" w:styleId="WW8Num103">
    <w:name w:val="WW8Num103"/>
    <w:basedOn w:val="Bezlisty"/>
    <w:rsid w:val="00C12426"/>
  </w:style>
  <w:style w:type="numbering" w:customStyle="1" w:styleId="WW8Num73">
    <w:name w:val="WW8Num73"/>
    <w:basedOn w:val="Bezlisty"/>
    <w:rsid w:val="00C12426"/>
  </w:style>
  <w:style w:type="numbering" w:customStyle="1" w:styleId="WW8Num215">
    <w:name w:val="WW8Num215"/>
    <w:basedOn w:val="Bezlisty"/>
    <w:rsid w:val="00C12426"/>
  </w:style>
  <w:style w:type="numbering" w:customStyle="1" w:styleId="WW8Num53">
    <w:name w:val="WW8Num53"/>
    <w:basedOn w:val="Bezlisty"/>
    <w:rsid w:val="00C12426"/>
  </w:style>
  <w:style w:type="numbering" w:customStyle="1" w:styleId="WW8Num803">
    <w:name w:val="WW8Num803"/>
    <w:basedOn w:val="Bezlisty"/>
    <w:rsid w:val="00C12426"/>
  </w:style>
  <w:style w:type="numbering" w:customStyle="1" w:styleId="WW8Num813">
    <w:name w:val="WW8Num813"/>
    <w:basedOn w:val="Bezlisty"/>
    <w:rsid w:val="00C12426"/>
  </w:style>
  <w:style w:type="numbering" w:customStyle="1" w:styleId="WW8Num823">
    <w:name w:val="WW8Num823"/>
    <w:basedOn w:val="Bezlisty"/>
    <w:rsid w:val="00C12426"/>
  </w:style>
  <w:style w:type="numbering" w:customStyle="1" w:styleId="WW8Num833">
    <w:name w:val="WW8Num833"/>
    <w:basedOn w:val="Bezlisty"/>
    <w:rsid w:val="00C12426"/>
    <w:pPr>
      <w:numPr>
        <w:numId w:val="45"/>
      </w:numPr>
    </w:pPr>
  </w:style>
  <w:style w:type="numbering" w:customStyle="1" w:styleId="WW8StyleNum3">
    <w:name w:val="WW8StyleNum3"/>
    <w:basedOn w:val="Bezlisty"/>
    <w:rsid w:val="00C12426"/>
    <w:pPr>
      <w:numPr>
        <w:numId w:val="46"/>
      </w:numPr>
    </w:pPr>
  </w:style>
  <w:style w:type="numbering" w:customStyle="1" w:styleId="WW8Num115">
    <w:name w:val="WW8Num115"/>
    <w:basedOn w:val="Bezlisty"/>
    <w:rsid w:val="00C12426"/>
    <w:pPr>
      <w:numPr>
        <w:numId w:val="47"/>
      </w:numPr>
    </w:pPr>
  </w:style>
  <w:style w:type="numbering" w:customStyle="1" w:styleId="WW8Num883">
    <w:name w:val="WW8Num883"/>
    <w:basedOn w:val="Bezlisty"/>
    <w:rsid w:val="00C12426"/>
    <w:pPr>
      <w:numPr>
        <w:numId w:val="48"/>
      </w:numPr>
    </w:pPr>
  </w:style>
  <w:style w:type="numbering" w:customStyle="1" w:styleId="WW8Num362">
    <w:name w:val="WW8Num362"/>
    <w:basedOn w:val="Bezlisty"/>
    <w:rsid w:val="00C12426"/>
  </w:style>
  <w:style w:type="numbering" w:customStyle="1" w:styleId="WW8Num392">
    <w:name w:val="WW8Num392"/>
    <w:basedOn w:val="Bezlisty"/>
    <w:rsid w:val="00C12426"/>
  </w:style>
  <w:style w:type="numbering" w:customStyle="1" w:styleId="WW8Num402">
    <w:name w:val="WW8Num402"/>
    <w:basedOn w:val="Bezlisty"/>
    <w:rsid w:val="00C12426"/>
  </w:style>
  <w:style w:type="numbering" w:customStyle="1" w:styleId="WW8Num412">
    <w:name w:val="WW8Num412"/>
    <w:basedOn w:val="Bezlisty"/>
    <w:rsid w:val="00C12426"/>
  </w:style>
  <w:style w:type="numbering" w:customStyle="1" w:styleId="WW8Num422">
    <w:name w:val="WW8Num422"/>
    <w:basedOn w:val="Bezlisty"/>
    <w:rsid w:val="00C12426"/>
  </w:style>
  <w:style w:type="numbering" w:customStyle="1" w:styleId="WW8Num432">
    <w:name w:val="WW8Num432"/>
    <w:basedOn w:val="Bezlisty"/>
    <w:rsid w:val="00C12426"/>
  </w:style>
  <w:style w:type="numbering" w:customStyle="1" w:styleId="WW8Num442">
    <w:name w:val="WW8Num442"/>
    <w:basedOn w:val="Bezlisty"/>
    <w:rsid w:val="00C12426"/>
  </w:style>
  <w:style w:type="numbering" w:customStyle="1" w:styleId="WW8Num3112">
    <w:name w:val="WW8Num3112"/>
    <w:basedOn w:val="Bezlisty"/>
    <w:rsid w:val="00C12426"/>
    <w:pPr>
      <w:numPr>
        <w:numId w:val="232"/>
      </w:numPr>
    </w:pPr>
  </w:style>
  <w:style w:type="numbering" w:customStyle="1" w:styleId="WW8Num2012">
    <w:name w:val="WW8Num2012"/>
    <w:basedOn w:val="Bezlisty"/>
    <w:rsid w:val="00C12426"/>
  </w:style>
  <w:style w:type="numbering" w:customStyle="1" w:styleId="WW8Num2512">
    <w:name w:val="WW8Num2512"/>
    <w:basedOn w:val="Bezlisty"/>
    <w:rsid w:val="00C12426"/>
    <w:pPr>
      <w:numPr>
        <w:numId w:val="237"/>
      </w:numPr>
    </w:pPr>
  </w:style>
  <w:style w:type="numbering" w:customStyle="1" w:styleId="WW8Num2612">
    <w:name w:val="WW8Num2612"/>
    <w:basedOn w:val="Bezlisty"/>
    <w:rsid w:val="00C12426"/>
    <w:pPr>
      <w:numPr>
        <w:numId w:val="238"/>
      </w:numPr>
    </w:pPr>
  </w:style>
  <w:style w:type="numbering" w:customStyle="1" w:styleId="WW8Num6512">
    <w:name w:val="WW8Num6512"/>
    <w:basedOn w:val="Bezlisty"/>
    <w:rsid w:val="00C12426"/>
  </w:style>
  <w:style w:type="numbering" w:customStyle="1" w:styleId="WW8Num2102">
    <w:name w:val="WW8Num2102"/>
    <w:basedOn w:val="Bezlisty"/>
    <w:rsid w:val="00C12426"/>
    <w:pPr>
      <w:numPr>
        <w:numId w:val="242"/>
      </w:numPr>
    </w:pPr>
  </w:style>
  <w:style w:type="numbering" w:customStyle="1" w:styleId="WW8Num8012">
    <w:name w:val="WW8Num8012"/>
    <w:basedOn w:val="Bezlisty"/>
    <w:rsid w:val="00C12426"/>
  </w:style>
  <w:style w:type="numbering" w:customStyle="1" w:styleId="WW8Num8112">
    <w:name w:val="WW8Num8112"/>
    <w:basedOn w:val="Bezlisty"/>
    <w:rsid w:val="00C12426"/>
  </w:style>
  <w:style w:type="numbering" w:customStyle="1" w:styleId="WW8Num8212">
    <w:name w:val="WW8Num8212"/>
    <w:basedOn w:val="Bezlisty"/>
    <w:rsid w:val="00C12426"/>
  </w:style>
  <w:style w:type="numbering" w:customStyle="1" w:styleId="WW8Num8312">
    <w:name w:val="WW8Num8312"/>
    <w:basedOn w:val="Bezlisty"/>
    <w:rsid w:val="00C12426"/>
  </w:style>
  <w:style w:type="numbering" w:customStyle="1" w:styleId="WW8StyleNum12">
    <w:name w:val="WW8StyleNum12"/>
    <w:basedOn w:val="Bezlisty"/>
    <w:rsid w:val="00C12426"/>
  </w:style>
  <w:style w:type="numbering" w:customStyle="1" w:styleId="WW8Num8812">
    <w:name w:val="WW8Num8812"/>
    <w:basedOn w:val="Bezlisty"/>
    <w:rsid w:val="00C12426"/>
  </w:style>
  <w:style w:type="numbering" w:customStyle="1" w:styleId="WW8Num3421">
    <w:name w:val="WW8Num3421"/>
    <w:basedOn w:val="Bezlisty"/>
    <w:rsid w:val="00C12426"/>
    <w:pPr>
      <w:numPr>
        <w:numId w:val="288"/>
      </w:numPr>
    </w:pPr>
  </w:style>
  <w:style w:type="numbering" w:customStyle="1" w:styleId="WW8Num1721">
    <w:name w:val="WW8Num1721"/>
    <w:basedOn w:val="Bezlisty"/>
    <w:rsid w:val="00C12426"/>
  </w:style>
  <w:style w:type="numbering" w:customStyle="1" w:styleId="WW8Num1831">
    <w:name w:val="WW8Num1831"/>
    <w:basedOn w:val="Bezlisty"/>
    <w:rsid w:val="00C12426"/>
    <w:pPr>
      <w:numPr>
        <w:numId w:val="149"/>
      </w:numPr>
    </w:pPr>
  </w:style>
  <w:style w:type="numbering" w:customStyle="1" w:styleId="WW8Num1921">
    <w:name w:val="WW8Num1921"/>
    <w:basedOn w:val="Bezlisty"/>
    <w:rsid w:val="00C12426"/>
    <w:pPr>
      <w:numPr>
        <w:numId w:val="150"/>
      </w:numPr>
    </w:pPr>
  </w:style>
  <w:style w:type="numbering" w:customStyle="1" w:styleId="WW8Num2021">
    <w:name w:val="WW8Num2021"/>
    <w:basedOn w:val="Bezlisty"/>
    <w:rsid w:val="00C12426"/>
    <w:pPr>
      <w:numPr>
        <w:numId w:val="151"/>
      </w:numPr>
    </w:pPr>
  </w:style>
  <w:style w:type="numbering" w:customStyle="1" w:styleId="WW8Num2121">
    <w:name w:val="WW8Num2121"/>
    <w:basedOn w:val="Bezlisty"/>
    <w:rsid w:val="00C12426"/>
  </w:style>
  <w:style w:type="numbering" w:customStyle="1" w:styleId="WW8Num2221">
    <w:name w:val="WW8Num2221"/>
    <w:basedOn w:val="Bezlisty"/>
    <w:rsid w:val="00C12426"/>
    <w:pPr>
      <w:numPr>
        <w:numId w:val="153"/>
      </w:numPr>
    </w:pPr>
  </w:style>
  <w:style w:type="numbering" w:customStyle="1" w:styleId="WW8Num2321">
    <w:name w:val="WW8Num2321"/>
    <w:basedOn w:val="Bezlisty"/>
    <w:rsid w:val="00C12426"/>
    <w:pPr>
      <w:numPr>
        <w:numId w:val="154"/>
      </w:numPr>
    </w:pPr>
  </w:style>
  <w:style w:type="numbering" w:customStyle="1" w:styleId="WW8Num2421">
    <w:name w:val="WW8Num2421"/>
    <w:basedOn w:val="Bezlisty"/>
    <w:rsid w:val="00C12426"/>
    <w:pPr>
      <w:numPr>
        <w:numId w:val="155"/>
      </w:numPr>
    </w:pPr>
  </w:style>
  <w:style w:type="numbering" w:customStyle="1" w:styleId="WW8Num2521">
    <w:name w:val="WW8Num2521"/>
    <w:basedOn w:val="Bezlisty"/>
    <w:rsid w:val="00C12426"/>
  </w:style>
  <w:style w:type="numbering" w:customStyle="1" w:styleId="WW8Num2621">
    <w:name w:val="WW8Num2621"/>
    <w:basedOn w:val="Bezlisty"/>
    <w:rsid w:val="00C12426"/>
    <w:pPr>
      <w:numPr>
        <w:numId w:val="291"/>
      </w:numPr>
    </w:pPr>
  </w:style>
  <w:style w:type="numbering" w:customStyle="1" w:styleId="WW8Num2721">
    <w:name w:val="WW8Num2721"/>
    <w:basedOn w:val="Bezlisty"/>
    <w:rsid w:val="00C12426"/>
    <w:pPr>
      <w:numPr>
        <w:numId w:val="328"/>
      </w:numPr>
    </w:pPr>
  </w:style>
  <w:style w:type="numbering" w:customStyle="1" w:styleId="WW8Num2821">
    <w:name w:val="WW8Num2821"/>
    <w:basedOn w:val="Bezlisty"/>
    <w:rsid w:val="00C12426"/>
  </w:style>
  <w:style w:type="numbering" w:customStyle="1" w:styleId="WW8Num2921">
    <w:name w:val="WW8Num2921"/>
    <w:basedOn w:val="Bezlisty"/>
    <w:rsid w:val="00C12426"/>
    <w:pPr>
      <w:numPr>
        <w:numId w:val="293"/>
      </w:numPr>
    </w:pPr>
  </w:style>
  <w:style w:type="numbering" w:customStyle="1" w:styleId="WW8Num3021">
    <w:name w:val="WW8Num3021"/>
    <w:basedOn w:val="Bezlisty"/>
    <w:rsid w:val="00C12426"/>
    <w:pPr>
      <w:numPr>
        <w:numId w:val="294"/>
      </w:numPr>
    </w:pPr>
  </w:style>
  <w:style w:type="numbering" w:customStyle="1" w:styleId="WW8Num3141">
    <w:name w:val="WW8Num3141"/>
    <w:basedOn w:val="Bezlisty"/>
    <w:rsid w:val="00C12426"/>
    <w:pPr>
      <w:numPr>
        <w:numId w:val="327"/>
      </w:numPr>
    </w:pPr>
  </w:style>
  <w:style w:type="numbering" w:customStyle="1" w:styleId="WW8Num3221">
    <w:name w:val="WW8Num3221"/>
    <w:basedOn w:val="Bezlisty"/>
    <w:rsid w:val="00C12426"/>
    <w:pPr>
      <w:numPr>
        <w:numId w:val="295"/>
      </w:numPr>
    </w:pPr>
  </w:style>
  <w:style w:type="numbering" w:customStyle="1" w:styleId="WW8Num3321">
    <w:name w:val="WW8Num3321"/>
    <w:basedOn w:val="Bezlisty"/>
    <w:rsid w:val="00C12426"/>
  </w:style>
  <w:style w:type="numbering" w:customStyle="1" w:styleId="WW8Num1421">
    <w:name w:val="WW8Num1421"/>
    <w:basedOn w:val="Bezlisty"/>
    <w:rsid w:val="00C12426"/>
    <w:pPr>
      <w:numPr>
        <w:numId w:val="297"/>
      </w:numPr>
    </w:pPr>
  </w:style>
  <w:style w:type="numbering" w:customStyle="1" w:styleId="WW8Num1321">
    <w:name w:val="WW8Num1321"/>
    <w:basedOn w:val="Bezlisty"/>
    <w:rsid w:val="00C12426"/>
    <w:pPr>
      <w:numPr>
        <w:numId w:val="298"/>
      </w:numPr>
    </w:pPr>
  </w:style>
  <w:style w:type="numbering" w:customStyle="1" w:styleId="WW8Num621">
    <w:name w:val="WW8Num621"/>
    <w:basedOn w:val="Bezlisty"/>
    <w:rsid w:val="00C12426"/>
    <w:pPr>
      <w:numPr>
        <w:numId w:val="299"/>
      </w:numPr>
    </w:pPr>
  </w:style>
  <w:style w:type="numbering" w:customStyle="1" w:styleId="WW8Num3521">
    <w:name w:val="WW8Num3521"/>
    <w:basedOn w:val="Bezlisty"/>
    <w:rsid w:val="00C12426"/>
    <w:pPr>
      <w:numPr>
        <w:numId w:val="300"/>
      </w:numPr>
    </w:pPr>
  </w:style>
  <w:style w:type="numbering" w:customStyle="1" w:styleId="WW8Num5821">
    <w:name w:val="WW8Num5821"/>
    <w:basedOn w:val="Bezlisty"/>
    <w:rsid w:val="00C12426"/>
    <w:pPr>
      <w:numPr>
        <w:numId w:val="287"/>
      </w:numPr>
    </w:pPr>
  </w:style>
  <w:style w:type="numbering" w:customStyle="1" w:styleId="WW8Num6621">
    <w:name w:val="WW8Num6621"/>
    <w:basedOn w:val="Bezlisty"/>
    <w:rsid w:val="00C12426"/>
  </w:style>
  <w:style w:type="numbering" w:customStyle="1" w:styleId="WW8Num4621">
    <w:name w:val="WW8Num4621"/>
    <w:basedOn w:val="Bezlisty"/>
    <w:rsid w:val="00C12426"/>
  </w:style>
  <w:style w:type="numbering" w:customStyle="1" w:styleId="WW8Num3151">
    <w:name w:val="WW8Num3151"/>
    <w:basedOn w:val="Bezlisty"/>
    <w:rsid w:val="00C12426"/>
  </w:style>
  <w:style w:type="numbering" w:customStyle="1" w:styleId="WW8Num7621">
    <w:name w:val="WW8Num7621"/>
    <w:basedOn w:val="Bezlisty"/>
    <w:rsid w:val="00C12426"/>
  </w:style>
  <w:style w:type="numbering" w:customStyle="1" w:styleId="WW8Num3721">
    <w:name w:val="WW8Num3721"/>
    <w:basedOn w:val="Bezlisty"/>
    <w:rsid w:val="00C12426"/>
  </w:style>
  <w:style w:type="numbering" w:customStyle="1" w:styleId="WW8Num3821">
    <w:name w:val="WW8Num3821"/>
    <w:basedOn w:val="Bezlisty"/>
    <w:rsid w:val="00C12426"/>
  </w:style>
  <w:style w:type="numbering" w:customStyle="1" w:styleId="WW8Num6521">
    <w:name w:val="WW8Num6521"/>
    <w:basedOn w:val="Bezlisty"/>
    <w:rsid w:val="00C12426"/>
  </w:style>
  <w:style w:type="numbering" w:customStyle="1" w:styleId="WW8Num851">
    <w:name w:val="WW8Num851"/>
    <w:basedOn w:val="Bezlisty"/>
    <w:rsid w:val="00C12426"/>
  </w:style>
  <w:style w:type="numbering" w:customStyle="1" w:styleId="WW8Num1521">
    <w:name w:val="WW8Num1521"/>
    <w:basedOn w:val="Bezlisty"/>
    <w:rsid w:val="00C12426"/>
  </w:style>
  <w:style w:type="numbering" w:customStyle="1" w:styleId="WW8Num471">
    <w:name w:val="WW8Num471"/>
    <w:basedOn w:val="Bezlisty"/>
    <w:rsid w:val="00C12426"/>
  </w:style>
  <w:style w:type="numbering" w:customStyle="1" w:styleId="WW8Num921">
    <w:name w:val="WW8Num921"/>
    <w:basedOn w:val="Bezlisty"/>
    <w:rsid w:val="00C12426"/>
  </w:style>
  <w:style w:type="numbering" w:customStyle="1" w:styleId="WW8Num1241">
    <w:name w:val="WW8Num1241"/>
    <w:basedOn w:val="Bezlisty"/>
    <w:rsid w:val="00C12426"/>
  </w:style>
  <w:style w:type="numbering" w:customStyle="1" w:styleId="WW8Num1121">
    <w:name w:val="WW8Num1121"/>
    <w:basedOn w:val="Bezlisty"/>
    <w:rsid w:val="00C12426"/>
  </w:style>
  <w:style w:type="numbering" w:customStyle="1" w:styleId="WW8Num1621">
    <w:name w:val="WW8Num1621"/>
    <w:basedOn w:val="Bezlisty"/>
    <w:rsid w:val="00C12426"/>
  </w:style>
  <w:style w:type="numbering" w:customStyle="1" w:styleId="WW8Num1021">
    <w:name w:val="WW8Num1021"/>
    <w:basedOn w:val="Bezlisty"/>
    <w:rsid w:val="00C12426"/>
  </w:style>
  <w:style w:type="numbering" w:customStyle="1" w:styleId="WW8Num721">
    <w:name w:val="WW8Num721"/>
    <w:basedOn w:val="Bezlisty"/>
    <w:rsid w:val="00C12426"/>
  </w:style>
  <w:style w:type="numbering" w:customStyle="1" w:styleId="WW8Num2131">
    <w:name w:val="WW8Num2131"/>
    <w:basedOn w:val="Bezlisty"/>
    <w:rsid w:val="00C12426"/>
  </w:style>
  <w:style w:type="numbering" w:customStyle="1" w:styleId="WW8Num521">
    <w:name w:val="WW8Num521"/>
    <w:basedOn w:val="Bezlisty"/>
    <w:rsid w:val="00C12426"/>
  </w:style>
  <w:style w:type="numbering" w:customStyle="1" w:styleId="WW8Num8021">
    <w:name w:val="WW8Num8021"/>
    <w:basedOn w:val="Bezlisty"/>
    <w:rsid w:val="00C12426"/>
  </w:style>
  <w:style w:type="numbering" w:customStyle="1" w:styleId="WW8Num8121">
    <w:name w:val="WW8Num8121"/>
    <w:basedOn w:val="Bezlisty"/>
    <w:rsid w:val="00C12426"/>
  </w:style>
  <w:style w:type="numbering" w:customStyle="1" w:styleId="WW8Num8221">
    <w:name w:val="WW8Num8221"/>
    <w:basedOn w:val="Bezlisty"/>
    <w:rsid w:val="00C12426"/>
  </w:style>
  <w:style w:type="numbering" w:customStyle="1" w:styleId="WW8Num8321">
    <w:name w:val="WW8Num8321"/>
    <w:basedOn w:val="Bezlisty"/>
    <w:rsid w:val="00C12426"/>
  </w:style>
  <w:style w:type="numbering" w:customStyle="1" w:styleId="WW8StyleNum21">
    <w:name w:val="WW8StyleNum21"/>
    <w:basedOn w:val="Bezlisty"/>
    <w:rsid w:val="00C12426"/>
  </w:style>
  <w:style w:type="numbering" w:customStyle="1" w:styleId="WW8Num1131">
    <w:name w:val="WW8Num1131"/>
    <w:basedOn w:val="Bezlisty"/>
    <w:rsid w:val="00C12426"/>
  </w:style>
  <w:style w:type="numbering" w:customStyle="1" w:styleId="WW8Num8821">
    <w:name w:val="WW8Num8821"/>
    <w:basedOn w:val="Bezlisty"/>
    <w:rsid w:val="00C12426"/>
  </w:style>
  <w:style w:type="numbering" w:customStyle="1" w:styleId="WW8Num31111">
    <w:name w:val="WW8Num31111"/>
    <w:basedOn w:val="Bezlisty"/>
    <w:rsid w:val="00C12426"/>
  </w:style>
  <w:style w:type="numbering" w:customStyle="1" w:styleId="WW8Num12111">
    <w:name w:val="WW8Num12111"/>
    <w:basedOn w:val="Bezlisty"/>
    <w:rsid w:val="00C12426"/>
  </w:style>
  <w:style w:type="numbering" w:customStyle="1" w:styleId="WW8Num18111">
    <w:name w:val="WW8Num18111"/>
    <w:basedOn w:val="Bezlisty"/>
    <w:rsid w:val="00C12426"/>
    <w:pPr>
      <w:numPr>
        <w:numId w:val="234"/>
      </w:numPr>
    </w:pPr>
  </w:style>
  <w:style w:type="numbering" w:customStyle="1" w:styleId="WW8Num34111">
    <w:name w:val="WW8Num34111"/>
    <w:basedOn w:val="Bezlisty"/>
    <w:rsid w:val="00C12426"/>
    <w:pPr>
      <w:numPr>
        <w:numId w:val="69"/>
      </w:numPr>
    </w:pPr>
  </w:style>
  <w:style w:type="numbering" w:customStyle="1" w:styleId="WW8Num19111">
    <w:name w:val="WW8Num19111"/>
    <w:basedOn w:val="Bezlisty"/>
    <w:rsid w:val="00C12426"/>
  </w:style>
  <w:style w:type="numbering" w:customStyle="1" w:styleId="WW8Num20111">
    <w:name w:val="WW8Num20111"/>
    <w:basedOn w:val="Bezlisty"/>
    <w:rsid w:val="00C12426"/>
  </w:style>
  <w:style w:type="numbering" w:customStyle="1" w:styleId="WW8Num21111">
    <w:name w:val="WW8Num21111"/>
    <w:basedOn w:val="Bezlisty"/>
    <w:rsid w:val="00C12426"/>
  </w:style>
  <w:style w:type="numbering" w:customStyle="1" w:styleId="WW8Num22111">
    <w:name w:val="WW8Num22111"/>
    <w:basedOn w:val="Bezlisty"/>
    <w:rsid w:val="00C12426"/>
  </w:style>
  <w:style w:type="numbering" w:customStyle="1" w:styleId="WW8Num23111">
    <w:name w:val="WW8Num23111"/>
    <w:basedOn w:val="Bezlisty"/>
    <w:rsid w:val="00C12426"/>
    <w:pPr>
      <w:numPr>
        <w:numId w:val="235"/>
      </w:numPr>
    </w:pPr>
  </w:style>
  <w:style w:type="numbering" w:customStyle="1" w:styleId="WW8Num24111">
    <w:name w:val="WW8Num24111"/>
    <w:basedOn w:val="Bezlisty"/>
    <w:rsid w:val="00C12426"/>
    <w:pPr>
      <w:numPr>
        <w:numId w:val="236"/>
      </w:numPr>
    </w:pPr>
  </w:style>
  <w:style w:type="numbering" w:customStyle="1" w:styleId="WW8Num26111">
    <w:name w:val="WW8Num26111"/>
    <w:basedOn w:val="Bezlisty"/>
    <w:rsid w:val="00C12426"/>
  </w:style>
  <w:style w:type="numbering" w:customStyle="1" w:styleId="WW8Num27111">
    <w:name w:val="WW8Num27111"/>
    <w:basedOn w:val="Bezlisty"/>
    <w:rsid w:val="00C12426"/>
  </w:style>
  <w:style w:type="numbering" w:customStyle="1" w:styleId="WW8Num28111">
    <w:name w:val="WW8Num28111"/>
    <w:basedOn w:val="Bezlisty"/>
    <w:rsid w:val="00C12426"/>
  </w:style>
  <w:style w:type="numbering" w:customStyle="1" w:styleId="WW8Num29111">
    <w:name w:val="WW8Num29111"/>
    <w:basedOn w:val="Bezlisty"/>
    <w:rsid w:val="00C12426"/>
  </w:style>
  <w:style w:type="numbering" w:customStyle="1" w:styleId="WW8Num30111">
    <w:name w:val="WW8Num30111"/>
    <w:basedOn w:val="Bezlisty"/>
    <w:rsid w:val="00C12426"/>
  </w:style>
  <w:style w:type="numbering" w:customStyle="1" w:styleId="WW8Num32111">
    <w:name w:val="WW8Num32111"/>
    <w:basedOn w:val="Bezlisty"/>
    <w:rsid w:val="00C12426"/>
  </w:style>
  <w:style w:type="numbering" w:customStyle="1" w:styleId="WW8Num33111">
    <w:name w:val="WW8Num33111"/>
    <w:basedOn w:val="Bezlisty"/>
    <w:rsid w:val="00C12426"/>
  </w:style>
  <w:style w:type="numbering" w:customStyle="1" w:styleId="WW8Num14111">
    <w:name w:val="WW8Num14111"/>
    <w:basedOn w:val="Bezlisty"/>
    <w:rsid w:val="00C12426"/>
  </w:style>
  <w:style w:type="numbering" w:customStyle="1" w:styleId="WW8Num13111">
    <w:name w:val="WW8Num13111"/>
    <w:basedOn w:val="Bezlisty"/>
    <w:rsid w:val="00C12426"/>
  </w:style>
  <w:style w:type="numbering" w:customStyle="1" w:styleId="WW8Num58111">
    <w:name w:val="WW8Num58111"/>
    <w:basedOn w:val="Bezlisty"/>
    <w:rsid w:val="00C12426"/>
  </w:style>
  <w:style w:type="numbering" w:customStyle="1" w:styleId="WW8Num66111">
    <w:name w:val="WW8Num66111"/>
    <w:basedOn w:val="Bezlisty"/>
    <w:rsid w:val="00C12426"/>
  </w:style>
  <w:style w:type="numbering" w:customStyle="1" w:styleId="WW8Num31011">
    <w:name w:val="WW8Num31011"/>
    <w:basedOn w:val="Bezlisty"/>
    <w:rsid w:val="00C12426"/>
  </w:style>
  <w:style w:type="numbering" w:customStyle="1" w:styleId="WW8Num76111">
    <w:name w:val="WW8Num76111"/>
    <w:basedOn w:val="Bezlisty"/>
    <w:rsid w:val="00C12426"/>
  </w:style>
  <w:style w:type="numbering" w:customStyle="1" w:styleId="WW8Num37111">
    <w:name w:val="WW8Num37111"/>
    <w:basedOn w:val="Bezlisty"/>
    <w:rsid w:val="00C12426"/>
  </w:style>
  <w:style w:type="numbering" w:customStyle="1" w:styleId="WW8Num38111">
    <w:name w:val="WW8Num38111"/>
    <w:basedOn w:val="Bezlisty"/>
    <w:rsid w:val="00C12426"/>
  </w:style>
  <w:style w:type="numbering" w:customStyle="1" w:styleId="WW8Num65111">
    <w:name w:val="WW8Num65111"/>
    <w:basedOn w:val="Bezlisty"/>
    <w:rsid w:val="00C12426"/>
  </w:style>
  <w:style w:type="numbering" w:customStyle="1" w:styleId="WW8Num8411">
    <w:name w:val="WW8Num8411"/>
    <w:basedOn w:val="Bezlisty"/>
    <w:rsid w:val="00C12426"/>
  </w:style>
  <w:style w:type="numbering" w:customStyle="1" w:styleId="WW8Num15111">
    <w:name w:val="WW8Num15111"/>
    <w:basedOn w:val="Bezlisty"/>
    <w:rsid w:val="00C12426"/>
  </w:style>
  <w:style w:type="numbering" w:customStyle="1" w:styleId="WW8Num4511">
    <w:name w:val="WW8Num4511"/>
    <w:basedOn w:val="Bezlisty"/>
    <w:rsid w:val="00C12426"/>
  </w:style>
  <w:style w:type="numbering" w:customStyle="1" w:styleId="WW8Num9111">
    <w:name w:val="WW8Num9111"/>
    <w:basedOn w:val="Bezlisty"/>
    <w:rsid w:val="00C12426"/>
  </w:style>
  <w:style w:type="numbering" w:customStyle="1" w:styleId="WW8Num11111">
    <w:name w:val="WW8Num11111"/>
    <w:basedOn w:val="Bezlisty"/>
    <w:rsid w:val="00C12426"/>
  </w:style>
  <w:style w:type="numbering" w:customStyle="1" w:styleId="WW8Num16111">
    <w:name w:val="WW8Num16111"/>
    <w:basedOn w:val="Bezlisty"/>
    <w:rsid w:val="00C12426"/>
  </w:style>
  <w:style w:type="numbering" w:customStyle="1" w:styleId="WW8Num10111">
    <w:name w:val="WW8Num10111"/>
    <w:basedOn w:val="Bezlisty"/>
    <w:rsid w:val="00C12426"/>
  </w:style>
  <w:style w:type="numbering" w:customStyle="1" w:styleId="WW8Num7111">
    <w:name w:val="WW8Num7111"/>
    <w:basedOn w:val="Bezlisty"/>
    <w:rsid w:val="00C12426"/>
  </w:style>
  <w:style w:type="numbering" w:customStyle="1" w:styleId="WW8Num5111">
    <w:name w:val="WW8Num5111"/>
    <w:basedOn w:val="Bezlisty"/>
    <w:rsid w:val="00C12426"/>
  </w:style>
  <w:style w:type="numbering" w:customStyle="1" w:styleId="WW8Num80111">
    <w:name w:val="WW8Num80111"/>
    <w:basedOn w:val="Bezlisty"/>
    <w:rsid w:val="00C12426"/>
  </w:style>
  <w:style w:type="numbering" w:customStyle="1" w:styleId="WW8Num81111">
    <w:name w:val="WW8Num81111"/>
    <w:basedOn w:val="Bezlisty"/>
    <w:rsid w:val="00C12426"/>
  </w:style>
  <w:style w:type="numbering" w:customStyle="1" w:styleId="WW8Num82111">
    <w:name w:val="WW8Num82111"/>
    <w:basedOn w:val="Bezlisty"/>
    <w:rsid w:val="00C12426"/>
  </w:style>
  <w:style w:type="numbering" w:customStyle="1" w:styleId="WW8Num83111">
    <w:name w:val="WW8Num83111"/>
    <w:basedOn w:val="Bezlisty"/>
    <w:rsid w:val="00C12426"/>
  </w:style>
  <w:style w:type="numbering" w:customStyle="1" w:styleId="WW8StyleNum111">
    <w:name w:val="WW8StyleNum111"/>
    <w:basedOn w:val="Bezlisty"/>
    <w:rsid w:val="00C12426"/>
  </w:style>
  <w:style w:type="numbering" w:customStyle="1" w:styleId="WW8Num88111">
    <w:name w:val="WW8Num88111"/>
    <w:basedOn w:val="Bezlisty"/>
    <w:rsid w:val="00C12426"/>
    <w:pPr>
      <w:numPr>
        <w:numId w:val="241"/>
      </w:numPr>
    </w:pPr>
  </w:style>
  <w:style w:type="numbering" w:customStyle="1" w:styleId="PunktowaneST1">
    <w:name w:val="Punktowane ST1"/>
    <w:basedOn w:val="Bezlisty"/>
    <w:rsid w:val="00C12426"/>
  </w:style>
  <w:style w:type="numbering" w:customStyle="1" w:styleId="WW8Num210111">
    <w:name w:val="WW8Num210111"/>
    <w:basedOn w:val="Bezlisty"/>
    <w:rsid w:val="00C12426"/>
    <w:pPr>
      <w:numPr>
        <w:numId w:val="292"/>
      </w:numPr>
    </w:pPr>
  </w:style>
  <w:style w:type="numbering" w:customStyle="1" w:styleId="WW8Num216">
    <w:name w:val="WW8Num216"/>
    <w:basedOn w:val="Bezlisty"/>
    <w:rsid w:val="00C12426"/>
  </w:style>
  <w:style w:type="numbering" w:customStyle="1" w:styleId="WW8Num244">
    <w:name w:val="WW8Num244"/>
    <w:basedOn w:val="Bezlisty"/>
    <w:rsid w:val="00C12426"/>
  </w:style>
  <w:style w:type="numbering" w:customStyle="1" w:styleId="WW8Num254">
    <w:name w:val="WW8Num254"/>
    <w:basedOn w:val="Bezlisty"/>
    <w:rsid w:val="00C12426"/>
  </w:style>
  <w:style w:type="numbering" w:customStyle="1" w:styleId="WW8Num304">
    <w:name w:val="WW8Num304"/>
    <w:basedOn w:val="Bezlisty"/>
    <w:rsid w:val="00C12426"/>
  </w:style>
  <w:style w:type="numbering" w:customStyle="1" w:styleId="WW8Num324">
    <w:name w:val="WW8Num324"/>
    <w:basedOn w:val="Bezlisty"/>
    <w:rsid w:val="00C12426"/>
  </w:style>
  <w:style w:type="numbering" w:customStyle="1" w:styleId="WW8Num154">
    <w:name w:val="WW8Num154"/>
    <w:basedOn w:val="Bezlisty"/>
    <w:rsid w:val="00C12426"/>
  </w:style>
  <w:style w:type="numbering" w:customStyle="1" w:styleId="WW8Num116">
    <w:name w:val="WW8Num116"/>
    <w:basedOn w:val="Bezlisty"/>
    <w:rsid w:val="00C12426"/>
  </w:style>
  <w:style w:type="numbering" w:customStyle="1" w:styleId="WW8Num74">
    <w:name w:val="WW8Num74"/>
    <w:basedOn w:val="Bezlisty"/>
    <w:rsid w:val="00C12426"/>
  </w:style>
  <w:style w:type="numbering" w:customStyle="1" w:styleId="WW8Num217">
    <w:name w:val="WW8Num217"/>
    <w:basedOn w:val="Bezlisty"/>
    <w:rsid w:val="00C12426"/>
    <w:pPr>
      <w:numPr>
        <w:numId w:val="40"/>
      </w:numPr>
    </w:pPr>
  </w:style>
  <w:style w:type="numbering" w:customStyle="1" w:styleId="WW8Num54">
    <w:name w:val="WW8Num54"/>
    <w:basedOn w:val="Bezlisty"/>
    <w:rsid w:val="00C12426"/>
    <w:pPr>
      <w:numPr>
        <w:numId w:val="280"/>
      </w:numPr>
    </w:pPr>
  </w:style>
  <w:style w:type="numbering" w:customStyle="1" w:styleId="WW8Num804">
    <w:name w:val="WW8Num804"/>
    <w:basedOn w:val="Bezlisty"/>
    <w:rsid w:val="00C12426"/>
    <w:pPr>
      <w:numPr>
        <w:numId w:val="42"/>
      </w:numPr>
    </w:pPr>
  </w:style>
  <w:style w:type="numbering" w:customStyle="1" w:styleId="WW8Num814">
    <w:name w:val="WW8Num814"/>
    <w:basedOn w:val="Bezlisty"/>
    <w:rsid w:val="00C12426"/>
    <w:pPr>
      <w:numPr>
        <w:numId w:val="43"/>
      </w:numPr>
    </w:pPr>
  </w:style>
  <w:style w:type="numbering" w:customStyle="1" w:styleId="WW8Num824">
    <w:name w:val="WW8Num824"/>
    <w:basedOn w:val="Bezlisty"/>
    <w:rsid w:val="00C12426"/>
    <w:pPr>
      <w:numPr>
        <w:numId w:val="44"/>
      </w:numPr>
    </w:pPr>
  </w:style>
  <w:style w:type="numbering" w:customStyle="1" w:styleId="WW8Num21012">
    <w:name w:val="WW8Num21012"/>
    <w:basedOn w:val="Bezlisty"/>
    <w:rsid w:val="00C12426"/>
    <w:pPr>
      <w:numPr>
        <w:numId w:val="289"/>
      </w:numPr>
    </w:pPr>
  </w:style>
  <w:style w:type="numbering" w:customStyle="1" w:styleId="WW8Num363">
    <w:name w:val="WW8Num363"/>
    <w:basedOn w:val="Bezlisty"/>
    <w:rsid w:val="00C12426"/>
  </w:style>
  <w:style w:type="numbering" w:customStyle="1" w:styleId="WW8Num393">
    <w:name w:val="WW8Num393"/>
    <w:basedOn w:val="Bezlisty"/>
    <w:rsid w:val="00C12426"/>
  </w:style>
  <w:style w:type="numbering" w:customStyle="1" w:styleId="WW8Num403">
    <w:name w:val="WW8Num403"/>
    <w:basedOn w:val="Bezlisty"/>
    <w:rsid w:val="00C12426"/>
  </w:style>
  <w:style w:type="numbering" w:customStyle="1" w:styleId="WW8Num413">
    <w:name w:val="WW8Num413"/>
    <w:basedOn w:val="Bezlisty"/>
    <w:rsid w:val="00C12426"/>
  </w:style>
  <w:style w:type="numbering" w:customStyle="1" w:styleId="WW8Num423">
    <w:name w:val="WW8Num423"/>
    <w:basedOn w:val="Bezlisty"/>
    <w:rsid w:val="00C12426"/>
  </w:style>
  <w:style w:type="numbering" w:customStyle="1" w:styleId="WW8Num433">
    <w:name w:val="WW8Num433"/>
    <w:basedOn w:val="Bezlisty"/>
    <w:rsid w:val="00C12426"/>
  </w:style>
  <w:style w:type="numbering" w:customStyle="1" w:styleId="WW8Num443">
    <w:name w:val="WW8Num443"/>
    <w:basedOn w:val="Bezlisty"/>
    <w:rsid w:val="00C12426"/>
  </w:style>
  <w:style w:type="numbering" w:customStyle="1" w:styleId="WW8Num3113">
    <w:name w:val="WW8Num3113"/>
    <w:basedOn w:val="Bezlisty"/>
    <w:rsid w:val="00C12426"/>
  </w:style>
  <w:style w:type="numbering" w:customStyle="1" w:styleId="WW8Num2013">
    <w:name w:val="WW8Num2013"/>
    <w:basedOn w:val="Bezlisty"/>
    <w:rsid w:val="00C12426"/>
    <w:pPr>
      <w:numPr>
        <w:numId w:val="10"/>
      </w:numPr>
    </w:pPr>
  </w:style>
  <w:style w:type="numbering" w:customStyle="1" w:styleId="WW8Num2513">
    <w:name w:val="WW8Num2513"/>
    <w:basedOn w:val="Bezlisty"/>
    <w:rsid w:val="00C12426"/>
  </w:style>
  <w:style w:type="numbering" w:customStyle="1" w:styleId="WW8Num2613">
    <w:name w:val="WW8Num2613"/>
    <w:basedOn w:val="Bezlisty"/>
    <w:rsid w:val="00C12426"/>
    <w:pPr>
      <w:numPr>
        <w:numId w:val="86"/>
      </w:numPr>
    </w:pPr>
  </w:style>
  <w:style w:type="numbering" w:customStyle="1" w:styleId="WW8Num6513">
    <w:name w:val="WW8Num6513"/>
    <w:basedOn w:val="Bezlisty"/>
    <w:rsid w:val="00C12426"/>
    <w:pPr>
      <w:numPr>
        <w:numId w:val="219"/>
      </w:numPr>
    </w:pPr>
  </w:style>
  <w:style w:type="numbering" w:customStyle="1" w:styleId="WW8Num2103">
    <w:name w:val="WW8Num2103"/>
    <w:basedOn w:val="Bezlisty"/>
    <w:rsid w:val="00C12426"/>
    <w:pPr>
      <w:numPr>
        <w:numId w:val="108"/>
      </w:numPr>
    </w:pPr>
  </w:style>
  <w:style w:type="numbering" w:customStyle="1" w:styleId="WW8Num8013">
    <w:name w:val="WW8Num8013"/>
    <w:basedOn w:val="Bezlisty"/>
    <w:rsid w:val="00C12426"/>
    <w:pPr>
      <w:numPr>
        <w:numId w:val="220"/>
      </w:numPr>
    </w:pPr>
  </w:style>
  <w:style w:type="numbering" w:customStyle="1" w:styleId="WW8Num8113">
    <w:name w:val="WW8Num8113"/>
    <w:basedOn w:val="Bezlisty"/>
    <w:rsid w:val="00C12426"/>
    <w:pPr>
      <w:numPr>
        <w:numId w:val="221"/>
      </w:numPr>
    </w:pPr>
  </w:style>
  <w:style w:type="numbering" w:customStyle="1" w:styleId="WW8Num8213">
    <w:name w:val="WW8Num8213"/>
    <w:basedOn w:val="Bezlisty"/>
    <w:rsid w:val="00C12426"/>
    <w:pPr>
      <w:numPr>
        <w:numId w:val="222"/>
      </w:numPr>
    </w:pPr>
  </w:style>
  <w:style w:type="numbering" w:customStyle="1" w:styleId="WW8Num8313">
    <w:name w:val="WW8Num8313"/>
    <w:basedOn w:val="Bezlisty"/>
    <w:rsid w:val="00C12426"/>
    <w:pPr>
      <w:numPr>
        <w:numId w:val="223"/>
      </w:numPr>
    </w:pPr>
  </w:style>
  <w:style w:type="numbering" w:customStyle="1" w:styleId="WW8StyleNum13">
    <w:name w:val="WW8StyleNum13"/>
    <w:basedOn w:val="Bezlisty"/>
    <w:rsid w:val="00C12426"/>
    <w:pPr>
      <w:numPr>
        <w:numId w:val="224"/>
      </w:numPr>
    </w:pPr>
  </w:style>
  <w:style w:type="numbering" w:customStyle="1" w:styleId="WW8Num3422">
    <w:name w:val="WW8Num3422"/>
    <w:basedOn w:val="Bezlisty"/>
    <w:rsid w:val="00C12426"/>
  </w:style>
  <w:style w:type="numbering" w:customStyle="1" w:styleId="WW8Num1722">
    <w:name w:val="WW8Num1722"/>
    <w:basedOn w:val="Bezlisty"/>
    <w:rsid w:val="00C12426"/>
    <w:pPr>
      <w:numPr>
        <w:numId w:val="152"/>
      </w:numPr>
    </w:pPr>
  </w:style>
  <w:style w:type="numbering" w:customStyle="1" w:styleId="WW8Num1832">
    <w:name w:val="WW8Num1832"/>
    <w:basedOn w:val="Bezlisty"/>
    <w:rsid w:val="00C12426"/>
    <w:pPr>
      <w:numPr>
        <w:numId w:val="290"/>
      </w:numPr>
    </w:pPr>
  </w:style>
  <w:style w:type="numbering" w:customStyle="1" w:styleId="WW8Num1922">
    <w:name w:val="WW8Num1922"/>
    <w:basedOn w:val="Bezlisty"/>
    <w:rsid w:val="00C12426"/>
    <w:pPr>
      <w:numPr>
        <w:numId w:val="314"/>
      </w:numPr>
    </w:pPr>
  </w:style>
  <w:style w:type="numbering" w:customStyle="1" w:styleId="WW8Num2022">
    <w:name w:val="WW8Num2022"/>
    <w:basedOn w:val="Bezlisty"/>
    <w:rsid w:val="00C12426"/>
    <w:pPr>
      <w:numPr>
        <w:numId w:val="296"/>
      </w:numPr>
    </w:pPr>
  </w:style>
  <w:style w:type="numbering" w:customStyle="1" w:styleId="WW8Num2122">
    <w:name w:val="WW8Num2122"/>
    <w:basedOn w:val="Bezlisty"/>
    <w:rsid w:val="00C12426"/>
    <w:pPr>
      <w:numPr>
        <w:numId w:val="120"/>
      </w:numPr>
    </w:pPr>
  </w:style>
  <w:style w:type="numbering" w:customStyle="1" w:styleId="WW8Num2222">
    <w:name w:val="WW8Num2222"/>
    <w:basedOn w:val="Bezlisty"/>
    <w:rsid w:val="00C12426"/>
    <w:pPr>
      <w:numPr>
        <w:numId w:val="301"/>
      </w:numPr>
    </w:pPr>
  </w:style>
  <w:style w:type="numbering" w:customStyle="1" w:styleId="WW8Num2322">
    <w:name w:val="WW8Num2322"/>
    <w:basedOn w:val="Bezlisty"/>
    <w:rsid w:val="00C12426"/>
    <w:pPr>
      <w:numPr>
        <w:numId w:val="302"/>
      </w:numPr>
    </w:pPr>
  </w:style>
  <w:style w:type="numbering" w:customStyle="1" w:styleId="WW8Num2422">
    <w:name w:val="WW8Num2422"/>
    <w:basedOn w:val="Bezlisty"/>
    <w:rsid w:val="00C12426"/>
    <w:pPr>
      <w:numPr>
        <w:numId w:val="303"/>
      </w:numPr>
    </w:pPr>
  </w:style>
  <w:style w:type="numbering" w:customStyle="1" w:styleId="WW8Num2522">
    <w:name w:val="WW8Num2522"/>
    <w:basedOn w:val="Bezlisty"/>
    <w:rsid w:val="00C12426"/>
    <w:pPr>
      <w:numPr>
        <w:numId w:val="304"/>
      </w:numPr>
    </w:pPr>
  </w:style>
  <w:style w:type="numbering" w:customStyle="1" w:styleId="WW8Num2622">
    <w:name w:val="WW8Num2622"/>
    <w:basedOn w:val="Bezlisty"/>
    <w:rsid w:val="00C12426"/>
    <w:pPr>
      <w:numPr>
        <w:numId w:val="305"/>
      </w:numPr>
    </w:pPr>
  </w:style>
  <w:style w:type="numbering" w:customStyle="1" w:styleId="WW8Num2722">
    <w:name w:val="WW8Num2722"/>
    <w:basedOn w:val="Bezlisty"/>
    <w:rsid w:val="00C12426"/>
    <w:pPr>
      <w:numPr>
        <w:numId w:val="306"/>
      </w:numPr>
    </w:pPr>
  </w:style>
  <w:style w:type="numbering" w:customStyle="1" w:styleId="WW8Num2822">
    <w:name w:val="WW8Num2822"/>
    <w:basedOn w:val="Bezlisty"/>
    <w:rsid w:val="00C12426"/>
  </w:style>
  <w:style w:type="numbering" w:customStyle="1" w:styleId="WW8Num2922">
    <w:name w:val="WW8Num2922"/>
    <w:basedOn w:val="Bezlisty"/>
    <w:rsid w:val="00C12426"/>
    <w:pPr>
      <w:numPr>
        <w:numId w:val="308"/>
      </w:numPr>
    </w:pPr>
  </w:style>
  <w:style w:type="numbering" w:customStyle="1" w:styleId="WW8Num3022">
    <w:name w:val="WW8Num3022"/>
    <w:basedOn w:val="Bezlisty"/>
    <w:rsid w:val="00C12426"/>
    <w:pPr>
      <w:numPr>
        <w:numId w:val="309"/>
      </w:numPr>
    </w:pPr>
  </w:style>
  <w:style w:type="numbering" w:customStyle="1" w:styleId="WW8Num3142">
    <w:name w:val="WW8Num3142"/>
    <w:basedOn w:val="Bezlisty"/>
    <w:rsid w:val="00C12426"/>
    <w:pPr>
      <w:numPr>
        <w:numId w:val="310"/>
      </w:numPr>
    </w:pPr>
  </w:style>
  <w:style w:type="numbering" w:customStyle="1" w:styleId="WW8Num3222">
    <w:name w:val="WW8Num3222"/>
    <w:basedOn w:val="Bezlisty"/>
    <w:rsid w:val="00C12426"/>
    <w:pPr>
      <w:numPr>
        <w:numId w:val="311"/>
      </w:numPr>
    </w:pPr>
  </w:style>
  <w:style w:type="numbering" w:customStyle="1" w:styleId="WW8Num3322">
    <w:name w:val="WW8Num3322"/>
    <w:basedOn w:val="Bezlisty"/>
    <w:rsid w:val="00C12426"/>
    <w:pPr>
      <w:numPr>
        <w:numId w:val="312"/>
      </w:numPr>
    </w:pPr>
  </w:style>
  <w:style w:type="numbering" w:customStyle="1" w:styleId="WW8Num1422">
    <w:name w:val="WW8Num1422"/>
    <w:basedOn w:val="Bezlisty"/>
    <w:rsid w:val="00C12426"/>
    <w:pPr>
      <w:numPr>
        <w:numId w:val="53"/>
      </w:numPr>
    </w:pPr>
  </w:style>
  <w:style w:type="numbering" w:customStyle="1" w:styleId="WW8Num1322">
    <w:name w:val="WW8Num1322"/>
    <w:basedOn w:val="Bezlisty"/>
    <w:rsid w:val="00C12426"/>
    <w:pPr>
      <w:numPr>
        <w:numId w:val="182"/>
      </w:numPr>
    </w:pPr>
  </w:style>
  <w:style w:type="numbering" w:customStyle="1" w:styleId="WW8Num622">
    <w:name w:val="WW8Num622"/>
    <w:basedOn w:val="Bezlisty"/>
    <w:rsid w:val="00C12426"/>
    <w:pPr>
      <w:numPr>
        <w:numId w:val="72"/>
      </w:numPr>
    </w:pPr>
  </w:style>
  <w:style w:type="numbering" w:customStyle="1" w:styleId="WW8Num3522">
    <w:name w:val="WW8Num3522"/>
    <w:basedOn w:val="Bezlisty"/>
    <w:rsid w:val="00C12426"/>
    <w:pPr>
      <w:numPr>
        <w:numId w:val="38"/>
      </w:numPr>
    </w:pPr>
  </w:style>
  <w:style w:type="numbering" w:customStyle="1" w:styleId="WW8Num5822">
    <w:name w:val="WW8Num5822"/>
    <w:basedOn w:val="Bezlisty"/>
    <w:rsid w:val="00C12426"/>
    <w:pPr>
      <w:numPr>
        <w:numId w:val="66"/>
      </w:numPr>
    </w:pPr>
  </w:style>
  <w:style w:type="numbering" w:customStyle="1" w:styleId="WW8Num6622">
    <w:name w:val="WW8Num6622"/>
    <w:basedOn w:val="Bezlisty"/>
    <w:rsid w:val="00C12426"/>
    <w:pPr>
      <w:numPr>
        <w:numId w:val="67"/>
      </w:numPr>
    </w:pPr>
  </w:style>
  <w:style w:type="numbering" w:customStyle="1" w:styleId="WW8Num4622">
    <w:name w:val="WW8Num4622"/>
    <w:basedOn w:val="Bezlisty"/>
    <w:rsid w:val="00C12426"/>
    <w:pPr>
      <w:numPr>
        <w:numId w:val="68"/>
      </w:numPr>
    </w:pPr>
  </w:style>
  <w:style w:type="numbering" w:customStyle="1" w:styleId="WW8Num3152">
    <w:name w:val="WW8Num3152"/>
    <w:basedOn w:val="Bezlisty"/>
    <w:rsid w:val="00C12426"/>
    <w:pPr>
      <w:numPr>
        <w:numId w:val="55"/>
      </w:numPr>
    </w:pPr>
  </w:style>
  <w:style w:type="numbering" w:customStyle="1" w:styleId="WW8Num7622">
    <w:name w:val="WW8Num7622"/>
    <w:basedOn w:val="Bezlisty"/>
    <w:rsid w:val="00C12426"/>
    <w:pPr>
      <w:numPr>
        <w:numId w:val="189"/>
      </w:numPr>
    </w:pPr>
  </w:style>
  <w:style w:type="numbering" w:customStyle="1" w:styleId="WW8Num3722">
    <w:name w:val="WW8Num3722"/>
    <w:basedOn w:val="Bezlisty"/>
    <w:rsid w:val="00C12426"/>
    <w:pPr>
      <w:numPr>
        <w:numId w:val="190"/>
      </w:numPr>
    </w:pPr>
  </w:style>
  <w:style w:type="numbering" w:customStyle="1" w:styleId="WW8Num3822">
    <w:name w:val="WW8Num3822"/>
    <w:basedOn w:val="Bezlisty"/>
    <w:rsid w:val="00C12426"/>
    <w:pPr>
      <w:numPr>
        <w:numId w:val="191"/>
      </w:numPr>
    </w:pPr>
  </w:style>
  <w:style w:type="numbering" w:customStyle="1" w:styleId="WW8Num6522">
    <w:name w:val="WW8Num6522"/>
    <w:basedOn w:val="Bezlisty"/>
    <w:rsid w:val="00C12426"/>
    <w:pPr>
      <w:numPr>
        <w:numId w:val="192"/>
      </w:numPr>
    </w:pPr>
  </w:style>
  <w:style w:type="numbering" w:customStyle="1" w:styleId="WW8Num852">
    <w:name w:val="WW8Num852"/>
    <w:basedOn w:val="Bezlisty"/>
    <w:rsid w:val="00C12426"/>
    <w:pPr>
      <w:numPr>
        <w:numId w:val="193"/>
      </w:numPr>
    </w:pPr>
  </w:style>
  <w:style w:type="numbering" w:customStyle="1" w:styleId="WW8Num1522">
    <w:name w:val="WW8Num1522"/>
    <w:basedOn w:val="Bezlisty"/>
    <w:rsid w:val="00C12426"/>
    <w:pPr>
      <w:numPr>
        <w:numId w:val="194"/>
      </w:numPr>
    </w:pPr>
  </w:style>
  <w:style w:type="numbering" w:customStyle="1" w:styleId="WW8Num472">
    <w:name w:val="WW8Num472"/>
    <w:basedOn w:val="Bezlisty"/>
    <w:rsid w:val="00C12426"/>
    <w:pPr>
      <w:numPr>
        <w:numId w:val="195"/>
      </w:numPr>
    </w:pPr>
  </w:style>
  <w:style w:type="numbering" w:customStyle="1" w:styleId="WW8Num922">
    <w:name w:val="WW8Num922"/>
    <w:basedOn w:val="Bezlisty"/>
    <w:rsid w:val="00C12426"/>
    <w:pPr>
      <w:numPr>
        <w:numId w:val="326"/>
      </w:numPr>
    </w:pPr>
  </w:style>
  <w:style w:type="numbering" w:customStyle="1" w:styleId="WW8Num1242">
    <w:name w:val="WW8Num1242"/>
    <w:basedOn w:val="Bezlisty"/>
    <w:rsid w:val="00C12426"/>
    <w:pPr>
      <w:numPr>
        <w:numId w:val="197"/>
      </w:numPr>
    </w:pPr>
  </w:style>
  <w:style w:type="numbering" w:customStyle="1" w:styleId="WW8Num1122">
    <w:name w:val="WW8Num1122"/>
    <w:basedOn w:val="Bezlisty"/>
    <w:rsid w:val="00C12426"/>
    <w:pPr>
      <w:numPr>
        <w:numId w:val="198"/>
      </w:numPr>
    </w:pPr>
  </w:style>
  <w:style w:type="numbering" w:customStyle="1" w:styleId="WW8Num1622">
    <w:name w:val="WW8Num1622"/>
    <w:basedOn w:val="Bezlisty"/>
    <w:rsid w:val="00C12426"/>
    <w:pPr>
      <w:numPr>
        <w:numId w:val="199"/>
      </w:numPr>
    </w:pPr>
  </w:style>
  <w:style w:type="numbering" w:customStyle="1" w:styleId="WW8Num1022">
    <w:name w:val="WW8Num1022"/>
    <w:basedOn w:val="Bezlisty"/>
    <w:rsid w:val="00C12426"/>
    <w:pPr>
      <w:numPr>
        <w:numId w:val="200"/>
      </w:numPr>
    </w:pPr>
  </w:style>
  <w:style w:type="numbering" w:customStyle="1" w:styleId="WW8Num722">
    <w:name w:val="WW8Num722"/>
    <w:basedOn w:val="Bezlisty"/>
    <w:rsid w:val="00C12426"/>
    <w:pPr>
      <w:numPr>
        <w:numId w:val="201"/>
      </w:numPr>
    </w:pPr>
  </w:style>
  <w:style w:type="numbering" w:customStyle="1" w:styleId="WW8Num2132">
    <w:name w:val="WW8Num2132"/>
    <w:basedOn w:val="Bezlisty"/>
    <w:rsid w:val="00C12426"/>
    <w:pPr>
      <w:numPr>
        <w:numId w:val="202"/>
      </w:numPr>
    </w:pPr>
  </w:style>
  <w:style w:type="numbering" w:customStyle="1" w:styleId="WW8Num522">
    <w:name w:val="WW8Num522"/>
    <w:basedOn w:val="Bezlisty"/>
    <w:rsid w:val="00C12426"/>
    <w:pPr>
      <w:numPr>
        <w:numId w:val="203"/>
      </w:numPr>
    </w:pPr>
  </w:style>
  <w:style w:type="numbering" w:customStyle="1" w:styleId="WW8Num8022">
    <w:name w:val="WW8Num8022"/>
    <w:basedOn w:val="Bezlisty"/>
    <w:rsid w:val="00C12426"/>
    <w:pPr>
      <w:numPr>
        <w:numId w:val="204"/>
      </w:numPr>
    </w:pPr>
  </w:style>
  <w:style w:type="numbering" w:customStyle="1" w:styleId="WW8Num8122">
    <w:name w:val="WW8Num8122"/>
    <w:basedOn w:val="Bezlisty"/>
    <w:rsid w:val="00C12426"/>
    <w:pPr>
      <w:numPr>
        <w:numId w:val="205"/>
      </w:numPr>
    </w:pPr>
  </w:style>
  <w:style w:type="numbering" w:customStyle="1" w:styleId="WW8Num8222">
    <w:name w:val="WW8Num8222"/>
    <w:basedOn w:val="Bezlisty"/>
    <w:rsid w:val="00C12426"/>
    <w:pPr>
      <w:numPr>
        <w:numId w:val="206"/>
      </w:numPr>
    </w:pPr>
  </w:style>
  <w:style w:type="numbering" w:customStyle="1" w:styleId="WW8Num8322">
    <w:name w:val="WW8Num8322"/>
    <w:basedOn w:val="Bezlisty"/>
    <w:rsid w:val="00C12426"/>
    <w:pPr>
      <w:numPr>
        <w:numId w:val="207"/>
      </w:numPr>
    </w:pPr>
  </w:style>
  <w:style w:type="numbering" w:customStyle="1" w:styleId="WW8StyleNum22">
    <w:name w:val="WW8StyleNum22"/>
    <w:basedOn w:val="Bezlisty"/>
    <w:rsid w:val="00C12426"/>
    <w:pPr>
      <w:numPr>
        <w:numId w:val="208"/>
      </w:numPr>
    </w:pPr>
  </w:style>
  <w:style w:type="numbering" w:customStyle="1" w:styleId="WW8Num1132">
    <w:name w:val="WW8Num1132"/>
    <w:basedOn w:val="Bezlisty"/>
    <w:rsid w:val="00C12426"/>
    <w:pPr>
      <w:numPr>
        <w:numId w:val="209"/>
      </w:numPr>
    </w:pPr>
  </w:style>
  <w:style w:type="numbering" w:customStyle="1" w:styleId="WW8Num8822">
    <w:name w:val="WW8Num8822"/>
    <w:basedOn w:val="Bezlisty"/>
    <w:rsid w:val="00C12426"/>
    <w:pPr>
      <w:numPr>
        <w:numId w:val="210"/>
      </w:numPr>
    </w:pPr>
  </w:style>
  <w:style w:type="numbering" w:customStyle="1" w:styleId="WW8Num31112">
    <w:name w:val="WW8Num31112"/>
    <w:basedOn w:val="Bezlisty"/>
    <w:rsid w:val="00C12426"/>
  </w:style>
  <w:style w:type="numbering" w:customStyle="1" w:styleId="WW8Num12112">
    <w:name w:val="WW8Num12112"/>
    <w:basedOn w:val="Bezlisty"/>
    <w:rsid w:val="00C12426"/>
  </w:style>
  <w:style w:type="numbering" w:customStyle="1" w:styleId="WW8Num18112">
    <w:name w:val="WW8Num18112"/>
    <w:basedOn w:val="Bezlisty"/>
    <w:rsid w:val="00C12426"/>
    <w:pPr>
      <w:numPr>
        <w:numId w:val="282"/>
      </w:numPr>
    </w:pPr>
  </w:style>
  <w:style w:type="numbering" w:customStyle="1" w:styleId="WW8Num34112">
    <w:name w:val="WW8Num34112"/>
    <w:basedOn w:val="Bezlisty"/>
    <w:rsid w:val="00C12426"/>
    <w:pPr>
      <w:numPr>
        <w:numId w:val="283"/>
      </w:numPr>
    </w:pPr>
  </w:style>
  <w:style w:type="numbering" w:customStyle="1" w:styleId="WW8Num19112">
    <w:name w:val="WW8Num19112"/>
    <w:basedOn w:val="Bezlisty"/>
    <w:rsid w:val="00C12426"/>
  </w:style>
  <w:style w:type="numbering" w:customStyle="1" w:styleId="WW8Num20112">
    <w:name w:val="WW8Num20112"/>
    <w:basedOn w:val="Bezlisty"/>
    <w:rsid w:val="00C12426"/>
    <w:pPr>
      <w:numPr>
        <w:numId w:val="22"/>
      </w:numPr>
    </w:pPr>
  </w:style>
  <w:style w:type="numbering" w:customStyle="1" w:styleId="WW8Num21112">
    <w:name w:val="WW8Num21112"/>
    <w:basedOn w:val="Bezlisty"/>
    <w:rsid w:val="00C12426"/>
  </w:style>
  <w:style w:type="numbering" w:customStyle="1" w:styleId="WW8Num22112">
    <w:name w:val="WW8Num22112"/>
    <w:basedOn w:val="Bezlisty"/>
    <w:rsid w:val="00C12426"/>
    <w:pPr>
      <w:numPr>
        <w:numId w:val="15"/>
      </w:numPr>
    </w:pPr>
  </w:style>
  <w:style w:type="numbering" w:customStyle="1" w:styleId="WW8Num23112">
    <w:name w:val="WW8Num23112"/>
    <w:basedOn w:val="Bezlisty"/>
    <w:rsid w:val="00C12426"/>
  </w:style>
  <w:style w:type="numbering" w:customStyle="1" w:styleId="WW8Num24112">
    <w:name w:val="WW8Num24112"/>
    <w:basedOn w:val="Bezlisty"/>
    <w:rsid w:val="00C12426"/>
    <w:pPr>
      <w:numPr>
        <w:numId w:val="284"/>
      </w:numPr>
    </w:pPr>
  </w:style>
  <w:style w:type="numbering" w:customStyle="1" w:styleId="WW8Num26112">
    <w:name w:val="WW8Num26112"/>
    <w:basedOn w:val="Bezlisty"/>
    <w:rsid w:val="00C12426"/>
  </w:style>
  <w:style w:type="numbering" w:customStyle="1" w:styleId="WW8Num29112">
    <w:name w:val="WW8Num29112"/>
    <w:basedOn w:val="Bezlisty"/>
    <w:rsid w:val="00C12426"/>
  </w:style>
  <w:style w:type="numbering" w:customStyle="1" w:styleId="WW8Num30112">
    <w:name w:val="WW8Num30112"/>
    <w:basedOn w:val="Bezlisty"/>
    <w:rsid w:val="00C12426"/>
  </w:style>
  <w:style w:type="numbering" w:customStyle="1" w:styleId="WW8Num32112">
    <w:name w:val="WW8Num32112"/>
    <w:basedOn w:val="Bezlisty"/>
    <w:rsid w:val="00C12426"/>
  </w:style>
  <w:style w:type="numbering" w:customStyle="1" w:styleId="WW8Num33112">
    <w:name w:val="WW8Num33112"/>
    <w:basedOn w:val="Bezlisty"/>
    <w:rsid w:val="00C12426"/>
  </w:style>
  <w:style w:type="numbering" w:customStyle="1" w:styleId="WW8Num14112">
    <w:name w:val="WW8Num14112"/>
    <w:basedOn w:val="Bezlisty"/>
    <w:rsid w:val="00C12426"/>
  </w:style>
  <w:style w:type="numbering" w:customStyle="1" w:styleId="WW8Num13112">
    <w:name w:val="WW8Num13112"/>
    <w:basedOn w:val="Bezlisty"/>
    <w:rsid w:val="00C12426"/>
  </w:style>
  <w:style w:type="numbering" w:customStyle="1" w:styleId="WW8Num66112">
    <w:name w:val="WW8Num66112"/>
    <w:basedOn w:val="Bezlisty"/>
    <w:rsid w:val="00C12426"/>
  </w:style>
  <w:style w:type="numbering" w:customStyle="1" w:styleId="WW8Num31012">
    <w:name w:val="WW8Num31012"/>
    <w:basedOn w:val="Bezlisty"/>
    <w:rsid w:val="00C12426"/>
  </w:style>
  <w:style w:type="numbering" w:customStyle="1" w:styleId="WW8Num76112">
    <w:name w:val="WW8Num76112"/>
    <w:basedOn w:val="Bezlisty"/>
    <w:rsid w:val="00C12426"/>
    <w:pPr>
      <w:numPr>
        <w:numId w:val="9"/>
      </w:numPr>
    </w:pPr>
  </w:style>
  <w:style w:type="numbering" w:customStyle="1" w:styleId="WW8Num37112">
    <w:name w:val="WW8Num37112"/>
    <w:basedOn w:val="Bezlisty"/>
    <w:rsid w:val="00C12426"/>
  </w:style>
  <w:style w:type="numbering" w:customStyle="1" w:styleId="WW8Num38112">
    <w:name w:val="WW8Num38112"/>
    <w:basedOn w:val="Bezlisty"/>
    <w:rsid w:val="00C12426"/>
  </w:style>
  <w:style w:type="numbering" w:customStyle="1" w:styleId="WW8Num65112">
    <w:name w:val="WW8Num65112"/>
    <w:basedOn w:val="Bezlisty"/>
    <w:rsid w:val="00C12426"/>
  </w:style>
  <w:style w:type="numbering" w:customStyle="1" w:styleId="WW8Num8412">
    <w:name w:val="WW8Num8412"/>
    <w:basedOn w:val="Bezlisty"/>
    <w:rsid w:val="00C12426"/>
    <w:pPr>
      <w:numPr>
        <w:numId w:val="91"/>
      </w:numPr>
    </w:pPr>
  </w:style>
  <w:style w:type="numbering" w:customStyle="1" w:styleId="WW8Num15112">
    <w:name w:val="WW8Num15112"/>
    <w:basedOn w:val="Bezlisty"/>
    <w:rsid w:val="00C12426"/>
  </w:style>
  <w:style w:type="numbering" w:customStyle="1" w:styleId="WW8Num4512">
    <w:name w:val="WW8Num4512"/>
    <w:basedOn w:val="Bezlisty"/>
    <w:rsid w:val="00C12426"/>
  </w:style>
  <w:style w:type="numbering" w:customStyle="1" w:styleId="WW8Num9112">
    <w:name w:val="WW8Num9112"/>
    <w:basedOn w:val="Bezlisty"/>
    <w:rsid w:val="00C12426"/>
  </w:style>
  <w:style w:type="numbering" w:customStyle="1" w:styleId="WW8Num11112">
    <w:name w:val="WW8Num11112"/>
    <w:basedOn w:val="Bezlisty"/>
    <w:rsid w:val="00C12426"/>
  </w:style>
  <w:style w:type="numbering" w:customStyle="1" w:styleId="WW8Num16112">
    <w:name w:val="WW8Num16112"/>
    <w:basedOn w:val="Bezlisty"/>
    <w:rsid w:val="00C12426"/>
  </w:style>
  <w:style w:type="numbering" w:customStyle="1" w:styleId="WW8Num10112">
    <w:name w:val="WW8Num10112"/>
    <w:basedOn w:val="Bezlisty"/>
    <w:rsid w:val="00C12426"/>
  </w:style>
  <w:style w:type="numbering" w:customStyle="1" w:styleId="WW8Num7112">
    <w:name w:val="WW8Num7112"/>
    <w:basedOn w:val="Bezlisty"/>
    <w:rsid w:val="00C12426"/>
  </w:style>
  <w:style w:type="numbering" w:customStyle="1" w:styleId="WW8Num5112">
    <w:name w:val="WW8Num5112"/>
    <w:basedOn w:val="Bezlisty"/>
    <w:rsid w:val="00C12426"/>
  </w:style>
  <w:style w:type="numbering" w:customStyle="1" w:styleId="WW8Num80112">
    <w:name w:val="WW8Num80112"/>
    <w:basedOn w:val="Bezlisty"/>
    <w:rsid w:val="00C12426"/>
  </w:style>
  <w:style w:type="numbering" w:customStyle="1" w:styleId="WW8Num81112">
    <w:name w:val="WW8Num81112"/>
    <w:basedOn w:val="Bezlisty"/>
    <w:rsid w:val="00C12426"/>
  </w:style>
  <w:style w:type="numbering" w:customStyle="1" w:styleId="WW8Num82112">
    <w:name w:val="WW8Num82112"/>
    <w:basedOn w:val="Bezlisty"/>
    <w:rsid w:val="00C12426"/>
  </w:style>
  <w:style w:type="numbering" w:customStyle="1" w:styleId="WW8Num83112">
    <w:name w:val="WW8Num83112"/>
    <w:basedOn w:val="Bezlisty"/>
    <w:rsid w:val="00C12426"/>
  </w:style>
  <w:style w:type="numbering" w:customStyle="1" w:styleId="WW8StyleNum112">
    <w:name w:val="WW8StyleNum112"/>
    <w:basedOn w:val="Bezlisty"/>
    <w:rsid w:val="00C12426"/>
  </w:style>
  <w:style w:type="numbering" w:customStyle="1" w:styleId="WW8Num11012">
    <w:name w:val="WW8Num11012"/>
    <w:basedOn w:val="Bezlisty"/>
    <w:rsid w:val="00C12426"/>
    <w:pPr>
      <w:numPr>
        <w:numId w:val="286"/>
      </w:numPr>
    </w:pPr>
  </w:style>
  <w:style w:type="numbering" w:customStyle="1" w:styleId="WW8Num88112">
    <w:name w:val="WW8Num88112"/>
    <w:basedOn w:val="Bezlisty"/>
    <w:rsid w:val="00C12426"/>
    <w:pPr>
      <w:numPr>
        <w:numId w:val="228"/>
      </w:numPr>
    </w:pPr>
  </w:style>
  <w:style w:type="numbering" w:customStyle="1" w:styleId="WW8Num12121">
    <w:name w:val="WW8Num12121"/>
    <w:basedOn w:val="Bezlisty"/>
    <w:rsid w:val="00C12426"/>
    <w:pPr>
      <w:numPr>
        <w:numId w:val="281"/>
      </w:numPr>
    </w:pPr>
  </w:style>
  <w:style w:type="numbering" w:customStyle="1" w:styleId="WW8Num19121">
    <w:name w:val="WW8Num19121"/>
    <w:basedOn w:val="Bezlisty"/>
    <w:rsid w:val="00C12426"/>
  </w:style>
  <w:style w:type="numbering" w:customStyle="1" w:styleId="WW8Num14121">
    <w:name w:val="WW8Num14121"/>
    <w:basedOn w:val="Bezlisty"/>
    <w:rsid w:val="00C12426"/>
    <w:pPr>
      <w:numPr>
        <w:numId w:val="313"/>
      </w:numPr>
    </w:pPr>
  </w:style>
  <w:style w:type="numbering" w:customStyle="1" w:styleId="WW8Num8421">
    <w:name w:val="WW8Num8421"/>
    <w:basedOn w:val="Bezlisty"/>
    <w:rsid w:val="00C12426"/>
  </w:style>
  <w:style w:type="numbering" w:customStyle="1" w:styleId="WW8Num15121">
    <w:name w:val="WW8Num15121"/>
    <w:basedOn w:val="Bezlisty"/>
    <w:rsid w:val="00C12426"/>
    <w:pPr>
      <w:numPr>
        <w:numId w:val="92"/>
      </w:numPr>
    </w:pPr>
  </w:style>
  <w:style w:type="numbering" w:customStyle="1" w:styleId="WW8Num4521">
    <w:name w:val="WW8Num4521"/>
    <w:basedOn w:val="Bezlisty"/>
    <w:rsid w:val="00C12426"/>
  </w:style>
  <w:style w:type="numbering" w:customStyle="1" w:styleId="WW8Num9121">
    <w:name w:val="WW8Num9121"/>
    <w:basedOn w:val="Bezlisty"/>
    <w:rsid w:val="00C12426"/>
  </w:style>
  <w:style w:type="numbering" w:customStyle="1" w:styleId="WW8Num16121">
    <w:name w:val="WW8Num16121"/>
    <w:basedOn w:val="Bezlisty"/>
    <w:rsid w:val="00C12426"/>
    <w:pPr>
      <w:numPr>
        <w:numId w:val="32"/>
      </w:numPr>
    </w:pPr>
  </w:style>
  <w:style w:type="numbering" w:customStyle="1" w:styleId="WW8Num7121">
    <w:name w:val="WW8Num7121"/>
    <w:basedOn w:val="Bezlisty"/>
    <w:rsid w:val="00C12426"/>
    <w:pPr>
      <w:numPr>
        <w:numId w:val="36"/>
      </w:numPr>
    </w:pPr>
  </w:style>
  <w:style w:type="numbering" w:customStyle="1" w:styleId="WW8Num210112">
    <w:name w:val="WW8Num210112"/>
    <w:basedOn w:val="Bezlisty"/>
    <w:rsid w:val="00C12426"/>
    <w:pPr>
      <w:numPr>
        <w:numId w:val="307"/>
      </w:numPr>
    </w:pPr>
  </w:style>
  <w:style w:type="numbering" w:customStyle="1" w:styleId="WW8Num9113">
    <w:name w:val="WW8Num9113"/>
    <w:basedOn w:val="Bezlisty"/>
    <w:rsid w:val="00C12426"/>
  </w:style>
  <w:style w:type="numbering" w:customStyle="1" w:styleId="WW8Num16113">
    <w:name w:val="WW8Num16113"/>
    <w:basedOn w:val="Bezlisty"/>
    <w:rsid w:val="00C12426"/>
  </w:style>
  <w:style w:type="numbering" w:customStyle="1" w:styleId="WW8Num80113">
    <w:name w:val="WW8Num80113"/>
    <w:basedOn w:val="Bezlisty"/>
    <w:rsid w:val="00C12426"/>
    <w:pPr>
      <w:numPr>
        <w:numId w:val="101"/>
      </w:numPr>
    </w:pPr>
  </w:style>
  <w:style w:type="numbering" w:customStyle="1" w:styleId="WW8Num81113">
    <w:name w:val="WW8Num81113"/>
    <w:basedOn w:val="Bezlisty"/>
    <w:rsid w:val="00C12426"/>
    <w:pPr>
      <w:numPr>
        <w:numId w:val="99"/>
      </w:numPr>
    </w:pPr>
  </w:style>
  <w:style w:type="numbering" w:customStyle="1" w:styleId="WW8StyleNum113">
    <w:name w:val="WW8StyleNum113"/>
    <w:basedOn w:val="Bezlisty"/>
    <w:rsid w:val="00C12426"/>
    <w:pPr>
      <w:numPr>
        <w:numId w:val="103"/>
      </w:numPr>
    </w:pPr>
  </w:style>
  <w:style w:type="numbering" w:customStyle="1" w:styleId="WW8Num19122">
    <w:name w:val="WW8Num19122"/>
    <w:basedOn w:val="Bezlisty"/>
    <w:rsid w:val="00C12426"/>
    <w:pPr>
      <w:numPr>
        <w:numId w:val="3"/>
      </w:numPr>
    </w:pPr>
  </w:style>
  <w:style w:type="numbering" w:customStyle="1" w:styleId="WW8Num8422">
    <w:name w:val="WW8Num8422"/>
    <w:basedOn w:val="Bezlisty"/>
    <w:rsid w:val="00C12426"/>
    <w:pPr>
      <w:numPr>
        <w:numId w:val="5"/>
      </w:numPr>
    </w:pPr>
  </w:style>
  <w:style w:type="numbering" w:customStyle="1" w:styleId="WW8Num4522">
    <w:name w:val="WW8Num4522"/>
    <w:basedOn w:val="Bezlisty"/>
    <w:rsid w:val="00C12426"/>
  </w:style>
  <w:style w:type="numbering" w:customStyle="1" w:styleId="WW8Num9122">
    <w:name w:val="WW8Num9122"/>
    <w:basedOn w:val="Bezlisty"/>
    <w:rsid w:val="00C12426"/>
    <w:pPr>
      <w:numPr>
        <w:numId w:val="13"/>
      </w:numPr>
    </w:pPr>
  </w:style>
  <w:style w:type="numbering" w:customStyle="1" w:styleId="WW8Num193">
    <w:name w:val="WW8Num193"/>
    <w:basedOn w:val="Bezlisty"/>
    <w:rsid w:val="00C12426"/>
    <w:pPr>
      <w:numPr>
        <w:numId w:val="4"/>
      </w:numPr>
    </w:pPr>
  </w:style>
  <w:style w:type="numbering" w:customStyle="1" w:styleId="WW8Num48">
    <w:name w:val="WW8Num48"/>
    <w:basedOn w:val="Bezlisty"/>
    <w:rsid w:val="00C12426"/>
    <w:pPr>
      <w:numPr>
        <w:numId w:val="33"/>
      </w:numPr>
    </w:pPr>
  </w:style>
  <w:style w:type="numbering" w:customStyle="1" w:styleId="WW8Num93">
    <w:name w:val="WW8Num93"/>
    <w:basedOn w:val="Bezlisty"/>
    <w:rsid w:val="00C12426"/>
    <w:pPr>
      <w:numPr>
        <w:numId w:val="34"/>
      </w:numPr>
    </w:pPr>
  </w:style>
  <w:style w:type="numbering" w:customStyle="1" w:styleId="WW8Num125">
    <w:name w:val="WW8Num125"/>
    <w:basedOn w:val="Bezlisty"/>
    <w:rsid w:val="00C12426"/>
    <w:pPr>
      <w:numPr>
        <w:numId w:val="35"/>
      </w:numPr>
    </w:pPr>
  </w:style>
  <w:style w:type="numbering" w:customStyle="1" w:styleId="WW8Num75">
    <w:name w:val="WW8Num75"/>
    <w:basedOn w:val="Bezlisty"/>
    <w:rsid w:val="00C12426"/>
    <w:pPr>
      <w:numPr>
        <w:numId w:val="39"/>
      </w:numPr>
    </w:pPr>
  </w:style>
  <w:style w:type="numbering" w:customStyle="1" w:styleId="Bezlisty4">
    <w:name w:val="Bez listy4"/>
    <w:next w:val="Bezlisty"/>
    <w:semiHidden/>
    <w:rsid w:val="00C12426"/>
  </w:style>
  <w:style w:type="numbering" w:customStyle="1" w:styleId="Bezlisty5">
    <w:name w:val="Bez listy5"/>
    <w:next w:val="Bezlisty"/>
    <w:semiHidden/>
    <w:rsid w:val="00C12426"/>
  </w:style>
  <w:style w:type="numbering" w:customStyle="1" w:styleId="Bezlisty6">
    <w:name w:val="Bez listy6"/>
    <w:next w:val="Bezlisty"/>
    <w:semiHidden/>
    <w:rsid w:val="00C12426"/>
  </w:style>
  <w:style w:type="table" w:customStyle="1" w:styleId="Tabela-Siatka3">
    <w:name w:val="Tabela - Siatka3"/>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elle">
    <w:name w:val="spelle"/>
    <w:basedOn w:val="Domylnaczcionkaakapitu"/>
    <w:rsid w:val="00C12426"/>
  </w:style>
  <w:style w:type="numbering" w:customStyle="1" w:styleId="Bezlisty7">
    <w:name w:val="Bez listy7"/>
    <w:next w:val="Bezlisty"/>
    <w:semiHidden/>
    <w:rsid w:val="00C12426"/>
  </w:style>
  <w:style w:type="table" w:customStyle="1" w:styleId="Tabela-Siatka4">
    <w:name w:val="Tabela - Siatka4"/>
    <w:basedOn w:val="Standardowy"/>
    <w:next w:val="Tabela-Siatka"/>
    <w:rsid w:val="00C124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8">
    <w:name w:val="Bez listy8"/>
    <w:next w:val="Bezlisty"/>
    <w:semiHidden/>
    <w:rsid w:val="00C12426"/>
  </w:style>
  <w:style w:type="numbering" w:customStyle="1" w:styleId="Bezlisty9">
    <w:name w:val="Bez listy9"/>
    <w:next w:val="Bezlisty"/>
    <w:semiHidden/>
    <w:rsid w:val="00C12426"/>
  </w:style>
  <w:style w:type="table" w:customStyle="1" w:styleId="Tabela-Siatka5">
    <w:name w:val="Tabela - Siatka5"/>
    <w:basedOn w:val="Standardowy"/>
    <w:next w:val="Tabela-Siatka"/>
    <w:rsid w:val="00C12426"/>
    <w:pPr>
      <w:overflowPunct w:val="0"/>
      <w:autoSpaceDE w:val="0"/>
      <w:autoSpaceDN w:val="0"/>
      <w:adjustRightInd w:val="0"/>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C12426"/>
    <w:rPr>
      <w:rFonts w:eastAsia="Lucida Sans Unicode" w:cs="Tahoma"/>
      <w:color w:val="000000"/>
      <w:kern w:val="3"/>
      <w:sz w:val="24"/>
      <w:szCs w:val="24"/>
      <w:lang w:eastAsia="en-US" w:bidi="en-US"/>
    </w:rPr>
  </w:style>
  <w:style w:type="character" w:customStyle="1" w:styleId="TXTNORMZnak">
    <w:name w:val="_TXT NORM Znak"/>
    <w:basedOn w:val="Domylnaczcionkaakapitu"/>
    <w:link w:val="TXTNORM"/>
    <w:locked/>
    <w:rsid w:val="00C12426"/>
    <w:rPr>
      <w:sz w:val="22"/>
      <w:szCs w:val="22"/>
    </w:rPr>
  </w:style>
  <w:style w:type="paragraph" w:customStyle="1" w:styleId="TXTNORM">
    <w:name w:val="_TXT NORM"/>
    <w:basedOn w:val="Normalny"/>
    <w:link w:val="TXTNORMZnak"/>
    <w:qFormat/>
    <w:rsid w:val="00C12426"/>
    <w:pPr>
      <w:overflowPunct/>
      <w:autoSpaceDN w:val="0"/>
      <w:adjustRightInd w:val="0"/>
      <w:ind w:firstLine="567"/>
      <w:jc w:val="both"/>
      <w:textAlignment w:val="auto"/>
    </w:pPr>
    <w:rPr>
      <w:sz w:val="22"/>
      <w:szCs w:val="22"/>
      <w:lang w:eastAsia="pl-PL"/>
    </w:rPr>
  </w:style>
  <w:style w:type="paragraph" w:customStyle="1" w:styleId="5519DA43553648EAB297AD0A0A16F72D">
    <w:name w:val="5519DA43553648EAB297AD0A0A16F72D"/>
    <w:rsid w:val="00C12426"/>
    <w:pPr>
      <w:spacing w:after="200" w:line="276" w:lineRule="auto"/>
    </w:pPr>
    <w:rPr>
      <w:rFonts w:asciiTheme="minorHAnsi" w:eastAsiaTheme="minorEastAsia" w:hAnsiTheme="minorHAnsi" w:cstheme="minorBidi"/>
      <w:sz w:val="22"/>
      <w:szCs w:val="22"/>
      <w:lang w:val="en-US" w:eastAsia="en-US"/>
    </w:rPr>
  </w:style>
  <w:style w:type="paragraph" w:styleId="Tekstblokowy">
    <w:name w:val="Block Text"/>
    <w:basedOn w:val="Normalny"/>
    <w:semiHidden/>
    <w:rsid w:val="00C12426"/>
    <w:pPr>
      <w:widowControl/>
      <w:shd w:val="clear" w:color="auto" w:fill="FFFFFF"/>
      <w:suppressAutoHyphens w:val="0"/>
      <w:overflowPunct/>
      <w:autoSpaceDE/>
      <w:spacing w:before="10" w:line="408" w:lineRule="exact"/>
      <w:ind w:left="24" w:right="-777" w:firstLine="701"/>
      <w:jc w:val="both"/>
      <w:textAlignment w:val="auto"/>
    </w:pPr>
    <w:rPr>
      <w:szCs w:val="24"/>
      <w:lang w:eastAsia="pl-PL"/>
    </w:rPr>
  </w:style>
  <w:style w:type="paragraph" w:customStyle="1" w:styleId="DokPiotr">
    <w:name w:val="Dok.Piotr"/>
    <w:basedOn w:val="Akapitzlist"/>
    <w:link w:val="DokPiotrZnak"/>
    <w:rsid w:val="00C12426"/>
    <w:pPr>
      <w:widowControl/>
      <w:suppressAutoHyphens w:val="0"/>
      <w:overflowPunct/>
      <w:autoSpaceDE/>
      <w:spacing w:line="276" w:lineRule="auto"/>
      <w:ind w:left="0" w:firstLine="708"/>
      <w:jc w:val="both"/>
      <w:textAlignment w:val="auto"/>
    </w:pPr>
    <w:rPr>
      <w:rFonts w:asciiTheme="minorHAnsi" w:hAnsiTheme="minorHAnsi"/>
      <w:spacing w:val="26"/>
      <w:lang w:eastAsia="pl-PL"/>
    </w:rPr>
  </w:style>
  <w:style w:type="character" w:customStyle="1" w:styleId="DokPiotrZnak">
    <w:name w:val="Dok.Piotr Znak"/>
    <w:basedOn w:val="Domylnaczcionkaakapitu"/>
    <w:link w:val="DokPiotr"/>
    <w:rsid w:val="00C12426"/>
    <w:rPr>
      <w:rFonts w:asciiTheme="minorHAnsi" w:hAnsiTheme="minorHAnsi"/>
      <w:spacing w:val="26"/>
      <w:sz w:val="24"/>
    </w:rPr>
  </w:style>
  <w:style w:type="paragraph" w:customStyle="1" w:styleId="font5">
    <w:name w:val="font5"/>
    <w:basedOn w:val="Normalny"/>
    <w:rsid w:val="00C12426"/>
    <w:pPr>
      <w:widowControl/>
      <w:suppressAutoHyphens w:val="0"/>
      <w:overflowPunct/>
      <w:autoSpaceDE/>
      <w:spacing w:before="100" w:beforeAutospacing="1" w:after="100" w:afterAutospacing="1"/>
      <w:textAlignment w:val="auto"/>
    </w:pPr>
    <w:rPr>
      <w:rFonts w:ascii="Arial" w:hAnsi="Arial" w:cs="Arial"/>
      <w:sz w:val="20"/>
      <w:lang w:eastAsia="pl-PL"/>
    </w:rPr>
  </w:style>
  <w:style w:type="character" w:styleId="Tekstzastpczy">
    <w:name w:val="Placeholder Text"/>
    <w:basedOn w:val="Domylnaczcionkaakapitu"/>
    <w:uiPriority w:val="99"/>
    <w:semiHidden/>
    <w:rsid w:val="00C12426"/>
    <w:rPr>
      <w:color w:val="808080"/>
    </w:rPr>
  </w:style>
  <w:style w:type="paragraph" w:customStyle="1" w:styleId="DokPiotr1">
    <w:name w:val="Dok.Piotr1"/>
    <w:basedOn w:val="Normalny"/>
    <w:link w:val="DokPiotr1Znak"/>
    <w:uiPriority w:val="99"/>
    <w:rsid w:val="00C12426"/>
    <w:pPr>
      <w:widowControl/>
      <w:suppressAutoHyphens w:val="0"/>
      <w:overflowPunct/>
      <w:autoSpaceDE/>
      <w:spacing w:after="200" w:line="276" w:lineRule="auto"/>
      <w:textAlignment w:val="auto"/>
    </w:pPr>
    <w:rPr>
      <w:rFonts w:ascii="Calibri" w:eastAsia="Calibri" w:hAnsi="Calibri"/>
      <w:szCs w:val="22"/>
      <w:lang w:eastAsia="en-US"/>
    </w:rPr>
  </w:style>
  <w:style w:type="character" w:customStyle="1" w:styleId="DokPiotr1Znak">
    <w:name w:val="Dok.Piotr1 Znak"/>
    <w:basedOn w:val="Domylnaczcionkaakapitu"/>
    <w:link w:val="DokPiotr1"/>
    <w:uiPriority w:val="99"/>
    <w:rsid w:val="00C12426"/>
    <w:rPr>
      <w:rFonts w:ascii="Calibri" w:eastAsia="Calibri" w:hAnsi="Calibri"/>
      <w:sz w:val="24"/>
      <w:szCs w:val="22"/>
      <w:lang w:eastAsia="en-US"/>
    </w:rPr>
  </w:style>
  <w:style w:type="paragraph" w:customStyle="1" w:styleId="BodyText31">
    <w:name w:val="Body Text 31"/>
    <w:basedOn w:val="Normalny"/>
    <w:rsid w:val="00C12426"/>
    <w:pPr>
      <w:tabs>
        <w:tab w:val="left" w:pos="90"/>
      </w:tabs>
      <w:autoSpaceDN w:val="0"/>
      <w:adjustRightInd w:val="0"/>
      <w:jc w:val="both"/>
    </w:pPr>
    <w:rPr>
      <w:lang w:eastAsia="pl-PL"/>
    </w:rPr>
  </w:style>
  <w:style w:type="paragraph" w:styleId="Listapunktowana20">
    <w:name w:val="List Bullet 2"/>
    <w:basedOn w:val="Normalny"/>
    <w:autoRedefine/>
    <w:semiHidden/>
    <w:rsid w:val="00C12426"/>
    <w:pPr>
      <w:tabs>
        <w:tab w:val="left" w:pos="643"/>
      </w:tabs>
      <w:suppressAutoHyphens w:val="0"/>
      <w:autoSpaceDN w:val="0"/>
      <w:adjustRightInd w:val="0"/>
      <w:ind w:left="643" w:hanging="360"/>
    </w:pPr>
    <w:rPr>
      <w:lang w:eastAsia="pl-PL"/>
    </w:rPr>
  </w:style>
  <w:style w:type="character" w:customStyle="1" w:styleId="apple-style-span">
    <w:name w:val="apple-style-span"/>
    <w:basedOn w:val="Domylnaczcionkaakapitu"/>
    <w:rsid w:val="00C12426"/>
  </w:style>
  <w:style w:type="paragraph" w:customStyle="1" w:styleId="Tekstdugiegocytatu">
    <w:name w:val="Tekst długiego cytatu"/>
    <w:basedOn w:val="Normalny"/>
    <w:rsid w:val="00C12426"/>
    <w:pPr>
      <w:overflowPunct/>
      <w:autoSpaceDE/>
      <w:ind w:left="57" w:right="57"/>
      <w:jc w:val="both"/>
      <w:textAlignment w:val="auto"/>
    </w:pPr>
    <w:rPr>
      <w:rFonts w:eastAsia="Andale Sans UI"/>
      <w:kern w:val="1"/>
      <w:sz w:val="22"/>
      <w:szCs w:val="24"/>
      <w:lang w:eastAsia="en-US"/>
    </w:rPr>
  </w:style>
  <w:style w:type="paragraph" w:customStyle="1" w:styleId="Akapitzlist1">
    <w:name w:val="Akapit z listą1"/>
    <w:basedOn w:val="Normalny"/>
    <w:rsid w:val="00C12426"/>
    <w:pPr>
      <w:overflowPunct/>
      <w:autoSpaceDE/>
      <w:spacing w:line="276" w:lineRule="auto"/>
      <w:jc w:val="both"/>
      <w:textAlignment w:val="auto"/>
    </w:pPr>
    <w:rPr>
      <w:rFonts w:ascii="Calibri" w:eastAsia="Arial Unicode MS" w:hAnsi="Calibri" w:cs="Tahoma"/>
      <w:kern w:val="1"/>
      <w:szCs w:val="24"/>
      <w:lang w:eastAsia="hi-IN" w:bidi="hi-IN"/>
    </w:rPr>
  </w:style>
  <w:style w:type="numbering" w:customStyle="1" w:styleId="WWNum2">
    <w:name w:val="WWNum2"/>
    <w:rsid w:val="00C12426"/>
  </w:style>
  <w:style w:type="numbering" w:customStyle="1" w:styleId="WWNum1">
    <w:name w:val="WWNum1"/>
    <w:rsid w:val="00C12426"/>
  </w:style>
  <w:style w:type="numbering" w:customStyle="1" w:styleId="WWNum3">
    <w:name w:val="WWNum3"/>
    <w:rsid w:val="00C12426"/>
    <w:pPr>
      <w:numPr>
        <w:numId w:val="320"/>
      </w:numPr>
    </w:pPr>
  </w:style>
  <w:style w:type="character" w:customStyle="1" w:styleId="WW8Num12z1">
    <w:name w:val="WW8Num12z1"/>
    <w:rsid w:val="00C12426"/>
    <w:rPr>
      <w:rFonts w:ascii="Courier New" w:hAnsi="Courier New" w:cs="Courier New"/>
    </w:rPr>
  </w:style>
  <w:style w:type="character" w:customStyle="1" w:styleId="WW8Num18z1">
    <w:name w:val="WW8Num18z1"/>
    <w:rsid w:val="00C12426"/>
    <w:rPr>
      <w:rFonts w:eastAsia="Times New Roman" w:cs="Times New Roman"/>
    </w:rPr>
  </w:style>
  <w:style w:type="character" w:customStyle="1" w:styleId="WW8Num20z1">
    <w:name w:val="WW8Num20z1"/>
    <w:rsid w:val="00C12426"/>
    <w:rPr>
      <w:rFonts w:ascii="Courier New" w:hAnsi="Courier New"/>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WW8Num20z2">
    <w:name w:val="WW8Num20z2"/>
    <w:rsid w:val="00C12426"/>
    <w:rPr>
      <w:rFonts w:ascii="Wingdings" w:hAnsi="Wingdings"/>
    </w:rPr>
  </w:style>
  <w:style w:type="character" w:customStyle="1" w:styleId="WW8Num23z2">
    <w:name w:val="WW8Num23z2"/>
    <w:rsid w:val="00C12426"/>
    <w:rPr>
      <w:rFonts w:ascii="Wingdings" w:hAnsi="Wingdings"/>
    </w:rPr>
  </w:style>
  <w:style w:type="character" w:customStyle="1" w:styleId="WW8Num20z3">
    <w:name w:val="WW8Num20z3"/>
    <w:rsid w:val="00C12426"/>
    <w:rPr>
      <w:rFonts w:ascii="Symbol" w:hAnsi="Symbol"/>
    </w:rPr>
  </w:style>
  <w:style w:type="character" w:customStyle="1" w:styleId="WW8Num13z1">
    <w:name w:val="WW8Num13z1"/>
    <w:rsid w:val="00C12426"/>
    <w:rPr>
      <w:rFonts w:ascii="Courier New" w:hAnsi="Courier New" w:cs="Courier New"/>
    </w:rPr>
  </w:style>
  <w:style w:type="character" w:customStyle="1" w:styleId="WW8Num13z2">
    <w:name w:val="WW8Num13z2"/>
    <w:rsid w:val="00C12426"/>
    <w:rPr>
      <w:rFonts w:ascii="Wingdings" w:hAnsi="Wingdings"/>
    </w:rPr>
  </w:style>
  <w:style w:type="character" w:customStyle="1" w:styleId="ListLabel1">
    <w:name w:val="ListLabel 1"/>
    <w:rsid w:val="00C12426"/>
    <w:rPr>
      <w:rFonts w:cs="OpenSymbol"/>
    </w:rPr>
  </w:style>
  <w:style w:type="character" w:customStyle="1" w:styleId="ListLabel2">
    <w:name w:val="ListLabel 2"/>
    <w:rsid w:val="00C12426"/>
    <w:rPr>
      <w:b/>
      <w:bCs/>
      <w:i/>
      <w:smallCaps/>
      <w:dstrike/>
      <w:outline/>
      <w:vanish/>
      <w:color w:val="FFFFFF" w:themeColor="background1"/>
      <w:spacing w:val="0"/>
      <w:kern w:val="1"/>
      <w:position w:val="0"/>
      <w:sz w:val="20"/>
      <w:u w:val="none"/>
      <w:vertAlign w:val="baseline"/>
      <w:em w:val="none"/>
      <w14:textOutline w14:w="9525" w14:cap="flat" w14:cmpd="sng" w14:algn="ctr">
        <w14:solidFill>
          <w14:schemeClr w14:val="bg1"/>
        </w14:solidFill>
        <w14:prstDash w14:val="solid"/>
        <w14:round/>
      </w14:textOutline>
      <w14:textFill>
        <w14:noFill/>
      </w14:textFill>
    </w:rPr>
  </w:style>
  <w:style w:type="character" w:customStyle="1" w:styleId="ListLabel3">
    <w:name w:val="ListLabel 3"/>
    <w:rsid w:val="00C12426"/>
    <w:rPr>
      <w:b/>
    </w:rPr>
  </w:style>
  <w:style w:type="character" w:customStyle="1" w:styleId="ListLabel4">
    <w:name w:val="ListLabel 4"/>
    <w:rsid w:val="00C12426"/>
    <w:rPr>
      <w:rFonts w:eastAsia="Times New Roman" w:cs="Times New Roman"/>
    </w:rPr>
  </w:style>
  <w:style w:type="character" w:customStyle="1" w:styleId="ListLabel5">
    <w:name w:val="ListLabel 5"/>
    <w:rsid w:val="00C12426"/>
    <w:rPr>
      <w:rFonts w:cs="Courier New"/>
    </w:rPr>
  </w:style>
  <w:style w:type="character" w:customStyle="1" w:styleId="ListLabel6">
    <w:name w:val="ListLabel 6"/>
    <w:rsid w:val="00C12426"/>
    <w:rPr>
      <w:color w:val="00000A"/>
    </w:rPr>
  </w:style>
  <w:style w:type="character" w:customStyle="1" w:styleId="ListLabel7">
    <w:name w:val="ListLabel 7"/>
    <w:rsid w:val="00C12426"/>
    <w:rPr>
      <w:rFonts w:eastAsia="Times New Roman" w:cs="Calibri"/>
    </w:rPr>
  </w:style>
  <w:style w:type="character" w:customStyle="1" w:styleId="Tekstzastpczy1">
    <w:name w:val="Tekst zastępczy1"/>
    <w:rsid w:val="00C12426"/>
  </w:style>
  <w:style w:type="character" w:customStyle="1" w:styleId="Odwoanieprzypisukocowego1">
    <w:name w:val="Odwołanie przypisu końcowego1"/>
    <w:basedOn w:val="Domylnaczcionkaakapitu1"/>
    <w:rsid w:val="00C12426"/>
  </w:style>
  <w:style w:type="character" w:customStyle="1" w:styleId="Odwoanieprzypisudolnego1">
    <w:name w:val="Odwołanie przypisu dolnego1"/>
    <w:basedOn w:val="Domylnaczcionkaakapitu1"/>
    <w:rsid w:val="00C12426"/>
  </w:style>
  <w:style w:type="paragraph" w:customStyle="1" w:styleId="Tekstdymka1">
    <w:name w:val="Tekst dymka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HTML-wstpniesformatowany1">
    <w:name w:val="HTML - wstępnie sformatowany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NormalnyWeb1">
    <w:name w:val="Normalny (Web)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kocowego1">
    <w:name w:val="Tekst przypisu końcow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kstprzypisudolnego1">
    <w:name w:val="Tekst przypisu dolnego1"/>
    <w:basedOn w:val="Normalny"/>
    <w:rsid w:val="00C12426"/>
    <w:pPr>
      <w:widowControl/>
      <w:overflowPunct/>
      <w:autoSpaceDE/>
      <w:spacing w:after="200" w:line="276" w:lineRule="auto"/>
      <w:textAlignment w:val="auto"/>
    </w:pPr>
    <w:rPr>
      <w:rFonts w:eastAsia="Arial Unicode MS" w:cs="Tahoma"/>
      <w:kern w:val="1"/>
      <w:szCs w:val="24"/>
    </w:rPr>
  </w:style>
  <w:style w:type="paragraph" w:customStyle="1" w:styleId="Tematkomentarza1">
    <w:name w:val="Temat komentarza1"/>
    <w:basedOn w:val="Tekstkomentarza1"/>
    <w:rsid w:val="00C12426"/>
    <w:pPr>
      <w:widowControl/>
      <w:spacing w:after="200" w:line="276" w:lineRule="auto"/>
    </w:pPr>
    <w:rPr>
      <w:rFonts w:eastAsia="Arial Unicode MS" w:cs="Tahoma"/>
      <w:sz w:val="24"/>
      <w:szCs w:val="24"/>
    </w:rPr>
  </w:style>
  <w:style w:type="paragraph" w:customStyle="1" w:styleId="Spistreci10">
    <w:name w:val="Spis treści 10"/>
    <w:basedOn w:val="Indeks"/>
    <w:rsid w:val="00C12426"/>
    <w:pPr>
      <w:widowControl/>
      <w:tabs>
        <w:tab w:val="right" w:leader="dot" w:pos="7091"/>
      </w:tabs>
      <w:overflowPunct/>
      <w:autoSpaceDE/>
      <w:spacing w:after="200" w:line="276" w:lineRule="auto"/>
      <w:ind w:left="2547"/>
      <w:textAlignment w:val="auto"/>
    </w:pPr>
    <w:rPr>
      <w:rFonts w:eastAsia="Arial Unicode MS" w:cs="Mangal"/>
      <w:kern w:val="1"/>
      <w:szCs w:val="24"/>
    </w:rPr>
  </w:style>
  <w:style w:type="character" w:customStyle="1" w:styleId="mw-headline">
    <w:name w:val="mw-headline"/>
    <w:basedOn w:val="Domylnaczcionkaakapitu"/>
    <w:rsid w:val="00C12426"/>
  </w:style>
  <w:style w:type="character" w:customStyle="1" w:styleId="editsection">
    <w:name w:val="editsection"/>
    <w:basedOn w:val="Domylnaczcionkaakapitu"/>
    <w:rsid w:val="00C12426"/>
  </w:style>
  <w:style w:type="character" w:customStyle="1" w:styleId="st">
    <w:name w:val="st"/>
    <w:basedOn w:val="Domylnaczcionkaakapitu"/>
    <w:rsid w:val="00C12426"/>
  </w:style>
  <w:style w:type="character" w:customStyle="1" w:styleId="txm">
    <w:name w:val="txm"/>
    <w:basedOn w:val="Domylnaczcionkaakapitu"/>
    <w:rsid w:val="00C12426"/>
  </w:style>
  <w:style w:type="paragraph" w:customStyle="1" w:styleId="bodytext310">
    <w:name w:val="bodytext31"/>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font6">
    <w:name w:val="font6"/>
    <w:basedOn w:val="Normalny"/>
    <w:rsid w:val="00C12426"/>
    <w:pPr>
      <w:widowControl/>
      <w:suppressAutoHyphens w:val="0"/>
      <w:overflowPunct/>
      <w:autoSpaceDE/>
      <w:spacing w:before="100" w:beforeAutospacing="1" w:after="100" w:afterAutospacing="1"/>
      <w:textAlignment w:val="auto"/>
    </w:pPr>
    <w:rPr>
      <w:sz w:val="20"/>
      <w:lang w:eastAsia="pl-PL"/>
    </w:rPr>
  </w:style>
  <w:style w:type="paragraph" w:customStyle="1" w:styleId="xl64">
    <w:name w:val="xl64"/>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5">
    <w:name w:val="xl65"/>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6">
    <w:name w:val="xl66"/>
    <w:basedOn w:val="Normalny"/>
    <w:rsid w:val="00C12426"/>
    <w:pPr>
      <w:widowControl/>
      <w:suppressAutoHyphens w:val="0"/>
      <w:overflowPunct/>
      <w:autoSpaceDE/>
      <w:spacing w:before="100" w:beforeAutospacing="1" w:after="100" w:afterAutospacing="1"/>
      <w:textAlignment w:val="auto"/>
    </w:pPr>
    <w:rPr>
      <w:b/>
      <w:bCs/>
      <w:szCs w:val="24"/>
      <w:lang w:eastAsia="pl-PL"/>
    </w:rPr>
  </w:style>
  <w:style w:type="paragraph" w:customStyle="1" w:styleId="xl67">
    <w:name w:val="xl67"/>
    <w:basedOn w:val="Normalny"/>
    <w:rsid w:val="00C12426"/>
    <w:pPr>
      <w:widowControl/>
      <w:suppressAutoHyphens w:val="0"/>
      <w:overflowPunct/>
      <w:autoSpaceDE/>
      <w:spacing w:before="100" w:beforeAutospacing="1" w:after="100" w:afterAutospacing="1"/>
      <w:textAlignment w:val="auto"/>
    </w:pPr>
    <w:rPr>
      <w:i/>
      <w:iCs/>
      <w:szCs w:val="24"/>
      <w:lang w:eastAsia="pl-PL"/>
    </w:rPr>
  </w:style>
  <w:style w:type="paragraph" w:customStyle="1" w:styleId="xl68">
    <w:name w:val="xl68"/>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69">
    <w:name w:val="xl69"/>
    <w:basedOn w:val="Normalny"/>
    <w:rsid w:val="00C12426"/>
    <w:pPr>
      <w:widowControl/>
      <w:suppressAutoHyphens w:val="0"/>
      <w:overflowPunct/>
      <w:autoSpaceDE/>
      <w:spacing w:before="100" w:beforeAutospacing="1" w:after="100" w:afterAutospacing="1"/>
      <w:textAlignment w:val="auto"/>
    </w:pPr>
    <w:rPr>
      <w:szCs w:val="24"/>
      <w:lang w:eastAsia="pl-PL"/>
    </w:rPr>
  </w:style>
  <w:style w:type="paragraph" w:customStyle="1" w:styleId="xl70">
    <w:name w:val="xl70"/>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1">
    <w:name w:val="xl71"/>
    <w:basedOn w:val="Normalny"/>
    <w:rsid w:val="00C12426"/>
    <w:pPr>
      <w:widowControl/>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72">
    <w:name w:val="xl72"/>
    <w:basedOn w:val="Normalny"/>
    <w:rsid w:val="00C12426"/>
    <w:pPr>
      <w:widowControl/>
      <w:pBdr>
        <w:top w:val="single" w:sz="4" w:space="0" w:color="000000"/>
        <w:bottom w:val="single" w:sz="8"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73">
    <w:name w:val="xl73"/>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4">
    <w:name w:val="xl74"/>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75">
    <w:name w:val="xl75"/>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76">
    <w:name w:val="xl76"/>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77">
    <w:name w:val="xl7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8">
    <w:name w:val="xl7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79">
    <w:name w:val="xl7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0">
    <w:name w:val="xl8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1">
    <w:name w:val="xl81"/>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2">
    <w:name w:val="xl82"/>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83">
    <w:name w:val="xl83"/>
    <w:basedOn w:val="Normalny"/>
    <w:rsid w:val="00C12426"/>
    <w:pPr>
      <w:widowControl/>
      <w:pBdr>
        <w:bottom w:val="double" w:sz="6"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4">
    <w:name w:val="xl84"/>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5">
    <w:name w:val="xl85"/>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6">
    <w:name w:val="xl86"/>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87">
    <w:name w:val="xl87"/>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8">
    <w:name w:val="xl8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89">
    <w:name w:val="xl89"/>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90">
    <w:name w:val="xl90"/>
    <w:basedOn w:val="Normalny"/>
    <w:rsid w:val="00C12426"/>
    <w:pPr>
      <w:widowControl/>
      <w:pBdr>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1">
    <w:name w:val="xl91"/>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2">
    <w:name w:val="xl9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3">
    <w:name w:val="xl9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4">
    <w:name w:val="xl94"/>
    <w:basedOn w:val="Normalny"/>
    <w:rsid w:val="00C12426"/>
    <w:pPr>
      <w:widowControl/>
      <w:pBdr>
        <w:bottom w:val="single" w:sz="8"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95">
    <w:name w:val="xl95"/>
    <w:basedOn w:val="Normalny"/>
    <w:rsid w:val="00C12426"/>
    <w:pPr>
      <w:widowControl/>
      <w:pBdr>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6">
    <w:name w:val="xl96"/>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97">
    <w:name w:val="xl9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8">
    <w:name w:val="xl98"/>
    <w:basedOn w:val="Normalny"/>
    <w:rsid w:val="00C12426"/>
    <w:pPr>
      <w:widowControl/>
      <w:pBdr>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99">
    <w:name w:val="xl99"/>
    <w:basedOn w:val="Normalny"/>
    <w:rsid w:val="00C12426"/>
    <w:pPr>
      <w:widowControl/>
      <w:pBdr>
        <w:top w:val="single" w:sz="4"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0">
    <w:name w:val="xl100"/>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1">
    <w:name w:val="xl101"/>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2">
    <w:name w:val="xl102"/>
    <w:basedOn w:val="Normalny"/>
    <w:rsid w:val="00C12426"/>
    <w:pPr>
      <w:widowControl/>
      <w:pBdr>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3">
    <w:name w:val="xl103"/>
    <w:basedOn w:val="Normalny"/>
    <w:rsid w:val="00C12426"/>
    <w:pPr>
      <w:widowControl/>
      <w:pBdr>
        <w:left w:val="double" w:sz="6" w:space="0" w:color="000000"/>
        <w:bottom w:val="single" w:sz="8" w:space="0" w:color="000000"/>
      </w:pBdr>
      <w:suppressAutoHyphens w:val="0"/>
      <w:overflowPunct/>
      <w:autoSpaceDE/>
      <w:spacing w:before="100" w:beforeAutospacing="1" w:after="100" w:afterAutospacing="1"/>
      <w:textAlignment w:val="auto"/>
    </w:pPr>
    <w:rPr>
      <w:sz w:val="22"/>
      <w:szCs w:val="22"/>
      <w:lang w:eastAsia="pl-PL"/>
    </w:rPr>
  </w:style>
  <w:style w:type="paragraph" w:customStyle="1" w:styleId="xl104">
    <w:name w:val="xl104"/>
    <w:basedOn w:val="Normalny"/>
    <w:rsid w:val="00C12426"/>
    <w:pPr>
      <w:widowControl/>
      <w:pBdr>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5">
    <w:name w:val="xl105"/>
    <w:basedOn w:val="Normalny"/>
    <w:rsid w:val="00C12426"/>
    <w:pPr>
      <w:widowControl/>
      <w:pBdr>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6">
    <w:name w:val="xl106"/>
    <w:basedOn w:val="Normalny"/>
    <w:rsid w:val="00C12426"/>
    <w:pPr>
      <w:widowControl/>
      <w:suppressAutoHyphens w:val="0"/>
      <w:overflowPunct/>
      <w:autoSpaceDE/>
      <w:spacing w:before="100" w:beforeAutospacing="1" w:after="100" w:afterAutospacing="1"/>
      <w:textAlignment w:val="auto"/>
    </w:pPr>
    <w:rPr>
      <w:sz w:val="18"/>
      <w:szCs w:val="18"/>
      <w:lang w:eastAsia="pl-PL"/>
    </w:rPr>
  </w:style>
  <w:style w:type="paragraph" w:customStyle="1" w:styleId="xl107">
    <w:name w:val="xl107"/>
    <w:basedOn w:val="Normalny"/>
    <w:rsid w:val="00C12426"/>
    <w:pPr>
      <w:widowControl/>
      <w:pBdr>
        <w:left w:val="double" w:sz="6"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08">
    <w:name w:val="xl108"/>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09">
    <w:name w:val="xl109"/>
    <w:basedOn w:val="Normalny"/>
    <w:rsid w:val="00C12426"/>
    <w:pPr>
      <w:widowControl/>
      <w:pBdr>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10">
    <w:name w:val="xl110"/>
    <w:basedOn w:val="Normalny"/>
    <w:rsid w:val="00C12426"/>
    <w:pPr>
      <w:widowControl/>
      <w:suppressAutoHyphens w:val="0"/>
      <w:overflowPunct/>
      <w:autoSpaceDE/>
      <w:spacing w:before="100" w:beforeAutospacing="1" w:after="100" w:afterAutospacing="1"/>
      <w:jc w:val="center"/>
      <w:textAlignment w:val="auto"/>
    </w:pPr>
    <w:rPr>
      <w:sz w:val="18"/>
      <w:szCs w:val="18"/>
      <w:lang w:eastAsia="pl-PL"/>
    </w:rPr>
  </w:style>
  <w:style w:type="paragraph" w:customStyle="1" w:styleId="xl111">
    <w:name w:val="xl111"/>
    <w:basedOn w:val="Normalny"/>
    <w:rsid w:val="00C12426"/>
    <w:pPr>
      <w:widowControl/>
      <w:pBdr>
        <w:top w:val="single" w:sz="8" w:space="0" w:color="auto"/>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2">
    <w:name w:val="xl112"/>
    <w:basedOn w:val="Normalny"/>
    <w:rsid w:val="00C12426"/>
    <w:pPr>
      <w:widowControl/>
      <w:pBdr>
        <w:left w:val="single" w:sz="8" w:space="0" w:color="auto"/>
        <w:bottom w:val="single" w:sz="4" w:space="0" w:color="000000"/>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3">
    <w:name w:val="xl113"/>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4">
    <w:name w:val="xl114"/>
    <w:basedOn w:val="Normalny"/>
    <w:rsid w:val="00C12426"/>
    <w:pPr>
      <w:widowControl/>
      <w:pBdr>
        <w:bottom w:val="single" w:sz="4" w:space="0" w:color="000000"/>
      </w:pBdr>
      <w:suppressAutoHyphens w:val="0"/>
      <w:overflowPunct/>
      <w:autoSpaceDE/>
      <w:spacing w:before="100" w:beforeAutospacing="1" w:after="100" w:afterAutospacing="1"/>
      <w:textAlignment w:val="auto"/>
    </w:pPr>
    <w:rPr>
      <w:b/>
      <w:bCs/>
      <w:i/>
      <w:iCs/>
      <w:szCs w:val="24"/>
      <w:lang w:eastAsia="pl-PL"/>
    </w:rPr>
  </w:style>
  <w:style w:type="paragraph" w:customStyle="1" w:styleId="xl115">
    <w:name w:val="xl115"/>
    <w:basedOn w:val="Normalny"/>
    <w:rsid w:val="00C12426"/>
    <w:pPr>
      <w:widowControl/>
      <w:suppressAutoHyphens w:val="0"/>
      <w:overflowPunct/>
      <w:autoSpaceDE/>
      <w:spacing w:before="100" w:beforeAutospacing="1" w:after="100" w:afterAutospacing="1"/>
      <w:jc w:val="center"/>
      <w:textAlignment w:val="auto"/>
    </w:pPr>
    <w:rPr>
      <w:sz w:val="16"/>
      <w:szCs w:val="16"/>
      <w:lang w:eastAsia="pl-PL"/>
    </w:rPr>
  </w:style>
  <w:style w:type="paragraph" w:customStyle="1" w:styleId="xl116">
    <w:name w:val="xl11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17">
    <w:name w:val="xl117"/>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18">
    <w:name w:val="xl118"/>
    <w:basedOn w:val="Normalny"/>
    <w:rsid w:val="00C12426"/>
    <w:pPr>
      <w:widowControl/>
      <w:pBdr>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19">
    <w:name w:val="xl119"/>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20">
    <w:name w:val="xl12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1">
    <w:name w:val="xl121"/>
    <w:basedOn w:val="Normalny"/>
    <w:rsid w:val="00C12426"/>
    <w:pPr>
      <w:widowControl/>
      <w:pBdr>
        <w:bottom w:val="double" w:sz="6"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2">
    <w:name w:val="xl122"/>
    <w:basedOn w:val="Normalny"/>
    <w:rsid w:val="00C12426"/>
    <w:pPr>
      <w:widowControl/>
      <w:pBdr>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3">
    <w:name w:val="xl123"/>
    <w:basedOn w:val="Normalny"/>
    <w:rsid w:val="00C12426"/>
    <w:pPr>
      <w:widowControl/>
      <w:pBdr>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4">
    <w:name w:val="xl124"/>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25">
    <w:name w:val="xl125"/>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26">
    <w:name w:val="xl126"/>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7">
    <w:name w:val="xl127"/>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szCs w:val="24"/>
      <w:lang w:eastAsia="pl-PL"/>
    </w:rPr>
  </w:style>
  <w:style w:type="paragraph" w:customStyle="1" w:styleId="xl128">
    <w:name w:val="xl128"/>
    <w:basedOn w:val="Normalny"/>
    <w:rsid w:val="00C12426"/>
    <w:pPr>
      <w:widowControl/>
      <w:pBdr>
        <w:bottom w:val="single" w:sz="8"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29">
    <w:name w:val="xl129"/>
    <w:basedOn w:val="Normalny"/>
    <w:rsid w:val="00C12426"/>
    <w:pPr>
      <w:widowControl/>
      <w:pBdr>
        <w:left w:val="single" w:sz="8" w:space="0" w:color="auto"/>
        <w:bottom w:val="single" w:sz="4"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0">
    <w:name w:val="xl130"/>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 w:val="22"/>
      <w:szCs w:val="22"/>
      <w:lang w:eastAsia="pl-PL"/>
    </w:rPr>
  </w:style>
  <w:style w:type="paragraph" w:customStyle="1" w:styleId="xl131">
    <w:name w:val="xl131"/>
    <w:basedOn w:val="Normalny"/>
    <w:rsid w:val="00C12426"/>
    <w:pPr>
      <w:widowControl/>
      <w:pBdr>
        <w:left w:val="single" w:sz="8" w:space="0" w:color="auto"/>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32">
    <w:name w:val="xl132"/>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33">
    <w:name w:val="xl133"/>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4">
    <w:name w:val="xl134"/>
    <w:basedOn w:val="Normalny"/>
    <w:rsid w:val="00C12426"/>
    <w:pPr>
      <w:widowControl/>
      <w:pBdr>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35">
    <w:name w:val="xl135"/>
    <w:basedOn w:val="Normalny"/>
    <w:rsid w:val="00C12426"/>
    <w:pPr>
      <w:widowControl/>
      <w:pBdr>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36">
    <w:name w:val="xl136"/>
    <w:basedOn w:val="Normalny"/>
    <w:rsid w:val="00C12426"/>
    <w:pPr>
      <w:widowControl/>
      <w:pBdr>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37">
    <w:name w:val="xl137"/>
    <w:basedOn w:val="Normalny"/>
    <w:rsid w:val="00C12426"/>
    <w:pPr>
      <w:widowControl/>
      <w:suppressAutoHyphens w:val="0"/>
      <w:overflowPunct/>
      <w:autoSpaceDE/>
      <w:spacing w:before="100" w:beforeAutospacing="1" w:after="100" w:afterAutospacing="1"/>
      <w:textAlignment w:val="auto"/>
    </w:pPr>
    <w:rPr>
      <w:sz w:val="22"/>
      <w:szCs w:val="22"/>
      <w:lang w:eastAsia="pl-PL"/>
    </w:rPr>
  </w:style>
  <w:style w:type="paragraph" w:customStyle="1" w:styleId="xl138">
    <w:name w:val="xl138"/>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39">
    <w:name w:val="xl139"/>
    <w:basedOn w:val="Normalny"/>
    <w:rsid w:val="00C12426"/>
    <w:pPr>
      <w:widowControl/>
      <w:pBdr>
        <w:top w:val="single" w:sz="4" w:space="0" w:color="000000"/>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0">
    <w:name w:val="xl140"/>
    <w:basedOn w:val="Normalny"/>
    <w:rsid w:val="00C12426"/>
    <w:pPr>
      <w:widowControl/>
      <w:pBdr>
        <w:top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1">
    <w:name w:val="xl141"/>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42">
    <w:name w:val="xl14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43">
    <w:name w:val="xl143"/>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44">
    <w:name w:val="xl144"/>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45">
    <w:name w:val="xl145"/>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46">
    <w:name w:val="xl146"/>
    <w:basedOn w:val="Normalny"/>
    <w:rsid w:val="00C12426"/>
    <w:pPr>
      <w:widowControl/>
      <w:pBdr>
        <w:top w:val="single" w:sz="8" w:space="0" w:color="000000"/>
        <w:left w:val="double" w:sz="6"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7">
    <w:name w:val="xl147"/>
    <w:basedOn w:val="Normalny"/>
    <w:rsid w:val="00C12426"/>
    <w:pPr>
      <w:widowControl/>
      <w:pBdr>
        <w:top w:val="single" w:sz="8" w:space="0" w:color="000000"/>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8">
    <w:name w:val="xl148"/>
    <w:basedOn w:val="Normalny"/>
    <w:rsid w:val="00C12426"/>
    <w:pPr>
      <w:widowControl/>
      <w:pBdr>
        <w:top w:val="single" w:sz="8" w:space="0" w:color="000000"/>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49">
    <w:name w:val="xl149"/>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0">
    <w:name w:val="xl150"/>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1">
    <w:name w:val="xl151"/>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52">
    <w:name w:val="xl152"/>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3">
    <w:name w:val="xl153"/>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b/>
      <w:bCs/>
      <w:szCs w:val="24"/>
      <w:lang w:eastAsia="pl-PL"/>
    </w:rPr>
  </w:style>
  <w:style w:type="paragraph" w:customStyle="1" w:styleId="xl154">
    <w:name w:val="xl154"/>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5">
    <w:name w:val="xl15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6">
    <w:name w:val="xl15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rFonts w:ascii="Symbol" w:hAnsi="Symbol"/>
      <w:szCs w:val="24"/>
      <w:lang w:eastAsia="pl-PL"/>
    </w:rPr>
  </w:style>
  <w:style w:type="paragraph" w:customStyle="1" w:styleId="xl157">
    <w:name w:val="xl157"/>
    <w:basedOn w:val="Normalny"/>
    <w:rsid w:val="00C12426"/>
    <w:pPr>
      <w:widowControl/>
      <w:pBdr>
        <w:top w:val="single" w:sz="8" w:space="0" w:color="auto"/>
        <w:left w:val="single" w:sz="8" w:space="0" w:color="auto"/>
        <w:right w:val="single" w:sz="4" w:space="0" w:color="000000"/>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158">
    <w:name w:val="xl158"/>
    <w:basedOn w:val="Normalny"/>
    <w:rsid w:val="00C12426"/>
    <w:pPr>
      <w:widowControl/>
      <w:pBdr>
        <w:top w:val="single" w:sz="8" w:space="0" w:color="auto"/>
        <w:right w:val="single" w:sz="4" w:space="0" w:color="000000"/>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59">
    <w:name w:val="xl159"/>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 w:val="16"/>
      <w:szCs w:val="16"/>
      <w:lang w:eastAsia="pl-PL"/>
    </w:rPr>
  </w:style>
  <w:style w:type="paragraph" w:customStyle="1" w:styleId="xl160">
    <w:name w:val="xl160"/>
    <w:basedOn w:val="Normalny"/>
    <w:rsid w:val="00C12426"/>
    <w:pPr>
      <w:widowControl/>
      <w:pBdr>
        <w:top w:val="single" w:sz="8" w:space="0" w:color="auto"/>
        <w:left w:val="single" w:sz="4"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61">
    <w:name w:val="xl161"/>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2">
    <w:name w:val="xl162"/>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63">
    <w:name w:val="xl163"/>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64">
    <w:name w:val="xl164"/>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5">
    <w:name w:val="xl165"/>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66">
    <w:name w:val="xl166"/>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67">
    <w:name w:val="xl167"/>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8">
    <w:name w:val="xl168"/>
    <w:basedOn w:val="Normalny"/>
    <w:rsid w:val="00C12426"/>
    <w:pPr>
      <w:widowControl/>
      <w:pBdr>
        <w:top w:val="single" w:sz="8" w:space="0" w:color="auto"/>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69">
    <w:name w:val="xl169"/>
    <w:basedOn w:val="Normalny"/>
    <w:rsid w:val="00C12426"/>
    <w:pPr>
      <w:widowControl/>
      <w:pBdr>
        <w:top w:val="single" w:sz="8" w:space="0" w:color="auto"/>
        <w:left w:val="double" w:sz="6" w:space="0" w:color="000000"/>
        <w:bottom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70">
    <w:name w:val="xl170"/>
    <w:basedOn w:val="Normalny"/>
    <w:rsid w:val="00C12426"/>
    <w:pPr>
      <w:widowControl/>
      <w:pBdr>
        <w:top w:val="single" w:sz="8" w:space="0" w:color="auto"/>
        <w:bottom w:val="single" w:sz="4" w:space="0" w:color="000000"/>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1">
    <w:name w:val="xl171"/>
    <w:basedOn w:val="Normalny"/>
    <w:rsid w:val="00C12426"/>
    <w:pPr>
      <w:widowControl/>
      <w:pBdr>
        <w:top w:val="single" w:sz="8" w:space="0" w:color="auto"/>
        <w:bottom w:val="single" w:sz="4" w:space="0" w:color="000000"/>
        <w:right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2">
    <w:name w:val="xl172"/>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3">
    <w:name w:val="xl173"/>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74">
    <w:name w:val="xl174"/>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5">
    <w:name w:val="xl175"/>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76">
    <w:name w:val="xl176"/>
    <w:basedOn w:val="Normalny"/>
    <w:rsid w:val="00C12426"/>
    <w:pPr>
      <w:widowControl/>
      <w:pBdr>
        <w:top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7">
    <w:name w:val="xl177"/>
    <w:basedOn w:val="Normalny"/>
    <w:rsid w:val="00C12426"/>
    <w:pPr>
      <w:widowControl/>
      <w:pBdr>
        <w:top w:val="single" w:sz="4" w:space="0" w:color="auto"/>
        <w:left w:val="single" w:sz="4" w:space="0" w:color="auto"/>
        <w:bottom w:val="single" w:sz="4" w:space="0" w:color="auto"/>
        <w:right w:val="single" w:sz="4"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78">
    <w:name w:val="xl178"/>
    <w:basedOn w:val="Normalny"/>
    <w:rsid w:val="00C12426"/>
    <w:pPr>
      <w:widowControl/>
      <w:pBdr>
        <w:left w:val="single" w:sz="4" w:space="0" w:color="auto"/>
        <w:bottom w:val="single" w:sz="8" w:space="0" w:color="auto"/>
        <w:right w:val="single" w:sz="4" w:space="0" w:color="auto"/>
      </w:pBdr>
      <w:suppressAutoHyphens w:val="0"/>
      <w:overflowPunct/>
      <w:autoSpaceDE/>
      <w:spacing w:before="100" w:beforeAutospacing="1" w:after="100" w:afterAutospacing="1"/>
      <w:textAlignment w:val="auto"/>
    </w:pPr>
    <w:rPr>
      <w:szCs w:val="24"/>
      <w:lang w:eastAsia="pl-PL"/>
    </w:rPr>
  </w:style>
  <w:style w:type="paragraph" w:customStyle="1" w:styleId="xl179">
    <w:name w:val="xl179"/>
    <w:basedOn w:val="Normalny"/>
    <w:rsid w:val="00C12426"/>
    <w:pPr>
      <w:widowControl/>
      <w:pBdr>
        <w:top w:val="single" w:sz="4" w:space="0" w:color="auto"/>
        <w:bottom w:val="single" w:sz="8" w:space="0" w:color="auto"/>
        <w:right w:val="single" w:sz="4"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0">
    <w:name w:val="xl180"/>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181">
    <w:name w:val="xl181"/>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b/>
      <w:bCs/>
      <w:i/>
      <w:iCs/>
      <w:szCs w:val="24"/>
      <w:lang w:eastAsia="pl-PL"/>
    </w:rPr>
  </w:style>
  <w:style w:type="paragraph" w:customStyle="1" w:styleId="xl182">
    <w:name w:val="xl182"/>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183">
    <w:name w:val="xl183"/>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84">
    <w:name w:val="xl184"/>
    <w:basedOn w:val="Normalny"/>
    <w:rsid w:val="00C12426"/>
    <w:pPr>
      <w:widowControl/>
      <w:pBdr>
        <w:bottom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5">
    <w:name w:val="xl185"/>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86">
    <w:name w:val="xl186"/>
    <w:basedOn w:val="Normalny"/>
    <w:rsid w:val="00C12426"/>
    <w:pPr>
      <w:widowControl/>
      <w:pBdr>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7">
    <w:name w:val="xl187"/>
    <w:basedOn w:val="Normalny"/>
    <w:rsid w:val="00C12426"/>
    <w:pPr>
      <w:widowControl/>
      <w:pBdr>
        <w:left w:val="double" w:sz="6" w:space="0" w:color="000000"/>
        <w:bottom w:val="single" w:sz="8" w:space="0" w:color="auto"/>
      </w:pBdr>
      <w:suppressAutoHyphens w:val="0"/>
      <w:overflowPunct/>
      <w:autoSpaceDE/>
      <w:spacing w:before="100" w:beforeAutospacing="1" w:after="100" w:afterAutospacing="1"/>
      <w:textAlignment w:val="auto"/>
    </w:pPr>
    <w:rPr>
      <w:sz w:val="18"/>
      <w:szCs w:val="18"/>
      <w:lang w:eastAsia="pl-PL"/>
    </w:rPr>
  </w:style>
  <w:style w:type="paragraph" w:customStyle="1" w:styleId="xl188">
    <w:name w:val="xl188"/>
    <w:basedOn w:val="Normalny"/>
    <w:rsid w:val="00C12426"/>
    <w:pPr>
      <w:widowControl/>
      <w:pBdr>
        <w:bottom w:val="single" w:sz="8" w:space="0" w:color="auto"/>
        <w:right w:val="single" w:sz="4" w:space="0" w:color="000000"/>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89">
    <w:name w:val="xl189"/>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auto"/>
    </w:pPr>
    <w:rPr>
      <w:sz w:val="18"/>
      <w:szCs w:val="18"/>
      <w:lang w:eastAsia="pl-PL"/>
    </w:rPr>
  </w:style>
  <w:style w:type="paragraph" w:customStyle="1" w:styleId="xl190">
    <w:name w:val="xl190"/>
    <w:basedOn w:val="Normalny"/>
    <w:rsid w:val="00C12426"/>
    <w:pPr>
      <w:widowControl/>
      <w:pBdr>
        <w:top w:val="single" w:sz="8" w:space="0" w:color="auto"/>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 w:val="18"/>
      <w:szCs w:val="18"/>
      <w:lang w:eastAsia="pl-PL"/>
    </w:rPr>
  </w:style>
  <w:style w:type="paragraph" w:customStyle="1" w:styleId="xl191">
    <w:name w:val="xl191"/>
    <w:basedOn w:val="Normalny"/>
    <w:rsid w:val="00C12426"/>
    <w:pPr>
      <w:widowControl/>
      <w:pBdr>
        <w:left w:val="single" w:sz="8" w:space="0" w:color="auto"/>
        <w:bottom w:val="single" w:sz="4" w:space="0" w:color="000000"/>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2">
    <w:name w:val="xl192"/>
    <w:basedOn w:val="Normalny"/>
    <w:rsid w:val="00C12426"/>
    <w:pPr>
      <w:widowControl/>
      <w:pBdr>
        <w:left w:val="single" w:sz="8" w:space="0" w:color="auto"/>
        <w:bottom w:val="single" w:sz="8" w:space="0" w:color="auto"/>
        <w:right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193">
    <w:name w:val="xl193"/>
    <w:basedOn w:val="Normalny"/>
    <w:rsid w:val="00C12426"/>
    <w:pPr>
      <w:widowControl/>
      <w:pBdr>
        <w:top w:val="single" w:sz="4" w:space="0" w:color="000000"/>
        <w:left w:val="double" w:sz="6"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4">
    <w:name w:val="xl194"/>
    <w:basedOn w:val="Normalny"/>
    <w:rsid w:val="00C12426"/>
    <w:pPr>
      <w:widowControl/>
      <w:pBdr>
        <w:top w:val="single" w:sz="4" w:space="0" w:color="000000"/>
        <w:bottom w:val="single" w:sz="8" w:space="0" w:color="000000"/>
      </w:pBdr>
      <w:suppressAutoHyphens w:val="0"/>
      <w:overflowPunct/>
      <w:autoSpaceDE/>
      <w:spacing w:before="100" w:beforeAutospacing="1" w:after="100" w:afterAutospacing="1"/>
      <w:textAlignment w:val="auto"/>
    </w:pPr>
    <w:rPr>
      <w:b/>
      <w:bCs/>
      <w:sz w:val="22"/>
      <w:szCs w:val="22"/>
      <w:lang w:eastAsia="pl-PL"/>
    </w:rPr>
  </w:style>
  <w:style w:type="paragraph" w:customStyle="1" w:styleId="xl195">
    <w:name w:val="xl195"/>
    <w:basedOn w:val="Normalny"/>
    <w:rsid w:val="00C12426"/>
    <w:pPr>
      <w:widowControl/>
      <w:pBdr>
        <w:top w:val="single" w:sz="4" w:space="0" w:color="000000"/>
        <w:bottom w:val="single" w:sz="8" w:space="0" w:color="000000"/>
        <w:right w:val="single" w:sz="8" w:space="0" w:color="auto"/>
      </w:pBdr>
      <w:suppressAutoHyphens w:val="0"/>
      <w:overflowPunct/>
      <w:autoSpaceDE/>
      <w:spacing w:before="100" w:beforeAutospacing="1" w:after="100" w:afterAutospacing="1"/>
      <w:textAlignment w:val="auto"/>
    </w:pPr>
    <w:rPr>
      <w:b/>
      <w:bCs/>
      <w:sz w:val="22"/>
      <w:szCs w:val="22"/>
      <w:lang w:eastAsia="pl-PL"/>
    </w:rPr>
  </w:style>
  <w:style w:type="paragraph" w:customStyle="1" w:styleId="xl196">
    <w:name w:val="xl196"/>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7">
    <w:name w:val="xl19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198">
    <w:name w:val="xl198"/>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199">
    <w:name w:val="xl199"/>
    <w:basedOn w:val="Normalny"/>
    <w:rsid w:val="00C12426"/>
    <w:pPr>
      <w:widowControl/>
      <w:pBdr>
        <w:bottom w:val="single" w:sz="4" w:space="0" w:color="000000"/>
      </w:pBdr>
      <w:suppressAutoHyphens w:val="0"/>
      <w:overflowPunct/>
      <w:autoSpaceDE/>
      <w:spacing w:before="100" w:beforeAutospacing="1" w:after="100" w:afterAutospacing="1"/>
      <w:textAlignment w:val="auto"/>
    </w:pPr>
    <w:rPr>
      <w:szCs w:val="24"/>
      <w:lang w:eastAsia="pl-PL"/>
    </w:rPr>
  </w:style>
  <w:style w:type="paragraph" w:customStyle="1" w:styleId="xl200">
    <w:name w:val="xl200"/>
    <w:basedOn w:val="Normalny"/>
    <w:rsid w:val="00C12426"/>
    <w:pPr>
      <w:widowControl/>
      <w:pBdr>
        <w:bottom w:val="single" w:sz="4" w:space="0" w:color="000000"/>
        <w:right w:val="double" w:sz="6" w:space="0" w:color="000000"/>
      </w:pBdr>
      <w:suppressAutoHyphens w:val="0"/>
      <w:overflowPunct/>
      <w:autoSpaceDE/>
      <w:spacing w:before="100" w:beforeAutospacing="1" w:after="100" w:afterAutospacing="1"/>
      <w:textAlignment w:val="auto"/>
    </w:pPr>
    <w:rPr>
      <w:szCs w:val="24"/>
      <w:lang w:eastAsia="pl-PL"/>
    </w:rPr>
  </w:style>
  <w:style w:type="paragraph" w:customStyle="1" w:styleId="xl201">
    <w:name w:val="xl201"/>
    <w:basedOn w:val="Normalny"/>
    <w:rsid w:val="00C12426"/>
    <w:pPr>
      <w:widowControl/>
      <w:pBdr>
        <w:bottom w:val="single" w:sz="4" w:space="0" w:color="000000"/>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2">
    <w:name w:val="xl202"/>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3">
    <w:name w:val="xl203"/>
    <w:basedOn w:val="Normalny"/>
    <w:rsid w:val="00C12426"/>
    <w:pPr>
      <w:widowControl/>
      <w:pBdr>
        <w:left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4">
    <w:name w:val="xl204"/>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textAlignment w:val="auto"/>
    </w:pPr>
    <w:rPr>
      <w:szCs w:val="24"/>
      <w:lang w:eastAsia="pl-PL"/>
    </w:rPr>
  </w:style>
  <w:style w:type="paragraph" w:customStyle="1" w:styleId="xl205">
    <w:name w:val="xl205"/>
    <w:basedOn w:val="Normalny"/>
    <w:rsid w:val="00C12426"/>
    <w:pPr>
      <w:widowControl/>
      <w:pBdr>
        <w:left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szCs w:val="24"/>
      <w:lang w:eastAsia="pl-PL"/>
    </w:rPr>
  </w:style>
  <w:style w:type="paragraph" w:customStyle="1" w:styleId="xl206">
    <w:name w:val="xl206"/>
    <w:basedOn w:val="Normalny"/>
    <w:rsid w:val="00C12426"/>
    <w:pPr>
      <w:widowControl/>
      <w:pBdr>
        <w:left w:val="double" w:sz="6" w:space="0" w:color="000000"/>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07">
    <w:name w:val="xl207"/>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8">
    <w:name w:val="xl208"/>
    <w:basedOn w:val="Normalny"/>
    <w:rsid w:val="00C12426"/>
    <w:pPr>
      <w:widowControl/>
      <w:pBdr>
        <w:top w:val="single" w:sz="8" w:space="0" w:color="auto"/>
        <w:left w:val="single" w:sz="8" w:space="0" w:color="auto"/>
        <w:right w:val="single" w:sz="8" w:space="0" w:color="auto"/>
      </w:pBdr>
      <w:suppressAutoHyphens w:val="0"/>
      <w:overflowPunct/>
      <w:autoSpaceDE/>
      <w:spacing w:before="100" w:beforeAutospacing="1" w:after="100" w:afterAutospacing="1"/>
      <w:jc w:val="center"/>
      <w:textAlignment w:val="auto"/>
    </w:pPr>
    <w:rPr>
      <w:sz w:val="16"/>
      <w:szCs w:val="16"/>
      <w:lang w:eastAsia="pl-PL"/>
    </w:rPr>
  </w:style>
  <w:style w:type="paragraph" w:customStyle="1" w:styleId="xl209">
    <w:name w:val="xl209"/>
    <w:basedOn w:val="Normalny"/>
    <w:rsid w:val="00C12426"/>
    <w:pPr>
      <w:widowControl/>
      <w:pBdr>
        <w:top w:val="single" w:sz="4" w:space="0" w:color="000000"/>
        <w:left w:val="double" w:sz="6" w:space="0" w:color="000000"/>
      </w:pBdr>
      <w:suppressAutoHyphens w:val="0"/>
      <w:overflowPunct/>
      <w:autoSpaceDE/>
      <w:spacing w:before="100" w:beforeAutospacing="1" w:after="100" w:afterAutospacing="1"/>
      <w:jc w:val="center"/>
      <w:textAlignment w:val="auto"/>
    </w:pPr>
    <w:rPr>
      <w:szCs w:val="24"/>
      <w:lang w:eastAsia="pl-PL"/>
    </w:rPr>
  </w:style>
  <w:style w:type="paragraph" w:customStyle="1" w:styleId="xl210">
    <w:name w:val="xl210"/>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1">
    <w:name w:val="xl211"/>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2">
    <w:name w:val="xl212"/>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3">
    <w:name w:val="xl213"/>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4">
    <w:name w:val="xl214"/>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5">
    <w:name w:val="xl215"/>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Cs w:val="24"/>
      <w:lang w:eastAsia="pl-PL"/>
    </w:rPr>
  </w:style>
  <w:style w:type="paragraph" w:customStyle="1" w:styleId="xl216">
    <w:name w:val="xl216"/>
    <w:basedOn w:val="Normalny"/>
    <w:rsid w:val="00C12426"/>
    <w:pPr>
      <w:widowControl/>
      <w:suppressAutoHyphens w:val="0"/>
      <w:overflowPunct/>
      <w:autoSpaceDE/>
      <w:spacing w:before="100" w:beforeAutospacing="1" w:after="100" w:afterAutospacing="1"/>
      <w:jc w:val="center"/>
      <w:textAlignment w:val="auto"/>
    </w:pPr>
    <w:rPr>
      <w:b/>
      <w:bCs/>
      <w:sz w:val="28"/>
      <w:szCs w:val="28"/>
      <w:lang w:eastAsia="pl-PL"/>
    </w:rPr>
  </w:style>
  <w:style w:type="paragraph" w:customStyle="1" w:styleId="xl217">
    <w:name w:val="xl217"/>
    <w:basedOn w:val="Normalny"/>
    <w:rsid w:val="00C12426"/>
    <w:pPr>
      <w:widowControl/>
      <w:pBdr>
        <w:left w:val="double" w:sz="6" w:space="0" w:color="000000"/>
        <w:bottom w:val="single" w:sz="4" w:space="0" w:color="000000"/>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18">
    <w:name w:val="xl218"/>
    <w:basedOn w:val="Normalny"/>
    <w:rsid w:val="00C12426"/>
    <w:pPr>
      <w:widowControl/>
      <w:pBdr>
        <w:top w:val="single" w:sz="8" w:space="0" w:color="auto"/>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19">
    <w:name w:val="xl219"/>
    <w:basedOn w:val="Normalny"/>
    <w:rsid w:val="00C12426"/>
    <w:pPr>
      <w:widowControl/>
      <w:pBdr>
        <w:left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0">
    <w:name w:val="xl220"/>
    <w:basedOn w:val="Normalny"/>
    <w:rsid w:val="00C12426"/>
    <w:pPr>
      <w:widowControl/>
      <w:pBdr>
        <w:left w:val="single" w:sz="8" w:space="0" w:color="auto"/>
        <w:bottom w:val="single" w:sz="8" w:space="0" w:color="auto"/>
        <w:right w:val="single" w:sz="4" w:space="0" w:color="auto"/>
      </w:pBdr>
      <w:suppressAutoHyphens w:val="0"/>
      <w:overflowPunct/>
      <w:autoSpaceDE/>
      <w:spacing w:before="100" w:beforeAutospacing="1" w:after="100" w:afterAutospacing="1"/>
      <w:jc w:val="center"/>
      <w:textAlignment w:val="center"/>
    </w:pPr>
    <w:rPr>
      <w:sz w:val="36"/>
      <w:szCs w:val="36"/>
      <w:lang w:eastAsia="pl-PL"/>
    </w:rPr>
  </w:style>
  <w:style w:type="paragraph" w:customStyle="1" w:styleId="xl221">
    <w:name w:val="xl221"/>
    <w:basedOn w:val="Normalny"/>
    <w:rsid w:val="00C12426"/>
    <w:pPr>
      <w:widowControl/>
      <w:pBdr>
        <w:top w:val="single" w:sz="8" w:space="0" w:color="auto"/>
        <w:lef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2">
    <w:name w:val="xl222"/>
    <w:basedOn w:val="Normalny"/>
    <w:rsid w:val="00C12426"/>
    <w:pPr>
      <w:widowControl/>
      <w:pBdr>
        <w:top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3">
    <w:name w:val="xl223"/>
    <w:basedOn w:val="Normalny"/>
    <w:rsid w:val="00C12426"/>
    <w:pPr>
      <w:widowControl/>
      <w:pBdr>
        <w:top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4">
    <w:name w:val="xl224"/>
    <w:basedOn w:val="Normalny"/>
    <w:rsid w:val="00C12426"/>
    <w:pPr>
      <w:widowControl/>
      <w:pBdr>
        <w:left w:val="single" w:sz="8" w:space="0" w:color="auto"/>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5">
    <w:name w:val="xl225"/>
    <w:basedOn w:val="Normalny"/>
    <w:rsid w:val="00C12426"/>
    <w:pPr>
      <w:widowControl/>
      <w:pBdr>
        <w:bottom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6">
    <w:name w:val="xl226"/>
    <w:basedOn w:val="Normalny"/>
    <w:rsid w:val="00C12426"/>
    <w:pPr>
      <w:widowControl/>
      <w:pBdr>
        <w:bottom w:val="single" w:sz="8" w:space="0" w:color="auto"/>
        <w:right w:val="single" w:sz="8" w:space="0" w:color="auto"/>
      </w:pBdr>
      <w:suppressAutoHyphens w:val="0"/>
      <w:overflowPunct/>
      <w:autoSpaceDE/>
      <w:spacing w:before="100" w:beforeAutospacing="1" w:after="100" w:afterAutospacing="1"/>
      <w:jc w:val="center"/>
      <w:textAlignment w:val="center"/>
    </w:pPr>
    <w:rPr>
      <w:szCs w:val="24"/>
      <w:lang w:eastAsia="pl-PL"/>
    </w:rPr>
  </w:style>
  <w:style w:type="paragraph" w:customStyle="1" w:styleId="xl227">
    <w:name w:val="xl227"/>
    <w:basedOn w:val="Normalny"/>
    <w:rsid w:val="00C12426"/>
    <w:pPr>
      <w:widowControl/>
      <w:pBdr>
        <w:top w:val="single" w:sz="8" w:space="0" w:color="auto"/>
        <w:left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8">
    <w:name w:val="xl228"/>
    <w:basedOn w:val="Normalny"/>
    <w:rsid w:val="00C12426"/>
    <w:pPr>
      <w:widowControl/>
      <w:pBdr>
        <w:top w:val="single" w:sz="8" w:space="0" w:color="auto"/>
        <w:bottom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xl229">
    <w:name w:val="xl229"/>
    <w:basedOn w:val="Normalny"/>
    <w:rsid w:val="00C12426"/>
    <w:pPr>
      <w:widowControl/>
      <w:pBdr>
        <w:top w:val="single" w:sz="8" w:space="0" w:color="auto"/>
        <w:bottom w:val="single" w:sz="8" w:space="0" w:color="auto"/>
        <w:right w:val="single" w:sz="8" w:space="0" w:color="auto"/>
      </w:pBdr>
      <w:suppressAutoHyphens w:val="0"/>
      <w:overflowPunct/>
      <w:autoSpaceDE/>
      <w:spacing w:before="100" w:beforeAutospacing="1" w:after="100" w:afterAutospacing="1"/>
      <w:jc w:val="center"/>
      <w:textAlignment w:val="auto"/>
    </w:pPr>
    <w:rPr>
      <w:b/>
      <w:bCs/>
      <w:sz w:val="22"/>
      <w:szCs w:val="22"/>
      <w:lang w:eastAsia="pl-PL"/>
    </w:rPr>
  </w:style>
  <w:style w:type="paragraph" w:customStyle="1" w:styleId="injus">
    <w:name w:val="injus"/>
    <w:basedOn w:val="Normalny"/>
    <w:uiPriority w:val="99"/>
    <w:rsid w:val="00C12426"/>
    <w:pPr>
      <w:widowControl/>
      <w:suppressAutoHyphens w:val="0"/>
      <w:overflowPunct/>
      <w:autoSpaceDE/>
      <w:spacing w:before="100" w:beforeAutospacing="1" w:after="100" w:afterAutospacing="1"/>
      <w:textAlignment w:val="auto"/>
    </w:pPr>
    <w:rPr>
      <w:szCs w:val="24"/>
      <w:lang w:eastAsia="pl-PL"/>
    </w:rPr>
  </w:style>
  <w:style w:type="character" w:customStyle="1" w:styleId="FontStyle14">
    <w:name w:val="Font Style14"/>
    <w:uiPriority w:val="99"/>
    <w:rsid w:val="00C12426"/>
    <w:rPr>
      <w:rFonts w:ascii="Times New Roman" w:hAnsi="Times New Roman" w:cs="Times New Roman"/>
      <w:sz w:val="22"/>
      <w:szCs w:val="22"/>
    </w:rPr>
  </w:style>
  <w:style w:type="paragraph" w:styleId="Cytat">
    <w:name w:val="Quote"/>
    <w:basedOn w:val="Normalny"/>
    <w:next w:val="Normalny"/>
    <w:link w:val="CytatZnak"/>
    <w:uiPriority w:val="29"/>
    <w:qFormat/>
    <w:rsid w:val="00C12426"/>
    <w:pPr>
      <w:overflowPunct/>
      <w:autoSpaceDE/>
      <w:spacing w:before="200"/>
      <w:ind w:left="360" w:right="360"/>
      <w:textAlignment w:val="auto"/>
    </w:pPr>
    <w:rPr>
      <w:rFonts w:eastAsia="Lucida Sans Unicode" w:cs="Tahoma"/>
      <w:i/>
      <w:iCs/>
      <w:color w:val="000000"/>
      <w:szCs w:val="24"/>
      <w:lang w:val="en-US" w:eastAsia="en-US" w:bidi="en-US"/>
    </w:rPr>
  </w:style>
  <w:style w:type="character" w:customStyle="1" w:styleId="CytatZnak">
    <w:name w:val="Cytat Znak"/>
    <w:basedOn w:val="Domylnaczcionkaakapitu"/>
    <w:link w:val="Cytat"/>
    <w:uiPriority w:val="29"/>
    <w:rsid w:val="00C12426"/>
    <w:rPr>
      <w:rFonts w:eastAsia="Lucida Sans Unicode" w:cs="Tahoma"/>
      <w:i/>
      <w:iCs/>
      <w:color w:val="000000"/>
      <w:sz w:val="24"/>
      <w:szCs w:val="24"/>
      <w:lang w:val="en-US" w:eastAsia="en-US" w:bidi="en-US"/>
    </w:rPr>
  </w:style>
  <w:style w:type="paragraph" w:styleId="Cytatintensywny">
    <w:name w:val="Intense Quote"/>
    <w:basedOn w:val="Normalny"/>
    <w:next w:val="Normalny"/>
    <w:link w:val="CytatintensywnyZnak"/>
    <w:uiPriority w:val="30"/>
    <w:qFormat/>
    <w:rsid w:val="00C12426"/>
    <w:pPr>
      <w:pBdr>
        <w:bottom w:val="single" w:sz="4" w:space="1" w:color="auto"/>
      </w:pBdr>
      <w:overflowPunct/>
      <w:autoSpaceDE/>
      <w:spacing w:before="200" w:after="280"/>
      <w:ind w:left="1008" w:right="1152"/>
      <w:jc w:val="both"/>
      <w:textAlignment w:val="auto"/>
    </w:pPr>
    <w:rPr>
      <w:rFonts w:eastAsia="Lucida Sans Unicode" w:cs="Tahoma"/>
      <w:b/>
      <w:bCs/>
      <w:i/>
      <w:iCs/>
      <w:color w:val="000000"/>
      <w:szCs w:val="24"/>
      <w:lang w:val="en-US" w:eastAsia="en-US" w:bidi="en-US"/>
    </w:rPr>
  </w:style>
  <w:style w:type="character" w:customStyle="1" w:styleId="CytatintensywnyZnak">
    <w:name w:val="Cytat intensywny Znak"/>
    <w:basedOn w:val="Domylnaczcionkaakapitu"/>
    <w:link w:val="Cytatintensywny"/>
    <w:uiPriority w:val="30"/>
    <w:rsid w:val="00C12426"/>
    <w:rPr>
      <w:rFonts w:eastAsia="Lucida Sans Unicode" w:cs="Tahoma"/>
      <w:b/>
      <w:bCs/>
      <w:i/>
      <w:iCs/>
      <w:color w:val="000000"/>
      <w:sz w:val="24"/>
      <w:szCs w:val="24"/>
      <w:lang w:val="en-US" w:eastAsia="en-US" w:bidi="en-US"/>
    </w:rPr>
  </w:style>
  <w:style w:type="paragraph" w:customStyle="1" w:styleId="Tekstpodstawowy1">
    <w:name w:val="Tekst podstawowy1"/>
    <w:basedOn w:val="Normalny1"/>
    <w:rsid w:val="00C12426"/>
    <w:pPr>
      <w:overflowPunct/>
      <w:autoSpaceDE/>
      <w:jc w:val="both"/>
      <w:textAlignment w:val="auto"/>
    </w:pPr>
    <w:rPr>
      <w:rFonts w:eastAsia="Lucida Sans Unicode" w:cs="Tahoma"/>
      <w:color w:val="000000"/>
      <w:szCs w:val="24"/>
      <w:lang w:eastAsia="en-US" w:bidi="en-US"/>
    </w:rPr>
  </w:style>
  <w:style w:type="paragraph" w:customStyle="1" w:styleId="WW-Normal">
    <w:name w:val="WW-Normal"/>
    <w:basedOn w:val="Normalny"/>
    <w:rsid w:val="00C12426"/>
    <w:pPr>
      <w:overflowPunct/>
      <w:textAlignment w:val="auto"/>
    </w:pPr>
    <w:rPr>
      <w:color w:val="000000"/>
      <w:szCs w:val="24"/>
      <w:lang w:val="en-US" w:eastAsia="en-US" w:bidi="en-US"/>
    </w:rPr>
  </w:style>
  <w:style w:type="paragraph" w:customStyle="1" w:styleId="Nag3wek2">
    <w:name w:val="Nag3ówek 2"/>
    <w:basedOn w:val="WW-Normal"/>
    <w:next w:val="WW-Normal"/>
    <w:rsid w:val="00C12426"/>
    <w:rPr>
      <w:rFonts w:eastAsia="Lucida Sans Unicode" w:cs="Tahoma"/>
      <w:color w:val="auto"/>
    </w:rPr>
  </w:style>
  <w:style w:type="paragraph" w:customStyle="1" w:styleId="ciowej">
    <w:name w:val="ciowej"/>
    <w:basedOn w:val="Normalny"/>
    <w:rsid w:val="00C12426"/>
    <w:pPr>
      <w:widowControl/>
      <w:suppressAutoHyphens w:val="0"/>
      <w:overflowPunct/>
      <w:autoSpaceDE/>
      <w:spacing w:before="120"/>
      <w:jc w:val="both"/>
      <w:textAlignment w:val="auto"/>
    </w:pPr>
    <w:rPr>
      <w:lang w:eastAsia="pl-PL"/>
    </w:rPr>
  </w:style>
  <w:style w:type="character" w:styleId="Wyrnieniedelikatne">
    <w:name w:val="Subtle Emphasis"/>
    <w:uiPriority w:val="19"/>
    <w:qFormat/>
    <w:rsid w:val="00C12426"/>
    <w:rPr>
      <w:i/>
      <w:iCs/>
    </w:rPr>
  </w:style>
  <w:style w:type="character" w:styleId="Wyrnienieintensywne">
    <w:name w:val="Intense Emphasis"/>
    <w:uiPriority w:val="21"/>
    <w:qFormat/>
    <w:rsid w:val="00C12426"/>
    <w:rPr>
      <w:b/>
      <w:bCs/>
    </w:rPr>
  </w:style>
  <w:style w:type="character" w:styleId="Odwoaniedelikatne">
    <w:name w:val="Subtle Reference"/>
    <w:uiPriority w:val="31"/>
    <w:qFormat/>
    <w:rsid w:val="00C12426"/>
    <w:rPr>
      <w:smallCaps/>
    </w:rPr>
  </w:style>
  <w:style w:type="character" w:styleId="Odwoanieintensywne">
    <w:name w:val="Intense Reference"/>
    <w:uiPriority w:val="32"/>
    <w:qFormat/>
    <w:rsid w:val="00C12426"/>
    <w:rPr>
      <w:smallCaps/>
      <w:spacing w:val="5"/>
      <w:u w:val="single"/>
    </w:rPr>
  </w:style>
  <w:style w:type="character" w:styleId="Tytuksiki">
    <w:name w:val="Book Title"/>
    <w:uiPriority w:val="33"/>
    <w:qFormat/>
    <w:rsid w:val="00C12426"/>
    <w:rPr>
      <w:i/>
      <w:iCs/>
      <w:smallCaps/>
      <w:spacing w:val="5"/>
    </w:rPr>
  </w:style>
  <w:style w:type="character" w:customStyle="1" w:styleId="WW8Num35z1">
    <w:name w:val="WW8Num35z1"/>
    <w:rsid w:val="00C12426"/>
    <w:rPr>
      <w:rFonts w:ascii="OpenSymbol" w:hAnsi="OpenSymbol" w:cs="OpenSymbol" w:hint="default"/>
    </w:rPr>
  </w:style>
  <w:style w:type="character" w:customStyle="1" w:styleId="WW8Num47z1">
    <w:name w:val="WW8Num47z1"/>
    <w:rsid w:val="00C12426"/>
    <w:rPr>
      <w:rFonts w:ascii="OpenSymbol" w:hAnsi="OpenSymbol" w:cs="OpenSymbol" w:hint="default"/>
    </w:rPr>
  </w:style>
  <w:style w:type="character" w:customStyle="1" w:styleId="WW8Num48z1">
    <w:name w:val="WW8Num48z1"/>
    <w:rsid w:val="00C12426"/>
    <w:rPr>
      <w:rFonts w:ascii="OpenSymbol" w:hAnsi="OpenSymbol" w:cs="OpenSymbol" w:hint="default"/>
    </w:rPr>
  </w:style>
  <w:style w:type="character" w:customStyle="1" w:styleId="WW8Num49z1">
    <w:name w:val="WW8Num49z1"/>
    <w:rsid w:val="00C12426"/>
    <w:rPr>
      <w:rFonts w:ascii="OpenSymbol" w:hAnsi="OpenSymbol" w:cs="OpenSymbol" w:hint="default"/>
    </w:rPr>
  </w:style>
  <w:style w:type="character" w:customStyle="1" w:styleId="WW8Num50z1">
    <w:name w:val="WW8Num50z1"/>
    <w:rsid w:val="00C12426"/>
    <w:rPr>
      <w:rFonts w:ascii="OpenSymbol" w:hAnsi="OpenSymbol" w:cs="OpenSymbol" w:hint="default"/>
    </w:rPr>
  </w:style>
  <w:style w:type="character" w:customStyle="1" w:styleId="WW8Num51z1">
    <w:name w:val="WW8Num51z1"/>
    <w:rsid w:val="00C12426"/>
    <w:rPr>
      <w:rFonts w:ascii="OpenSymbol" w:hAnsi="OpenSymbol" w:cs="OpenSymbol" w:hint="default"/>
    </w:rPr>
  </w:style>
  <w:style w:type="character" w:customStyle="1" w:styleId="WW8Num45z4">
    <w:name w:val="WW8Num45z4"/>
    <w:rsid w:val="00C12426"/>
    <w:rPr>
      <w:rFonts w:ascii="Courier New" w:hAnsi="Courier New" w:cs="Courier New" w:hint="default"/>
    </w:rPr>
  </w:style>
  <w:style w:type="character" w:customStyle="1" w:styleId="WW8Num69z4">
    <w:name w:val="WW8Num69z4"/>
    <w:rsid w:val="00C12426"/>
    <w:rPr>
      <w:rFonts w:ascii="Courier New" w:hAnsi="Courier New" w:cs="Courier New" w:hint="default"/>
    </w:rPr>
  </w:style>
  <w:style w:type="character" w:customStyle="1" w:styleId="WW8Num24z1">
    <w:name w:val="WW8Num24z1"/>
    <w:rsid w:val="00C12426"/>
    <w:rPr>
      <w:rFonts w:ascii="Wingdings" w:hAnsi="Wingdings" w:hint="default"/>
      <w:sz w:val="16"/>
    </w:rPr>
  </w:style>
  <w:style w:type="character" w:customStyle="1" w:styleId="WW8Num24z5">
    <w:name w:val="WW8Num24z5"/>
    <w:rsid w:val="00C12426"/>
    <w:rPr>
      <w:rFonts w:ascii="Wingdings" w:hAnsi="Wingdings" w:hint="default"/>
    </w:rPr>
  </w:style>
  <w:style w:type="character" w:customStyle="1" w:styleId="WW8Num24z6">
    <w:name w:val="WW8Num24z6"/>
    <w:rsid w:val="00C12426"/>
    <w:rPr>
      <w:rFonts w:ascii="Symbol" w:hAnsi="Symbol" w:hint="default"/>
    </w:rPr>
  </w:style>
  <w:style w:type="character" w:customStyle="1" w:styleId="WW8Num20z4">
    <w:name w:val="WW8Num20z4"/>
    <w:rsid w:val="00C12426"/>
    <w:rPr>
      <w:rFonts w:ascii="Courier New" w:hAnsi="Courier New" w:cs="Courier New" w:hint="default"/>
    </w:rPr>
  </w:style>
  <w:style w:type="character" w:customStyle="1" w:styleId="WW8NumSt14z0">
    <w:name w:val="WW8NumSt14z0"/>
    <w:rsid w:val="00C12426"/>
    <w:rPr>
      <w:rFonts w:ascii="Symbol" w:hAnsi="Symbol" w:hint="default"/>
      <w:sz w:val="20"/>
    </w:rPr>
  </w:style>
  <w:style w:type="character" w:customStyle="1" w:styleId="WW8Num25z1">
    <w:name w:val="WW8Num25z1"/>
    <w:rsid w:val="00C12426"/>
    <w:rPr>
      <w:rFonts w:ascii="OpenSymbol" w:hAnsi="OpenSymbol" w:cs="OpenSymbol" w:hint="default"/>
    </w:rPr>
  </w:style>
  <w:style w:type="character" w:customStyle="1" w:styleId="WW8Num66z2">
    <w:name w:val="WW8Num66z2"/>
    <w:rsid w:val="00C12426"/>
    <w:rPr>
      <w:rFonts w:ascii="Wingdings" w:hAnsi="Wingdings" w:cs="Wingdings" w:hint="default"/>
    </w:rPr>
  </w:style>
  <w:style w:type="character" w:customStyle="1" w:styleId="A6">
    <w:name w:val="A6"/>
    <w:rsid w:val="00C12426"/>
    <w:rPr>
      <w:rFonts w:ascii="NewsGothEU" w:hAnsi="NewsGothEU" w:cs="NewsGothEU" w:hint="default"/>
      <w:color w:val="000000"/>
      <w:sz w:val="11"/>
      <w:szCs w:val="11"/>
    </w:rPr>
  </w:style>
  <w:style w:type="paragraph" w:customStyle="1" w:styleId="Normalny2">
    <w:name w:val="Normalny2"/>
    <w:basedOn w:val="Normalny"/>
    <w:rsid w:val="00C12426"/>
    <w:pPr>
      <w:overflowPunct/>
      <w:autoSpaceDE/>
      <w:textAlignment w:val="auto"/>
    </w:pPr>
    <w:rPr>
      <w:rFonts w:eastAsia="Lucida Sans Unicode" w:cs="Tahoma"/>
      <w:color w:val="000000"/>
      <w:szCs w:val="24"/>
      <w:lang w:eastAsia="en-US" w:bidi="en-US"/>
    </w:rPr>
  </w:style>
  <w:style w:type="paragraph" w:customStyle="1" w:styleId="podpkta">
    <w:name w:val="pod_pkt_a"/>
    <w:basedOn w:val="Normalny"/>
    <w:rsid w:val="00C12426"/>
    <w:pPr>
      <w:keepNext/>
      <w:widowControl/>
      <w:suppressAutoHyphens w:val="0"/>
      <w:overflowPunct/>
      <w:autoSpaceDE/>
      <w:ind w:left="426" w:hanging="425"/>
      <w:jc w:val="both"/>
      <w:textAlignment w:val="auto"/>
    </w:pPr>
    <w:rPr>
      <w:sz w:val="22"/>
      <w:lang w:eastAsia="pl-PL"/>
    </w:rPr>
  </w:style>
  <w:style w:type="paragraph" w:customStyle="1" w:styleId="NAGLOWEKXX">
    <w:name w:val="NAGLOWEK XX"/>
    <w:basedOn w:val="Normalny"/>
    <w:uiPriority w:val="99"/>
    <w:rsid w:val="00C12426"/>
    <w:pPr>
      <w:keepNext/>
      <w:keepLines/>
      <w:widowControl/>
      <w:autoSpaceDN w:val="0"/>
      <w:adjustRightInd w:val="0"/>
      <w:spacing w:before="120"/>
      <w:jc w:val="both"/>
      <w:outlineLvl w:val="0"/>
    </w:pPr>
    <w:rPr>
      <w:b/>
      <w:caps/>
      <w:spacing w:val="-6"/>
      <w:kern w:val="28"/>
      <w:sz w:val="28"/>
      <w:lang w:eastAsia="pl-PL"/>
    </w:rPr>
  </w:style>
  <w:style w:type="paragraph" w:customStyle="1" w:styleId="Normalny3">
    <w:name w:val="Normalny3"/>
    <w:uiPriority w:val="99"/>
    <w:rsid w:val="00C12426"/>
    <w:pPr>
      <w:widowControl w:val="0"/>
      <w:suppressAutoHyphens/>
      <w:overflowPunct w:val="0"/>
      <w:autoSpaceDE w:val="0"/>
      <w:jc w:val="both"/>
      <w:textAlignment w:val="baseline"/>
    </w:pPr>
    <w:rPr>
      <w:lang w:bidi="pl-PL"/>
    </w:rPr>
  </w:style>
  <w:style w:type="numbering" w:customStyle="1" w:styleId="WWNum21">
    <w:name w:val="WWNum21"/>
    <w:rsid w:val="00C12426"/>
    <w:pPr>
      <w:numPr>
        <w:numId w:val="317"/>
      </w:numPr>
    </w:pPr>
  </w:style>
  <w:style w:type="numbering" w:customStyle="1" w:styleId="WWNum11">
    <w:name w:val="WWNum11"/>
    <w:rsid w:val="00C12426"/>
    <w:pPr>
      <w:numPr>
        <w:numId w:val="318"/>
      </w:numPr>
    </w:pPr>
  </w:style>
  <w:style w:type="numbering" w:customStyle="1" w:styleId="WWNum31">
    <w:name w:val="WWNum31"/>
    <w:rsid w:val="00C12426"/>
    <w:pPr>
      <w:numPr>
        <w:numId w:val="31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82041">
      <w:bodyDiv w:val="1"/>
      <w:marLeft w:val="0"/>
      <w:marRight w:val="0"/>
      <w:marTop w:val="0"/>
      <w:marBottom w:val="0"/>
      <w:divBdr>
        <w:top w:val="none" w:sz="0" w:space="0" w:color="auto"/>
        <w:left w:val="none" w:sz="0" w:space="0" w:color="auto"/>
        <w:bottom w:val="none" w:sz="0" w:space="0" w:color="auto"/>
        <w:right w:val="none" w:sz="0" w:space="0" w:color="auto"/>
      </w:divBdr>
    </w:div>
    <w:div w:id="53235587">
      <w:bodyDiv w:val="1"/>
      <w:marLeft w:val="0"/>
      <w:marRight w:val="0"/>
      <w:marTop w:val="0"/>
      <w:marBottom w:val="0"/>
      <w:divBdr>
        <w:top w:val="none" w:sz="0" w:space="0" w:color="auto"/>
        <w:left w:val="none" w:sz="0" w:space="0" w:color="auto"/>
        <w:bottom w:val="none" w:sz="0" w:space="0" w:color="auto"/>
        <w:right w:val="none" w:sz="0" w:space="0" w:color="auto"/>
      </w:divBdr>
    </w:div>
    <w:div w:id="64301092">
      <w:bodyDiv w:val="1"/>
      <w:marLeft w:val="0"/>
      <w:marRight w:val="0"/>
      <w:marTop w:val="0"/>
      <w:marBottom w:val="0"/>
      <w:divBdr>
        <w:top w:val="none" w:sz="0" w:space="0" w:color="auto"/>
        <w:left w:val="none" w:sz="0" w:space="0" w:color="auto"/>
        <w:bottom w:val="none" w:sz="0" w:space="0" w:color="auto"/>
        <w:right w:val="none" w:sz="0" w:space="0" w:color="auto"/>
      </w:divBdr>
    </w:div>
    <w:div w:id="102313150">
      <w:bodyDiv w:val="1"/>
      <w:marLeft w:val="0"/>
      <w:marRight w:val="0"/>
      <w:marTop w:val="0"/>
      <w:marBottom w:val="0"/>
      <w:divBdr>
        <w:top w:val="none" w:sz="0" w:space="0" w:color="auto"/>
        <w:left w:val="none" w:sz="0" w:space="0" w:color="auto"/>
        <w:bottom w:val="none" w:sz="0" w:space="0" w:color="auto"/>
        <w:right w:val="none" w:sz="0" w:space="0" w:color="auto"/>
      </w:divBdr>
      <w:divsChild>
        <w:div w:id="925118120">
          <w:marLeft w:val="0"/>
          <w:marRight w:val="0"/>
          <w:marTop w:val="0"/>
          <w:marBottom w:val="0"/>
          <w:divBdr>
            <w:top w:val="none" w:sz="0" w:space="0" w:color="auto"/>
            <w:left w:val="none" w:sz="0" w:space="0" w:color="auto"/>
            <w:bottom w:val="none" w:sz="0" w:space="0" w:color="auto"/>
            <w:right w:val="none" w:sz="0" w:space="0" w:color="auto"/>
          </w:divBdr>
        </w:div>
        <w:div w:id="1809779102">
          <w:marLeft w:val="0"/>
          <w:marRight w:val="0"/>
          <w:marTop w:val="0"/>
          <w:marBottom w:val="0"/>
          <w:divBdr>
            <w:top w:val="none" w:sz="0" w:space="0" w:color="auto"/>
            <w:left w:val="none" w:sz="0" w:space="0" w:color="auto"/>
            <w:bottom w:val="none" w:sz="0" w:space="0" w:color="auto"/>
            <w:right w:val="none" w:sz="0" w:space="0" w:color="auto"/>
          </w:divBdr>
        </w:div>
      </w:divsChild>
    </w:div>
    <w:div w:id="183250037">
      <w:bodyDiv w:val="1"/>
      <w:marLeft w:val="0"/>
      <w:marRight w:val="0"/>
      <w:marTop w:val="0"/>
      <w:marBottom w:val="0"/>
      <w:divBdr>
        <w:top w:val="none" w:sz="0" w:space="0" w:color="auto"/>
        <w:left w:val="none" w:sz="0" w:space="0" w:color="auto"/>
        <w:bottom w:val="none" w:sz="0" w:space="0" w:color="auto"/>
        <w:right w:val="none" w:sz="0" w:space="0" w:color="auto"/>
      </w:divBdr>
    </w:div>
    <w:div w:id="416680054">
      <w:bodyDiv w:val="1"/>
      <w:marLeft w:val="0"/>
      <w:marRight w:val="0"/>
      <w:marTop w:val="0"/>
      <w:marBottom w:val="0"/>
      <w:divBdr>
        <w:top w:val="none" w:sz="0" w:space="0" w:color="auto"/>
        <w:left w:val="none" w:sz="0" w:space="0" w:color="auto"/>
        <w:bottom w:val="none" w:sz="0" w:space="0" w:color="auto"/>
        <w:right w:val="none" w:sz="0" w:space="0" w:color="auto"/>
      </w:divBdr>
    </w:div>
    <w:div w:id="635528910">
      <w:bodyDiv w:val="1"/>
      <w:marLeft w:val="0"/>
      <w:marRight w:val="0"/>
      <w:marTop w:val="0"/>
      <w:marBottom w:val="0"/>
      <w:divBdr>
        <w:top w:val="none" w:sz="0" w:space="0" w:color="auto"/>
        <w:left w:val="none" w:sz="0" w:space="0" w:color="auto"/>
        <w:bottom w:val="none" w:sz="0" w:space="0" w:color="auto"/>
        <w:right w:val="none" w:sz="0" w:space="0" w:color="auto"/>
      </w:divBdr>
    </w:div>
    <w:div w:id="692998941">
      <w:bodyDiv w:val="1"/>
      <w:marLeft w:val="0"/>
      <w:marRight w:val="0"/>
      <w:marTop w:val="0"/>
      <w:marBottom w:val="0"/>
      <w:divBdr>
        <w:top w:val="none" w:sz="0" w:space="0" w:color="auto"/>
        <w:left w:val="none" w:sz="0" w:space="0" w:color="auto"/>
        <w:bottom w:val="none" w:sz="0" w:space="0" w:color="auto"/>
        <w:right w:val="none" w:sz="0" w:space="0" w:color="auto"/>
      </w:divBdr>
    </w:div>
    <w:div w:id="757485425">
      <w:bodyDiv w:val="1"/>
      <w:marLeft w:val="0"/>
      <w:marRight w:val="0"/>
      <w:marTop w:val="0"/>
      <w:marBottom w:val="0"/>
      <w:divBdr>
        <w:top w:val="none" w:sz="0" w:space="0" w:color="auto"/>
        <w:left w:val="none" w:sz="0" w:space="0" w:color="auto"/>
        <w:bottom w:val="none" w:sz="0" w:space="0" w:color="auto"/>
        <w:right w:val="none" w:sz="0" w:space="0" w:color="auto"/>
      </w:divBdr>
    </w:div>
    <w:div w:id="956301688">
      <w:bodyDiv w:val="1"/>
      <w:marLeft w:val="0"/>
      <w:marRight w:val="0"/>
      <w:marTop w:val="0"/>
      <w:marBottom w:val="0"/>
      <w:divBdr>
        <w:top w:val="none" w:sz="0" w:space="0" w:color="auto"/>
        <w:left w:val="none" w:sz="0" w:space="0" w:color="auto"/>
        <w:bottom w:val="none" w:sz="0" w:space="0" w:color="auto"/>
        <w:right w:val="none" w:sz="0" w:space="0" w:color="auto"/>
      </w:divBdr>
    </w:div>
    <w:div w:id="986056384">
      <w:bodyDiv w:val="1"/>
      <w:marLeft w:val="0"/>
      <w:marRight w:val="0"/>
      <w:marTop w:val="0"/>
      <w:marBottom w:val="0"/>
      <w:divBdr>
        <w:top w:val="none" w:sz="0" w:space="0" w:color="auto"/>
        <w:left w:val="none" w:sz="0" w:space="0" w:color="auto"/>
        <w:bottom w:val="none" w:sz="0" w:space="0" w:color="auto"/>
        <w:right w:val="none" w:sz="0" w:space="0" w:color="auto"/>
      </w:divBdr>
    </w:div>
    <w:div w:id="1213275612">
      <w:bodyDiv w:val="1"/>
      <w:marLeft w:val="0"/>
      <w:marRight w:val="0"/>
      <w:marTop w:val="0"/>
      <w:marBottom w:val="0"/>
      <w:divBdr>
        <w:top w:val="none" w:sz="0" w:space="0" w:color="auto"/>
        <w:left w:val="none" w:sz="0" w:space="0" w:color="auto"/>
        <w:bottom w:val="none" w:sz="0" w:space="0" w:color="auto"/>
        <w:right w:val="none" w:sz="0" w:space="0" w:color="auto"/>
      </w:divBdr>
    </w:div>
    <w:div w:id="1315527964">
      <w:bodyDiv w:val="1"/>
      <w:marLeft w:val="0"/>
      <w:marRight w:val="0"/>
      <w:marTop w:val="0"/>
      <w:marBottom w:val="0"/>
      <w:divBdr>
        <w:top w:val="none" w:sz="0" w:space="0" w:color="auto"/>
        <w:left w:val="none" w:sz="0" w:space="0" w:color="auto"/>
        <w:bottom w:val="none" w:sz="0" w:space="0" w:color="auto"/>
        <w:right w:val="none" w:sz="0" w:space="0" w:color="auto"/>
      </w:divBdr>
    </w:div>
    <w:div w:id="1604535814">
      <w:bodyDiv w:val="1"/>
      <w:marLeft w:val="0"/>
      <w:marRight w:val="0"/>
      <w:marTop w:val="0"/>
      <w:marBottom w:val="0"/>
      <w:divBdr>
        <w:top w:val="none" w:sz="0" w:space="0" w:color="auto"/>
        <w:left w:val="none" w:sz="0" w:space="0" w:color="auto"/>
        <w:bottom w:val="none" w:sz="0" w:space="0" w:color="auto"/>
        <w:right w:val="none" w:sz="0" w:space="0" w:color="auto"/>
      </w:divBdr>
    </w:div>
    <w:div w:id="1848326233">
      <w:bodyDiv w:val="1"/>
      <w:marLeft w:val="0"/>
      <w:marRight w:val="0"/>
      <w:marTop w:val="0"/>
      <w:marBottom w:val="0"/>
      <w:divBdr>
        <w:top w:val="none" w:sz="0" w:space="0" w:color="auto"/>
        <w:left w:val="none" w:sz="0" w:space="0" w:color="auto"/>
        <w:bottom w:val="none" w:sz="0" w:space="0" w:color="auto"/>
        <w:right w:val="none" w:sz="0" w:space="0" w:color="auto"/>
      </w:divBdr>
    </w:div>
    <w:div w:id="1961524494">
      <w:bodyDiv w:val="1"/>
      <w:marLeft w:val="0"/>
      <w:marRight w:val="0"/>
      <w:marTop w:val="0"/>
      <w:marBottom w:val="0"/>
      <w:divBdr>
        <w:top w:val="none" w:sz="0" w:space="0" w:color="auto"/>
        <w:left w:val="none" w:sz="0" w:space="0" w:color="auto"/>
        <w:bottom w:val="none" w:sz="0" w:space="0" w:color="auto"/>
        <w:right w:val="none" w:sz="0" w:space="0" w:color="auto"/>
      </w:divBdr>
    </w:div>
    <w:div w:id="2057317724">
      <w:bodyDiv w:val="1"/>
      <w:marLeft w:val="0"/>
      <w:marRight w:val="0"/>
      <w:marTop w:val="0"/>
      <w:marBottom w:val="0"/>
      <w:divBdr>
        <w:top w:val="none" w:sz="0" w:space="0" w:color="auto"/>
        <w:left w:val="none" w:sz="0" w:space="0" w:color="auto"/>
        <w:bottom w:val="none" w:sz="0" w:space="0" w:color="auto"/>
        <w:right w:val="none" w:sz="0" w:space="0" w:color="auto"/>
      </w:divBdr>
    </w:div>
    <w:div w:id="2071533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6.wmf"/><Relationship Id="rId39" Type="http://schemas.openxmlformats.org/officeDocument/2006/relationships/image" Target="media/image24.png"/><Relationship Id="rId21" Type="http://schemas.openxmlformats.org/officeDocument/2006/relationships/image" Target="media/image13.png"/><Relationship Id="rId34" Type="http://schemas.openxmlformats.org/officeDocument/2006/relationships/oleObject" Target="embeddings/oleObject7.bin"/><Relationship Id="rId42" Type="http://schemas.openxmlformats.org/officeDocument/2006/relationships/image" Target="media/image27.png"/><Relationship Id="rId47" Type="http://schemas.openxmlformats.org/officeDocument/2006/relationships/image" Target="media/image32.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8.wmf"/><Relationship Id="rId11" Type="http://schemas.openxmlformats.org/officeDocument/2006/relationships/image" Target="media/image3.png"/><Relationship Id="rId24" Type="http://schemas.openxmlformats.org/officeDocument/2006/relationships/image" Target="media/image15.wmf"/><Relationship Id="rId32" Type="http://schemas.openxmlformats.org/officeDocument/2006/relationships/oleObject" Target="embeddings/oleObject5.bin"/><Relationship Id="rId37" Type="http://schemas.openxmlformats.org/officeDocument/2006/relationships/image" Target="media/image22.png"/><Relationship Id="rId40" Type="http://schemas.openxmlformats.org/officeDocument/2006/relationships/image" Target="media/image25.png"/><Relationship Id="rId45"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oleObject" Target="embeddings/oleObject1.bin"/><Relationship Id="rId28" Type="http://schemas.openxmlformats.org/officeDocument/2006/relationships/image" Target="media/image17.png"/><Relationship Id="rId36" Type="http://schemas.openxmlformats.org/officeDocument/2006/relationships/image" Target="media/image21.png"/><Relationship Id="rId49"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9.wmf"/><Relationship Id="rId44"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wmf"/><Relationship Id="rId27" Type="http://schemas.openxmlformats.org/officeDocument/2006/relationships/oleObject" Target="embeddings/oleObject3.bin"/><Relationship Id="rId30" Type="http://schemas.openxmlformats.org/officeDocument/2006/relationships/oleObject" Target="embeddings/oleObject4.bin"/><Relationship Id="rId35" Type="http://schemas.openxmlformats.org/officeDocument/2006/relationships/image" Target="media/image20.png"/><Relationship Id="rId43" Type="http://schemas.openxmlformats.org/officeDocument/2006/relationships/image" Target="media/image28.png"/><Relationship Id="rId48" Type="http://schemas.openxmlformats.org/officeDocument/2006/relationships/image" Target="media/image33.png"/><Relationship Id="rId8" Type="http://schemas.openxmlformats.org/officeDocument/2006/relationships/hyperlink" Target="https://sklep.pkn.pl/?a=show&amp;m=product&amp;pid=463943&amp;page=1" TargetMode="Externa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oleObject" Target="embeddings/oleObject2.bin"/><Relationship Id="rId33" Type="http://schemas.openxmlformats.org/officeDocument/2006/relationships/oleObject" Target="embeddings/oleObject6.bin"/><Relationship Id="rId38" Type="http://schemas.openxmlformats.org/officeDocument/2006/relationships/image" Target="media/image23.png"/><Relationship Id="rId46" Type="http://schemas.openxmlformats.org/officeDocument/2006/relationships/image" Target="media/image31.png"/><Relationship Id="rId20" Type="http://schemas.openxmlformats.org/officeDocument/2006/relationships/image" Target="media/image12.png"/><Relationship Id="rId41"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247F9F-1A73-4610-B931-CF1046FC51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3587</TotalTime>
  <Pages>210</Pages>
  <Words>107925</Words>
  <Characters>647552</Characters>
  <Application>Microsoft Office Word</Application>
  <DocSecurity>0</DocSecurity>
  <Lines>5396</Lines>
  <Paragraphs>1507</Paragraphs>
  <ScaleCrop>false</ScaleCrop>
  <HeadingPairs>
    <vt:vector size="2" baseType="variant">
      <vt:variant>
        <vt:lpstr>Tytuł</vt:lpstr>
      </vt:variant>
      <vt:variant>
        <vt:i4>1</vt:i4>
      </vt:variant>
    </vt:vector>
  </HeadingPairs>
  <TitlesOfParts>
    <vt:vector size="1" baseType="lpstr">
      <vt:lpstr>opis</vt:lpstr>
    </vt:vector>
  </TitlesOfParts>
  <Company/>
  <LinksUpToDate>false</LinksUpToDate>
  <CharactersWithSpaces>753970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opis</dc:title>
  <dc:creator>Piotrek</dc:creator>
  <cp:lastModifiedBy>Dariusz Skuza</cp:lastModifiedBy>
  <cp:revision>143</cp:revision>
  <cp:lastPrinted>2024-05-09T10:14:00Z</cp:lastPrinted>
  <dcterms:created xsi:type="dcterms:W3CDTF">2022-06-02T10:48:00Z</dcterms:created>
  <dcterms:modified xsi:type="dcterms:W3CDTF">2024-05-09T10:29:00Z</dcterms:modified>
</cp:coreProperties>
</file>