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Opracowanie dokumentacji projektowo-kosztorysowej dla inwestycji „Budowa przychodni lekarskiej w Redzikowie na działce nr 43/66 oraz 358/3”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0"/>
        </w:rPr>
        <w:t xml:space="preserve"> </w:t>
      </w:r>
      <w:r>
        <w:rPr>
          <w:rFonts w:cs="Times New Roman" w:ascii="Times New Roman" w:hAnsi="Times New Roman"/>
          <w:b/>
          <w:sz w:val="24"/>
          <w:szCs w:val="20"/>
        </w:rPr>
        <w:t>Znak sprawy: ZP.271.40.2024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sz w:val="24"/>
            <w:szCs w:val="24"/>
            <w:lang w:val="en-US" w:eastAsia="pl-PL"/>
          </w:rPr>
          <w:t>www.gminaslupsk.pl</w:t>
        </w:r>
      </w:hyperlink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headerReference w:type="default" r:id="rId3"/>
      <w:headerReference w:type="first" r:id="rId4"/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-635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LibreOffice/7.2.6.2$Windows_X86_64 LibreOffice_project/b0ec3a565991f7569a5a7f5d24fed7f52653d754</Application>
  <AppVersion>15.0000</AppVersion>
  <Pages>2</Pages>
  <Words>299</Words>
  <Characters>2433</Characters>
  <CharactersWithSpaces>2707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dcterms:modified xsi:type="dcterms:W3CDTF">2024-12-16T12:45:40Z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