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2B2BE8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03E8384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 615-17-06-942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REGON 231161448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BDO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571 334 686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817642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</w:t>
      </w:r>
      <w:r w:rsidR="00A26390">
        <w:rPr>
          <w:rFonts w:ascii="Tahoma" w:hAnsi="Tahoma" w:cs="Tahoma"/>
          <w:b/>
          <w:sz w:val="22"/>
          <w:szCs w:val="22"/>
        </w:rPr>
        <w:t>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A26390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2A8A51EA" w14:textId="77777777" w:rsidR="008B0EBA" w:rsidRPr="008B0EBA" w:rsidRDefault="008B0EBA" w:rsidP="008B0EBA">
      <w:pPr>
        <w:jc w:val="center"/>
        <w:rPr>
          <w:rFonts w:ascii="Tahoma" w:hAnsi="Tahoma"/>
          <w:b/>
          <w:bCs/>
          <w:color w:val="0070C0"/>
          <w:sz w:val="24"/>
          <w:szCs w:val="24"/>
        </w:rPr>
      </w:pPr>
      <w:r w:rsidRPr="008B0EBA">
        <w:rPr>
          <w:rFonts w:ascii="Tahoma" w:hAnsi="Tahoma"/>
          <w:b/>
          <w:bCs/>
          <w:color w:val="0070C0"/>
          <w:sz w:val="24"/>
          <w:szCs w:val="24"/>
        </w:rPr>
        <w:t>Dostawa i instalacja laryngologicznego mikroskopu operacyjnego dla Wielospecjalistycznego Szpitala – Samodzielnego Publicznego Zespołu Opieki Zdrowotnej w Zgorzelcu</w:t>
      </w:r>
    </w:p>
    <w:p w14:paraId="1F4DD4CB" w14:textId="6FFB6D7A" w:rsidR="00F7117A" w:rsidRPr="0092635F" w:rsidRDefault="00F7117A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00284B3" w14:textId="0D2219E4" w:rsidR="008B0EBA" w:rsidRPr="008B0EBA" w:rsidRDefault="008B0EBA" w:rsidP="008B0EBA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8B0EBA">
        <w:rPr>
          <w:rFonts w:ascii="Tahoma" w:hAnsi="Tahoma" w:cs="Tahoma"/>
          <w:sz w:val="18"/>
          <w:szCs w:val="18"/>
        </w:rPr>
        <w:t>2A.  Formularz OPIS PRZEDMIOTU ZAMÓWIENIA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</w:p>
    <w:p w14:paraId="01667585" w14:textId="3088AA77" w:rsidR="002C2C3E" w:rsidRPr="008B0EBA" w:rsidRDefault="008B0EBA" w:rsidP="002C2C3E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9F6463">
        <w:rPr>
          <w:rFonts w:ascii="Tahoma" w:hAnsi="Tahoma" w:cs="Tahoma"/>
          <w:sz w:val="18"/>
          <w:szCs w:val="18"/>
        </w:rPr>
        <w:t>2B.  Formularz WARUNKI GWARANCJI I SERWISU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  <w:r w:rsidR="002C2C3E">
        <w:rPr>
          <w:rFonts w:ascii="Tahoma" w:hAnsi="Tahoma"/>
          <w:color w:val="FF0000"/>
          <w:sz w:val="18"/>
          <w:szCs w:val="18"/>
        </w:rPr>
        <w:t xml:space="preserve"> </w:t>
      </w:r>
    </w:p>
    <w:p w14:paraId="3B3C1357" w14:textId="7E4CF530" w:rsidR="00132397" w:rsidRDefault="005D16A3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36BE12F2" w:rsidR="00132397" w:rsidRDefault="005D16A3" w:rsidP="00626018">
      <w:pPr>
        <w:tabs>
          <w:tab w:val="left" w:pos="360"/>
          <w:tab w:val="left" w:pos="993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 w:rsidRPr="00132397">
        <w:rPr>
          <w:rFonts w:ascii="Tahoma" w:hAnsi="Tahoma"/>
          <w:sz w:val="18"/>
          <w:szCs w:val="18"/>
        </w:rPr>
        <w:t xml:space="preserve">.  </w:t>
      </w:r>
      <w:r w:rsidR="00626018"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</w:t>
      </w:r>
      <w:r w:rsidR="00626018">
        <w:rPr>
          <w:rFonts w:ascii="Tahoma" w:hAnsi="Tahoma"/>
          <w:sz w:val="18"/>
          <w:szCs w:val="18"/>
        </w:rPr>
        <w:t>owy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0F65C34" w14:textId="77777777" w:rsidR="00626018" w:rsidRPr="00626018" w:rsidRDefault="00626018" w:rsidP="00626018"/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51522DE2" w:rsidR="00F9433F" w:rsidRPr="002A1371" w:rsidRDefault="0092635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92635F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3091B2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</w:t>
      </w:r>
      <w:r w:rsidR="0092635F">
        <w:rPr>
          <w:sz w:val="24"/>
          <w:szCs w:val="24"/>
        </w:rPr>
        <w:t xml:space="preserve"> </w:t>
      </w:r>
      <w:r w:rsidR="009B5F9C">
        <w:rPr>
          <w:sz w:val="24"/>
          <w:szCs w:val="24"/>
        </w:rPr>
        <w:t xml:space="preserve">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399E9813" w14:textId="77777777" w:rsidR="005A3FD2" w:rsidRDefault="005A3FD2" w:rsidP="005A3FD2">
      <w:pPr>
        <w:rPr>
          <w:b/>
          <w:iCs/>
        </w:rPr>
      </w:pPr>
      <w:r>
        <w:rPr>
          <w:rFonts w:ascii="Tahoma" w:hAnsi="Tahoma"/>
          <w:b/>
          <w:iCs/>
          <w:sz w:val="24"/>
          <w:szCs w:val="24"/>
        </w:rPr>
        <w:t>Adres strony Internetowej prowadzonego postępowania:</w:t>
      </w:r>
    </w:p>
    <w:p w14:paraId="6D43CA53" w14:textId="4537C482" w:rsidR="00D41439" w:rsidRPr="00657F2D" w:rsidRDefault="002B2BE8" w:rsidP="002B2BE8">
      <w:pPr>
        <w:rPr>
          <w:rFonts w:ascii="Tahoma" w:hAnsi="Tahoma"/>
          <w:b/>
          <w:bCs/>
          <w:color w:val="0070C0"/>
          <w:sz w:val="24"/>
          <w:szCs w:val="24"/>
        </w:rPr>
      </w:pPr>
      <w:hyperlink r:id="rId11" w:history="1">
        <w:r w:rsidRPr="002B2BE8">
          <w:rPr>
            <w:rFonts w:ascii="Tahoma" w:hAnsi="Tahoma"/>
            <w:b/>
            <w:bCs/>
            <w:color w:val="0070C0"/>
            <w:sz w:val="24"/>
            <w:szCs w:val="24"/>
          </w:rPr>
          <w:t>https://platformazakupowa.pl/transakcja/994524</w:t>
        </w:r>
      </w:hyperlink>
    </w:p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3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FA6B1B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4" w:history="1">
        <w:r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5262E59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</w:t>
      </w:r>
      <w:r w:rsidR="00DF35E0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 000 euro, co stanowi równowartość poniżej </w:t>
      </w:r>
      <w:r w:rsidR="00DF35E0">
        <w:rPr>
          <w:rFonts w:ascii="Tahoma" w:hAnsi="Tahoma" w:cs="Tahoma"/>
          <w:sz w:val="18"/>
          <w:szCs w:val="18"/>
        </w:rPr>
        <w:t>1 024 799</w:t>
      </w:r>
      <w:r>
        <w:rPr>
          <w:rFonts w:ascii="Tahoma" w:hAnsi="Tahoma" w:cs="Tahoma"/>
          <w:sz w:val="18"/>
          <w:szCs w:val="18"/>
        </w:rPr>
        <w:t xml:space="preserve">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8B0EBA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8B0EBA">
        <w:rPr>
          <w:rFonts w:ascii="Tahoma" w:hAnsi="Tahoma" w:cs="Tahoma"/>
          <w:sz w:val="18"/>
          <w:szCs w:val="18"/>
        </w:rPr>
        <w:t>1320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 w sprawie aktualnych progów unijnych, ich równowartości w złotych, równowartości w złotych kwot wyrażonych w euro oraz średniego </w:t>
      </w:r>
      <w:r w:rsidR="00DF35E0">
        <w:rPr>
          <w:rFonts w:ascii="Tahoma" w:hAnsi="Tahoma" w:cs="Tahoma"/>
          <w:sz w:val="18"/>
          <w:szCs w:val="18"/>
        </w:rPr>
        <w:t xml:space="preserve">kursu </w:t>
      </w:r>
      <w:r>
        <w:rPr>
          <w:rFonts w:ascii="Tahoma" w:hAnsi="Tahoma" w:cs="Tahoma"/>
          <w:sz w:val="18"/>
          <w:szCs w:val="18"/>
        </w:rPr>
        <w:t>złotego w stosunku do euro stanowiącego podstawę przelicz</w:t>
      </w:r>
      <w:r w:rsidR="00DF35E0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nia wartości zamówień publicznych </w:t>
      </w:r>
      <w:r w:rsidR="00DF35E0">
        <w:rPr>
          <w:rFonts w:ascii="Tahoma" w:hAnsi="Tahoma" w:cs="Tahoma"/>
          <w:sz w:val="18"/>
          <w:szCs w:val="18"/>
        </w:rPr>
        <w:t>lub</w:t>
      </w:r>
      <w:r>
        <w:rPr>
          <w:rFonts w:ascii="Tahoma" w:hAnsi="Tahoma" w:cs="Tahoma"/>
          <w:sz w:val="18"/>
          <w:szCs w:val="18"/>
        </w:rPr>
        <w:t xml:space="preserve"> konkursów (M.P.202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.1</w:t>
      </w:r>
      <w:r w:rsidR="00DF35E0">
        <w:rPr>
          <w:rFonts w:ascii="Tahoma" w:hAnsi="Tahoma" w:cs="Tahoma"/>
          <w:sz w:val="18"/>
          <w:szCs w:val="18"/>
        </w:rPr>
        <w:t>344</w:t>
      </w:r>
      <w:r>
        <w:rPr>
          <w:rFonts w:ascii="Tahoma" w:hAnsi="Tahoma" w:cs="Tahoma"/>
          <w:sz w:val="18"/>
          <w:szCs w:val="18"/>
        </w:rPr>
        <w:t xml:space="preserve">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</w:t>
      </w:r>
      <w:r w:rsidR="00E73F45">
        <w:rPr>
          <w:rFonts w:ascii="Tahoma" w:hAnsi="Tahoma" w:cs="Tahoma"/>
          <w:sz w:val="18"/>
          <w:szCs w:val="18"/>
        </w:rPr>
        <w:t xml:space="preserve"> ze zm.</w:t>
      </w:r>
      <w:r>
        <w:rPr>
          <w:rFonts w:ascii="Tahoma" w:hAnsi="Tahoma" w:cs="Tahoma"/>
          <w:sz w:val="18"/>
          <w:szCs w:val="18"/>
        </w:rPr>
        <w:t>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78519784" w14:textId="5F7497B5" w:rsidR="0092635F" w:rsidRDefault="00F7117A" w:rsidP="00AB718E">
      <w:pPr>
        <w:pStyle w:val="Default"/>
        <w:ind w:left="426" w:hanging="426"/>
        <w:jc w:val="both"/>
        <w:rPr>
          <w:rFonts w:ascii="Tahoma" w:hAnsi="Tahoma"/>
          <w:b/>
          <w:sz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>Zamawiając</w:t>
      </w:r>
      <w:r w:rsidR="00E73F45">
        <w:rPr>
          <w:rFonts w:ascii="Tahoma" w:hAnsi="Tahoma" w:cs="Tahoma"/>
          <w:sz w:val="18"/>
          <w:szCs w:val="18"/>
        </w:rPr>
        <w:t>y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2635F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</w:t>
      </w:r>
      <w:r w:rsidR="00DB0C4F">
        <w:rPr>
          <w:rFonts w:ascii="Tahoma" w:hAnsi="Tahoma" w:cs="Tahoma"/>
          <w:sz w:val="18"/>
          <w:szCs w:val="18"/>
        </w:rPr>
        <w:t>a</w:t>
      </w:r>
      <w:r w:rsidR="00C62005">
        <w:rPr>
          <w:rFonts w:ascii="Tahoma" w:hAnsi="Tahoma" w:cs="Tahoma"/>
          <w:sz w:val="18"/>
          <w:szCs w:val="18"/>
        </w:rPr>
        <w:t xml:space="preserve"> ofert częściowych</w:t>
      </w:r>
      <w:r w:rsidR="00C62005" w:rsidRPr="005B723A">
        <w:rPr>
          <w:rFonts w:ascii="Tahoma" w:hAnsi="Tahoma" w:cs="Tahoma"/>
          <w:i/>
          <w:iCs/>
        </w:rPr>
        <w:t>.</w:t>
      </w:r>
      <w:bookmarkEnd w:id="0"/>
      <w:r w:rsidR="005B723A" w:rsidRPr="005B723A">
        <w:rPr>
          <w:rFonts w:ascii="Tahoma" w:hAnsi="Tahoma" w:cs="Tahoma"/>
          <w:i/>
          <w:iCs/>
        </w:rPr>
        <w:t xml:space="preserve"> </w:t>
      </w:r>
    </w:p>
    <w:p w14:paraId="23FF3B8C" w14:textId="5578536F" w:rsidR="00F61AD1" w:rsidRDefault="0092635F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Pr="0092635F">
        <w:rPr>
          <w:rFonts w:ascii="Tahoma" w:hAnsi="Tahoma" w:cs="Tahoma"/>
          <w:b/>
          <w:bCs/>
          <w:sz w:val="18"/>
          <w:szCs w:val="18"/>
        </w:rPr>
        <w:t>Uzasadnienie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1F9833D7" w14:textId="289042D2" w:rsidR="00935413" w:rsidRPr="00935413" w:rsidRDefault="00935413" w:rsidP="00935413">
      <w:pPr>
        <w:pStyle w:val="Default"/>
        <w:ind w:left="426" w:firstLine="273"/>
        <w:jc w:val="both"/>
        <w:rPr>
          <w:rFonts w:ascii="Tahoma" w:hAnsi="Tahoma" w:cs="Tahoma"/>
          <w:sz w:val="18"/>
          <w:szCs w:val="18"/>
        </w:rPr>
      </w:pPr>
      <w:r w:rsidRPr="00935413">
        <w:rPr>
          <w:rFonts w:ascii="Tahoma" w:hAnsi="Tahoma" w:cs="Tahoma"/>
          <w:sz w:val="18"/>
          <w:szCs w:val="18"/>
        </w:rPr>
        <w:t>Powodem braku podziału na części jest zamówienie systemu sprzętu medycznego, który musi być ze sobą kompatybilny</w:t>
      </w:r>
      <w:r>
        <w:rPr>
          <w:rFonts w:ascii="Tahoma" w:hAnsi="Tahoma" w:cs="Tahoma"/>
          <w:sz w:val="18"/>
          <w:szCs w:val="18"/>
        </w:rPr>
        <w:t xml:space="preserve"> i </w:t>
      </w:r>
      <w:r w:rsidRPr="00935413">
        <w:rPr>
          <w:rFonts w:ascii="Tahoma" w:hAnsi="Tahoma" w:cs="Tahoma"/>
          <w:sz w:val="18"/>
          <w:szCs w:val="18"/>
        </w:rPr>
        <w:t xml:space="preserve">nie można </w:t>
      </w:r>
      <w:r>
        <w:rPr>
          <w:rFonts w:ascii="Tahoma" w:hAnsi="Tahoma" w:cs="Tahoma"/>
          <w:sz w:val="18"/>
          <w:szCs w:val="18"/>
        </w:rPr>
        <w:t xml:space="preserve">go </w:t>
      </w:r>
      <w:r w:rsidRPr="00935413">
        <w:rPr>
          <w:rFonts w:ascii="Tahoma" w:hAnsi="Tahoma" w:cs="Tahoma"/>
          <w:sz w:val="18"/>
          <w:szCs w:val="18"/>
        </w:rPr>
        <w:t>od siebie rozdzielić.</w:t>
      </w:r>
    </w:p>
    <w:p w14:paraId="5A353031" w14:textId="188DF598" w:rsidR="00D445AA" w:rsidRPr="005B723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</w:rPr>
      </w:pPr>
    </w:p>
    <w:p w14:paraId="5D283A97" w14:textId="77777777" w:rsidR="00856982" w:rsidRPr="009F6463" w:rsidRDefault="00D445AA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bookmarkStart w:id="1" w:name="_Hlk25265982"/>
      <w:r w:rsidR="00856982" w:rsidRPr="009F6463">
        <w:rPr>
          <w:rFonts w:ascii="Tahoma" w:hAnsi="Tahoma" w:cs="Tahoma"/>
          <w:sz w:val="18"/>
          <w:szCs w:val="18"/>
        </w:rPr>
        <w:t xml:space="preserve">Zamawiający dopuszcza składanie </w:t>
      </w:r>
      <w:r w:rsidR="00856982" w:rsidRPr="009F6463">
        <w:rPr>
          <w:rFonts w:ascii="Tahoma" w:hAnsi="Tahoma" w:cs="Tahoma"/>
          <w:b/>
          <w:sz w:val="18"/>
          <w:szCs w:val="18"/>
        </w:rPr>
        <w:t>ofert równoważnych</w:t>
      </w:r>
      <w:r w:rsidR="00856982" w:rsidRPr="009F6463">
        <w:rPr>
          <w:rFonts w:ascii="Tahoma" w:hAnsi="Tahoma" w:cs="Tahoma"/>
          <w:bCs/>
          <w:sz w:val="18"/>
          <w:szCs w:val="18"/>
        </w:rPr>
        <w:t>.</w:t>
      </w:r>
    </w:p>
    <w:p w14:paraId="6B5CA771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856982">
        <w:rPr>
          <w:rFonts w:ascii="Tahoma" w:hAnsi="Tahoma" w:cs="Tahoma"/>
          <w:bCs/>
          <w:sz w:val="18"/>
          <w:szCs w:val="18"/>
        </w:rPr>
        <w:t xml:space="preserve">Zamawiający dopuszcza rozwiązania równoważne w przypadkach określających dany parametr przedmiotu zamówienia przez odniesienie, m.in., do norm, europejskich ocen technicznych, aprobat, specyfikacji technicznych i systemów referencji technicznych, o których mowa w art. 101 ustawy PZP. </w:t>
      </w:r>
    </w:p>
    <w:p w14:paraId="5C908C2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Ilekroć w specyfikacji (w szczególności w: opisie przedmiotu zamówienia) znajdują się nazwy własne producentów, nazwy norm, ocen technicznych, specyfikacji technicznych i systemów referencji technicznych, to przyjmuje się, że wskazaniom takim towarzyszą wyrazy „lub równoważne”. </w:t>
      </w:r>
    </w:p>
    <w:p w14:paraId="305E19AD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50BC356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Ilekroć w specyfikacji jest mowa o „znaku towarowym, patencie, produkcie, materiale czy systemie typu lub np.” należy przez to rozumieć znak towarowy, patent, produkt, materiał czy system taki jak zaproponowany lub inny o standardzie i parametrach technicznych nie gorszych niż zaproponowany. Wszystkie użyte w specyfikacji znaki handlowe, towarowe, przywołania patentów, nazwy modeli, numery katalogowe służą jedynie do określenia cech technicznych i jakościowych materiałów a nie są wskazaniem na producenta. Wszelkie nazwy własne produktów i materiałów przywołane dokumentacji służą ustaleniu pożądanego standardu wykonania i określenia właściwości i wymogów technicznych założonych. Użyte wszelkie nazwy handlowe w opisie przedmiotu zamówienia Zamawiający traktuje jako informację uściślającą, która została użyta wyłącznie w celu przybliżenia potrzeb Zamawiającego. Dopuszcza się użycie do realizacji dostaw produktów równoważnych, w stosunku do ich jakości, docelowego przeznaczenia i spełnianych funkcji i walorów użytkowych oraz parametrów technicznych. Przez jakość należy rozumieć zapewnienie minimalnych parametrów produktu wskazanego w dokumentacji.</w:t>
      </w:r>
    </w:p>
    <w:p w14:paraId="4F518AA4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06408B9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Wykonawca, który do wyceny przyjmie rozwiązania równoważne jest zobowiązany udowodnić równoważność przyjętych urządzeń, sprzętu i materiałów. W celu potwierdzenia, że oferowane rozwiązanie równoważne spełnia wymagania określone w SWZ, wykonawca złoży wraz z ofertą szczegółowy opis oferowanego przedmiotu zamówienia równoważnego w którym dla każdego produktu określi nazwę producenta, typ/model oraz inne cechy produktu pozwalające na jednoznaczną identyfikację zaoferowanego </w:t>
      </w:r>
      <w:r w:rsidRPr="00856982">
        <w:rPr>
          <w:rFonts w:ascii="Tahoma" w:hAnsi="Tahoma" w:cs="Tahoma"/>
          <w:sz w:val="18"/>
          <w:szCs w:val="18"/>
        </w:rPr>
        <w:lastRenderedPageBreak/>
        <w:t>produktu i potwierdzenie zgodności z opisem przedmiotu zamówienia. Nie złożenie takiego wykazu będzie równoznaczne z przyjęciem rozwiązań wskazanych w dokumentacji.</w:t>
      </w:r>
    </w:p>
    <w:p w14:paraId="75383423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08350E77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Zastosowane materiały równoważne:</w:t>
      </w:r>
    </w:p>
    <w:tbl>
      <w:tblPr>
        <w:tblW w:w="9037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07"/>
        <w:gridCol w:w="3851"/>
        <w:gridCol w:w="2420"/>
      </w:tblGrid>
      <w:tr w:rsidR="009F6463" w:rsidRPr="00856982" w14:paraId="17AD05A1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67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20F" w14:textId="77777777" w:rsidR="00E70CDA" w:rsidRPr="009F6463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Przedmiotu</w:t>
            </w:r>
          </w:p>
          <w:p w14:paraId="0D9849FB" w14:textId="31DF1278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zamówienia – wymagania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EC5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Nazwa handlowa, numer katalogowy, wielkość opakowania lub inne oznaczenie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11F8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oferowanego przedmiotu równoważnego</w:t>
            </w:r>
          </w:p>
        </w:tc>
      </w:tr>
      <w:tr w:rsidR="009F6463" w:rsidRPr="00856982" w14:paraId="7336761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9D3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6B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1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7B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568E14E6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A1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4F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A3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64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16DBFE9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A9A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0C4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93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7F5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bookmarkEnd w:id="1"/>
      </w:tr>
    </w:tbl>
    <w:p w14:paraId="65F80684" w14:textId="10C26609" w:rsidR="0003094E" w:rsidRPr="009F6463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61AE9BF1" w14:textId="77777777" w:rsidR="009F7B8F" w:rsidRPr="009F7B8F" w:rsidRDefault="005253B8" w:rsidP="009F7B8F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32F44770" w14:textId="23A25184" w:rsidR="00375936" w:rsidRPr="008B0EBA" w:rsidRDefault="00D445AA" w:rsidP="009F7B8F">
      <w:p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9F7B8F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331905" w:rsidRPr="009F7B8F">
        <w:rPr>
          <w:rFonts w:ascii="Tahoma" w:hAnsi="Tahoma" w:cs="Tahoma"/>
          <w:sz w:val="18"/>
          <w:szCs w:val="18"/>
        </w:rPr>
        <w:t>Przedmiotem zamówienia są:</w:t>
      </w:r>
      <w:r w:rsidR="00625A5B" w:rsidRPr="009F7B8F">
        <w:rPr>
          <w:rFonts w:ascii="Tahoma" w:hAnsi="Tahoma" w:cs="Tahoma"/>
          <w:sz w:val="18"/>
          <w:szCs w:val="18"/>
        </w:rPr>
        <w:t xml:space="preserve">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 xml:space="preserve">Dostawa i instalacja laryngologicznego mikroskopu operacyjnego dla 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  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>Wielospecjalistycznego Szpitala – Samodzielnego Publicznego Zespołu Opieki Zdrowotnej w Zgorzelcu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</w:t>
      </w:r>
    </w:p>
    <w:p w14:paraId="2AED7436" w14:textId="62D8FEBC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Kod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CPV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16AD2FDF" w14:textId="70068CED" w:rsidR="00625A5B" w:rsidRPr="00625A5B" w:rsidRDefault="00625A5B" w:rsidP="00625A5B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bookmarkStart w:id="4" w:name="_Hlk91836848"/>
      <w:bookmarkEnd w:id="3"/>
      <w:r w:rsidRPr="00625A5B">
        <w:rPr>
          <w:rFonts w:ascii="Tahoma" w:hAnsi="Tahoma"/>
          <w:b/>
          <w:bCs/>
          <w:color w:val="0070C0"/>
          <w:sz w:val="18"/>
        </w:rPr>
        <w:t>33.</w:t>
      </w:r>
      <w:r w:rsidR="00375936">
        <w:rPr>
          <w:rFonts w:ascii="Tahoma" w:hAnsi="Tahoma"/>
          <w:b/>
          <w:bCs/>
          <w:color w:val="0070C0"/>
          <w:sz w:val="18"/>
        </w:rPr>
        <w:t>1</w:t>
      </w:r>
      <w:r w:rsidRPr="00625A5B">
        <w:rPr>
          <w:rFonts w:ascii="Tahoma" w:hAnsi="Tahoma"/>
          <w:b/>
          <w:bCs/>
          <w:color w:val="0070C0"/>
          <w:sz w:val="18"/>
        </w:rPr>
        <w:t>0.00.00-0   Urządzenia medyczne</w:t>
      </w:r>
    </w:p>
    <w:bookmarkEnd w:id="4"/>
    <w:p w14:paraId="7DA500CA" w14:textId="09791700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</w:t>
      </w:r>
      <w:hyperlink r:id="rId15" w:history="1">
        <w:r w:rsidRPr="00375936">
          <w:rPr>
            <w:rFonts w:ascii="Tahoma" w:hAnsi="Tahoma"/>
            <w:b/>
            <w:bCs/>
            <w:color w:val="0070C0"/>
            <w:sz w:val="18"/>
          </w:rPr>
          <w:t>38510000-3</w:t>
        </w:r>
      </w:hyperlink>
      <w:r w:rsidRPr="00375936">
        <w:rPr>
          <w:rFonts w:ascii="Tahoma" w:hAnsi="Tahoma"/>
          <w:b/>
          <w:bCs/>
          <w:color w:val="0070C0"/>
          <w:sz w:val="18"/>
        </w:rPr>
        <w:t xml:space="preserve"> – Mikroskopy </w:t>
      </w:r>
    </w:p>
    <w:p w14:paraId="3E1C44D6" w14:textId="77777777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33190000-8 - Różne urządzenia i produkty medyczne</w:t>
      </w:r>
    </w:p>
    <w:p w14:paraId="3EDDA83B" w14:textId="66B449B2" w:rsidR="008F4E51" w:rsidRPr="008F4E51" w:rsidRDefault="008F4E51" w:rsidP="00625A5B">
      <w:pPr>
        <w:autoSpaceDE w:val="0"/>
        <w:ind w:left="426"/>
        <w:rPr>
          <w:rStyle w:val="classification-text"/>
          <w:rFonts w:ascii="Tahoma" w:hAnsi="Tahoma" w:cs="Tahoma"/>
          <w:b/>
          <w:color w:val="0070C0"/>
          <w:sz w:val="10"/>
          <w:szCs w:val="10"/>
        </w:rPr>
      </w:pPr>
    </w:p>
    <w:p w14:paraId="31C42764" w14:textId="769820A6" w:rsidR="008F4E51" w:rsidRDefault="008F4E51" w:rsidP="008F4E5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8F4E51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3</w:t>
      </w:r>
      <w:r w:rsidRPr="008F4E51">
        <w:rPr>
          <w:rFonts w:ascii="Tahoma" w:hAnsi="Tahoma" w:cs="Tahoma"/>
          <w:bCs/>
          <w:sz w:val="18"/>
          <w:szCs w:val="18"/>
        </w:rPr>
        <w:t xml:space="preserve">. </w:t>
      </w:r>
      <w:r w:rsidRPr="008F4E51">
        <w:rPr>
          <w:rFonts w:ascii="Tahoma" w:hAnsi="Tahoma"/>
          <w:bCs/>
          <w:sz w:val="18"/>
        </w:rPr>
        <w:t>Opis przedmiotu zamówienia zawarty został</w:t>
      </w:r>
      <w:r>
        <w:rPr>
          <w:rFonts w:ascii="Tahoma" w:hAnsi="Tahoma"/>
          <w:b/>
          <w:color w:val="FF0000"/>
          <w:sz w:val="18"/>
        </w:rPr>
        <w:t xml:space="preserve"> 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w załączniku nr 2,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2A, </w:t>
      </w:r>
      <w:r w:rsidR="00375936" w:rsidRPr="00F049FF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2B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oraz</w:t>
      </w:r>
      <w:r w:rsid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4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do SWZ 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0BD51232" w14:textId="77777777" w:rsidR="009F7B8F" w:rsidRPr="009F7B8F" w:rsidRDefault="009F7B8F" w:rsidP="009F7B8F">
      <w:pPr>
        <w:spacing w:line="276" w:lineRule="auto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 xml:space="preserve">4.1.  </w:t>
      </w:r>
      <w:r w:rsidRPr="00F049FF">
        <w:rPr>
          <w:rFonts w:ascii="Tahoma" w:hAnsi="Tahoma" w:cs="Tahoma"/>
          <w:sz w:val="18"/>
          <w:szCs w:val="18"/>
        </w:rPr>
        <w:t>Zamówienie należy realizować w terminie</w:t>
      </w:r>
      <w:r w:rsidRPr="00F049FF">
        <w:rPr>
          <w:rFonts w:ascii="Tahoma" w:hAnsi="Tahoma"/>
          <w:b/>
          <w:bCs/>
          <w:color w:val="0070C0"/>
          <w:sz w:val="18"/>
          <w:szCs w:val="18"/>
        </w:rPr>
        <w:t>: 30 dni od dnia zawarcia umowy.</w:t>
      </w:r>
    </w:p>
    <w:p w14:paraId="0827BC51" w14:textId="31A92011" w:rsidR="009F7B8F" w:rsidRPr="009F7B8F" w:rsidRDefault="009F7B8F" w:rsidP="009F7B8F">
      <w:pPr>
        <w:spacing w:line="276" w:lineRule="auto"/>
        <w:ind w:left="426" w:hanging="426"/>
        <w:rPr>
          <w:rFonts w:ascii="Tahoma" w:hAnsi="Tahoma" w:cs="Tahoma"/>
          <w:bCs/>
          <w:sz w:val="18"/>
          <w:szCs w:val="18"/>
        </w:rPr>
      </w:pPr>
      <w:r w:rsidRPr="009F7B8F">
        <w:rPr>
          <w:rFonts w:ascii="Tahoma" w:hAnsi="Tahoma" w:cs="Tahoma"/>
          <w:bCs/>
          <w:sz w:val="18"/>
          <w:szCs w:val="18"/>
        </w:rPr>
        <w:lastRenderedPageBreak/>
        <w:t>4.2</w:t>
      </w:r>
      <w:r w:rsidRPr="00F049FF">
        <w:rPr>
          <w:rFonts w:ascii="Tahoma" w:hAnsi="Tahoma" w:cs="Tahoma"/>
          <w:bCs/>
          <w:sz w:val="18"/>
          <w:szCs w:val="18"/>
        </w:rPr>
        <w:t xml:space="preserve">.  Dostawa przedmiotu zamówienia bezpośrednio do Zamawiającego - Wielospecjalistyczny Szpital-     Samodzielny Publiczny Zespół Opieki Zdrowotnej w Zgorzelcu – </w:t>
      </w:r>
      <w:r w:rsidR="00F049FF" w:rsidRPr="00F049FF">
        <w:rPr>
          <w:rFonts w:ascii="Tahoma" w:hAnsi="Tahoma" w:cs="Tahoma"/>
          <w:bCs/>
          <w:sz w:val="18"/>
          <w:szCs w:val="18"/>
        </w:rPr>
        <w:t xml:space="preserve">Blok operacyjny </w:t>
      </w:r>
      <w:r w:rsidRPr="00F049FF">
        <w:rPr>
          <w:rFonts w:ascii="Tahoma" w:hAnsi="Tahoma" w:cs="Tahoma"/>
          <w:bCs/>
          <w:sz w:val="18"/>
          <w:szCs w:val="18"/>
        </w:rPr>
        <w:t>(poziom +</w:t>
      </w:r>
      <w:r w:rsidR="00F049FF" w:rsidRPr="00F049FF">
        <w:rPr>
          <w:rFonts w:ascii="Tahoma" w:hAnsi="Tahoma" w:cs="Tahoma"/>
          <w:bCs/>
          <w:sz w:val="18"/>
          <w:szCs w:val="18"/>
        </w:rPr>
        <w:t>4</w:t>
      </w:r>
      <w:r w:rsidRPr="00F049FF">
        <w:rPr>
          <w:rFonts w:ascii="Tahoma" w:hAnsi="Tahoma" w:cs="Tahoma"/>
          <w:bCs/>
          <w:sz w:val="18"/>
          <w:szCs w:val="18"/>
        </w:rPr>
        <w:t>), ul. Lubańska 11-12; 59-900 Zgorzelec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77703315" w14:textId="77777777" w:rsidR="009F7B8F" w:rsidRPr="00F049FF" w:rsidRDefault="009F7B8F" w:rsidP="009F7B8F">
      <w:pPr>
        <w:spacing w:line="276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>4.4  Szczegółowe warunki realizacji zamówienia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, </w:t>
      </w:r>
      <w:r w:rsidRPr="00F049FF">
        <w:rPr>
          <w:rFonts w:ascii="Tahoma" w:hAnsi="Tahoma" w:cs="Tahoma"/>
          <w:sz w:val="18"/>
          <w:szCs w:val="18"/>
        </w:rPr>
        <w:t>zawiera projekt umowy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049FF">
        <w:rPr>
          <w:rFonts w:ascii="Tahoma" w:hAnsi="Tahoma" w:cs="Tahoma"/>
          <w:b/>
          <w:color w:val="0070C0"/>
          <w:sz w:val="18"/>
          <w:szCs w:val="18"/>
        </w:rPr>
        <w:t>(załącznik nr 4 do SWZ)</w:t>
      </w:r>
    </w:p>
    <w:p w14:paraId="2F8FB77D" w14:textId="77777777" w:rsidR="00174C63" w:rsidRPr="00527B77" w:rsidRDefault="00174C63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7FCABB0B" w14:textId="33C02260" w:rsidR="002839C1" w:rsidRPr="008E54FD" w:rsidRDefault="0022419F" w:rsidP="000724DD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E54F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8E54FD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 </w:t>
      </w:r>
      <w:bookmarkStart w:id="5" w:name="_Hlk108433557"/>
      <w:r w:rsidR="008E54FD" w:rsidRPr="008E54FD">
        <w:rPr>
          <w:rFonts w:ascii="Tahoma" w:hAnsi="Tahoma" w:cs="Tahoma"/>
          <w:b/>
          <w:iCs/>
          <w:color w:val="0070C0"/>
          <w:sz w:val="18"/>
          <w:szCs w:val="18"/>
        </w:rPr>
        <w:t>Zamawiający nie określa przedmiotowych środków dowodowych</w:t>
      </w:r>
      <w:r w:rsidR="008E54FD" w:rsidRPr="008E54FD">
        <w:rPr>
          <w:rFonts w:ascii="Tahoma" w:hAnsi="Tahoma" w:cs="Tahoma"/>
          <w:b/>
          <w:bCs/>
          <w:color w:val="0070C0"/>
          <w:sz w:val="18"/>
          <w:szCs w:val="18"/>
        </w:rPr>
        <w:t xml:space="preserve">. </w:t>
      </w:r>
      <w:bookmarkEnd w:id="5"/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754A080" w14:textId="77777777" w:rsidR="006A5FFD" w:rsidRDefault="006A5FFD" w:rsidP="006A5FFD">
      <w:pPr>
        <w:numPr>
          <w:ilvl w:val="3"/>
          <w:numId w:val="39"/>
        </w:numPr>
        <w:tabs>
          <w:tab w:val="left" w:pos="1276"/>
        </w:tabs>
        <w:ind w:left="1276" w:firstLine="0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149E2C63" w14:textId="77777777" w:rsidR="006A5FFD" w:rsidRDefault="006A5FFD" w:rsidP="006A5FFD">
      <w:pPr>
        <w:numPr>
          <w:ilvl w:val="0"/>
          <w:numId w:val="40"/>
        </w:numPr>
        <w:spacing w:after="240"/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13199C4C" w14:textId="77777777" w:rsidR="006A5FFD" w:rsidRDefault="006A5FFD" w:rsidP="006A5FFD">
      <w:pPr>
        <w:numPr>
          <w:ilvl w:val="3"/>
          <w:numId w:val="39"/>
        </w:numPr>
        <w:ind w:left="2127" w:hanging="85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588DCA47" w14:textId="77777777" w:rsidR="006A5FFD" w:rsidRDefault="006A5FFD" w:rsidP="006A5FFD">
      <w:pPr>
        <w:numPr>
          <w:ilvl w:val="0"/>
          <w:numId w:val="40"/>
        </w:numPr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5295E83F" w14:textId="77777777" w:rsidR="006A5FFD" w:rsidRDefault="006A5FFD" w:rsidP="006A5FFD">
      <w:pPr>
        <w:ind w:left="1483" w:firstLine="284"/>
        <w:jc w:val="both"/>
        <w:rPr>
          <w:rFonts w:ascii="Tahoma" w:hAnsi="Tahoma"/>
          <w:b/>
          <w:sz w:val="18"/>
          <w:szCs w:val="18"/>
        </w:rPr>
      </w:pPr>
    </w:p>
    <w:p w14:paraId="5BFBACA6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11B4E7E" w14:textId="77777777" w:rsidR="006A5FFD" w:rsidRDefault="006A5FFD" w:rsidP="006A5FFD">
      <w:pPr>
        <w:numPr>
          <w:ilvl w:val="0"/>
          <w:numId w:val="41"/>
        </w:numPr>
        <w:spacing w:after="240"/>
        <w:ind w:left="1560" w:firstLine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6F9F3114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492ACF64" w14:textId="77777777" w:rsidR="006A5FFD" w:rsidRPr="00F049FF" w:rsidRDefault="006A5FFD" w:rsidP="006A5FFD">
      <w:pPr>
        <w:numPr>
          <w:ilvl w:val="0"/>
          <w:numId w:val="42"/>
        </w:numPr>
        <w:ind w:left="1418" w:firstLine="425"/>
        <w:jc w:val="both"/>
        <w:rPr>
          <w:rFonts w:ascii="Tahoma" w:hAnsi="Tahoma"/>
          <w:b/>
          <w:sz w:val="18"/>
        </w:rPr>
      </w:pPr>
      <w:r w:rsidRPr="00F049FF"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59604515" w14:textId="03DAFD05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dokona wstępnej oceny czy Wykonawca nie podlega wykluczeniu na podstawie złożonego przez Wykonawcę oświadczenia w zakresie wskazanym 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w załączniku nr </w:t>
      </w:r>
      <w:r w:rsidR="005D16A3" w:rsidRPr="005D16A3">
        <w:rPr>
          <w:rFonts w:ascii="Tahoma" w:hAnsi="Tahoma" w:cs="Tahoma"/>
          <w:b/>
          <w:bCs/>
          <w:sz w:val="18"/>
          <w:szCs w:val="18"/>
        </w:rPr>
        <w:t>3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 do SWZ</w:t>
      </w:r>
    </w:p>
    <w:p w14:paraId="5D470CCC" w14:textId="65FFCCD2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6" w:name="_Hlk61507826"/>
      <w:r>
        <w:rPr>
          <w:rFonts w:ascii="Tahoma" w:hAnsi="Tahoma"/>
          <w:sz w:val="18"/>
          <w:szCs w:val="18"/>
        </w:rPr>
        <w:t xml:space="preserve">i złożył oświadczenie wg treści </w:t>
      </w:r>
      <w:r w:rsidRPr="005D16A3">
        <w:rPr>
          <w:rFonts w:ascii="Tahoma" w:hAnsi="Tahoma"/>
          <w:b/>
          <w:bCs/>
          <w:sz w:val="18"/>
          <w:szCs w:val="18"/>
        </w:rPr>
        <w:t xml:space="preserve">załącznika nr </w:t>
      </w:r>
      <w:r w:rsidR="005D16A3" w:rsidRPr="005D16A3">
        <w:rPr>
          <w:rFonts w:ascii="Tahoma" w:hAnsi="Tahoma"/>
          <w:b/>
          <w:bCs/>
          <w:sz w:val="18"/>
          <w:szCs w:val="18"/>
        </w:rPr>
        <w:t>3</w:t>
      </w:r>
      <w:r w:rsidRPr="005D16A3">
        <w:rPr>
          <w:rFonts w:ascii="Tahoma" w:hAnsi="Tahoma"/>
          <w:b/>
          <w:bCs/>
          <w:sz w:val="18"/>
          <w:szCs w:val="18"/>
        </w:rPr>
        <w:t xml:space="preserve"> do SWZ</w:t>
      </w:r>
      <w:r>
        <w:rPr>
          <w:rFonts w:ascii="Tahoma" w:hAnsi="Tahoma"/>
          <w:sz w:val="18"/>
          <w:szCs w:val="18"/>
        </w:rPr>
        <w:t xml:space="preserve"> dotyczący podwykonawców (art. 462 ust. 5 ustawy PZP).</w:t>
      </w:r>
      <w:bookmarkEnd w:id="6"/>
    </w:p>
    <w:p w14:paraId="09C2C39B" w14:textId="3365DE2C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>
        <w:rPr>
          <w:rFonts w:ascii="Tahoma" w:hAnsi="Tahoma" w:cs="Tahoma"/>
          <w:b/>
          <w:sz w:val="18"/>
          <w:szCs w:val="18"/>
        </w:rPr>
        <w:t xml:space="preserve">w zakresie wskazanym w załączniku nr </w:t>
      </w:r>
      <w:r w:rsidR="005D16A3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C5E4E5" w14:textId="77777777" w:rsidR="00145531" w:rsidRDefault="0031717C" w:rsidP="00145531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145531">
        <w:rPr>
          <w:rFonts w:ascii="Tahoma" w:hAnsi="Tahoma" w:cs="Tahoma"/>
          <w:sz w:val="18"/>
          <w:szCs w:val="18"/>
        </w:rPr>
        <w:t xml:space="preserve">8.1. O udzielenie zamówienia mogą ubiegać się Wykonawcy, którzy </w:t>
      </w:r>
      <w:r w:rsidR="00145531">
        <w:rPr>
          <w:rFonts w:ascii="Tahoma" w:hAnsi="Tahoma"/>
          <w:b/>
          <w:sz w:val="18"/>
        </w:rPr>
        <w:t>spełniają warunki udziału w postępowaniu</w:t>
      </w:r>
      <w:r w:rsidR="00145531">
        <w:rPr>
          <w:rFonts w:ascii="Tahoma" w:hAnsi="Tahoma"/>
          <w:b/>
          <w:sz w:val="18"/>
          <w:szCs w:val="18"/>
        </w:rPr>
        <w:t xml:space="preserve">: </w:t>
      </w:r>
    </w:p>
    <w:p w14:paraId="62EAF776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6B2454A3" w14:textId="77777777" w:rsidR="00145531" w:rsidRDefault="00145531" w:rsidP="00145531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W celu wykazania spełniania warunków udziału w postępowaniu Zamawiający nie żąda   złożenia dokumentów:</w:t>
      </w:r>
    </w:p>
    <w:p w14:paraId="6BCFEB32" w14:textId="77777777" w:rsidR="00145531" w:rsidRDefault="00145531" w:rsidP="00145531">
      <w:pPr>
        <w:ind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8.1.1. </w:t>
      </w:r>
      <w:r>
        <w:rPr>
          <w:rFonts w:ascii="Tahoma" w:hAnsi="Tahoma"/>
          <w:b/>
          <w:sz w:val="18"/>
          <w:szCs w:val="18"/>
        </w:rPr>
        <w:t>dotyczących zdolności do występowania w obrocie gospodarczym:</w:t>
      </w:r>
    </w:p>
    <w:p w14:paraId="227ED247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7655C408" w14:textId="77777777" w:rsidR="00145531" w:rsidRDefault="00145531" w:rsidP="00145531">
      <w:pPr>
        <w:ind w:left="284" w:hanging="283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>
        <w:rPr>
          <w:rFonts w:ascii="Tahoma" w:hAnsi="Tahoma"/>
          <w:b/>
          <w:sz w:val="18"/>
          <w:szCs w:val="18"/>
        </w:rPr>
        <w:t xml:space="preserve">dotyczących uprawnień do prowadzenia określonej działalności gospodarczej lub zawodowej: </w:t>
      </w:r>
    </w:p>
    <w:p w14:paraId="534E69BB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023B0A79" w14:textId="77777777" w:rsidR="00145531" w:rsidRDefault="00145531" w:rsidP="00145531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dotyczących sytuacji ekonomicznej lub finansowej</w:t>
      </w:r>
    </w:p>
    <w:p w14:paraId="2E0D67C6" w14:textId="77777777" w:rsidR="00145531" w:rsidRDefault="00145531" w:rsidP="00145531">
      <w:pPr>
        <w:numPr>
          <w:ilvl w:val="0"/>
          <w:numId w:val="4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5352EA07" w14:textId="77777777" w:rsidR="00145531" w:rsidRDefault="00145531" w:rsidP="00145531">
      <w:pPr>
        <w:ind w:left="142" w:hanging="142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lastRenderedPageBreak/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dotyczących zdolności technicznej lub zawodowej</w:t>
      </w:r>
    </w:p>
    <w:p w14:paraId="2EE8E9E2" w14:textId="77777777" w:rsidR="00145531" w:rsidRDefault="00145531" w:rsidP="00145531">
      <w:pPr>
        <w:numPr>
          <w:ilvl w:val="0"/>
          <w:numId w:val="42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86146B0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6E1A1A3" w14:textId="77777777" w:rsidR="00145531" w:rsidRDefault="00145531" w:rsidP="00145531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8.2.</w:t>
      </w:r>
      <w:r>
        <w:rPr>
          <w:rFonts w:ascii="Tahoma" w:hAnsi="Tahoma" w:cs="Tahoma"/>
          <w:b/>
          <w:sz w:val="18"/>
          <w:szCs w:val="18"/>
        </w:rPr>
        <w:t xml:space="preserve"> 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 postępowaniu Zamawiający żąda następujących dokumentów:</w:t>
      </w:r>
    </w:p>
    <w:p w14:paraId="19029992" w14:textId="77777777" w:rsidR="00145531" w:rsidRDefault="00145531" w:rsidP="00145531">
      <w:pPr>
        <w:jc w:val="both"/>
        <w:rPr>
          <w:b/>
          <w:bCs/>
        </w:rPr>
      </w:pPr>
    </w:p>
    <w:p w14:paraId="13CA4817" w14:textId="7C3AA348" w:rsidR="00145531" w:rsidRDefault="00145531" w:rsidP="00145531">
      <w:pPr>
        <w:numPr>
          <w:ilvl w:val="2"/>
          <w:numId w:val="45"/>
        </w:num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Wypełnionego oświadczenia o braku podstaw do wykluczenia</w:t>
      </w:r>
      <w:r>
        <w:rPr>
          <w:rFonts w:ascii="Tahoma" w:hAnsi="Tahoma"/>
          <w:sz w:val="18"/>
          <w:szCs w:val="18"/>
        </w:rPr>
        <w:t xml:space="preserve"> – </w:t>
      </w:r>
      <w:r>
        <w:rPr>
          <w:rFonts w:ascii="Tahoma" w:hAnsi="Tahoma"/>
          <w:b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/>
          <w:b/>
          <w:color w:val="0070C0"/>
          <w:sz w:val="18"/>
          <w:szCs w:val="18"/>
        </w:rPr>
        <w:t xml:space="preserve"> do SWZ– załączyć do oferty</w:t>
      </w:r>
    </w:p>
    <w:p w14:paraId="523C49DC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granicami Rzeczypospolitej Polskiej </w:t>
      </w:r>
      <w:r>
        <w:rPr>
          <w:rFonts w:ascii="Tahoma" w:hAnsi="Tahoma" w:cs="Tahoma"/>
          <w:sz w:val="18"/>
          <w:szCs w:val="18"/>
        </w:rPr>
        <w:t xml:space="preserve">zamiast: </w:t>
      </w:r>
      <w:r>
        <w:rPr>
          <w:rFonts w:ascii="Tahoma" w:hAnsi="Tahoma" w:cs="Tahoma"/>
          <w:b/>
          <w:bCs/>
          <w:sz w:val="18"/>
          <w:szCs w:val="18"/>
        </w:rPr>
        <w:t>NIE DOTYCZY</w:t>
      </w:r>
    </w:p>
    <w:p w14:paraId="6DEA5CE7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FAFDE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01EB8E05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44B3F609" w14:textId="77777777" w:rsidR="00145531" w:rsidRDefault="00145531" w:rsidP="00145531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dostępne w języku obcym), zamawiający żądać będzie od wykonawcy przedstawienia tłumaczenia na język polski pobranych samodzielnie przez zamawiającego podmiotowych środków dowodowych lub dokumentów. </w:t>
      </w:r>
    </w:p>
    <w:p w14:paraId="46F2952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5CA82CCD" w14:textId="2E336107" w:rsidR="00C60848" w:rsidRDefault="00CD4444" w:rsidP="00C60848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C60848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3ACB9D00" w14:textId="77777777" w:rsidR="00C60848" w:rsidRDefault="00C60848" w:rsidP="00C60848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 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3052CB63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  Przepisy dotyczące Wykonawcy stosuje się odpowiednio do Wykonawców, o których mowa w pkt. 9.1. </w:t>
      </w:r>
    </w:p>
    <w:p w14:paraId="73516C41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9.4 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15B2EAE8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  Oferta wspólna musi zostać przygotowana i złożona w następujący sposób:</w:t>
      </w:r>
    </w:p>
    <w:p w14:paraId="0BEA9256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9.5.1. 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40FCAEBB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9.5.2. oferta musi być podpisana w taki sposób, by prawnie zobowiązywała wszystkich partnerów,</w:t>
      </w:r>
    </w:p>
    <w:p w14:paraId="38C80C55" w14:textId="6D4CAA75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, potwierdzające, że nie podlega wykluczeniu z postępowania,</w:t>
      </w:r>
    </w:p>
    <w:p w14:paraId="6D8DEEE5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912B51C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9.5.5. wszelka korespondencja prowadzona będzie wyłącznie z pełnomocnikiem (lidera) konsorcjum.</w:t>
      </w: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3CE6A1BA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DB0612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386C758F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6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7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>We wszelkiej korespondencji związanej z niniejszym postępowaniem Zamawiający i Wykonawcy posługują się numerem znaku sprawy –</w:t>
      </w:r>
      <w:r w:rsidR="002E2DE4" w:rsidRPr="002E2DE4">
        <w:rPr>
          <w:rFonts w:ascii="Tahoma" w:hAnsi="Tahoma" w:cs="Tahoma"/>
          <w:b/>
          <w:color w:val="0070C0"/>
          <w:sz w:val="18"/>
          <w:szCs w:val="18"/>
        </w:rPr>
        <w:t>42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951EA">
        <w:rPr>
          <w:rFonts w:ascii="Tahoma" w:hAnsi="Tahoma" w:cs="Tahoma"/>
          <w:b/>
          <w:color w:val="0070C0"/>
          <w:sz w:val="18"/>
          <w:szCs w:val="18"/>
        </w:rPr>
        <w:t>4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proofErr w:type="spellStart"/>
      <w:r w:rsidR="006C7CC6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6C7CC6">
        <w:rPr>
          <w:rFonts w:ascii="Tahoma" w:hAnsi="Tahoma" w:cs="Tahoma"/>
          <w:bCs/>
          <w:sz w:val="18"/>
          <w:szCs w:val="18"/>
        </w:rPr>
        <w:t xml:space="preserve">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7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7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lastRenderedPageBreak/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24FE65ED" w14:textId="78B95CA9" w:rsidR="00C60848" w:rsidRDefault="00C60848" w:rsidP="00C60848">
      <w:pPr>
        <w:numPr>
          <w:ilvl w:val="2"/>
          <w:numId w:val="14"/>
        </w:numPr>
        <w:ind w:left="1276" w:hanging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w zakresie procedury zamówień </w:t>
      </w:r>
      <w:proofErr w:type="spellStart"/>
      <w:r>
        <w:rPr>
          <w:rFonts w:ascii="Tahoma" w:hAnsi="Tahoma" w:cs="Tahoma"/>
          <w:sz w:val="18"/>
          <w:szCs w:val="18"/>
        </w:rPr>
        <w:t>publicznych:</w:t>
      </w:r>
      <w:r w:rsidR="00DB0612">
        <w:rPr>
          <w:rFonts w:ascii="Tahoma" w:hAnsi="Tahoma" w:cs="Tahoma"/>
          <w:b/>
          <w:sz w:val="18"/>
          <w:szCs w:val="18"/>
        </w:rPr>
        <w:t>Katarzyna</w:t>
      </w:r>
      <w:proofErr w:type="spellEnd"/>
      <w:r w:rsidR="00DB0612">
        <w:rPr>
          <w:rFonts w:ascii="Tahoma" w:hAnsi="Tahoma" w:cs="Tahoma"/>
          <w:b/>
          <w:sz w:val="18"/>
          <w:szCs w:val="18"/>
        </w:rPr>
        <w:t xml:space="preserve"> Jagiełło</w:t>
      </w:r>
      <w:r>
        <w:rPr>
          <w:rFonts w:ascii="Tahoma" w:hAnsi="Tahoma" w:cs="Tahoma"/>
          <w:sz w:val="18"/>
          <w:szCs w:val="18"/>
        </w:rPr>
        <w:t>–</w:t>
      </w:r>
      <w:r w:rsidR="00DB0612">
        <w:rPr>
          <w:rFonts w:ascii="Tahoma" w:hAnsi="Tahoma" w:cs="Tahoma"/>
          <w:sz w:val="18"/>
          <w:szCs w:val="18"/>
        </w:rPr>
        <w:t xml:space="preserve">Specjalista </w:t>
      </w:r>
      <w:r w:rsidR="00845E9C">
        <w:rPr>
          <w:rFonts w:ascii="Tahoma" w:hAnsi="Tahoma" w:cs="Tahoma"/>
          <w:sz w:val="18"/>
          <w:szCs w:val="18"/>
        </w:rPr>
        <w:t>Działu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sz w:val="18"/>
          <w:szCs w:val="18"/>
        </w:rPr>
        <w:t>tel. 571 334</w:t>
      </w:r>
      <w:r w:rsidR="00DB0612">
        <w:rPr>
          <w:rFonts w:ascii="Tahoma" w:hAnsi="Tahoma" w:cs="Tahoma"/>
          <w:b/>
          <w:sz w:val="18"/>
          <w:szCs w:val="18"/>
        </w:rPr>
        <w:t xml:space="preserve"> 858 </w:t>
      </w:r>
      <w:r>
        <w:rPr>
          <w:rFonts w:ascii="Tahoma" w:hAnsi="Tahoma" w:cs="Tahoma"/>
          <w:sz w:val="18"/>
          <w:szCs w:val="18"/>
        </w:rPr>
        <w:t xml:space="preserve">, e-mail: </w:t>
      </w:r>
      <w:hyperlink r:id="rId18" w:history="1">
        <w:r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2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3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4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 xml:space="preserve">Wykonawca zastrzeże jako tajemnicę przedsiębiorstwa, powinny zostać załączone w osobnym miejscu, przeznaczonym na zamieszczenie </w:t>
      </w:r>
      <w:r w:rsidR="008F7EF7" w:rsidRPr="00D12CA3">
        <w:rPr>
          <w:rFonts w:ascii="Tahoma" w:hAnsi="Tahoma" w:cs="Tahoma"/>
          <w:sz w:val="18"/>
          <w:szCs w:val="18"/>
        </w:rPr>
        <w:lastRenderedPageBreak/>
        <w:t>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5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5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lastRenderedPageBreak/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lastRenderedPageBreak/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7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8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4FEFB2AC" w:rsidR="00B27969" w:rsidRPr="00055DC3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/>
          <w:b/>
          <w:bCs/>
          <w:color w:val="0070C0"/>
          <w:sz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055DC3">
        <w:rPr>
          <w:rFonts w:ascii="Tahoma" w:hAnsi="Tahoma"/>
          <w:b/>
          <w:bCs/>
          <w:color w:val="0070C0"/>
          <w:sz w:val="18"/>
        </w:rPr>
        <w:t xml:space="preserve">do dnia </w:t>
      </w:r>
      <w:r w:rsidR="00055DC3" w:rsidRPr="00055DC3">
        <w:rPr>
          <w:rFonts w:ascii="Tahoma" w:hAnsi="Tahoma"/>
          <w:b/>
          <w:bCs/>
          <w:color w:val="0070C0"/>
          <w:sz w:val="18"/>
        </w:rPr>
        <w:t>16</w:t>
      </w:r>
      <w:r w:rsidR="006F76F9" w:rsidRPr="00055DC3">
        <w:rPr>
          <w:rFonts w:ascii="Tahoma" w:hAnsi="Tahoma"/>
          <w:b/>
          <w:bCs/>
          <w:color w:val="0070C0"/>
          <w:sz w:val="18"/>
        </w:rPr>
        <w:t>.</w:t>
      </w:r>
      <w:r w:rsidR="00055DC3" w:rsidRPr="00055DC3">
        <w:rPr>
          <w:rFonts w:ascii="Tahoma" w:hAnsi="Tahoma"/>
          <w:b/>
          <w:bCs/>
          <w:color w:val="0070C0"/>
          <w:sz w:val="18"/>
        </w:rPr>
        <w:t>11</w:t>
      </w:r>
      <w:r w:rsidRPr="00055DC3">
        <w:rPr>
          <w:rFonts w:ascii="Tahoma" w:hAnsi="Tahoma"/>
          <w:b/>
          <w:bCs/>
          <w:color w:val="0070C0"/>
          <w:sz w:val="18"/>
        </w:rPr>
        <w:t>.202</w:t>
      </w:r>
      <w:r w:rsidR="00ED3F67" w:rsidRPr="00055DC3">
        <w:rPr>
          <w:rFonts w:ascii="Tahoma" w:hAnsi="Tahoma"/>
          <w:b/>
          <w:bCs/>
          <w:color w:val="0070C0"/>
          <w:sz w:val="18"/>
        </w:rPr>
        <w:t>4</w:t>
      </w:r>
      <w:r w:rsidRPr="00055DC3">
        <w:rPr>
          <w:rFonts w:ascii="Tahoma" w:hAnsi="Tahoma"/>
          <w:b/>
          <w:bCs/>
          <w:color w:val="0070C0"/>
          <w:sz w:val="18"/>
        </w:rPr>
        <w:t>r.</w:t>
      </w:r>
      <w:r w:rsidR="00E8055D" w:rsidRPr="00055DC3">
        <w:rPr>
          <w:rFonts w:ascii="Tahoma" w:hAnsi="Tahoma"/>
          <w:b/>
          <w:bCs/>
          <w:color w:val="0070C0"/>
          <w:sz w:val="18"/>
        </w:rPr>
        <w:t xml:space="preserve"> (30 dni).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7DF1FBC" w14:textId="77777777" w:rsidR="005F0D6F" w:rsidRPr="006E066A" w:rsidRDefault="005F0D6F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32C5A7CB" w:rsidR="00743F58" w:rsidRDefault="00975CEB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43F58">
        <w:rPr>
          <w:rFonts w:ascii="Tahoma" w:hAnsi="Tahoma" w:cs="Tahoma"/>
          <w:sz w:val="18"/>
          <w:szCs w:val="18"/>
        </w:rPr>
        <w:t xml:space="preserve">ypełniony </w:t>
      </w:r>
      <w:r w:rsidR="00743F58"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 w:rsidR="00743F58"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0B9C53CF" w:rsidR="006628A2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</w:t>
      </w:r>
      <w:r w:rsidR="00DD1132"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  <w:r w:rsidR="00ED3F67">
        <w:rPr>
          <w:rFonts w:ascii="Tahoma" w:hAnsi="Tahoma" w:cs="Tahoma"/>
          <w:b/>
          <w:color w:val="0070C0"/>
          <w:sz w:val="18"/>
          <w:szCs w:val="18"/>
        </w:rPr>
        <w:t xml:space="preserve"> –</w:t>
      </w:r>
      <w:r w:rsidR="00DD1132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D1132">
        <w:rPr>
          <w:rFonts w:ascii="Tahoma" w:hAnsi="Tahoma" w:cs="Tahoma"/>
          <w:sz w:val="18"/>
          <w:szCs w:val="18"/>
        </w:rPr>
        <w:t>F</w:t>
      </w:r>
      <w:r w:rsidR="00DD1132" w:rsidRPr="006628A2">
        <w:rPr>
          <w:rFonts w:ascii="Tahoma" w:hAnsi="Tahoma" w:cs="Tahoma"/>
          <w:sz w:val="18"/>
          <w:szCs w:val="18"/>
        </w:rPr>
        <w:t>ormularz cenowy</w:t>
      </w:r>
    </w:p>
    <w:p w14:paraId="3FEDA946" w14:textId="12BC74D6" w:rsidR="00ED3F67" w:rsidRPr="00B95E5D" w:rsidRDefault="00ED3F67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2A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75CEB">
        <w:rPr>
          <w:rFonts w:ascii="Tahoma" w:hAnsi="Tahoma" w:cs="Tahoma"/>
          <w:b/>
          <w:color w:val="0070C0"/>
          <w:sz w:val="18"/>
          <w:szCs w:val="18"/>
        </w:rPr>
        <w:t xml:space="preserve">- </w:t>
      </w:r>
      <w:r w:rsidR="00975CEB">
        <w:rPr>
          <w:rFonts w:ascii="Tahoma" w:hAnsi="Tahoma" w:cs="Tahoma"/>
          <w:sz w:val="18"/>
          <w:szCs w:val="18"/>
        </w:rPr>
        <w:t>Opis przedmiotu zamówienia</w:t>
      </w:r>
      <w:r w:rsidR="007D5AFB">
        <w:rPr>
          <w:rFonts w:ascii="Tahoma" w:hAnsi="Tahoma" w:cs="Tahoma"/>
          <w:sz w:val="18"/>
          <w:szCs w:val="18"/>
        </w:rPr>
        <w:t>,</w:t>
      </w:r>
    </w:p>
    <w:p w14:paraId="795CCCFE" w14:textId="0587C01F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3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364737F6" w14:textId="77777777" w:rsidR="006022EB" w:rsidRDefault="006022EB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 xml:space="preserve">odpis lub informacji z Krajowego Rejestru Sądowego, Centralnej Ewidencji  i Informacji o Działalności Gospodarczej lub innego właściwego rejestru. Wykonawca nie jest zobowiązany do złożenia tych </w:t>
      </w:r>
      <w:r w:rsidRPr="006022EB">
        <w:rPr>
          <w:rFonts w:ascii="Tahoma" w:hAnsi="Tahoma" w:cs="Tahoma"/>
          <w:sz w:val="18"/>
          <w:szCs w:val="18"/>
        </w:rPr>
        <w:lastRenderedPageBreak/>
        <w:t>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5F2662BB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1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1"/>
      <w:r w:rsidR="00975CEB"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4265A7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62F61F2F" w:rsidR="00DD5316" w:rsidRPr="008E54FD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22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8E54FD" w:rsidRPr="008E54FD">
        <w:rPr>
          <w:rFonts w:ascii="Tahoma" w:hAnsi="Tahoma" w:cs="Tahoma"/>
          <w:b/>
          <w:color w:val="0070C0"/>
          <w:sz w:val="18"/>
          <w:szCs w:val="18"/>
        </w:rPr>
        <w:t>18</w:t>
      </w:r>
      <w:r w:rsidR="006F76F9" w:rsidRPr="008E54FD">
        <w:rPr>
          <w:rFonts w:ascii="Tahoma" w:hAnsi="Tahoma" w:cs="Tahoma"/>
          <w:b/>
          <w:color w:val="0070C0"/>
          <w:sz w:val="18"/>
          <w:szCs w:val="18"/>
        </w:rPr>
        <w:t>.</w:t>
      </w:r>
      <w:r w:rsidR="008E54FD" w:rsidRPr="008E54FD">
        <w:rPr>
          <w:rFonts w:ascii="Tahoma" w:hAnsi="Tahoma" w:cs="Tahoma"/>
          <w:b/>
          <w:color w:val="0070C0"/>
          <w:sz w:val="18"/>
          <w:szCs w:val="18"/>
        </w:rPr>
        <w:t>10</w:t>
      </w:r>
      <w:r w:rsidR="00D055D7" w:rsidRPr="008E54FD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8E54FD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8E54FD">
        <w:rPr>
          <w:rFonts w:ascii="Tahoma" w:hAnsi="Tahoma" w:cs="Tahoma"/>
          <w:b/>
          <w:color w:val="0070C0"/>
          <w:sz w:val="18"/>
          <w:szCs w:val="18"/>
        </w:rPr>
        <w:t>2</w:t>
      </w:r>
      <w:r w:rsidR="00ED3F67" w:rsidRPr="008E54FD">
        <w:rPr>
          <w:rFonts w:ascii="Tahoma" w:hAnsi="Tahoma" w:cs="Tahoma"/>
          <w:b/>
          <w:color w:val="0070C0"/>
          <w:sz w:val="18"/>
          <w:szCs w:val="18"/>
        </w:rPr>
        <w:t>4</w:t>
      </w:r>
      <w:r w:rsidR="00DD3E0A" w:rsidRPr="008E54FD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8E54FD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8E54FD">
        <w:rPr>
          <w:rFonts w:ascii="Tahoma" w:hAnsi="Tahoma" w:cs="Tahoma"/>
          <w:b/>
          <w:color w:val="0070C0"/>
          <w:sz w:val="18"/>
          <w:szCs w:val="18"/>
        </w:rPr>
        <w:t>8</w:t>
      </w:r>
      <w:r w:rsidRPr="008E54FD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2"/>
      <w:r w:rsidR="00ED3C9E" w:rsidRPr="008E54FD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3456B05F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8E54FD" w:rsidRPr="008E54FD">
        <w:rPr>
          <w:rFonts w:ascii="Tahoma" w:hAnsi="Tahoma"/>
          <w:b/>
          <w:color w:val="0070C0"/>
          <w:sz w:val="18"/>
        </w:rPr>
        <w:t>18</w:t>
      </w:r>
      <w:r w:rsidR="006F76F9" w:rsidRPr="008E54FD">
        <w:rPr>
          <w:rFonts w:ascii="Tahoma" w:hAnsi="Tahoma"/>
          <w:b/>
          <w:color w:val="0070C0"/>
          <w:sz w:val="18"/>
        </w:rPr>
        <w:t>.</w:t>
      </w:r>
      <w:r w:rsidR="008E54FD" w:rsidRPr="008E54FD">
        <w:rPr>
          <w:rFonts w:ascii="Tahoma" w:hAnsi="Tahoma"/>
          <w:b/>
          <w:color w:val="0070C0"/>
          <w:sz w:val="18"/>
        </w:rPr>
        <w:t>10</w:t>
      </w:r>
      <w:r w:rsidR="00846F0E" w:rsidRPr="008E54FD">
        <w:rPr>
          <w:rFonts w:ascii="Tahoma" w:hAnsi="Tahoma"/>
          <w:b/>
          <w:color w:val="0070C0"/>
          <w:sz w:val="18"/>
        </w:rPr>
        <w:t>.20</w:t>
      </w:r>
      <w:r w:rsidR="006B2AC4" w:rsidRPr="008E54FD">
        <w:rPr>
          <w:rFonts w:ascii="Tahoma" w:hAnsi="Tahoma"/>
          <w:b/>
          <w:color w:val="0070C0"/>
          <w:sz w:val="18"/>
        </w:rPr>
        <w:t>2</w:t>
      </w:r>
      <w:r w:rsidR="00ED3F67" w:rsidRPr="008E54FD">
        <w:rPr>
          <w:rFonts w:ascii="Tahoma" w:hAnsi="Tahoma"/>
          <w:b/>
          <w:color w:val="0070C0"/>
          <w:sz w:val="18"/>
        </w:rPr>
        <w:t>4</w:t>
      </w:r>
      <w:r w:rsidR="00846F0E" w:rsidRPr="008E54FD">
        <w:rPr>
          <w:rFonts w:ascii="Tahoma" w:hAnsi="Tahoma"/>
          <w:b/>
          <w:color w:val="0070C0"/>
          <w:sz w:val="18"/>
        </w:rPr>
        <w:t>r. o godz.</w:t>
      </w:r>
      <w:r w:rsidR="006F76F9" w:rsidRPr="008E54FD">
        <w:rPr>
          <w:rFonts w:ascii="Tahoma" w:hAnsi="Tahoma"/>
          <w:b/>
          <w:color w:val="0070C0"/>
          <w:sz w:val="18"/>
        </w:rPr>
        <w:t xml:space="preserve"> 8</w:t>
      </w:r>
      <w:r w:rsidR="00846F0E" w:rsidRPr="008E54FD">
        <w:rPr>
          <w:rFonts w:ascii="Tahoma" w:hAnsi="Tahoma"/>
          <w:b/>
          <w:color w:val="0070C0"/>
          <w:sz w:val="18"/>
        </w:rPr>
        <w:t>:</w:t>
      </w:r>
      <w:r w:rsidR="006F76F9" w:rsidRPr="008E54FD">
        <w:rPr>
          <w:rFonts w:ascii="Tahoma" w:hAnsi="Tahoma"/>
          <w:b/>
          <w:color w:val="0070C0"/>
          <w:sz w:val="18"/>
        </w:rPr>
        <w:t>3</w:t>
      </w:r>
      <w:r w:rsidR="00846F0E" w:rsidRPr="008E54FD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1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2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5D1931">
        <w:rPr>
          <w:rFonts w:ascii="Tahoma" w:hAnsi="Tahoma" w:cs="Tahoma"/>
          <w:sz w:val="18"/>
          <w:szCs w:val="18"/>
        </w:rPr>
        <w:t>t.j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Dz. U. z 2022r., poz. 931 z </w:t>
      </w:r>
      <w:proofErr w:type="spellStart"/>
      <w:r w:rsidR="005D1931">
        <w:rPr>
          <w:rFonts w:ascii="Tahoma" w:hAnsi="Tahoma" w:cs="Tahoma"/>
          <w:sz w:val="18"/>
          <w:szCs w:val="18"/>
        </w:rPr>
        <w:t>późń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71D59A6" w14:textId="0FA61627" w:rsidR="004265A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FD4CD4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  <w:r w:rsidR="00177A18" w:rsidRPr="00177A18">
        <w:rPr>
          <w:rFonts w:ascii="Tahoma" w:hAnsi="Tahoma" w:cs="Tahoma"/>
          <w:b/>
          <w:bCs/>
          <w:sz w:val="18"/>
          <w:szCs w:val="18"/>
        </w:rPr>
        <w:t>najniższa cena</w:t>
      </w:r>
    </w:p>
    <w:p w14:paraId="791C0716" w14:textId="77777777" w:rsidR="00991741" w:rsidRPr="00FD4CD4" w:rsidRDefault="00991741" w:rsidP="00E8055D">
      <w:pPr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36E0BF5F" w14:textId="360A5ED5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</w:t>
      </w:r>
      <w:r w:rsidR="00CE502B">
        <w:rPr>
          <w:rFonts w:ascii="Tahoma" w:hAnsi="Tahoma" w:cs="Tahoma"/>
          <w:sz w:val="18"/>
          <w:szCs w:val="18"/>
        </w:rPr>
        <w:t>.</w:t>
      </w:r>
      <w:r w:rsidR="00486621"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>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 xml:space="preserve">. Wykonawca może złożyć ofertę dodatkową, która zawiera nowe propozycje w zakresie treści oferty podlegającej ocenie w ramach kryteriów oceny ofert wskazanych przez zamawiającego w zaproszeniu do </w:t>
      </w:r>
      <w:r>
        <w:rPr>
          <w:rFonts w:ascii="Tahoma" w:hAnsi="Tahoma" w:cs="Tahoma"/>
          <w:bCs/>
          <w:sz w:val="18"/>
          <w:szCs w:val="18"/>
        </w:rPr>
        <w:lastRenderedPageBreak/>
        <w:t>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3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2002B6CC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4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 xml:space="preserve">.3. Odwołanie powinno wskazywać czynności lub zaniechanie czynności Zamawiającego, której zarzuca się niezgodność z przepisami ustawy, zawierać zwięzłe przedstawienie zarzutów, określać żądanie oraz </w:t>
      </w:r>
      <w:r w:rsidR="00345729" w:rsidRPr="00263742">
        <w:rPr>
          <w:rFonts w:ascii="Tahoma" w:hAnsi="Tahoma" w:cs="Tahoma"/>
          <w:sz w:val="18"/>
          <w:szCs w:val="18"/>
        </w:rPr>
        <w:lastRenderedPageBreak/>
        <w:t>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4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3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5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177A18">
      <w:pPr>
        <w:pStyle w:val="Akapitzlist"/>
        <w:ind w:left="993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6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1958E7B" w14:textId="771EFD24" w:rsidR="00E944FF" w:rsidRPr="00177A18" w:rsidRDefault="0069736D" w:rsidP="00177A18">
      <w:pPr>
        <w:ind w:left="993"/>
        <w:jc w:val="both"/>
        <w:rPr>
          <w:rFonts w:ascii="Tahoma" w:hAnsi="Tahoma"/>
          <w:b/>
          <w:bCs/>
          <w:color w:val="0070C0"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177A18" w:rsidRPr="008B0EBA">
        <w:rPr>
          <w:rFonts w:ascii="Tahoma" w:hAnsi="Tahoma"/>
          <w:b/>
          <w:bCs/>
          <w:color w:val="0070C0"/>
          <w:sz w:val="18"/>
          <w:szCs w:val="18"/>
        </w:rPr>
        <w:t>Dostawa i instalacja laryngologicznego mikroskopu operacyjnego dla Wielospecjalistycznego Szpitala – Samodzielnego Publicznego Zespołu Opieki Zdrowotnej w Zgorzelcu</w:t>
      </w:r>
      <w:r w:rsidR="00E944FF">
        <w:rPr>
          <w:rFonts w:ascii="Tahoma" w:hAnsi="Tahoma" w:cs="Tahoma"/>
          <w:b/>
          <w:color w:val="0070C0"/>
          <w:sz w:val="18"/>
          <w:szCs w:val="18"/>
        </w:rPr>
        <w:t>”.</w:t>
      </w:r>
    </w:p>
    <w:p w14:paraId="225AD33C" w14:textId="6B1BF0B8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</w:t>
      </w:r>
      <w:r w:rsidRPr="00570484">
        <w:rPr>
          <w:rFonts w:ascii="Tahoma" w:hAnsi="Tahoma" w:cs="Tahoma"/>
          <w:sz w:val="18"/>
          <w:szCs w:val="18"/>
        </w:rPr>
        <w:t>publicznych (</w:t>
      </w:r>
      <w:r w:rsidR="00570484" w:rsidRPr="00570484">
        <w:rPr>
          <w:rFonts w:ascii="Tahoma" w:hAnsi="Tahoma" w:cs="Tahoma"/>
          <w:sz w:val="18"/>
          <w:szCs w:val="18"/>
        </w:rPr>
        <w:t xml:space="preserve">Dz. U. z 2024r., poz. 1320 </w:t>
      </w:r>
      <w:proofErr w:type="spellStart"/>
      <w:r w:rsidR="00570484" w:rsidRPr="00570484">
        <w:rPr>
          <w:rFonts w:ascii="Tahoma" w:hAnsi="Tahoma" w:cs="Tahoma"/>
          <w:sz w:val="18"/>
          <w:szCs w:val="18"/>
        </w:rPr>
        <w:t>t.j</w:t>
      </w:r>
      <w:proofErr w:type="spellEnd"/>
      <w:r w:rsidR="00570484" w:rsidRPr="00570484">
        <w:rPr>
          <w:rFonts w:ascii="Tahoma" w:hAnsi="Tahoma" w:cs="Tahoma"/>
          <w:sz w:val="18"/>
          <w:szCs w:val="18"/>
        </w:rPr>
        <w:t>.</w:t>
      </w:r>
      <w:r w:rsidRPr="00570484">
        <w:rPr>
          <w:rFonts w:ascii="Tahoma" w:hAnsi="Tahoma" w:cs="Tahoma"/>
          <w:sz w:val="18"/>
          <w:szCs w:val="18"/>
        </w:rPr>
        <w:t>),</w:t>
      </w:r>
      <w:r w:rsidRPr="00DD5316">
        <w:rPr>
          <w:rFonts w:ascii="Tahoma" w:hAnsi="Tahoma" w:cs="Tahoma"/>
          <w:sz w:val="18"/>
          <w:szCs w:val="18"/>
        </w:rPr>
        <w:t xml:space="preserve">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3"/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745A8C44" w:rsidR="002B6039" w:rsidRDefault="008F27D0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A7392C">
        <w:rPr>
          <w:rFonts w:ascii="Tahoma" w:hAnsi="Tahoma" w:cs="Tahoma"/>
          <w:b/>
          <w:color w:val="066B33"/>
          <w:sz w:val="18"/>
          <w:szCs w:val="18"/>
        </w:rPr>
        <w:t xml:space="preserve">Katarzyna Jagiełło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A7392C">
        <w:rPr>
          <w:rFonts w:ascii="Tahoma" w:hAnsi="Tahoma" w:cs="Tahoma"/>
          <w:b/>
          <w:sz w:val="18"/>
          <w:szCs w:val="18"/>
        </w:rPr>
        <w:t xml:space="preserve">Specjalista </w:t>
      </w:r>
      <w:r w:rsidR="00E944FF">
        <w:rPr>
          <w:rFonts w:ascii="Tahoma" w:hAnsi="Tahoma" w:cs="Tahoma"/>
          <w:b/>
          <w:sz w:val="18"/>
          <w:szCs w:val="18"/>
        </w:rPr>
        <w:t>Działu Zamówień Publicznych</w:t>
      </w:r>
      <w:r>
        <w:rPr>
          <w:rFonts w:ascii="Tahoma" w:hAnsi="Tahoma" w:cs="Tahoma"/>
          <w:b/>
          <w:sz w:val="18"/>
          <w:szCs w:val="18"/>
        </w:rPr>
        <w:t xml:space="preserve">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</w:t>
      </w:r>
      <w:r w:rsidR="00A7392C">
        <w:rPr>
          <w:rFonts w:ascii="Tahoma" w:hAnsi="Tahoma" w:cs="Tahoma"/>
          <w:b/>
          <w:sz w:val="18"/>
          <w:szCs w:val="18"/>
        </w:rPr>
        <w:t>858</w:t>
      </w:r>
      <w:r w:rsidR="005E76D7">
        <w:rPr>
          <w:rFonts w:ascii="Tahoma" w:hAnsi="Tahoma" w:cs="Tahoma"/>
          <w:b/>
          <w:sz w:val="18"/>
          <w:szCs w:val="18"/>
        </w:rPr>
        <w:t>.</w:t>
      </w:r>
    </w:p>
    <w:sectPr w:rsidR="002B6039" w:rsidSect="008A62D3">
      <w:headerReference w:type="default" r:id="rId37"/>
      <w:footerReference w:type="even" r:id="rId38"/>
      <w:footerReference w:type="default" r:id="rId39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52D" w14:textId="4FE9A466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856982">
      <w:rPr>
        <w:rFonts w:ascii="Tahoma" w:hAnsi="Tahoma" w:cs="Tahoma"/>
        <w:sz w:val="18"/>
        <w:szCs w:val="18"/>
      </w:rPr>
      <w:t>42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A26390">
      <w:rPr>
        <w:rFonts w:ascii="Tahoma" w:hAnsi="Tahoma" w:cs="Tahoma"/>
        <w:sz w:val="18"/>
        <w:szCs w:val="18"/>
      </w:rPr>
      <w:t>4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CF6DBF"/>
    <w:multiLevelType w:val="multilevel"/>
    <w:tmpl w:val="E8D00154"/>
    <w:lvl w:ilvl="0">
      <w:start w:val="4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14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9CE72CE"/>
    <w:multiLevelType w:val="multilevel"/>
    <w:tmpl w:val="519E79DC"/>
    <w:lvl w:ilvl="0">
      <w:start w:val="5"/>
      <w:numFmt w:val="decimal"/>
      <w:lvlText w:val="%1."/>
      <w:lvlJc w:val="left"/>
      <w:pPr>
        <w:ind w:left="540" w:hanging="540"/>
      </w:pPr>
      <w:rPr>
        <w:strike w:val="0"/>
        <w:dstrike w:val="0"/>
        <w:color w:val="C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color w:val="C0000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strike w:val="0"/>
        <w:dstrike w:val="0"/>
        <w:color w:val="C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strike w:val="0"/>
        <w:dstrike w:val="0"/>
        <w:color w:val="C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strike w:val="0"/>
        <w:dstrike w:val="0"/>
        <w:color w:val="C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strike w:val="0"/>
        <w:dstrike w:val="0"/>
        <w:color w:val="C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strike w:val="0"/>
        <w:dstrike w:val="0"/>
        <w:color w:val="C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strike w:val="0"/>
        <w:dstrike w:val="0"/>
        <w:color w:val="C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strike w:val="0"/>
        <w:dstrike w:val="0"/>
        <w:color w:val="C00000"/>
        <w:u w:val="none"/>
        <w:effect w:val="none"/>
      </w:rPr>
    </w:lvl>
  </w:abstractNum>
  <w:abstractNum w:abstractNumId="25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6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81A04CF"/>
    <w:multiLevelType w:val="multilevel"/>
    <w:tmpl w:val="4F4ED7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8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0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5"/>
  </w:num>
  <w:num w:numId="2" w16cid:durableId="1212889822">
    <w:abstractNumId w:val="23"/>
  </w:num>
  <w:num w:numId="3" w16cid:durableId="522940361">
    <w:abstractNumId w:val="5"/>
  </w:num>
  <w:num w:numId="4" w16cid:durableId="879054143">
    <w:abstractNumId w:val="21"/>
  </w:num>
  <w:num w:numId="5" w16cid:durableId="719325623">
    <w:abstractNumId w:val="28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5"/>
  </w:num>
  <w:num w:numId="9" w16cid:durableId="1094320918">
    <w:abstractNumId w:val="19"/>
  </w:num>
  <w:num w:numId="10" w16cid:durableId="732775236">
    <w:abstractNumId w:val="3"/>
  </w:num>
  <w:num w:numId="11" w16cid:durableId="1377199234">
    <w:abstractNumId w:val="25"/>
  </w:num>
  <w:num w:numId="12" w16cid:durableId="1903321151">
    <w:abstractNumId w:val="2"/>
  </w:num>
  <w:num w:numId="13" w16cid:durableId="1922181156">
    <w:abstractNumId w:val="31"/>
  </w:num>
  <w:num w:numId="14" w16cid:durableId="495220510">
    <w:abstractNumId w:val="17"/>
  </w:num>
  <w:num w:numId="15" w16cid:durableId="997805310">
    <w:abstractNumId w:val="11"/>
  </w:num>
  <w:num w:numId="16" w16cid:durableId="1827358320">
    <w:abstractNumId w:val="34"/>
  </w:num>
  <w:num w:numId="17" w16cid:durableId="2075464663">
    <w:abstractNumId w:val="18"/>
  </w:num>
  <w:num w:numId="18" w16cid:durableId="319501050">
    <w:abstractNumId w:val="20"/>
  </w:num>
  <w:num w:numId="19" w16cid:durableId="810443520">
    <w:abstractNumId w:val="26"/>
  </w:num>
  <w:num w:numId="20" w16cid:durableId="2030908551">
    <w:abstractNumId w:val="16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4"/>
  </w:num>
  <w:num w:numId="25" w16cid:durableId="1113357189">
    <w:abstractNumId w:val="29"/>
  </w:num>
  <w:num w:numId="26" w16cid:durableId="1750543092">
    <w:abstractNumId w:val="10"/>
  </w:num>
  <w:num w:numId="27" w16cid:durableId="854223121">
    <w:abstractNumId w:val="33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2"/>
  </w:num>
  <w:num w:numId="30" w16cid:durableId="728723563">
    <w:abstractNumId w:val="32"/>
  </w:num>
  <w:num w:numId="31" w16cid:durableId="512114407">
    <w:abstractNumId w:val="27"/>
  </w:num>
  <w:num w:numId="32" w16cid:durableId="1665402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6372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95253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04769">
    <w:abstractNumId w:val="2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5372803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1937206">
    <w:abstractNumId w:val="2"/>
  </w:num>
  <w:num w:numId="41" w16cid:durableId="52580667">
    <w:abstractNumId w:val="31"/>
  </w:num>
  <w:num w:numId="42" w16cid:durableId="1808425179">
    <w:abstractNumId w:val="20"/>
  </w:num>
  <w:num w:numId="43" w16cid:durableId="1243566916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778103">
    <w:abstractNumId w:val="11"/>
  </w:num>
  <w:num w:numId="45" w16cid:durableId="529227029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347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17F2B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483"/>
    <w:rsid w:val="00050F74"/>
    <w:rsid w:val="0005256C"/>
    <w:rsid w:val="00053404"/>
    <w:rsid w:val="00054CED"/>
    <w:rsid w:val="00054D98"/>
    <w:rsid w:val="00055DC3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560B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5531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63"/>
    <w:rsid w:val="00174D8E"/>
    <w:rsid w:val="00174F12"/>
    <w:rsid w:val="00175639"/>
    <w:rsid w:val="00176388"/>
    <w:rsid w:val="0017711C"/>
    <w:rsid w:val="00177A18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47F6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3BBC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6E4F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1EA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2BE8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2DE4"/>
    <w:rsid w:val="002E404B"/>
    <w:rsid w:val="002E6850"/>
    <w:rsid w:val="002F0D24"/>
    <w:rsid w:val="002F3357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905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161E"/>
    <w:rsid w:val="00352811"/>
    <w:rsid w:val="00352D00"/>
    <w:rsid w:val="0035491B"/>
    <w:rsid w:val="0035515C"/>
    <w:rsid w:val="00356486"/>
    <w:rsid w:val="00356D3C"/>
    <w:rsid w:val="00357497"/>
    <w:rsid w:val="0036063F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5936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3FD1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C7D90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7E43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265A7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369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2520"/>
    <w:rsid w:val="004861DB"/>
    <w:rsid w:val="00486548"/>
    <w:rsid w:val="0048658B"/>
    <w:rsid w:val="00486621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308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0B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4EA0"/>
    <w:rsid w:val="0056618E"/>
    <w:rsid w:val="005676C4"/>
    <w:rsid w:val="0056772D"/>
    <w:rsid w:val="0057015C"/>
    <w:rsid w:val="005701DE"/>
    <w:rsid w:val="00570484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7F4"/>
    <w:rsid w:val="00596CDE"/>
    <w:rsid w:val="00597055"/>
    <w:rsid w:val="00597183"/>
    <w:rsid w:val="00597FB2"/>
    <w:rsid w:val="005A0B18"/>
    <w:rsid w:val="005A1C1C"/>
    <w:rsid w:val="005A33AF"/>
    <w:rsid w:val="005A3D7A"/>
    <w:rsid w:val="005A3FD2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23A"/>
    <w:rsid w:val="005B75D1"/>
    <w:rsid w:val="005C2FCC"/>
    <w:rsid w:val="005C56DE"/>
    <w:rsid w:val="005C5C9D"/>
    <w:rsid w:val="005C67CD"/>
    <w:rsid w:val="005D07B0"/>
    <w:rsid w:val="005D16A3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0D6F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5A5B"/>
    <w:rsid w:val="00626018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57F2D"/>
    <w:rsid w:val="0066050F"/>
    <w:rsid w:val="006618EB"/>
    <w:rsid w:val="00661B20"/>
    <w:rsid w:val="00662150"/>
    <w:rsid w:val="006628A2"/>
    <w:rsid w:val="00663A5D"/>
    <w:rsid w:val="00664A5F"/>
    <w:rsid w:val="0066566A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5FFD"/>
    <w:rsid w:val="006A6D7E"/>
    <w:rsid w:val="006A7329"/>
    <w:rsid w:val="006A741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6F7ABA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3942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5AFB"/>
    <w:rsid w:val="007D7DF9"/>
    <w:rsid w:val="007E020F"/>
    <w:rsid w:val="007E3E07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5C9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5E9C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56982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5D5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0EBA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4FD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4E51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0774B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635F"/>
    <w:rsid w:val="0092778D"/>
    <w:rsid w:val="00930A0B"/>
    <w:rsid w:val="00930F34"/>
    <w:rsid w:val="009310FE"/>
    <w:rsid w:val="00931C27"/>
    <w:rsid w:val="00935413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0E55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CEB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1741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BFF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4FD"/>
    <w:rsid w:val="009E5E62"/>
    <w:rsid w:val="009E7A4C"/>
    <w:rsid w:val="009F029D"/>
    <w:rsid w:val="009F1138"/>
    <w:rsid w:val="009F1385"/>
    <w:rsid w:val="009F13EA"/>
    <w:rsid w:val="009F1C71"/>
    <w:rsid w:val="009F3EA5"/>
    <w:rsid w:val="009F4007"/>
    <w:rsid w:val="009F5098"/>
    <w:rsid w:val="009F6463"/>
    <w:rsid w:val="009F7454"/>
    <w:rsid w:val="009F7B8F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390"/>
    <w:rsid w:val="00A26913"/>
    <w:rsid w:val="00A302F4"/>
    <w:rsid w:val="00A30348"/>
    <w:rsid w:val="00A3108A"/>
    <w:rsid w:val="00A34694"/>
    <w:rsid w:val="00A34C1E"/>
    <w:rsid w:val="00A3542D"/>
    <w:rsid w:val="00A356F5"/>
    <w:rsid w:val="00A35C8A"/>
    <w:rsid w:val="00A371C8"/>
    <w:rsid w:val="00A3795F"/>
    <w:rsid w:val="00A402C9"/>
    <w:rsid w:val="00A428EA"/>
    <w:rsid w:val="00A4386B"/>
    <w:rsid w:val="00A43972"/>
    <w:rsid w:val="00A439D1"/>
    <w:rsid w:val="00A44747"/>
    <w:rsid w:val="00A44DF3"/>
    <w:rsid w:val="00A462F7"/>
    <w:rsid w:val="00A467A6"/>
    <w:rsid w:val="00A46AEE"/>
    <w:rsid w:val="00A47256"/>
    <w:rsid w:val="00A50CFE"/>
    <w:rsid w:val="00A50EC2"/>
    <w:rsid w:val="00A520BF"/>
    <w:rsid w:val="00A52115"/>
    <w:rsid w:val="00A52511"/>
    <w:rsid w:val="00A52612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392C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3558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2CB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222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39B1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3E"/>
    <w:rsid w:val="00BA6058"/>
    <w:rsid w:val="00BA638E"/>
    <w:rsid w:val="00BA66E8"/>
    <w:rsid w:val="00BB0BF0"/>
    <w:rsid w:val="00BB0D17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0D82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5E1B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0848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62EE"/>
    <w:rsid w:val="00CD7ADD"/>
    <w:rsid w:val="00CD7AE4"/>
    <w:rsid w:val="00CE02F4"/>
    <w:rsid w:val="00CE133F"/>
    <w:rsid w:val="00CE3551"/>
    <w:rsid w:val="00CE502B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07D37"/>
    <w:rsid w:val="00D10AB6"/>
    <w:rsid w:val="00D1205F"/>
    <w:rsid w:val="00D1251C"/>
    <w:rsid w:val="00D12568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35E5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591B"/>
    <w:rsid w:val="00D975F8"/>
    <w:rsid w:val="00D976B9"/>
    <w:rsid w:val="00DA0874"/>
    <w:rsid w:val="00DA1002"/>
    <w:rsid w:val="00DA66F4"/>
    <w:rsid w:val="00DA798B"/>
    <w:rsid w:val="00DA7CDC"/>
    <w:rsid w:val="00DB030F"/>
    <w:rsid w:val="00DB0612"/>
    <w:rsid w:val="00DB0C4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33C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1132"/>
    <w:rsid w:val="00DD2747"/>
    <w:rsid w:val="00DD2A9E"/>
    <w:rsid w:val="00DD31CC"/>
    <w:rsid w:val="00DD3E0A"/>
    <w:rsid w:val="00DD5316"/>
    <w:rsid w:val="00DD7C1A"/>
    <w:rsid w:val="00DE0354"/>
    <w:rsid w:val="00DE2034"/>
    <w:rsid w:val="00DE2E82"/>
    <w:rsid w:val="00DE408B"/>
    <w:rsid w:val="00DE609A"/>
    <w:rsid w:val="00DE682E"/>
    <w:rsid w:val="00DE6CB5"/>
    <w:rsid w:val="00DF35E0"/>
    <w:rsid w:val="00DF4048"/>
    <w:rsid w:val="00DF46EF"/>
    <w:rsid w:val="00DF50CE"/>
    <w:rsid w:val="00DF581F"/>
    <w:rsid w:val="00DF5A5C"/>
    <w:rsid w:val="00DF6EA2"/>
    <w:rsid w:val="00DF7F83"/>
    <w:rsid w:val="00E006EF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5DA4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CDA"/>
    <w:rsid w:val="00E70E47"/>
    <w:rsid w:val="00E73F45"/>
    <w:rsid w:val="00E74BF5"/>
    <w:rsid w:val="00E74F66"/>
    <w:rsid w:val="00E755EA"/>
    <w:rsid w:val="00E75A2D"/>
    <w:rsid w:val="00E800AC"/>
    <w:rsid w:val="00E802FF"/>
    <w:rsid w:val="00E8055D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44FF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3F67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49FF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2A12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5652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CD4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paragraph" w:customStyle="1" w:styleId="Tekstpodstawowy32">
    <w:name w:val="Tekst podstawowy 32"/>
    <w:basedOn w:val="Normalny"/>
    <w:rsid w:val="00723942"/>
    <w:pPr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.publ@spzoz.zgorzelec.pl" TargetMode="External"/><Relationship Id="rId18" Type="http://schemas.openxmlformats.org/officeDocument/2006/relationships/hyperlink" Target="mailto:zam.publ@spzoz.zgorzelec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platformazakupowa.pl" TargetMode="External"/><Relationship Id="rId34" Type="http://schemas.openxmlformats.org/officeDocument/2006/relationships/hyperlink" Target="https://platformazakupowa.pl/pn/spzoz_zgorzele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_zgorzelec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94524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pojazdy-paramedyczne-3330" TargetMode="External"/><Relationship Id="rId23" Type="http://schemas.openxmlformats.org/officeDocument/2006/relationships/hyperlink" Target="https://docs.google.com/document/d/1kdC7je8RNO5FSk_N0NY7nv1Xj1WYJza-CmXvYH8evhk/edit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hyperlink" Target="mailto:iod@spzoz.zgorzlec.pl" TargetMode="Externa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http://www.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yperlink" Target="mailto:zam.publ@spzoz.zgorzelec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spzoz.zgorzelec.pl" TargetMode="External"/><Relationship Id="rId17" Type="http://schemas.openxmlformats.org/officeDocument/2006/relationships/hyperlink" Target="mailto:zam.publ@spzoz.zgorzelec.pl" TargetMode="External"/><Relationship Id="rId25" Type="http://schemas.openxmlformats.org/officeDocument/2006/relationships/hyperlink" Target="http://www.platformazakupowa.pl" TargetMode="External"/><Relationship Id="rId33" Type="http://schemas.openxmlformats.org/officeDocument/2006/relationships/hyperlink" Target="https://platformazakupowa.pl/pn/spzoz_zgorzelec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17</Pages>
  <Words>9636</Words>
  <Characters>57818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67320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121</cp:revision>
  <cp:lastPrinted>2024-10-08T09:32:00Z</cp:lastPrinted>
  <dcterms:created xsi:type="dcterms:W3CDTF">2021-01-04T07:41:00Z</dcterms:created>
  <dcterms:modified xsi:type="dcterms:W3CDTF">2024-10-08T10:57:00Z</dcterms:modified>
</cp:coreProperties>
</file>