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512EBC">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w:t>
      </w:r>
      <w:bookmarkStart w:id="0" w:name="_GoBack"/>
      <w:bookmarkEnd w:id="0"/>
      <w:r w:rsidRPr="00560CDC">
        <w:rPr>
          <w:rFonts w:eastAsia="Arial Unicode MS"/>
          <w:color w:val="000000"/>
          <w:sz w:val="24"/>
          <w:szCs w:val="24"/>
          <w:u w:color="000000"/>
          <w:lang w:eastAsia="pl-PL"/>
        </w:rPr>
        <w:t xml:space="preserve">ublicznego </w:t>
      </w:r>
    </w:p>
    <w:p w14:paraId="242C2C91" w14:textId="5B936A01"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097604">
        <w:rPr>
          <w:rFonts w:eastAsia="Arial Unicode MS"/>
          <w:color w:val="000000"/>
          <w:sz w:val="24"/>
          <w:szCs w:val="24"/>
          <w:u w:color="000000"/>
          <w:lang w:eastAsia="pl-PL"/>
        </w:rPr>
        <w:t>roboty budowlane</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4F138522" w14:textId="534BF484" w:rsidR="00A3475F" w:rsidRDefault="00A3475F" w:rsidP="00A3475F">
      <w:pPr>
        <w:tabs>
          <w:tab w:val="left" w:pos="426"/>
        </w:tabs>
        <w:spacing w:before="240" w:after="240" w:line="360" w:lineRule="auto"/>
        <w:jc w:val="center"/>
        <w:rPr>
          <w:rFonts w:eastAsiaTheme="majorEastAsia" w:cstheme="majorBidi"/>
          <w:b/>
          <w:sz w:val="24"/>
          <w:szCs w:val="24"/>
        </w:rPr>
      </w:pPr>
      <w:r w:rsidRPr="00A3475F">
        <w:rPr>
          <w:rFonts w:eastAsiaTheme="majorEastAsia" w:cstheme="majorBidi"/>
          <w:b/>
          <w:sz w:val="24"/>
          <w:szCs w:val="24"/>
        </w:rPr>
        <w:t>Remont drogi gminnej Nr 110405 E – na odcinku Kłudzice – Łęczno</w:t>
      </w:r>
    </w:p>
    <w:p w14:paraId="7F948EBE" w14:textId="3AE7379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64B24246"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.ZP.271</w:t>
      </w:r>
      <w:r w:rsidR="00CB22AF" w:rsidRPr="00560CDC">
        <w:rPr>
          <w:rFonts w:eastAsia="Times New Roman"/>
          <w:color w:val="000000"/>
          <w:sz w:val="24"/>
          <w:szCs w:val="24"/>
          <w:u w:color="000000"/>
          <w:lang w:eastAsia="pl-PL"/>
        </w:rPr>
        <w:t>.</w:t>
      </w:r>
      <w:r w:rsidR="00956BA1">
        <w:rPr>
          <w:rFonts w:eastAsia="Times New Roman"/>
          <w:color w:val="000000"/>
          <w:sz w:val="24"/>
          <w:szCs w:val="24"/>
          <w:u w:color="000000"/>
          <w:lang w:eastAsia="pl-PL"/>
        </w:rPr>
        <w:t>2</w:t>
      </w:r>
      <w:r w:rsidR="00A3475F">
        <w:rPr>
          <w:rFonts w:eastAsia="Times New Roman"/>
          <w:color w:val="000000"/>
          <w:sz w:val="24"/>
          <w:szCs w:val="24"/>
          <w:u w:color="000000"/>
          <w:lang w:eastAsia="pl-PL"/>
        </w:rPr>
        <w:t>2</w:t>
      </w:r>
      <w:r w:rsidR="00223059" w:rsidRPr="00560CDC">
        <w:rPr>
          <w:rFonts w:eastAsia="Times New Roman"/>
          <w:color w:val="000000"/>
          <w:sz w:val="24"/>
          <w:szCs w:val="24"/>
          <w:u w:color="000000"/>
          <w:lang w:eastAsia="pl-PL"/>
        </w:rPr>
        <w:t>.2022</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7E031329" w14:textId="239BA06B" w:rsidR="00206906" w:rsidRPr="00560CDC" w:rsidRDefault="000A331E" w:rsidP="00AF2F50">
      <w:pPr>
        <w:tabs>
          <w:tab w:val="left" w:pos="426"/>
        </w:tabs>
        <w:spacing w:after="1200" w:line="360" w:lineRule="auto"/>
        <w:ind w:firstLine="6521"/>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Burmistrz Sulejowa</w:t>
      </w:r>
    </w:p>
    <w:p w14:paraId="7A08C3B8" w14:textId="77777777" w:rsidR="00294B86" w:rsidRPr="00560CDC"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6A00EEF1" w14:textId="76FEC33F" w:rsidR="001D133A" w:rsidRPr="00560CDC" w:rsidRDefault="000A331E" w:rsidP="00AF2F50">
      <w:pPr>
        <w:tabs>
          <w:tab w:val="left" w:pos="426"/>
        </w:tabs>
        <w:spacing w:after="1200" w:line="360" w:lineRule="auto"/>
        <w:ind w:firstLine="6521"/>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Wojciech Ostrowski</w:t>
      </w:r>
    </w:p>
    <w:p w14:paraId="040541DA" w14:textId="77777777" w:rsidR="00E30396" w:rsidRPr="00560CDC"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02DED68C" w14:textId="53DDA236"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560CDC">
        <w:rPr>
          <w:rFonts w:eastAsia="Arial Unicode MS"/>
          <w:sz w:val="24"/>
          <w:szCs w:val="24"/>
          <w:u w:color="000000"/>
          <w:lang w:eastAsia="pl-PL"/>
        </w:rPr>
        <w:t>Sulejów</w:t>
      </w:r>
      <w:r w:rsidR="00560CDC" w:rsidRPr="00560CDC">
        <w:rPr>
          <w:rFonts w:eastAsia="Arial Unicode MS"/>
          <w:sz w:val="24"/>
          <w:szCs w:val="24"/>
          <w:u w:color="000000"/>
          <w:lang w:eastAsia="pl-PL"/>
        </w:rPr>
        <w:t xml:space="preserve">, </w:t>
      </w:r>
      <w:r w:rsidR="00A3475F">
        <w:rPr>
          <w:rFonts w:eastAsia="Arial Unicode MS"/>
          <w:sz w:val="24"/>
          <w:szCs w:val="24"/>
          <w:u w:color="000000"/>
          <w:lang w:eastAsia="pl-PL"/>
        </w:rPr>
        <w:t>23</w:t>
      </w:r>
      <w:r w:rsidR="00956BA1">
        <w:rPr>
          <w:rFonts w:eastAsia="Arial Unicode MS"/>
          <w:sz w:val="24"/>
          <w:szCs w:val="24"/>
          <w:u w:color="000000"/>
          <w:lang w:eastAsia="pl-PL"/>
        </w:rPr>
        <w:t>.09</w:t>
      </w:r>
      <w:r w:rsidR="00206906" w:rsidRPr="00560CDC">
        <w:rPr>
          <w:rFonts w:eastAsia="Arial Unicode MS"/>
          <w:sz w:val="24"/>
          <w:szCs w:val="24"/>
          <w:u w:color="000000"/>
          <w:lang w:eastAsia="pl-PL"/>
        </w:rPr>
        <w:t>.</w:t>
      </w:r>
      <w:r w:rsidR="00223059" w:rsidRPr="00560CDC">
        <w:rPr>
          <w:rFonts w:eastAsia="Arial Unicode MS"/>
          <w:sz w:val="24"/>
          <w:szCs w:val="24"/>
          <w:u w:color="000000"/>
          <w:lang w:eastAsia="pl-PL"/>
        </w:rPr>
        <w:t>2022</w:t>
      </w:r>
      <w:r w:rsidR="001D241E" w:rsidRPr="00560CDC">
        <w:rPr>
          <w:rFonts w:eastAsia="Arial Unicode MS"/>
          <w:sz w:val="24"/>
          <w:szCs w:val="24"/>
          <w:u w:color="000000"/>
          <w:lang w:eastAsia="pl-PL"/>
        </w:rPr>
        <w:t xml:space="preserve"> </w:t>
      </w:r>
      <w:proofErr w:type="gramStart"/>
      <w:r w:rsidR="001D241E" w:rsidRPr="00560CDC">
        <w:rPr>
          <w:rFonts w:eastAsia="Arial Unicode MS"/>
          <w:sz w:val="24"/>
          <w:szCs w:val="24"/>
          <w:u w:color="000000"/>
          <w:lang w:eastAsia="pl-PL"/>
        </w:rPr>
        <w:t>r</w:t>
      </w:r>
      <w:proofErr w:type="gramEnd"/>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34BBAA74" w:rsidR="00371045" w:rsidRPr="00B63629" w:rsidRDefault="00B05AD1"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B63629">
          <w:rPr>
            <w:rStyle w:val="Hipercze"/>
            <w:rFonts w:eastAsia="Times New Roman"/>
            <w:sz w:val="24"/>
            <w:szCs w:val="24"/>
          </w:rPr>
          <w:t>Adres strony internetowej prowadzonego postępowania</w:t>
        </w:r>
      </w:hyperlink>
      <w:r w:rsidR="001D241E" w:rsidRPr="00B63629">
        <w:rPr>
          <w:rStyle w:val="Hipercze"/>
          <w:rFonts w:eastAsia="Times New Roman"/>
          <w:sz w:val="24"/>
          <w:szCs w:val="24"/>
        </w:rPr>
        <w:t>:</w:t>
      </w:r>
      <w:r w:rsidR="001D241E" w:rsidRPr="00B63629">
        <w:rPr>
          <w:rFonts w:eastAsia="Times New Roman"/>
          <w:sz w:val="24"/>
          <w:szCs w:val="24"/>
          <w:lang w:eastAsia="pl-PL"/>
        </w:rPr>
        <w:t xml:space="preserve"> </w:t>
      </w:r>
      <w:r w:rsidR="00B63629" w:rsidRPr="00B63629">
        <w:rPr>
          <w:rFonts w:eastAsia="Arial Unicode MS"/>
          <w:b/>
          <w:color w:val="000000"/>
          <w:sz w:val="24"/>
          <w:szCs w:val="24"/>
          <w:u w:color="000000"/>
          <w:lang w:eastAsia="pl-PL"/>
        </w:rPr>
        <w:t>https</w:t>
      </w:r>
      <w:proofErr w:type="gramStart"/>
      <w:r w:rsidR="00B63629" w:rsidRPr="00B63629">
        <w:rPr>
          <w:rFonts w:eastAsia="Arial Unicode MS"/>
          <w:b/>
          <w:color w:val="000000"/>
          <w:sz w:val="24"/>
          <w:szCs w:val="24"/>
          <w:u w:color="000000"/>
          <w:lang w:eastAsia="pl-PL"/>
        </w:rPr>
        <w:t>://platformazakupowa</w:t>
      </w:r>
      <w:proofErr w:type="gramEnd"/>
      <w:r w:rsidR="00B63629" w:rsidRPr="00B63629">
        <w:rPr>
          <w:rFonts w:eastAsia="Arial Unicode MS"/>
          <w:b/>
          <w:color w:val="000000"/>
          <w:sz w:val="24"/>
          <w:szCs w:val="24"/>
          <w:u w:color="000000"/>
          <w:lang w:eastAsia="pl-PL"/>
        </w:rPr>
        <w:t>.</w:t>
      </w:r>
      <w:proofErr w:type="gramStart"/>
      <w:r w:rsidR="00B63629" w:rsidRPr="00B63629">
        <w:rPr>
          <w:rFonts w:eastAsia="Arial Unicode MS"/>
          <w:b/>
          <w:color w:val="000000"/>
          <w:sz w:val="24"/>
          <w:szCs w:val="24"/>
          <w:u w:color="000000"/>
          <w:lang w:eastAsia="pl-PL"/>
        </w:rPr>
        <w:t>pl</w:t>
      </w:r>
      <w:proofErr w:type="gramEnd"/>
      <w:r w:rsidR="00B63629" w:rsidRPr="00B63629">
        <w:rPr>
          <w:rFonts w:eastAsia="Arial Unicode MS"/>
          <w:b/>
          <w:color w:val="000000"/>
          <w:sz w:val="24"/>
          <w:szCs w:val="24"/>
          <w:u w:color="000000"/>
          <w:lang w:eastAsia="pl-PL"/>
        </w:rPr>
        <w:t xml:space="preserve">/transakcja/667461 </w:t>
      </w:r>
      <w:r w:rsidR="00A51C2B" w:rsidRPr="00B63629">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3B4A1699" w:rsidR="001D241E" w:rsidRPr="00560CDC" w:rsidRDefault="00B63629"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B63629">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B63629">
          <w:rPr>
            <w:rStyle w:val="Hipercze"/>
            <w:rFonts w:eastAsia="Times New Roman"/>
            <w:sz w:val="24"/>
            <w:szCs w:val="24"/>
          </w:rPr>
          <w:t>:</w:t>
        </w:r>
      </w:hyperlink>
      <w:r w:rsidR="001D241E" w:rsidRPr="00B63629">
        <w:rPr>
          <w:rFonts w:eastAsia="Times New Roman"/>
          <w:sz w:val="24"/>
          <w:szCs w:val="24"/>
        </w:rPr>
        <w:t xml:space="preserve"> </w:t>
      </w:r>
      <w:r w:rsidRPr="00B63629">
        <w:rPr>
          <w:rFonts w:eastAsia="Arial Unicode MS"/>
          <w:b/>
          <w:color w:val="000000"/>
          <w:sz w:val="24"/>
          <w:szCs w:val="24"/>
          <w:u w:color="000000"/>
        </w:rPr>
        <w:t>https</w:t>
      </w:r>
      <w:proofErr w:type="gramEnd"/>
      <w:r w:rsidRPr="00B63629">
        <w:rPr>
          <w:rFonts w:eastAsia="Arial Unicode MS"/>
          <w:b/>
          <w:color w:val="000000"/>
          <w:sz w:val="24"/>
          <w:szCs w:val="24"/>
          <w:u w:color="000000"/>
        </w:rPr>
        <w:t>://platformazakupowa.</w:t>
      </w:r>
      <w:proofErr w:type="gramStart"/>
      <w:r w:rsidRPr="00B63629">
        <w:rPr>
          <w:rFonts w:eastAsia="Arial Unicode MS"/>
          <w:b/>
          <w:color w:val="000000"/>
          <w:sz w:val="24"/>
          <w:szCs w:val="24"/>
          <w:u w:color="000000"/>
        </w:rPr>
        <w:t>pl</w:t>
      </w:r>
      <w:proofErr w:type="gramEnd"/>
      <w:r w:rsidRPr="00B63629">
        <w:rPr>
          <w:rFonts w:eastAsia="Arial Unicode MS"/>
          <w:b/>
          <w:color w:val="000000"/>
          <w:sz w:val="24"/>
          <w:szCs w:val="24"/>
          <w:u w:color="000000"/>
        </w:rPr>
        <w:t>/transakcja/667461</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22068ED"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46DB4E90" w14:textId="0AFDC55A" w:rsidR="00A3475F" w:rsidRPr="00A3475F" w:rsidRDefault="00560CDC"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Pr>
          <w:bCs/>
          <w:sz w:val="24"/>
          <w:szCs w:val="24"/>
        </w:rPr>
        <w:t xml:space="preserve">Przedmiotem zamówienia </w:t>
      </w:r>
      <w:r w:rsidR="00A3475F" w:rsidRPr="00A3475F">
        <w:rPr>
          <w:rFonts w:asciiTheme="minorHAnsi" w:hAnsiTheme="minorHAnsi"/>
          <w:bCs/>
          <w:sz w:val="24"/>
          <w:szCs w:val="24"/>
        </w:rPr>
        <w:t>jest wykonanie remontu drogi gminnej Nr 110405 E – na odcinku Kłudzice – Łęczno - wzmocnienie istniejącej nawierzchni z tłucznia kamiennego warstwą z mieszanek mineralno–bitum</w:t>
      </w:r>
      <w:r w:rsidR="00A3475F">
        <w:rPr>
          <w:rFonts w:asciiTheme="minorHAnsi" w:hAnsiTheme="minorHAnsi"/>
          <w:bCs/>
          <w:sz w:val="24"/>
          <w:szCs w:val="24"/>
        </w:rPr>
        <w:t xml:space="preserve">icznych odcinek ok. 4.300,00 mb </w:t>
      </w:r>
      <w:r w:rsidR="00A3475F" w:rsidRPr="00A3475F">
        <w:rPr>
          <w:rFonts w:asciiTheme="minorHAnsi" w:hAnsiTheme="minorHAnsi"/>
          <w:bCs/>
          <w:sz w:val="24"/>
          <w:szCs w:val="24"/>
        </w:rPr>
        <w:t>– działka drogowa nr ewid.135</w:t>
      </w:r>
      <w:r w:rsidR="00A3475F">
        <w:rPr>
          <w:rFonts w:asciiTheme="minorHAnsi" w:hAnsiTheme="minorHAnsi"/>
          <w:bCs/>
          <w:sz w:val="24"/>
          <w:szCs w:val="24"/>
        </w:rPr>
        <w:t xml:space="preserve">1 </w:t>
      </w:r>
      <w:proofErr w:type="gramStart"/>
      <w:r w:rsidR="00A3475F">
        <w:rPr>
          <w:rFonts w:asciiTheme="minorHAnsi" w:hAnsiTheme="minorHAnsi"/>
          <w:bCs/>
          <w:sz w:val="24"/>
          <w:szCs w:val="24"/>
        </w:rPr>
        <w:t>obręb</w:t>
      </w:r>
      <w:proofErr w:type="gramEnd"/>
      <w:r w:rsidR="00A3475F">
        <w:rPr>
          <w:rFonts w:asciiTheme="minorHAnsi" w:hAnsiTheme="minorHAnsi"/>
          <w:bCs/>
          <w:sz w:val="24"/>
          <w:szCs w:val="24"/>
        </w:rPr>
        <w:t xml:space="preserve"> Łęczno gmina Sulejów </w:t>
      </w:r>
      <w:r w:rsidR="00A3475F" w:rsidRPr="00A3475F">
        <w:rPr>
          <w:rFonts w:asciiTheme="minorHAnsi" w:hAnsiTheme="minorHAnsi"/>
          <w:bCs/>
          <w:sz w:val="24"/>
          <w:szCs w:val="24"/>
        </w:rPr>
        <w:t>w ramach zadania inwestycyjnego pn.: „Wykonanie nakładek bitumicznych na drogach gminnych i wewnętrznych”</w:t>
      </w:r>
      <w:r w:rsidR="00CD0675">
        <w:rPr>
          <w:rFonts w:asciiTheme="minorHAnsi" w:hAnsiTheme="minorHAnsi"/>
          <w:bCs/>
          <w:sz w:val="24"/>
          <w:szCs w:val="24"/>
        </w:rPr>
        <w:t>.</w:t>
      </w:r>
    </w:p>
    <w:p w14:paraId="76D9C7E5" w14:textId="10126520"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W ramach przedmiotu zamówienia należy wykonać:</w:t>
      </w:r>
    </w:p>
    <w:p w14:paraId="1268C9F5" w14:textId="11FDD0C9" w:rsidR="00A3475F" w:rsidRPr="00A3475F" w:rsidRDefault="00A3475F" w:rsidP="00850FEE">
      <w:pPr>
        <w:numPr>
          <w:ilvl w:val="0"/>
          <w:numId w:val="73"/>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Roboty pomiarowe wraz inwentaryzacją powykonawczą</w:t>
      </w:r>
      <w:r w:rsidR="00CD0675">
        <w:rPr>
          <w:rFonts w:asciiTheme="minorHAnsi" w:hAnsiTheme="minorHAnsi"/>
          <w:bCs/>
          <w:sz w:val="24"/>
          <w:szCs w:val="24"/>
        </w:rPr>
        <w:t>,</w:t>
      </w:r>
    </w:p>
    <w:p w14:paraId="591876E5" w14:textId="513F60C5" w:rsidR="00A3475F" w:rsidRPr="00A3475F" w:rsidRDefault="00A3475F" w:rsidP="00850FEE">
      <w:pPr>
        <w:numPr>
          <w:ilvl w:val="0"/>
          <w:numId w:val="73"/>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Profilowanie i zagęszczenie podłoża</w:t>
      </w:r>
      <w:r w:rsidR="00CD0675">
        <w:rPr>
          <w:rFonts w:asciiTheme="minorHAnsi" w:hAnsiTheme="minorHAnsi"/>
          <w:bCs/>
          <w:sz w:val="24"/>
          <w:szCs w:val="24"/>
        </w:rPr>
        <w:t>,</w:t>
      </w:r>
    </w:p>
    <w:p w14:paraId="1A96268E" w14:textId="077056C9" w:rsidR="00A3475F" w:rsidRPr="00A3475F" w:rsidRDefault="00A3475F" w:rsidP="00850FEE">
      <w:pPr>
        <w:numPr>
          <w:ilvl w:val="0"/>
          <w:numId w:val="73"/>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Podbudowę z tłucznia kamiennego gr. 10 cm</w:t>
      </w:r>
      <w:r w:rsidR="00CD0675">
        <w:rPr>
          <w:rFonts w:asciiTheme="minorHAnsi" w:hAnsiTheme="minorHAnsi"/>
          <w:bCs/>
          <w:sz w:val="24"/>
          <w:szCs w:val="24"/>
        </w:rPr>
        <w:t>,</w:t>
      </w:r>
    </w:p>
    <w:p w14:paraId="0D51D6A1" w14:textId="7BBE221A" w:rsidR="00A3475F" w:rsidRPr="00A3475F" w:rsidRDefault="00A3475F" w:rsidP="00850FEE">
      <w:pPr>
        <w:numPr>
          <w:ilvl w:val="0"/>
          <w:numId w:val="73"/>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Wykonanie warstwy wiążącej z mieszanek mineralno-bitumicznych gr. 3 cm</w:t>
      </w:r>
      <w:r w:rsidR="00CD0675">
        <w:rPr>
          <w:rFonts w:asciiTheme="minorHAnsi" w:hAnsiTheme="minorHAnsi"/>
          <w:bCs/>
          <w:sz w:val="24"/>
          <w:szCs w:val="24"/>
        </w:rPr>
        <w:t>,</w:t>
      </w:r>
    </w:p>
    <w:p w14:paraId="17A38514" w14:textId="482F2B6B" w:rsidR="00A3475F" w:rsidRPr="00A3475F" w:rsidRDefault="00A3475F" w:rsidP="00850FEE">
      <w:pPr>
        <w:numPr>
          <w:ilvl w:val="0"/>
          <w:numId w:val="73"/>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Wykonanie warstwy ścieralnej z mieszanek mineralno-bitumicznych gr. 4 cm</w:t>
      </w:r>
      <w:r w:rsidR="00CD0675">
        <w:rPr>
          <w:rFonts w:asciiTheme="minorHAnsi" w:hAnsiTheme="minorHAnsi"/>
          <w:bCs/>
          <w:sz w:val="24"/>
          <w:szCs w:val="24"/>
        </w:rPr>
        <w:t>,</w:t>
      </w:r>
    </w:p>
    <w:p w14:paraId="773518A5" w14:textId="54A177F8" w:rsidR="00A3475F" w:rsidRPr="00A3475F" w:rsidRDefault="00A3475F" w:rsidP="00850FEE">
      <w:pPr>
        <w:numPr>
          <w:ilvl w:val="0"/>
          <w:numId w:val="73"/>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Ścinanie i odtworzenie poboczy z kruszywa łamanego gr. 10 cm</w:t>
      </w:r>
      <w:r w:rsidR="00CD0675">
        <w:rPr>
          <w:rFonts w:asciiTheme="minorHAnsi" w:hAnsiTheme="minorHAnsi"/>
          <w:bCs/>
          <w:sz w:val="24"/>
          <w:szCs w:val="24"/>
        </w:rPr>
        <w:t>.</w:t>
      </w:r>
    </w:p>
    <w:p w14:paraId="421055EC"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Przedmiot zamówienia należy wykonać na podstawie opisu przedmiotu zamówienia, uproszczonej dokumentacji projektowej, Specyfikacji Warunków Zamówienia, zgodnie z zapisami zawartymi w projektowanych postanowieniach umowy. </w:t>
      </w:r>
    </w:p>
    <w:p w14:paraId="07BD1F65"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Podstawą do wyceny przedmiotu zamówienia jest uproszczona dokumentacja projektowa.</w:t>
      </w:r>
    </w:p>
    <w:p w14:paraId="7D6A254D"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Pozostałe dokumenty są dokumentami pomocniczymi i uzupełniającymi projekt.</w:t>
      </w:r>
    </w:p>
    <w:p w14:paraId="6C260357"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Zamawiający nie wymaga w niniejszym postępowaniu przedmiotowych środków dowodowych.</w:t>
      </w:r>
    </w:p>
    <w:p w14:paraId="095B10ED" w14:textId="3E66D05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Wykonawca na własny koszt musi opracować projekt tymczasowej organizacji ruchu na czas wykonywania robót budowlanych. Projekt organizacji ruchu musi posiadać stosowne uzgodnienia wymagane przepisami prawa.  </w:t>
      </w:r>
    </w:p>
    <w:p w14:paraId="05A5125E"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Wykonawca po zakończeniu inwestycji zobowiązany będzie przedstawić Zamawiającemu:</w:t>
      </w:r>
    </w:p>
    <w:p w14:paraId="2847968D" w14:textId="028D2C60" w:rsidR="00A3475F" w:rsidRPr="004B3FD3" w:rsidRDefault="00A3475F" w:rsidP="00850FEE">
      <w:pPr>
        <w:numPr>
          <w:ilvl w:val="0"/>
          <w:numId w:val="74"/>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B3FD3">
        <w:rPr>
          <w:rFonts w:asciiTheme="minorHAnsi" w:hAnsiTheme="minorHAnsi"/>
          <w:bCs/>
          <w:sz w:val="24"/>
          <w:szCs w:val="24"/>
        </w:rPr>
        <w:t>certyfikaty</w:t>
      </w:r>
      <w:proofErr w:type="gramEnd"/>
      <w:r w:rsidRPr="004B3FD3">
        <w:rPr>
          <w:rFonts w:asciiTheme="minorHAnsi" w:hAnsiTheme="minorHAnsi"/>
          <w:bCs/>
          <w:sz w:val="24"/>
          <w:szCs w:val="24"/>
        </w:rPr>
        <w:t>, atesty, aprobaty techniczne materiałów;</w:t>
      </w:r>
    </w:p>
    <w:p w14:paraId="5D6756AB" w14:textId="0660CE32" w:rsidR="00A3475F" w:rsidRPr="004B3FD3" w:rsidRDefault="00A3475F" w:rsidP="00850FEE">
      <w:pPr>
        <w:numPr>
          <w:ilvl w:val="0"/>
          <w:numId w:val="74"/>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B3FD3">
        <w:rPr>
          <w:rFonts w:asciiTheme="minorHAnsi" w:hAnsiTheme="minorHAnsi"/>
          <w:bCs/>
          <w:sz w:val="24"/>
          <w:szCs w:val="24"/>
        </w:rPr>
        <w:t>oryginał</w:t>
      </w:r>
      <w:proofErr w:type="gramEnd"/>
      <w:r w:rsidR="00735D23" w:rsidRPr="004B3FD3">
        <w:rPr>
          <w:rFonts w:asciiTheme="minorHAnsi" w:hAnsiTheme="minorHAnsi"/>
          <w:bCs/>
          <w:sz w:val="24"/>
          <w:szCs w:val="24"/>
        </w:rPr>
        <w:t xml:space="preserve"> wewnętrznego</w:t>
      </w:r>
      <w:r w:rsidRPr="004B3FD3">
        <w:rPr>
          <w:rFonts w:asciiTheme="minorHAnsi" w:hAnsiTheme="minorHAnsi"/>
          <w:bCs/>
          <w:sz w:val="24"/>
          <w:szCs w:val="24"/>
        </w:rPr>
        <w:t xml:space="preserve"> dziennika budowy z potwierdzeniem Inspektora nadzoru i Kierownika budowy o zakończeniu robót;</w:t>
      </w:r>
    </w:p>
    <w:p w14:paraId="7B238E9E" w14:textId="4AD3095D" w:rsidR="00A3475F" w:rsidRPr="004B3FD3" w:rsidRDefault="00A3475F" w:rsidP="00850FEE">
      <w:pPr>
        <w:numPr>
          <w:ilvl w:val="0"/>
          <w:numId w:val="74"/>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B3FD3">
        <w:rPr>
          <w:rFonts w:asciiTheme="minorHAnsi" w:hAnsiTheme="minorHAnsi"/>
          <w:bCs/>
          <w:sz w:val="24"/>
          <w:szCs w:val="24"/>
        </w:rPr>
        <w:t>oświadczenie</w:t>
      </w:r>
      <w:proofErr w:type="gramEnd"/>
      <w:r w:rsidRPr="004B3FD3">
        <w:rPr>
          <w:rFonts w:asciiTheme="minorHAnsi" w:hAnsiTheme="minorHAnsi"/>
          <w:bCs/>
          <w:sz w:val="24"/>
          <w:szCs w:val="24"/>
        </w:rPr>
        <w:t xml:space="preserve"> Kierownika Budowy, inspektora nadzoru o wykonaniu przedmiotu zamówienia zgodnie z </w:t>
      </w:r>
      <w:r w:rsidR="00735D23" w:rsidRPr="004B3FD3">
        <w:rPr>
          <w:rFonts w:asciiTheme="minorHAnsi" w:hAnsiTheme="minorHAnsi"/>
          <w:bCs/>
          <w:sz w:val="24"/>
          <w:szCs w:val="24"/>
        </w:rPr>
        <w:t xml:space="preserve">uproszczoną </w:t>
      </w:r>
      <w:r w:rsidRPr="004B3FD3">
        <w:rPr>
          <w:rFonts w:asciiTheme="minorHAnsi" w:hAnsiTheme="minorHAnsi"/>
          <w:bCs/>
          <w:sz w:val="24"/>
          <w:szCs w:val="24"/>
        </w:rPr>
        <w:t>dokumentacją projektową, przepisami i obowiązującymi normami;</w:t>
      </w:r>
    </w:p>
    <w:p w14:paraId="1E234BD8" w14:textId="36449712" w:rsidR="00A3475F" w:rsidRPr="004B3FD3" w:rsidRDefault="00A3475F" w:rsidP="00850FEE">
      <w:pPr>
        <w:numPr>
          <w:ilvl w:val="0"/>
          <w:numId w:val="74"/>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B3FD3">
        <w:rPr>
          <w:rFonts w:asciiTheme="minorHAnsi" w:hAnsiTheme="minorHAnsi"/>
          <w:bCs/>
          <w:sz w:val="24"/>
          <w:szCs w:val="24"/>
        </w:rPr>
        <w:t>inwentaryzację</w:t>
      </w:r>
      <w:proofErr w:type="gramEnd"/>
      <w:r w:rsidRPr="004B3FD3">
        <w:rPr>
          <w:rFonts w:asciiTheme="minorHAnsi" w:hAnsiTheme="minorHAnsi"/>
          <w:bCs/>
          <w:sz w:val="24"/>
          <w:szCs w:val="24"/>
        </w:rPr>
        <w:t xml:space="preserve"> geodezyjną powykonawczą wraz z podanym obmiarem. </w:t>
      </w:r>
    </w:p>
    <w:p w14:paraId="4B216E77"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Wycena oferty winna uwzględniać wszystkie koszty i czynności niezbędne do wykonania przedmiotu zamówienia zgodnie z obowiązującym prawem i normami.</w:t>
      </w:r>
    </w:p>
    <w:p w14:paraId="5C97B2A1" w14:textId="6394BCCE" w:rsidR="00A3475F" w:rsidRPr="00A3475F" w:rsidRDefault="00A3475F" w:rsidP="008E656F">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 W przypadku, gdy w dokumentacji projektowej zostały wskazane znaki towarowe, normy, patenty lub pochodzenie materiałów i urządzeń, należy je traktować </w:t>
      </w:r>
      <w:proofErr w:type="gramStart"/>
      <w:r w:rsidRPr="00A3475F">
        <w:rPr>
          <w:rFonts w:asciiTheme="minorHAnsi" w:hAnsiTheme="minorHAnsi"/>
          <w:bCs/>
          <w:sz w:val="24"/>
          <w:szCs w:val="24"/>
        </w:rPr>
        <w:t>jedynie jako</w:t>
      </w:r>
      <w:proofErr w:type="gramEnd"/>
      <w:r w:rsidRPr="00A3475F">
        <w:rPr>
          <w:rFonts w:asciiTheme="minorHAnsi" w:hAnsiTheme="minorHAnsi"/>
          <w:bCs/>
          <w:sz w:val="24"/>
          <w:szCs w:val="24"/>
        </w:rPr>
        <w:t xml:space="preserve">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42ACBDCE"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14:paraId="77FA5037" w14:textId="77777777" w:rsidR="00A3475F" w:rsidRPr="00A3475F" w:rsidRDefault="00A3475F" w:rsidP="00850FEE">
      <w:pPr>
        <w:numPr>
          <w:ilvl w:val="0"/>
          <w:numId w:val="75"/>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14:paraId="58E439A7" w14:textId="77777777" w:rsidR="00A3475F" w:rsidRPr="00A3475F" w:rsidRDefault="00A3475F" w:rsidP="00850FEE">
      <w:pPr>
        <w:numPr>
          <w:ilvl w:val="0"/>
          <w:numId w:val="75"/>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Nie mniejsza funkcjonalność </w:t>
      </w:r>
      <w:proofErr w:type="gramStart"/>
      <w:r w:rsidRPr="00A3475F">
        <w:rPr>
          <w:rFonts w:asciiTheme="minorHAnsi" w:hAnsiTheme="minorHAnsi"/>
          <w:bCs/>
          <w:sz w:val="24"/>
          <w:szCs w:val="24"/>
        </w:rPr>
        <w:t>rozumiana jako</w:t>
      </w:r>
      <w:proofErr w:type="gramEnd"/>
      <w:r w:rsidRPr="00A3475F">
        <w:rPr>
          <w:rFonts w:asciiTheme="minorHAnsi" w:hAnsiTheme="minorHAnsi"/>
          <w:bCs/>
          <w:sz w:val="24"/>
          <w:szCs w:val="24"/>
        </w:rPr>
        <w:t xml:space="preserve"> zbiór funkcji realizowanych przez rozwiązanie;</w:t>
      </w:r>
    </w:p>
    <w:p w14:paraId="7B0D0CD9" w14:textId="4946A066" w:rsidR="00A3475F" w:rsidRPr="00181CFB" w:rsidRDefault="00A3475F" w:rsidP="00181CFB">
      <w:pPr>
        <w:numPr>
          <w:ilvl w:val="0"/>
          <w:numId w:val="75"/>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14:paraId="3EB2D92B"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 Materiały z rozbiórki, nadmiar gruntu, gruz z terenu robót budowlanych Wykonawca zagospodaruje we własnym zakresie, zgodnie z obowiązującymi przepisami prawa.</w:t>
      </w:r>
    </w:p>
    <w:p w14:paraId="6E4215AB"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 Wykonawca zapewnia bezpieczeństwo na terenie prowadzonych prac. W trakcie trwania prac należy zapewnić dojazd i dojście mieszkańcom przyległych posesji, uniemożliwiając wejście na plac budowy osobom trzecim.</w:t>
      </w:r>
    </w:p>
    <w:p w14:paraId="3825976B" w14:textId="68EDB73F"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52EB087"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 Wykonawca udzieli rękojmi na wykonane prace na okres 5 lat od daty podpisania przez Zamawiającego i Wykonawcę protokołu odbioru końcowego.</w:t>
      </w:r>
    </w:p>
    <w:p w14:paraId="543FD89A"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Zamawiający nie podzielił zamówienia na części ze względu na: ze względu na zakres i specyfikę robót związanych z przedmiotowym zamówieniem. Planowane do realizacji zamówienie jest zadaniem punktowym i polega na remoncie drogi. Wszystkie etapy robót są ze sobą powiązane i ściśle od siebie uzależnione, a ich wykonywanie winno być realizowane sukcesywnie, zgodnie z wymogami technicznymi i technologicznymi wynikającymi z dokumentacji projektowej i sztuki budowlanej. Przedmiot zamówienia obejmuje jedno zamierzenie budowlane, które będzie prowadzone na podstawie jednej decyzji zezwalającej na realizację robót. Zamawiający nie dokonał podziału niniejszego zamówienia na części, ponieważ potrzeba skoordynowania działań różnych wykonawców realizujących poszczególne części zamówienia mogłaby poważnie zagrozić właściwemu wykonaniu zamówienia publicznego. Podzielenie zakresu inwestycji, której część robót miałby wykonywać jeden wykonawca a część robót drugi wykonawca na wspólnym placu budowy jest bardzo trudne, sprawiające nadmierne trudności techniczne i praktycznie niemożliwe z uwagi na konieczność realizacji poszczególnych robót wynikających z dokumentacji w ściśle określonej kolejności technologicznej wykonania robót, jak również z uwagi na przyszłą odpowiedzialność gwarancyjną. Niniejsze zamówienie nie zostało podzielone na dalsze części z uwagi na to, że według wiedzy Zamawiającego nabytej podczas udzielania podobnych zamówień, struktura rynku jest dostosowana do MŚP, zgodnie z motywem 78 preambuły do Dyrektywy Parlamentu Europejskiego i Rady 2014/24/UE z dnia 26 lutego 2014 r. w sprawie zamówień publicznych (Zamawiający w podobnych zamówieniach uzyskał oferty od Wykonawców, którzy zaliczają się do grupy małych i średnich przedsiębiorstw).</w:t>
      </w:r>
    </w:p>
    <w:p w14:paraId="3B36D78D" w14:textId="029BEC9E"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14:paraId="41F81204" w14:textId="0445D45C"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850FEE" w:rsidRPr="00850FEE">
        <w:rPr>
          <w:rFonts w:asciiTheme="minorHAnsi" w:hAnsiTheme="minorHAnsi"/>
          <w:b/>
          <w:bCs/>
          <w:sz w:val="24"/>
          <w:szCs w:val="24"/>
        </w:rPr>
        <w:t>roboty ziemne</w:t>
      </w:r>
    </w:p>
    <w:p w14:paraId="64D7FC77" w14:textId="57AC0EED" w:rsidR="00A3475F" w:rsidRPr="00383BE9" w:rsidRDefault="00A3475F" w:rsidP="00383BE9">
      <w:pPr>
        <w:numPr>
          <w:ilvl w:val="0"/>
          <w:numId w:val="78"/>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 wymogu zatrudnienia na podstawie stosunku pracy osób wykonujących wskazane w niniejszym ust. czynności Wykonawca przedstawi Zamawiającemu </w:t>
      </w:r>
      <w:r w:rsidRPr="002158D0">
        <w:rPr>
          <w:rFonts w:asciiTheme="minorHAnsi" w:hAnsiTheme="minorHAnsi"/>
          <w:bCs/>
          <w:sz w:val="24"/>
          <w:szCs w:val="24"/>
        </w:rPr>
        <w:t xml:space="preserve">w </w:t>
      </w:r>
      <w:proofErr w:type="gramStart"/>
      <w:r w:rsidRPr="002158D0">
        <w:rPr>
          <w:rFonts w:asciiTheme="minorHAnsi" w:hAnsiTheme="minorHAnsi"/>
          <w:bCs/>
          <w:sz w:val="24"/>
          <w:szCs w:val="24"/>
        </w:rPr>
        <w:t>terminie co</w:t>
      </w:r>
      <w:proofErr w:type="gramEnd"/>
      <w:r w:rsidRPr="002158D0">
        <w:rPr>
          <w:rFonts w:asciiTheme="minorHAnsi" w:hAnsiTheme="minorHAnsi"/>
          <w:bCs/>
          <w:sz w:val="24"/>
          <w:szCs w:val="24"/>
        </w:rPr>
        <w:t xml:space="preserve"> najmniej 3 dni roboczych</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383BE9">
        <w:rPr>
          <w:rFonts w:asciiTheme="minorHAnsi" w:hAnsiTheme="minorHAnsi"/>
          <w:b/>
          <w:bCs/>
          <w:sz w:val="24"/>
          <w:szCs w:val="24"/>
        </w:rPr>
        <w:t>Załącznik nr 4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przez Wykonawcę lub Podwykonawcę/Dalszego Podwykonawcę wymogu zatrudnienia na podstawie stosunku pracy osób wykonujących wskazane w niniejszym ust. czynności. </w:t>
      </w:r>
    </w:p>
    <w:p w14:paraId="4CFD5957" w14:textId="5B3970A7" w:rsidR="00A3475F" w:rsidRPr="00A3475F" w:rsidRDefault="00A3475F" w:rsidP="00383BE9">
      <w:pPr>
        <w:numPr>
          <w:ilvl w:val="0"/>
          <w:numId w:val="78"/>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14:paraId="2E593EF7" w14:textId="77777777" w:rsidR="00A3475F" w:rsidRPr="00A3475F" w:rsidRDefault="00A3475F" w:rsidP="00383BE9">
      <w:pPr>
        <w:numPr>
          <w:ilvl w:val="0"/>
          <w:numId w:val="78"/>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786FCE61" w:rsidR="00A3475F" w:rsidRPr="00A3475F" w:rsidRDefault="00A3475F" w:rsidP="00383BE9">
      <w:pPr>
        <w:numPr>
          <w:ilvl w:val="0"/>
          <w:numId w:val="78"/>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14:paraId="698A04DE" w14:textId="77777777" w:rsidR="00A3475F" w:rsidRPr="00A3475F" w:rsidRDefault="00A3475F" w:rsidP="00383BE9">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p>
    <w:p w14:paraId="6EE9A777" w14:textId="77777777" w:rsidR="00A3475F" w:rsidRPr="00A3475F" w:rsidRDefault="00A3475F" w:rsidP="00383BE9">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p>
    <w:p w14:paraId="14CA72E0" w14:textId="77777777" w:rsidR="00A3475F" w:rsidRPr="00A3475F" w:rsidRDefault="00A3475F" w:rsidP="00383BE9">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p>
    <w:p w14:paraId="35A5AB8E" w14:textId="77777777" w:rsidR="00A3475F" w:rsidRPr="00A3475F" w:rsidRDefault="00A3475F" w:rsidP="00383BE9">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383BE9">
      <w:pPr>
        <w:numPr>
          <w:ilvl w:val="0"/>
          <w:numId w:val="78"/>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77777777" w:rsidR="00A3475F" w:rsidRPr="00A3475F" w:rsidRDefault="00A3475F" w:rsidP="00383BE9">
      <w:pPr>
        <w:pStyle w:val="Akapitzlist"/>
        <w:numPr>
          <w:ilvl w:val="0"/>
          <w:numId w:val="77"/>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7942CF0" w14:textId="77777777" w:rsidR="00A3475F" w:rsidRPr="00A3475F" w:rsidRDefault="00A3475F" w:rsidP="00383BE9">
      <w:pPr>
        <w:pStyle w:val="Akapitzlist"/>
        <w:numPr>
          <w:ilvl w:val="0"/>
          <w:numId w:val="77"/>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2A8CC071" w14:textId="77777777" w:rsidR="00A3475F" w:rsidRPr="00A3475F" w:rsidRDefault="00A3475F" w:rsidP="00383BE9">
      <w:pPr>
        <w:numPr>
          <w:ilvl w:val="0"/>
          <w:numId w:val="78"/>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850FEE">
        <w:rPr>
          <w:rFonts w:asciiTheme="minorHAnsi" w:hAnsiTheme="minorHAnsi"/>
          <w:b/>
          <w:bCs/>
          <w:sz w:val="24"/>
          <w:szCs w:val="24"/>
        </w:rPr>
        <w:t>Załącznik Nr 4 do SWZ</w:t>
      </w:r>
      <w:r w:rsidRPr="00A3475F">
        <w:rPr>
          <w:rFonts w:asciiTheme="minorHAnsi" w:hAnsiTheme="minorHAnsi"/>
          <w:bCs/>
          <w:sz w:val="24"/>
          <w:szCs w:val="24"/>
        </w:rPr>
        <w:t>).</w:t>
      </w:r>
    </w:p>
    <w:p w14:paraId="74BF6CF0"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(Załącznik Nr 4 do SWZ).</w:t>
      </w:r>
    </w:p>
    <w:p w14:paraId="6EC334BC" w14:textId="77777777" w:rsidR="00A3475F" w:rsidRPr="00A3475F" w:rsidRDefault="00A3475F" w:rsidP="00850FEE">
      <w:pPr>
        <w:numPr>
          <w:ilvl w:val="0"/>
          <w:numId w:val="71"/>
        </w:numPr>
        <w:tabs>
          <w:tab w:val="left" w:pos="426"/>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Nazwy i kody Wspólnego Słownika Zamówień (CPV):</w:t>
      </w:r>
    </w:p>
    <w:p w14:paraId="51CB12BF"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 xml:space="preserve">45233220-7 Roboty w zakresie nawierzchni dróg </w:t>
      </w:r>
    </w:p>
    <w:p w14:paraId="1B2FDB26" w14:textId="77777777" w:rsidR="00AE5554" w:rsidRPr="00AE5554" w:rsidRDefault="00AE5554"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435413AD"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6B34DD">
        <w:rPr>
          <w:rFonts w:asciiTheme="minorHAnsi" w:eastAsia="Arial Unicode MS" w:hAnsiTheme="minorHAnsi"/>
          <w:b/>
          <w:color w:val="000000"/>
          <w:sz w:val="24"/>
          <w:szCs w:val="24"/>
          <w:u w:color="000000"/>
          <w:lang w:eastAsia="pl-PL"/>
        </w:rPr>
        <w:t xml:space="preserve">60 dni </w:t>
      </w:r>
      <w:r w:rsidR="00EE3ADF">
        <w:rPr>
          <w:rFonts w:asciiTheme="minorHAnsi" w:eastAsia="Arial Unicode MS" w:hAnsiTheme="minorHAnsi"/>
          <w:color w:val="000000"/>
          <w:sz w:val="24"/>
          <w:szCs w:val="24"/>
          <w:u w:color="000000"/>
          <w:lang w:eastAsia="pl-PL"/>
        </w:rPr>
        <w:t>od dnia zawarcia umowy</w:t>
      </w:r>
      <w:r w:rsidR="00956BA1" w:rsidRPr="003A23B7">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754E8636"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1465418B"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7459D4" w:rsidRPr="00560CDC">
        <w:rPr>
          <w:bCs/>
          <w:iCs/>
          <w:sz w:val="24"/>
          <w:szCs w:val="24"/>
        </w:rPr>
        <w:br/>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03FEDE47"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463</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560CDC">
        <w:rPr>
          <w:bCs/>
          <w:iCs/>
          <w:sz w:val="24"/>
          <w:szCs w:val="24"/>
        </w:rPr>
        <w:t>z</w:t>
      </w:r>
      <w:proofErr w:type="gramEnd"/>
      <w:r w:rsidRPr="00560CDC">
        <w:rPr>
          <w:bCs/>
          <w:iCs/>
          <w:sz w:val="24"/>
          <w:szCs w:val="24"/>
        </w:rPr>
        <w:t xml:space="preserve"> 2022 r. poz. 835) – zwanej dalej „ustawą Ukraina” -Zamawiający wykluczy z postępowania o udzielenie zamówienia:  </w:t>
      </w:r>
    </w:p>
    <w:p w14:paraId="64BA915A" w14:textId="77777777" w:rsidR="0081149E" w:rsidRPr="00560CDC" w:rsidRDefault="0081149E" w:rsidP="00850FEE">
      <w:pPr>
        <w:pStyle w:val="Akapitzlist"/>
        <w:numPr>
          <w:ilvl w:val="0"/>
          <w:numId w:val="70"/>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850FEE">
      <w:pPr>
        <w:pStyle w:val="Akapitzlist"/>
        <w:numPr>
          <w:ilvl w:val="0"/>
          <w:numId w:val="70"/>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850FEE">
      <w:pPr>
        <w:pStyle w:val="Akapitzlist"/>
        <w:numPr>
          <w:ilvl w:val="0"/>
          <w:numId w:val="70"/>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27A2664" w14:textId="462FEF86"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0C570761" w14:textId="77777777"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14:paraId="01C2CFBC" w14:textId="77777777" w:rsidR="006B34DD" w:rsidRPr="006B34DD" w:rsidRDefault="006B34DD" w:rsidP="006B34DD">
      <w:pPr>
        <w:numPr>
          <w:ilvl w:val="0"/>
          <w:numId w:val="80"/>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proofErr w:type="gramStart"/>
      <w:r w:rsidRPr="006B34DD">
        <w:rPr>
          <w:rFonts w:asciiTheme="minorHAnsi" w:hAnsiTheme="minorHAnsi"/>
          <w:bCs/>
          <w:sz w:val="24"/>
          <w:szCs w:val="24"/>
        </w:rPr>
        <w:t>dysponują</w:t>
      </w:r>
      <w:proofErr w:type="gramEnd"/>
      <w:r w:rsidRPr="006B34DD">
        <w:rPr>
          <w:rFonts w:asciiTheme="minorHAnsi" w:hAnsiTheme="minorHAnsi"/>
          <w:bCs/>
          <w:sz w:val="24"/>
          <w:szCs w:val="24"/>
        </w:rPr>
        <w:t xml:space="preserve"> lub będą dysponować</w:t>
      </w:r>
      <w:r w:rsidRPr="006B34DD">
        <w:rPr>
          <w:rFonts w:asciiTheme="minorHAnsi" w:hAnsiTheme="minorHAnsi"/>
          <w:bCs/>
        </w:rPr>
        <w:t xml:space="preserve"> osobą zdolną do realizacji zamówienia, tj.:</w:t>
      </w:r>
    </w:p>
    <w:p w14:paraId="29A81B5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w:t>
      </w:r>
      <w:proofErr w:type="gramStart"/>
      <w:r w:rsidRPr="006B34DD">
        <w:rPr>
          <w:rFonts w:asciiTheme="minorHAnsi" w:hAnsiTheme="minorHAnsi"/>
          <w:bCs/>
          <w:spacing w:val="-2"/>
          <w:sz w:val="24"/>
          <w:szCs w:val="24"/>
        </w:rPr>
        <w:t>osoba  posiadająca</w:t>
      </w:r>
      <w:proofErr w:type="gramEnd"/>
      <w:r w:rsidRPr="006B34DD">
        <w:rPr>
          <w:rFonts w:asciiTheme="minorHAnsi" w:hAnsiTheme="minorHAnsi"/>
          <w:bCs/>
          <w:spacing w:val="-2"/>
          <w:sz w:val="24"/>
          <w:szCs w:val="24"/>
        </w:rPr>
        <w:t xml:space="preserve"> </w:t>
      </w:r>
      <w:r w:rsidRPr="006B34DD">
        <w:rPr>
          <w:rFonts w:asciiTheme="minorHAnsi" w:hAnsiTheme="minorHAnsi"/>
          <w:sz w:val="24"/>
          <w:szCs w:val="24"/>
        </w:rPr>
        <w:t>uprawnienia do kierowania robotami budowlanymi w specjalności drogowej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14:paraId="312CB8DD" w14:textId="77777777"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lub odpowiadające im ważne uprawnienia budowlane wydane na podstawie wcześniej obowiązujących aktów prawnych. </w:t>
      </w:r>
    </w:p>
    <w:p w14:paraId="1BBCB6E0"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6B34DD">
        <w:rPr>
          <w:rFonts w:asciiTheme="minorHAnsi" w:hAnsiTheme="minorHAnsi"/>
          <w:sz w:val="24"/>
          <w:szCs w:val="24"/>
        </w:rPr>
        <w:t>. 1117). W</w:t>
      </w:r>
      <w:proofErr w:type="gramEnd"/>
      <w:r w:rsidRPr="006B34DD">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6B34DD">
        <w:rPr>
          <w:rFonts w:asciiTheme="minorHAnsi" w:eastAsia="Arial Unicode MS" w:hAnsiTheme="minorHAnsi"/>
          <w:color w:val="000000"/>
          <w:sz w:val="24"/>
          <w:szCs w:val="24"/>
          <w:u w:color="000000"/>
          <w:lang w:eastAsia="pl-PL"/>
        </w:rPr>
        <w:t>REALIZACJI KTÓRYCH</w:t>
      </w:r>
      <w:proofErr w:type="gramEnd"/>
      <w:r w:rsidRPr="006B34DD">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6B34DD">
      <w:pPr>
        <w:widowControl w:val="0"/>
        <w:numPr>
          <w:ilvl w:val="0"/>
          <w:numId w:val="79"/>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6B34DD">
      <w:pPr>
        <w:widowControl w:val="0"/>
        <w:numPr>
          <w:ilvl w:val="0"/>
          <w:numId w:val="79"/>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6B34DD">
      <w:pPr>
        <w:widowControl w:val="0"/>
        <w:numPr>
          <w:ilvl w:val="0"/>
          <w:numId w:val="79"/>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w:t>
      </w:r>
      <w:proofErr w:type="gramStart"/>
      <w:r w:rsidRPr="006B34DD">
        <w:rPr>
          <w:rFonts w:asciiTheme="minorHAnsi" w:eastAsia="Arial Unicode MS" w:hAnsiTheme="minorHAnsi"/>
          <w:sz w:val="24"/>
          <w:szCs w:val="24"/>
          <w:u w:color="000000"/>
          <w:lang w:eastAsia="pl-PL"/>
        </w:rPr>
        <w:t>zdolnościach którego</w:t>
      </w:r>
      <w:proofErr w:type="gramEnd"/>
      <w:r w:rsidRPr="006B34DD">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3F3712C5" w:rsidR="002814F4" w:rsidRPr="00560CDC" w:rsidRDefault="00F1792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36F5F" w:rsidRPr="00560CDC">
        <w:rPr>
          <w:sz w:val="24"/>
          <w:szCs w:val="24"/>
          <w:u w:color="000000"/>
          <w:lang w:eastAsia="pl-PL"/>
        </w:rPr>
        <w:t>.</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20564E80" w14:textId="77777777" w:rsidR="0028377E" w:rsidRPr="0028377E" w:rsidRDefault="0028377E" w:rsidP="00DD0919">
      <w:pPr>
        <w:pStyle w:val="Akapitzlist"/>
        <w:numPr>
          <w:ilvl w:val="0"/>
          <w:numId w:val="80"/>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28377E">
        <w:rPr>
          <w:color w:val="auto"/>
          <w:sz w:val="24"/>
          <w:szCs w:val="24"/>
          <w:lang w:eastAsia="en-US"/>
        </w:rPr>
        <w:t>zawodowych,  uprawnień</w:t>
      </w:r>
      <w:proofErr w:type="gramEnd"/>
      <w:r w:rsidRPr="0028377E">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Załącznik nr 3 do SWZ</w:t>
      </w:r>
      <w:r w:rsidRPr="0028377E">
        <w:rPr>
          <w:color w:val="auto"/>
          <w:sz w:val="24"/>
          <w:szCs w:val="24"/>
          <w:lang w:eastAsia="en-US"/>
        </w:rPr>
        <w:t xml:space="preserve">.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5022836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 </w:t>
      </w:r>
      <w:hyperlink r:id="rId11" w:history="1">
        <w:r w:rsidR="00B230AF" w:rsidRPr="00560CDC">
          <w:rPr>
            <w:sz w:val="24"/>
            <w:szCs w:val="24"/>
          </w:rPr>
          <w:t>Platforma zakupowa Sulejów</w:t>
        </w:r>
      </w:hyperlink>
      <w:r w:rsidR="00652BDF" w:rsidRPr="00560CDC">
        <w:rPr>
          <w:sz w:val="24"/>
          <w:szCs w:val="24"/>
        </w:rPr>
        <w:t xml:space="preserve"> </w:t>
      </w:r>
      <w:r w:rsidRPr="00560CDC">
        <w:rPr>
          <w:sz w:val="24"/>
          <w:szCs w:val="24"/>
        </w:rPr>
        <w:t xml:space="preserve">i 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6FB2BC36"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FA6238">
        <w:rPr>
          <w:sz w:val="24"/>
          <w:szCs w:val="24"/>
        </w:rPr>
        <w:t>Paweł Turniak</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144967DA"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dnia </w:t>
      </w:r>
      <w:r w:rsidR="00DD0919">
        <w:rPr>
          <w:rFonts w:eastAsia="Times New Roman"/>
          <w:b/>
          <w:sz w:val="24"/>
          <w:szCs w:val="24"/>
        </w:rPr>
        <w:t>11.11</w:t>
      </w:r>
      <w:r w:rsidR="00A041CC">
        <w:rPr>
          <w:rFonts w:eastAsia="Times New Roman"/>
          <w:b/>
          <w:sz w:val="24"/>
          <w:szCs w:val="24"/>
        </w:rPr>
        <w:t>.</w:t>
      </w:r>
      <w:r w:rsidR="00FE1754" w:rsidRPr="00560CDC">
        <w:rPr>
          <w:rFonts w:eastAsia="Times New Roman"/>
          <w:b/>
          <w:sz w:val="24"/>
          <w:szCs w:val="24"/>
        </w:rPr>
        <w:t xml:space="preserve">2022 </w:t>
      </w:r>
      <w:proofErr w:type="gramStart"/>
      <w:r w:rsidR="00FE1754" w:rsidRPr="00560CDC">
        <w:rPr>
          <w:rFonts w:eastAsia="Times New Roman"/>
          <w:b/>
          <w:sz w:val="24"/>
          <w:szCs w:val="24"/>
        </w:rPr>
        <w:t>r</w:t>
      </w:r>
      <w:proofErr w:type="gramEnd"/>
      <w:r w:rsidR="00FE1754" w:rsidRPr="00560CDC">
        <w:rPr>
          <w:rFonts w:eastAsia="Times New Roman"/>
          <w:b/>
          <w:sz w:val="24"/>
          <w:szCs w:val="24"/>
        </w:rPr>
        <w:t>.,</w:t>
      </w:r>
      <w:r w:rsidR="001D241E" w:rsidRPr="00560CDC">
        <w:rPr>
          <w:rFonts w:eastAsia="Times New Roman"/>
          <w:sz w:val="24"/>
          <w:szCs w:val="24"/>
        </w:rPr>
        <w:t xml:space="preserve"> przy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Załącznika nr </w:t>
      </w:r>
      <w:r w:rsidR="001B7708" w:rsidRPr="00560CDC">
        <w:rPr>
          <w:rFonts w:eastAsia="Times New Roman"/>
          <w:sz w:val="24"/>
          <w:szCs w:val="24"/>
          <w:lang w:eastAsia="pl-PL"/>
        </w:rPr>
        <w:t>2</w:t>
      </w:r>
      <w:r w:rsidR="00C82306" w:rsidRPr="00560CDC">
        <w:rPr>
          <w:rFonts w:eastAsia="Times New Roman"/>
          <w:sz w:val="24"/>
          <w:szCs w:val="24"/>
          <w:lang w:eastAsia="pl-PL"/>
        </w:rPr>
        <w:t xml:space="preserve"> do SWZ)</w:t>
      </w:r>
      <w:r w:rsidR="001D241E" w:rsidRPr="00560CDC">
        <w:rPr>
          <w:rFonts w:eastAsia="Times New Roman"/>
          <w:sz w:val="24"/>
          <w:szCs w:val="24"/>
          <w:lang w:eastAsia="pl-PL"/>
        </w:rPr>
        <w:t>,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Pr="00B63629"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1A89DC92" w14:textId="0AD6C620" w:rsidR="00B63629" w:rsidRPr="00560CDC" w:rsidRDefault="00B63629" w:rsidP="00B63629">
      <w:pPr>
        <w:tabs>
          <w:tab w:val="left" w:pos="426"/>
        </w:tabs>
        <w:suppressAutoHyphens/>
        <w:spacing w:after="0" w:line="360" w:lineRule="auto"/>
        <w:contextualSpacing/>
        <w:rPr>
          <w:rFonts w:eastAsia="Arial Unicode MS"/>
          <w:color w:val="000000"/>
          <w:sz w:val="24"/>
          <w:szCs w:val="24"/>
          <w:u w:color="000000"/>
          <w:lang w:eastAsia="pl-PL"/>
        </w:rPr>
      </w:pPr>
      <w:hyperlink r:id="rId15" w:history="1">
        <w:r w:rsidRPr="00B63629">
          <w:rPr>
            <w:rStyle w:val="Hipercze"/>
            <w:rFonts w:eastAsia="Arial Unicode MS"/>
            <w:sz w:val="24"/>
            <w:szCs w:val="24"/>
            <w:u w:color="000000"/>
            <w:lang w:eastAsia="pl-PL"/>
          </w:rPr>
          <w:t>https://platformazakupowa.pl/transakcja/667461</w:t>
        </w:r>
      </w:hyperlink>
    </w:p>
    <w:p w14:paraId="3B7F37CD" w14:textId="128E0D93" w:rsidR="001D241E" w:rsidRPr="00560CDC" w:rsidRDefault="001D241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6"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460568FB" w:rsidR="00EE219A" w:rsidRPr="00560CDC"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 dniu </w:t>
      </w:r>
      <w:r w:rsidR="00DD0919">
        <w:rPr>
          <w:rFonts w:eastAsia="Arial Unicode MS" w:cs="Arial Unicode MS"/>
          <w:b/>
          <w:color w:val="000000"/>
          <w:sz w:val="24"/>
          <w:szCs w:val="24"/>
          <w:u w:color="000000"/>
          <w:lang w:eastAsia="pl-PL"/>
        </w:rPr>
        <w:t>13.10</w:t>
      </w:r>
      <w:r w:rsidR="00034A49">
        <w:rPr>
          <w:rFonts w:eastAsia="Arial Unicode MS" w:cs="Arial Unicode MS"/>
          <w:b/>
          <w:color w:val="000000"/>
          <w:sz w:val="24"/>
          <w:szCs w:val="24"/>
          <w:u w:color="000000"/>
          <w:lang w:eastAsia="pl-PL"/>
        </w:rPr>
        <w:t>.</w:t>
      </w:r>
      <w:r w:rsidR="00645436" w:rsidRPr="00560CDC">
        <w:rPr>
          <w:rFonts w:eastAsia="Arial Unicode MS" w:cs="Arial Unicode MS"/>
          <w:b/>
          <w:color w:val="000000"/>
          <w:sz w:val="24"/>
          <w:szCs w:val="24"/>
          <w:u w:color="000000"/>
          <w:lang w:eastAsia="pl-PL"/>
        </w:rPr>
        <w:t>2022</w:t>
      </w:r>
      <w:r w:rsidRPr="00560CDC">
        <w:rPr>
          <w:rFonts w:eastAsia="Arial Unicode MS" w:cs="Arial Unicode MS"/>
          <w:b/>
          <w:color w:val="000000"/>
          <w:sz w:val="24"/>
          <w:szCs w:val="24"/>
          <w:u w:color="000000"/>
          <w:lang w:eastAsia="pl-PL"/>
        </w:rPr>
        <w:t xml:space="preserve"> </w:t>
      </w:r>
      <w:proofErr w:type="gramStart"/>
      <w:r w:rsidRPr="00560CDC">
        <w:rPr>
          <w:rFonts w:eastAsia="Arial Unicode MS" w:cs="Arial Unicode MS"/>
          <w:b/>
          <w:color w:val="000000"/>
          <w:sz w:val="24"/>
          <w:szCs w:val="24"/>
          <w:u w:color="000000"/>
          <w:lang w:eastAsia="pl-PL"/>
        </w:rPr>
        <w:t>r</w:t>
      </w:r>
      <w:proofErr w:type="gramEnd"/>
      <w:r w:rsidRPr="00560CDC">
        <w:rPr>
          <w:rFonts w:eastAsia="Arial Unicode MS" w:cs="Arial Unicode MS"/>
          <w:b/>
          <w:color w:val="000000"/>
          <w:sz w:val="24"/>
          <w:szCs w:val="24"/>
          <w:u w:color="000000"/>
          <w:lang w:eastAsia="pl-PL"/>
        </w:rPr>
        <w:t>., o godz. 1</w:t>
      </w:r>
      <w:r w:rsidR="00512EBC">
        <w:rPr>
          <w:rFonts w:eastAsia="Arial Unicode MS" w:cs="Arial Unicode MS"/>
          <w:b/>
          <w:color w:val="000000"/>
          <w:sz w:val="24"/>
          <w:szCs w:val="24"/>
          <w:u w:color="000000"/>
          <w:lang w:eastAsia="pl-PL"/>
        </w:rPr>
        <w:t>0</w:t>
      </w:r>
      <w:r w:rsidRPr="00560CDC">
        <w:rPr>
          <w:rFonts w:eastAsia="Arial Unicode MS" w:cs="Arial Unicode MS"/>
          <w:b/>
          <w:color w:val="000000"/>
          <w:sz w:val="24"/>
          <w:szCs w:val="24"/>
          <w:u w:color="000000"/>
          <w:lang w:eastAsia="pl-PL"/>
        </w:rPr>
        <w:t>.00</w:t>
      </w:r>
    </w:p>
    <w:p w14:paraId="4266EEB5" w14:textId="45725B6F" w:rsidR="001D241E" w:rsidRPr="00560CDC" w:rsidRDefault="002879A4"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13.</w:t>
      </w:r>
      <w:r w:rsidR="001D241E" w:rsidRPr="00560CDC">
        <w:rPr>
          <w:rFonts w:eastAsia="Arial Unicode MS"/>
          <w:szCs w:val="24"/>
          <w:u w:color="000000"/>
          <w:lang w:val="pl-PL" w:eastAsia="pl-PL"/>
        </w:rPr>
        <w:t xml:space="preserve"> TERMIN OTWARCIA OFERT</w:t>
      </w:r>
    </w:p>
    <w:p w14:paraId="01E06050" w14:textId="2142A9C7"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D72544" w:rsidRPr="00560CDC">
        <w:rPr>
          <w:rFonts w:eastAsia="Times New Roman"/>
          <w:sz w:val="24"/>
          <w:szCs w:val="24"/>
        </w:rPr>
        <w:t>Otwarcie ofert nastąpi</w:t>
      </w:r>
      <w:r w:rsidR="000112B4" w:rsidRPr="00560CDC">
        <w:rPr>
          <w:rFonts w:eastAsia="Times New Roman"/>
          <w:sz w:val="24"/>
          <w:szCs w:val="24"/>
        </w:rPr>
        <w:t xml:space="preserve"> na Platformie </w:t>
      </w:r>
      <w:r w:rsidR="00D72544" w:rsidRPr="00560CDC">
        <w:rPr>
          <w:rFonts w:eastAsia="Times New Roman"/>
          <w:sz w:val="24"/>
          <w:szCs w:val="24"/>
        </w:rPr>
        <w:t xml:space="preserve">w dniu </w:t>
      </w:r>
      <w:r w:rsidR="00DD0919">
        <w:rPr>
          <w:rFonts w:eastAsia="Times New Roman"/>
          <w:b/>
          <w:sz w:val="24"/>
          <w:szCs w:val="24"/>
        </w:rPr>
        <w:t>13.10</w:t>
      </w:r>
      <w:r w:rsidR="00645436" w:rsidRPr="00560CDC">
        <w:rPr>
          <w:rFonts w:eastAsia="Times New Roman"/>
          <w:b/>
          <w:sz w:val="24"/>
          <w:szCs w:val="24"/>
        </w:rPr>
        <w:t>.2022</w:t>
      </w:r>
      <w:r w:rsidR="007459D4" w:rsidRPr="00560CDC">
        <w:rPr>
          <w:rFonts w:eastAsia="Times New Roman"/>
          <w:b/>
          <w:sz w:val="24"/>
          <w:szCs w:val="24"/>
        </w:rPr>
        <w:t xml:space="preserve"> </w:t>
      </w:r>
      <w:proofErr w:type="gramStart"/>
      <w:r w:rsidR="007459D4" w:rsidRPr="00560CDC">
        <w:rPr>
          <w:rFonts w:eastAsia="Times New Roman"/>
          <w:b/>
          <w:sz w:val="24"/>
          <w:szCs w:val="24"/>
        </w:rPr>
        <w:t>r</w:t>
      </w:r>
      <w:proofErr w:type="gramEnd"/>
      <w:r w:rsidR="007459D4" w:rsidRPr="00560CDC">
        <w:rPr>
          <w:rFonts w:eastAsia="Times New Roman"/>
          <w:b/>
          <w:sz w:val="24"/>
          <w:szCs w:val="24"/>
        </w:rPr>
        <w:t xml:space="preserve">. godz. </w:t>
      </w:r>
      <w:r w:rsidR="00512EBC">
        <w:rPr>
          <w:rFonts w:eastAsia="Times New Roman"/>
          <w:b/>
          <w:sz w:val="24"/>
          <w:szCs w:val="24"/>
        </w:rPr>
        <w:t>10</w:t>
      </w:r>
      <w:r w:rsidR="003E1388" w:rsidRPr="00560CDC">
        <w:rPr>
          <w:rFonts w:eastAsia="Times New Roman"/>
          <w:b/>
          <w:sz w:val="24"/>
          <w:szCs w:val="24"/>
        </w:rPr>
        <w:t>.30</w:t>
      </w:r>
      <w:r w:rsidR="000112B4" w:rsidRPr="00560CDC">
        <w:rPr>
          <w:rFonts w:eastAsia="Times New Roman"/>
          <w:sz w:val="24"/>
          <w:szCs w:val="24"/>
        </w:rPr>
        <w:t>. Otwarcie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1577EFA4"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14:paraId="1429D323" w14:textId="7E5E12B7" w:rsidR="00DD0919" w:rsidRDefault="008A527B" w:rsidP="00DD0919">
      <w:pPr>
        <w:pStyle w:val="Akapitzlist"/>
        <w:numPr>
          <w:ilvl w:val="1"/>
          <w:numId w:val="72"/>
        </w:numPr>
        <w:tabs>
          <w:tab w:val="left" w:pos="426"/>
          <w:tab w:val="left" w:pos="567"/>
        </w:tabs>
        <w:suppressAutoHyphens/>
        <w:spacing w:after="0" w:line="360" w:lineRule="auto"/>
        <w:ind w:left="0" w:firstLine="0"/>
        <w:contextualSpacing/>
        <w:rPr>
          <w:rFonts w:eastAsia="Arial Unicode MS"/>
          <w:sz w:val="24"/>
          <w:szCs w:val="24"/>
        </w:rPr>
      </w:pPr>
      <w:r w:rsidRPr="008A527B">
        <w:rPr>
          <w:rFonts w:eastAsia="Arial Unicode MS"/>
          <w:sz w:val="24"/>
          <w:szCs w:val="24"/>
        </w:rPr>
        <w:t>Cena</w:t>
      </w:r>
      <w:r w:rsidR="00DD0919" w:rsidRPr="00DD0919">
        <w:t xml:space="preserve"> </w:t>
      </w:r>
      <w:r w:rsidR="00DD0919" w:rsidRPr="00DD0919">
        <w:rPr>
          <w:rFonts w:eastAsia="Arial Unicode MS"/>
          <w:sz w:val="24"/>
          <w:szCs w:val="24"/>
        </w:rPr>
        <w:t>brutto (z VAT</w:t>
      </w:r>
      <w:r w:rsidR="001960B0">
        <w:rPr>
          <w:rFonts w:eastAsia="Arial Unicode MS"/>
          <w:sz w:val="24"/>
          <w:szCs w:val="24"/>
        </w:rPr>
        <w:t xml:space="preserve">). </w:t>
      </w:r>
    </w:p>
    <w:p w14:paraId="17D29AF8" w14:textId="3ED7F851"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14:paraId="1610DF62" w14:textId="058FC9BB"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Okres gwarancji - 40 %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Okres gwarancji (G)</w:t>
      </w:r>
    </w:p>
    <w:p w14:paraId="57F230B4" w14:textId="77777777"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14:paraId="0E9647AB"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 zależności od okresu gwarancji na roboty budowlane oraz na zastosowane materiały otrzyma następującą ilość punktów:</w:t>
      </w:r>
    </w:p>
    <w:p w14:paraId="36481289" w14:textId="77777777" w:rsidR="00DD0919" w:rsidRPr="00DD0919" w:rsidRDefault="00DD0919" w:rsidP="00DD0919">
      <w:pPr>
        <w:numPr>
          <w:ilvl w:val="0"/>
          <w:numId w:val="81"/>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14:paraId="05FBE595" w14:textId="77777777" w:rsidR="00DD0919" w:rsidRPr="00DD0919" w:rsidRDefault="00DD0919" w:rsidP="00DD0919">
      <w:pPr>
        <w:numPr>
          <w:ilvl w:val="0"/>
          <w:numId w:val="81"/>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14:paraId="2BA32BCB" w14:textId="77777777" w:rsidR="00DD0919" w:rsidRPr="00DD0919" w:rsidRDefault="00DD0919" w:rsidP="00DD0919">
      <w:pPr>
        <w:numPr>
          <w:ilvl w:val="0"/>
          <w:numId w:val="81"/>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14:paraId="2DD3DA19" w14:textId="3DAF75B6"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kres gwarancji.</w:t>
      </w:r>
    </w:p>
    <w:p w14:paraId="3362B2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14:paraId="6C5DDBF4" w14:textId="77777777"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DD0919">
        <w:rPr>
          <w:rFonts w:asciiTheme="minorHAnsi" w:hAnsiTheme="minorHAnsi" w:cstheme="minorHAnsi"/>
          <w:sz w:val="24"/>
          <w:szCs w:val="24"/>
        </w:rPr>
        <w:t>zakresie co</w:t>
      </w:r>
      <w:proofErr w:type="gramEnd"/>
      <w:r w:rsidRPr="00DD0919">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w:t>
      </w:r>
      <w:proofErr w:type="gramStart"/>
      <w:r w:rsidRPr="00DD0919">
        <w:rPr>
          <w:rFonts w:asciiTheme="minorHAnsi" w:hAnsiTheme="minorHAnsi"/>
          <w:sz w:val="24"/>
          <w:szCs w:val="24"/>
        </w:rPr>
        <w:t>punktów jaka</w:t>
      </w:r>
      <w:proofErr w:type="gramEnd"/>
      <w:r w:rsidRPr="00DD0919">
        <w:rPr>
          <w:rFonts w:asciiTheme="minorHAnsi" w:hAnsiTheme="minorHAnsi"/>
          <w:sz w:val="24"/>
          <w:szCs w:val="24"/>
        </w:rPr>
        <w:t xml:space="preserve"> wynika ze wzoru: </w:t>
      </w:r>
    </w:p>
    <w:p w14:paraId="19147F8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77777777"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G – liczba punktów przyznanych za kryterium nr II - Okres gwarancji</w:t>
      </w:r>
    </w:p>
    <w:p w14:paraId="58846B10"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54DF36DA" w14:textId="6FAED767"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3B08EC">
        <w:rPr>
          <w:sz w:val="24"/>
          <w:szCs w:val="24"/>
        </w:rPr>
        <w:t>wniesienia</w:t>
      </w:r>
      <w:proofErr w:type="gramEnd"/>
      <w:r w:rsidRPr="003B08EC">
        <w:rPr>
          <w:sz w:val="24"/>
          <w:szCs w:val="24"/>
        </w:rPr>
        <w:t xml:space="preserve"> zabezpieczenia należytego wykonania umowy</w:t>
      </w:r>
      <w:r w:rsidR="00297212">
        <w:rPr>
          <w:sz w:val="24"/>
          <w:szCs w:val="24"/>
        </w:rPr>
        <w:t>,</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635AE87B" w14:textId="77777777"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14:paraId="3195A6C7" w14:textId="77777777" w:rsidR="00DD0919" w:rsidRPr="00DD0919" w:rsidRDefault="00DD0919" w:rsidP="00DD0919">
      <w:pPr>
        <w:numPr>
          <w:ilvl w:val="0"/>
          <w:numId w:val="8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kosztorys</w:t>
      </w:r>
      <w:proofErr w:type="gramEnd"/>
      <w:r w:rsidRPr="00DD0919">
        <w:rPr>
          <w:rFonts w:asciiTheme="minorHAnsi" w:eastAsia="Arial Unicode MS" w:hAnsiTheme="minorHAnsi"/>
          <w:color w:val="000000"/>
          <w:sz w:val="24"/>
          <w:szCs w:val="24"/>
          <w:u w:color="000000"/>
          <w:lang w:eastAsia="pl-PL"/>
        </w:rPr>
        <w:t xml:space="preserve"> „pomocniczy”, </w:t>
      </w:r>
    </w:p>
    <w:p w14:paraId="11A0CD9D" w14:textId="77777777" w:rsidR="00DD0919" w:rsidRPr="00DD0919" w:rsidRDefault="00DD0919" w:rsidP="00DD0919">
      <w:pPr>
        <w:numPr>
          <w:ilvl w:val="0"/>
          <w:numId w:val="8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kopie</w:t>
      </w:r>
      <w:proofErr w:type="gramEnd"/>
      <w:r w:rsidRPr="00DD0919">
        <w:rPr>
          <w:rFonts w:asciiTheme="minorHAnsi" w:eastAsia="Arial Unicode MS" w:hAnsiTheme="minorHAnsi"/>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kierownika budowy.</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4F315C04" w14:textId="77777777" w:rsidR="00DD0919" w:rsidRPr="00DD0919" w:rsidRDefault="00DD0919" w:rsidP="00DD0919">
      <w:pPr>
        <w:numPr>
          <w:ilvl w:val="0"/>
          <w:numId w:val="84"/>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14:paraId="33A3D4A7" w14:textId="77777777" w:rsidR="00DD0919" w:rsidRPr="00DD0919" w:rsidRDefault="00DD0919" w:rsidP="00DD0919">
      <w:pPr>
        <w:numPr>
          <w:ilvl w:val="0"/>
          <w:numId w:val="84"/>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może być wniesione w:</w:t>
      </w:r>
    </w:p>
    <w:p w14:paraId="2F21E4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roofErr w:type="gramEnd"/>
      <w:r w:rsidRPr="00DD0919">
        <w:rPr>
          <w:rFonts w:asciiTheme="minorHAnsi" w:eastAsia="Arial Unicode MS" w:hAnsiTheme="minorHAnsi"/>
          <w:color w:val="000000"/>
          <w:sz w:val="24"/>
          <w:szCs w:val="24"/>
          <w:u w:color="000000"/>
          <w:lang w:eastAsia="pl-PL"/>
        </w:rPr>
        <w:t>;</w:t>
      </w:r>
    </w:p>
    <w:p w14:paraId="423F81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bankowych;</w:t>
      </w:r>
    </w:p>
    <w:p w14:paraId="219D5188"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ubezpieczeniowych;</w:t>
      </w:r>
    </w:p>
    <w:p w14:paraId="2B4DA4BA"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DD0919" w:rsidRDefault="00DD0919" w:rsidP="00DD0919">
      <w:pPr>
        <w:numPr>
          <w:ilvl w:val="0"/>
          <w:numId w:val="84"/>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2E17B87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14:paraId="5F0D034D"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nr</w:t>
      </w:r>
      <w:proofErr w:type="gramEnd"/>
      <w:r w:rsidRPr="00DD0919">
        <w:rPr>
          <w:rFonts w:asciiTheme="minorHAnsi" w:eastAsia="Arial Unicode MS" w:hAnsiTheme="minorHAnsi"/>
          <w:color w:val="000000"/>
          <w:sz w:val="24"/>
          <w:szCs w:val="24"/>
          <w:u w:color="000000"/>
          <w:lang w:eastAsia="pl-PL"/>
        </w:rPr>
        <w:t xml:space="preserve"> konta 64 1090 2590 0000 0001 4691 9313</w:t>
      </w:r>
    </w:p>
    <w:p w14:paraId="114478C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z</w:t>
      </w:r>
      <w:proofErr w:type="gramEnd"/>
      <w:r w:rsidRPr="00DD0919">
        <w:rPr>
          <w:rFonts w:asciiTheme="minorHAnsi" w:eastAsia="Arial Unicode MS" w:hAnsiTheme="minorHAnsi"/>
          <w:color w:val="000000"/>
          <w:sz w:val="24"/>
          <w:szCs w:val="24"/>
          <w:u w:color="000000"/>
          <w:lang w:eastAsia="pl-PL"/>
        </w:rPr>
        <w:t xml:space="preserve"> adnotacją:</w:t>
      </w:r>
    </w:p>
    <w:p w14:paraId="0ADAB2BB" w14:textId="7F80A2B9"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Pr>
          <w:rFonts w:asciiTheme="minorHAnsi" w:eastAsia="Arial Unicode MS" w:hAnsiTheme="minorHAnsi"/>
          <w:b/>
          <w:color w:val="000000"/>
          <w:sz w:val="24"/>
          <w:szCs w:val="24"/>
          <w:u w:color="000000"/>
          <w:lang w:eastAsia="pl-PL"/>
        </w:rPr>
        <w:t>ania umowy nr sprawy IZ.ZP.271.22</w:t>
      </w:r>
      <w:r w:rsidRPr="00DD0919">
        <w:rPr>
          <w:rFonts w:asciiTheme="minorHAnsi" w:eastAsia="Arial Unicode MS" w:hAnsiTheme="minorHAnsi"/>
          <w:b/>
          <w:color w:val="000000"/>
          <w:sz w:val="24"/>
          <w:szCs w:val="24"/>
          <w:u w:color="000000"/>
          <w:lang w:eastAsia="pl-PL"/>
        </w:rPr>
        <w:t>.2022</w:t>
      </w:r>
      <w:r w:rsidRPr="00DD0919">
        <w:rPr>
          <w:rFonts w:asciiTheme="minorHAnsi" w:eastAsia="Arial Unicode MS" w:hAnsiTheme="minorHAnsi"/>
          <w:color w:val="000000"/>
          <w:sz w:val="24"/>
          <w:szCs w:val="24"/>
          <w:u w:color="000000"/>
          <w:lang w:eastAsia="pl-PL"/>
        </w:rPr>
        <w:t>”</w:t>
      </w:r>
    </w:p>
    <w:p w14:paraId="03075F24" w14:textId="77777777" w:rsidR="00DD0919" w:rsidRPr="00DD0919" w:rsidRDefault="00DD0919" w:rsidP="00DD0919">
      <w:pPr>
        <w:numPr>
          <w:ilvl w:val="0"/>
          <w:numId w:val="84"/>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4CD9AC30" w14:textId="04EF7CC9" w:rsidR="00DD0919" w:rsidRPr="00DD0919" w:rsidRDefault="00DD0919" w:rsidP="00DD0919">
      <w:pPr>
        <w:numPr>
          <w:ilvl w:val="0"/>
          <w:numId w:val="84"/>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14:paraId="55AF8B8C" w14:textId="77777777" w:rsidR="00DD0919" w:rsidRPr="00DD0919" w:rsidRDefault="00DD0919" w:rsidP="00DD0919">
      <w:pPr>
        <w:numPr>
          <w:ilvl w:val="0"/>
          <w:numId w:val="84"/>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DD0919">
        <w:rPr>
          <w:rFonts w:asciiTheme="minorHAnsi" w:eastAsia="Arial Unicode MS" w:hAnsiTheme="minorHAnsi"/>
          <w:color w:val="000000"/>
          <w:sz w:val="24"/>
          <w:szCs w:val="24"/>
          <w:u w:color="000000"/>
          <w:lang w:eastAsia="pl-PL"/>
        </w:rPr>
        <w:t>zawierać co</w:t>
      </w:r>
      <w:proofErr w:type="gramEnd"/>
      <w:r w:rsidRPr="00DD0919">
        <w:rPr>
          <w:rFonts w:asciiTheme="minorHAnsi" w:eastAsia="Arial Unicode MS" w:hAnsiTheme="minorHAnsi"/>
          <w:color w:val="000000"/>
          <w:sz w:val="24"/>
          <w:szCs w:val="24"/>
          <w:u w:color="000000"/>
          <w:lang w:eastAsia="pl-PL"/>
        </w:rPr>
        <w:t xml:space="preserve"> najmniej poniższe wymagania:</w:t>
      </w:r>
    </w:p>
    <w:p w14:paraId="4A897019"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56C372F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14:paraId="231D81C3"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3E07D32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zapewnienia wykonalności na terenie Rzeczypospolitej Polskiej;</w:t>
      </w:r>
    </w:p>
    <w:p w14:paraId="4D3B8928"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0B6B7CC0" w14:textId="77777777" w:rsidR="00DD0919" w:rsidRPr="00DD0919" w:rsidRDefault="00DD0919" w:rsidP="00DD0919">
      <w:pPr>
        <w:numPr>
          <w:ilvl w:val="0"/>
          <w:numId w:val="84"/>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DD0919" w:rsidRDefault="00DD0919" w:rsidP="00DD0919">
      <w:pPr>
        <w:numPr>
          <w:ilvl w:val="0"/>
          <w:numId w:val="84"/>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DD0919">
        <w:rPr>
          <w:rFonts w:asciiTheme="minorHAnsi" w:eastAsia="Arial Unicode MS" w:hAnsiTheme="minorHAnsi"/>
          <w:color w:val="000000"/>
          <w:sz w:val="24"/>
          <w:szCs w:val="24"/>
          <w:u w:color="000000"/>
          <w:lang w:eastAsia="pl-PL"/>
        </w:rPr>
        <w:t>wymaga aby</w:t>
      </w:r>
      <w:proofErr w:type="gramEnd"/>
      <w:r w:rsidRPr="00DD0919">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DD0919" w:rsidRDefault="00DD0919" w:rsidP="00DD0919">
      <w:pPr>
        <w:numPr>
          <w:ilvl w:val="0"/>
          <w:numId w:val="84"/>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DD0919" w:rsidRDefault="00DD0919" w:rsidP="00DD0919">
      <w:pPr>
        <w:numPr>
          <w:ilvl w:val="0"/>
          <w:numId w:val="84"/>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BC4C569" w14:textId="77777777" w:rsidR="00F34673" w:rsidRDefault="00561E53" w:rsidP="00F34673">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8"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56D63764" w:rsidR="001D241E" w:rsidRPr="00F34673" w:rsidRDefault="001D241E" w:rsidP="00F34673">
      <w:pPr>
        <w:numPr>
          <w:ilvl w:val="0"/>
          <w:numId w:val="63"/>
        </w:numPr>
        <w:tabs>
          <w:tab w:val="left" w:pos="426"/>
        </w:tabs>
        <w:suppressAutoHyphens/>
        <w:spacing w:after="0" w:line="360" w:lineRule="auto"/>
        <w:ind w:left="0" w:firstLine="0"/>
        <w:contextualSpacing/>
        <w:rPr>
          <w:rFonts w:eastAsia="Times New Roman"/>
          <w:sz w:val="24"/>
          <w:szCs w:val="24"/>
        </w:rPr>
      </w:pPr>
      <w:r w:rsidRPr="00F34673">
        <w:rPr>
          <w:rFonts w:eastAsia="Times New Roman"/>
          <w:sz w:val="24"/>
          <w:szCs w:val="24"/>
        </w:rPr>
        <w:t>Dane osobowe Wykonawców uczestniczących w postępowaniu przetwarzane będą na podstawie art. 6 ust. 1 lit. c RODO w celu związanym z postępowaniem o udziel</w:t>
      </w:r>
      <w:r w:rsidR="00246F31" w:rsidRPr="00F34673">
        <w:rPr>
          <w:rFonts w:eastAsia="Times New Roman"/>
          <w:sz w:val="24"/>
          <w:szCs w:val="24"/>
        </w:rPr>
        <w:t xml:space="preserve">enie zamówienia publicznego </w:t>
      </w:r>
      <w:r w:rsidR="009D2F8C" w:rsidRPr="00F34673">
        <w:rPr>
          <w:rFonts w:eastAsia="Times New Roman"/>
          <w:sz w:val="24"/>
          <w:szCs w:val="24"/>
        </w:rPr>
        <w:t>IZ.ZP.271.</w:t>
      </w:r>
      <w:r w:rsidR="00F34673" w:rsidRPr="00F34673">
        <w:rPr>
          <w:rFonts w:eastAsia="Times New Roman"/>
          <w:sz w:val="24"/>
          <w:szCs w:val="24"/>
        </w:rPr>
        <w:t>22</w:t>
      </w:r>
      <w:r w:rsidR="0083543E" w:rsidRPr="00F34673">
        <w:rPr>
          <w:rFonts w:eastAsia="Times New Roman"/>
          <w:sz w:val="24"/>
          <w:szCs w:val="24"/>
        </w:rPr>
        <w:t>.</w:t>
      </w:r>
      <w:r w:rsidR="00246F31" w:rsidRPr="00F34673">
        <w:rPr>
          <w:rFonts w:eastAsia="Times New Roman"/>
          <w:sz w:val="24"/>
          <w:szCs w:val="24"/>
        </w:rPr>
        <w:t>202</w:t>
      </w:r>
      <w:r w:rsidR="00350CBC" w:rsidRPr="00F34673">
        <w:rPr>
          <w:rFonts w:eastAsia="Times New Roman"/>
          <w:sz w:val="24"/>
          <w:szCs w:val="24"/>
        </w:rPr>
        <w:t>2</w:t>
      </w:r>
      <w:r w:rsidR="00246F31" w:rsidRPr="00F34673">
        <w:rPr>
          <w:rFonts w:eastAsia="Times New Roman"/>
          <w:sz w:val="24"/>
          <w:szCs w:val="24"/>
        </w:rPr>
        <w:t xml:space="preserve"> </w:t>
      </w:r>
      <w:r w:rsidR="00F34673" w:rsidRPr="00F34673">
        <w:rPr>
          <w:rFonts w:eastAsia="Times New Roman"/>
          <w:sz w:val="24"/>
          <w:szCs w:val="24"/>
        </w:rPr>
        <w:t xml:space="preserve">Remont drogi gminnej Nr 110405 E – na odcinku Kłudzice – Łęczno </w:t>
      </w:r>
      <w:r w:rsidR="00246F31" w:rsidRPr="00F34673">
        <w:rPr>
          <w:rFonts w:eastAsia="Times New Roman"/>
          <w:sz w:val="24"/>
          <w:szCs w:val="24"/>
        </w:rPr>
        <w:t>prowadzonym w trybie podstawowym bez przeprowadzenia negocjacji</w:t>
      </w:r>
      <w:r w:rsidRPr="00F34673">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6F7FBF6C"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3 do SWZ - Wykaz osób</w:t>
      </w:r>
    </w:p>
    <w:p w14:paraId="79D12DF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68DE7DA1"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5 do SWZ – Dokumentacja projektowa uproszczona</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885E06" w:rsidRDefault="00885E06" w:rsidP="001D241E">
      <w:pPr>
        <w:spacing w:after="0" w:line="240" w:lineRule="auto"/>
      </w:pPr>
      <w:r>
        <w:separator/>
      </w:r>
    </w:p>
  </w:endnote>
  <w:endnote w:type="continuationSeparator" w:id="0">
    <w:p w14:paraId="7DD957C7" w14:textId="77777777" w:rsidR="00885E06" w:rsidRDefault="00885E06"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885E06" w:rsidRDefault="00885E06">
    <w:pPr>
      <w:pStyle w:val="Stopka"/>
      <w:jc w:val="center"/>
    </w:pPr>
    <w:r>
      <w:rPr>
        <w:noProof/>
        <w:lang w:val="pl-PL"/>
      </w:rPr>
      <w:fldChar w:fldCharType="begin"/>
    </w:r>
    <w:r>
      <w:rPr>
        <w:noProof/>
        <w:lang w:val="pl-PL"/>
      </w:rPr>
      <w:instrText>PAGE   \* MERGEFORMAT</w:instrText>
    </w:r>
    <w:r>
      <w:rPr>
        <w:noProof/>
        <w:lang w:val="pl-PL"/>
      </w:rPr>
      <w:fldChar w:fldCharType="separate"/>
    </w:r>
    <w:r w:rsidR="00B05AD1">
      <w:rPr>
        <w:noProof/>
        <w:lang w:val="pl-PL"/>
      </w:rPr>
      <w:t>21</w:t>
    </w:r>
    <w:r>
      <w:rPr>
        <w:noProof/>
        <w:lang w:val="pl-PL"/>
      </w:rPr>
      <w:fldChar w:fldCharType="end"/>
    </w:r>
  </w:p>
  <w:p w14:paraId="286E5D9D" w14:textId="77777777" w:rsidR="00885E06" w:rsidRDefault="00885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885E06" w:rsidRDefault="00885E06" w:rsidP="001D241E">
      <w:pPr>
        <w:spacing w:after="0" w:line="240" w:lineRule="auto"/>
      </w:pPr>
      <w:r>
        <w:separator/>
      </w:r>
    </w:p>
  </w:footnote>
  <w:footnote w:type="continuationSeparator" w:id="0">
    <w:p w14:paraId="5CC11446" w14:textId="77777777" w:rsidR="00885E06" w:rsidRDefault="00885E06"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57CCA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BD17AF"/>
    <w:multiLevelType w:val="hybridMultilevel"/>
    <w:tmpl w:val="8FEE3F4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3"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4"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7"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9"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6"/>
  </w:num>
  <w:num w:numId="41">
    <w:abstractNumId w:val="49"/>
  </w:num>
  <w:num w:numId="42">
    <w:abstractNumId w:val="80"/>
  </w:num>
  <w:num w:numId="43">
    <w:abstractNumId w:val="69"/>
  </w:num>
  <w:num w:numId="44">
    <w:abstractNumId w:val="78"/>
  </w:num>
  <w:num w:numId="45">
    <w:abstractNumId w:val="52"/>
  </w:num>
  <w:num w:numId="46">
    <w:abstractNumId w:val="63"/>
  </w:num>
  <w:num w:numId="47">
    <w:abstractNumId w:val="76"/>
  </w:num>
  <w:num w:numId="48">
    <w:abstractNumId w:val="47"/>
  </w:num>
  <w:num w:numId="49">
    <w:abstractNumId w:val="51"/>
  </w:num>
  <w:num w:numId="50">
    <w:abstractNumId w:val="60"/>
  </w:num>
  <w:num w:numId="51">
    <w:abstractNumId w:val="82"/>
  </w:num>
  <w:num w:numId="52">
    <w:abstractNumId w:val="58"/>
  </w:num>
  <w:num w:numId="53">
    <w:abstractNumId w:val="44"/>
  </w:num>
  <w:num w:numId="54">
    <w:abstractNumId w:val="41"/>
  </w:num>
  <w:num w:numId="55">
    <w:abstractNumId w:val="53"/>
  </w:num>
  <w:num w:numId="56">
    <w:abstractNumId w:val="54"/>
  </w:num>
  <w:num w:numId="57">
    <w:abstractNumId w:val="83"/>
  </w:num>
  <w:num w:numId="58">
    <w:abstractNumId w:val="46"/>
  </w:num>
  <w:num w:numId="59">
    <w:abstractNumId w:val="55"/>
  </w:num>
  <w:num w:numId="60">
    <w:abstractNumId w:val="77"/>
  </w:num>
  <w:num w:numId="61">
    <w:abstractNumId w:val="71"/>
  </w:num>
  <w:num w:numId="62">
    <w:abstractNumId w:val="68"/>
  </w:num>
  <w:num w:numId="63">
    <w:abstractNumId w:val="43"/>
  </w:num>
  <w:num w:numId="64">
    <w:abstractNumId w:val="48"/>
  </w:num>
  <w:num w:numId="65">
    <w:abstractNumId w:val="42"/>
  </w:num>
  <w:num w:numId="66">
    <w:abstractNumId w:val="73"/>
  </w:num>
  <w:num w:numId="67">
    <w:abstractNumId w:val="61"/>
  </w:num>
  <w:num w:numId="68">
    <w:abstractNumId w:val="65"/>
  </w:num>
  <w:num w:numId="69">
    <w:abstractNumId w:val="45"/>
  </w:num>
  <w:num w:numId="70">
    <w:abstractNumId w:val="72"/>
  </w:num>
  <w:num w:numId="71">
    <w:abstractNumId w:val="81"/>
  </w:num>
  <w:num w:numId="72">
    <w:abstractNumId w:val="75"/>
  </w:num>
  <w:num w:numId="73">
    <w:abstractNumId w:val="50"/>
  </w:num>
  <w:num w:numId="74">
    <w:abstractNumId w:val="39"/>
  </w:num>
  <w:num w:numId="75">
    <w:abstractNumId w:val="70"/>
  </w:num>
  <w:num w:numId="76">
    <w:abstractNumId w:val="79"/>
  </w:num>
  <w:num w:numId="77">
    <w:abstractNumId w:val="40"/>
  </w:num>
  <w:num w:numId="78">
    <w:abstractNumId w:val="62"/>
  </w:num>
  <w:num w:numId="79">
    <w:abstractNumId w:val="56"/>
  </w:num>
  <w:num w:numId="80">
    <w:abstractNumId w:val="57"/>
  </w:num>
  <w:num w:numId="81">
    <w:abstractNumId w:val="67"/>
  </w:num>
  <w:num w:numId="82">
    <w:abstractNumId w:val="59"/>
  </w:num>
  <w:num w:numId="83">
    <w:abstractNumId w:val="74"/>
  </w:num>
  <w:num w:numId="84">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9754D"/>
    <w:rsid w:val="004A1C34"/>
    <w:rsid w:val="004A1E61"/>
    <w:rsid w:val="004A1F32"/>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7461"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667461"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667461"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252A-821F-402D-80FE-12F0499F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35</Pages>
  <Words>10329</Words>
  <Characters>61974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72159</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269</cp:revision>
  <cp:lastPrinted>2022-09-23T08:45:00Z</cp:lastPrinted>
  <dcterms:created xsi:type="dcterms:W3CDTF">2021-11-02T11:29:00Z</dcterms:created>
  <dcterms:modified xsi:type="dcterms:W3CDTF">2022-09-23T11:15:00Z</dcterms:modified>
</cp:coreProperties>
</file>