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zy kontrasygnacie Iwony Czwarno</w:t>
      </w:r>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r w:rsidR="009B3BDB">
        <w:rPr>
          <w:rFonts w:ascii="Times New Roman" w:eastAsia="Times New Roman" w:hAnsi="Times New Roman" w:cs="Times New Roman"/>
          <w:sz w:val="24"/>
          <w:szCs w:val="24"/>
          <w:lang w:eastAsia="pl-PL"/>
        </w:rPr>
        <w:t>t.j.Dz.U.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Pr="008363E3">
        <w:rPr>
          <w:rFonts w:ascii="Times New Roman" w:eastAsia="Times New Roman" w:hAnsi="Times New Roman" w:cs="Times New Roman"/>
          <w:sz w:val="24"/>
          <w:szCs w:val="24"/>
          <w:lang w:eastAsia="pl-PL"/>
        </w:rPr>
        <w:t xml:space="preserve"> pn. </w:t>
      </w:r>
      <w:r w:rsidR="00105829" w:rsidRPr="008363E3">
        <w:rPr>
          <w:rFonts w:ascii="Times New Roman" w:eastAsia="Times New Roman" w:hAnsi="Times New Roman" w:cs="Times New Roman"/>
          <w:sz w:val="24"/>
          <w:szCs w:val="24"/>
          <w:lang w:eastAsia="pl-PL"/>
        </w:rPr>
        <w:t>„</w:t>
      </w:r>
      <w:r w:rsidR="00CE678B">
        <w:rPr>
          <w:rFonts w:ascii="Times New Roman" w:hAnsi="Times New Roman" w:cs="Times New Roman"/>
          <w:b/>
          <w:color w:val="000000"/>
        </w:rPr>
        <w:t>Przebudowa drogi gminnej nr 110112W Szczyty – Leopoldów</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Użyte materiały muszą być nowe i odpowiadać, co do jakości wymogom wyrobów dopuszczonym do obrotu i stosowania w budownictwie określonym w art. 10 ustawy z dnia 7 lipca 1994 r. Prawo Budowlane (t.j. Dz. U. z 2020 r., poz. 1333 z późn. zm.) oraz w ustawie z dnia 16 kwietnia 2004 r. o wyrobach budowlanych (t.j. Dz. U. z 2020 r., poz. 215 z późn.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CE678B">
        <w:rPr>
          <w:rFonts w:ascii="Times New Roman" w:eastAsia="Times New Roman" w:hAnsi="Times New Roman" w:cs="Times New Roman"/>
          <w:b/>
          <w:sz w:val="24"/>
          <w:szCs w:val="24"/>
          <w:lang w:eastAsia="pl-PL"/>
        </w:rPr>
        <w:t>70</w:t>
      </w:r>
      <w:r w:rsidR="000F4F7B" w:rsidRPr="008C67A2">
        <w:rPr>
          <w:rFonts w:ascii="Times New Roman" w:eastAsia="Times New Roman" w:hAnsi="Times New Roman" w:cs="Times New Roman"/>
          <w:b/>
          <w:sz w:val="24"/>
          <w:szCs w:val="24"/>
          <w:lang w:eastAsia="pl-PL"/>
        </w:rPr>
        <w:t xml:space="preserve"> </w:t>
      </w:r>
      <w:r w:rsidR="008C67A2">
        <w:rPr>
          <w:rFonts w:ascii="Times New Roman" w:eastAsia="Times New Roman" w:hAnsi="Times New Roman" w:cs="Times New Roman"/>
          <w:b/>
          <w:sz w:val="24"/>
          <w:szCs w:val="24"/>
          <w:lang w:eastAsia="pl-PL"/>
        </w:rPr>
        <w:t>dni</w:t>
      </w:r>
      <w:r w:rsidR="00CA5E82">
        <w:rPr>
          <w:rFonts w:ascii="Times New Roman" w:eastAsia="Times New Roman" w:hAnsi="Times New Roman" w:cs="Times New Roman"/>
          <w:b/>
          <w:sz w:val="24"/>
          <w:szCs w:val="24"/>
          <w:lang w:eastAsia="pl-PL"/>
        </w:rPr>
        <w:t xml:space="preserve"> </w:t>
      </w:r>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podzielonej płatności (tzw. split payment).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wyraża zgodę na dokonywanie przez Zamawiającego płatności w systemie podzielonej płatności (tzw. split payment)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późn.</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r w:rsidR="00382B5C" w:rsidRPr="00382B5C">
        <w:rPr>
          <w:rFonts w:ascii="Times New Roman" w:eastAsia="Times New Roman" w:hAnsi="Times New Roman" w:cs="Times New Roman"/>
          <w:sz w:val="24"/>
          <w:szCs w:val="24"/>
          <w:lang w:eastAsia="pl-PL"/>
        </w:rPr>
        <w:t xml:space="preserve">niem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elektronicznej w rozumieniu ustawy z dnia 9 listopada 2018 r. o elektronicznym fakturowaniu w zamówieniach publicznych, koncesjach na roboty budowlane lub usługi oraz partnerstwie publiczno-prywatnym (Dz. U. z 2020 r., poz. 1666 z późn.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późn.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bookmarkStart w:id="0" w:name="_GoBack"/>
      <w:bookmarkEnd w:id="0"/>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(t.j. Dz. U. z 2020 r., poz. 797 z późn.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(t.j.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Zgodnie z ofertą złożoną w przetargu, Wykonawca zamierza powierzyć wykonanie części zamówienia, zgodnie z art. 462 ust. 2 ustawy Pzp następującemu/ym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(t.j.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Pzp,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istotnych lub nieistotnych odstą</w:t>
      </w:r>
      <w:r w:rsidRPr="00716ACE">
        <w:rPr>
          <w:rFonts w:ascii="Times New Roman" w:eastAsia="Times New Roman" w:hAnsi="Times New Roman" w:cs="Times New Roman"/>
        </w:rPr>
        <w:t>pień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cs="Times New Roman"/>
        </w:rPr>
        <w:lastRenderedPageBreak/>
        <w:t xml:space="preserve">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CE678B">
          <w:rPr>
            <w:noProof/>
          </w:rPr>
          <w:t>22</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CE678B">
      <w:rPr>
        <w:rFonts w:ascii="Times New Roman" w:eastAsiaTheme="majorEastAsia" w:hAnsi="Times New Roman" w:cs="Times New Roman"/>
      </w:rPr>
      <w:t>7</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F469415-282B-42DA-A410-0E1E98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CEC4-92D5-4EE7-A761-1645120E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9504</Words>
  <Characters>57027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8</cp:revision>
  <dcterms:created xsi:type="dcterms:W3CDTF">2022-09-14T12:06:00Z</dcterms:created>
  <dcterms:modified xsi:type="dcterms:W3CDTF">2023-06-07T10:58:00Z</dcterms:modified>
</cp:coreProperties>
</file>