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F47075" w:rsidRDefault="00F47075" w:rsidP="00F4707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mięsa drobiowego oraz wędlin z mięsa drobiowego do magazynów 33 Wojskowego Oddziału Gospodarczego zlokalizowanych m. Nowa Dęba, Kielce </w:t>
      </w:r>
      <w:r>
        <w:rPr>
          <w:rFonts w:ascii="Arial" w:hAnsi="Arial" w:cs="Arial"/>
          <w:b/>
          <w:sz w:val="28"/>
          <w:szCs w:val="28"/>
        </w:rPr>
        <w:br/>
        <w:t>oraz Sandomierz (zamówienie z podziałem na 6 części)”</w:t>
      </w:r>
    </w:p>
    <w:p w:rsidR="00F47075" w:rsidRDefault="00F47075" w:rsidP="00F4707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F47075" w:rsidRDefault="00F47075" w:rsidP="00F4707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Zp72/2024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ADA" w:rsidRDefault="00FA2ADA">
      <w:r>
        <w:separator/>
      </w:r>
    </w:p>
  </w:endnote>
  <w:endnote w:type="continuationSeparator" w:id="0">
    <w:p w:rsidR="00FA2ADA" w:rsidRDefault="00FA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ADA" w:rsidRDefault="00FA2ADA">
      <w:r>
        <w:separator/>
      </w:r>
    </w:p>
  </w:footnote>
  <w:footnote w:type="continuationSeparator" w:id="0">
    <w:p w:rsidR="00FA2ADA" w:rsidRDefault="00FA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1B3A"/>
    <w:rsid w:val="00102B71"/>
    <w:rsid w:val="0013174B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47075"/>
    <w:rsid w:val="00F55825"/>
    <w:rsid w:val="00F93BA1"/>
    <w:rsid w:val="00FA2ADA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1AD418-9F1E-4BE3-9C94-19AEC16F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10</cp:revision>
  <cp:lastPrinted>2022-05-10T08:57:00Z</cp:lastPrinted>
  <dcterms:created xsi:type="dcterms:W3CDTF">2023-07-27T12:39:00Z</dcterms:created>
  <dcterms:modified xsi:type="dcterms:W3CDTF">2024-09-16T06:25:00Z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