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2B5E9986" w:rsidR="001152EE" w:rsidRDefault="00945A96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45A96">
        <w:rPr>
          <w:rFonts w:ascii="Tahoma" w:hAnsi="Tahoma" w:cs="Tahoma"/>
          <w:b/>
          <w:bCs/>
          <w:iCs/>
          <w:sz w:val="24"/>
          <w:szCs w:val="24"/>
          <w:lang w:val="pl-PL"/>
        </w:rPr>
        <w:t>Ubezpieczenie odpowiedzialności cywilnej oraz majątku Zakładu Gospodarki Lokalowej w Mikołowie w okresie od 01-04-2023 do 31-03-2024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CF6CD98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945A96">
      <w:rPr>
        <w:rFonts w:ascii="Tahoma" w:hAnsi="Tahoma" w:cs="Tahoma"/>
        <w:sz w:val="24"/>
        <w:szCs w:val="24"/>
        <w:lang w:val="pl-PL"/>
      </w:rPr>
      <w:t>1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945A96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45A96"/>
    <w:rsid w:val="009A60F7"/>
    <w:rsid w:val="009E39BB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2022-02-21T12:14:00Z</dcterms:created>
  <dcterms:modified xsi:type="dcterms:W3CDTF">2023-02-13T13:15:00Z</dcterms:modified>
</cp:coreProperties>
</file>