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D4058" w14:textId="77777777" w:rsidR="00854805" w:rsidRPr="00B63B5B" w:rsidRDefault="00854805" w:rsidP="00854805">
      <w:pPr>
        <w:jc w:val="right"/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>Załącznik nr .....</w:t>
      </w:r>
    </w:p>
    <w:p w14:paraId="315A3461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>WYPOSAŻENIE TECHNOLOGICZNE</w:t>
      </w:r>
    </w:p>
    <w:p w14:paraId="6C9840DC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>INFORMACJA TECHNICZNA</w:t>
      </w:r>
    </w:p>
    <w:p w14:paraId="27FD1DAD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</w:p>
    <w:p w14:paraId="3468431A" w14:textId="77777777" w:rsidR="00854805" w:rsidRPr="00B63B5B" w:rsidRDefault="00854805" w:rsidP="00854805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B63B5B">
        <w:rPr>
          <w:rFonts w:ascii="Arial Narrow" w:hAnsi="Arial Narrow"/>
          <w:b/>
          <w:bCs/>
          <w:sz w:val="22"/>
          <w:szCs w:val="22"/>
        </w:rPr>
        <w:tab/>
        <w:t xml:space="preserve"> MOCOWANA DO STROPU PODWÓJNA JEDNOSTKA MEDYCZNA TYPU KOLUMNA </w:t>
      </w:r>
      <w:r>
        <w:rPr>
          <w:rFonts w:ascii="Arial Narrow" w:hAnsi="Arial Narrow"/>
          <w:b/>
          <w:bCs/>
          <w:sz w:val="22"/>
          <w:szCs w:val="22"/>
        </w:rPr>
        <w:t xml:space="preserve">ZASILAJĄCA </w:t>
      </w:r>
      <w:r w:rsidRPr="00B63B5B">
        <w:rPr>
          <w:rFonts w:ascii="Arial Narrow" w:hAnsi="Arial Narrow"/>
          <w:b/>
          <w:bCs/>
          <w:sz w:val="22"/>
          <w:szCs w:val="22"/>
        </w:rPr>
        <w:t>w KLASIE IIb.doc</w:t>
      </w:r>
    </w:p>
    <w:p w14:paraId="1EE2FA57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>Nazwa producenta</w:t>
      </w:r>
      <w:r w:rsidRPr="00B63B5B">
        <w:rPr>
          <w:rFonts w:ascii="Arial Narrow" w:hAnsi="Arial Narrow"/>
          <w:sz w:val="22"/>
          <w:szCs w:val="22"/>
        </w:rPr>
        <w:tab/>
      </w:r>
      <w:r w:rsidRPr="00B63B5B">
        <w:rPr>
          <w:rFonts w:ascii="Arial Narrow" w:hAnsi="Arial Narrow"/>
          <w:sz w:val="22"/>
          <w:szCs w:val="22"/>
        </w:rPr>
        <w:tab/>
      </w:r>
    </w:p>
    <w:p w14:paraId="04AA906F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>Nazwa i typ</w:t>
      </w:r>
      <w:r w:rsidRPr="00B63B5B">
        <w:rPr>
          <w:rFonts w:ascii="Arial Narrow" w:hAnsi="Arial Narrow"/>
          <w:sz w:val="22"/>
          <w:szCs w:val="22"/>
        </w:rPr>
        <w:tab/>
      </w:r>
    </w:p>
    <w:p w14:paraId="1E73A7FA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>Kraj pochodzenia</w:t>
      </w:r>
      <w:r w:rsidRPr="00B63B5B">
        <w:rPr>
          <w:rFonts w:ascii="Arial Narrow" w:hAnsi="Arial Narrow"/>
          <w:sz w:val="22"/>
          <w:szCs w:val="22"/>
        </w:rPr>
        <w:tab/>
      </w:r>
      <w:r w:rsidRPr="00B63B5B">
        <w:rPr>
          <w:rFonts w:ascii="Arial Narrow" w:hAnsi="Arial Narrow"/>
          <w:sz w:val="22"/>
          <w:szCs w:val="22"/>
        </w:rPr>
        <w:tab/>
      </w:r>
    </w:p>
    <w:p w14:paraId="55FFD765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>Rok produkcji min. 202</w:t>
      </w:r>
      <w:r>
        <w:rPr>
          <w:rFonts w:ascii="Arial Narrow" w:hAnsi="Arial Narrow"/>
          <w:sz w:val="22"/>
          <w:szCs w:val="22"/>
        </w:rPr>
        <w:t>5</w:t>
      </w:r>
    </w:p>
    <w:p w14:paraId="52F712A9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</w:p>
    <w:p w14:paraId="6B93B67B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 xml:space="preserve">Lokalizacja (nr pomieszczeń): sala </w:t>
      </w:r>
      <w:r w:rsidRPr="00B63B5B">
        <w:rPr>
          <w:rFonts w:ascii="Arial Narrow" w:hAnsi="Arial Narrow"/>
          <w:bCs/>
          <w:sz w:val="22"/>
          <w:szCs w:val="22"/>
        </w:rPr>
        <w:t>wybudzeniowa</w:t>
      </w:r>
    </w:p>
    <w:p w14:paraId="1CCC8BC4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</w:p>
    <w:p w14:paraId="6E1A9413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 xml:space="preserve">Razem: sztuk </w:t>
      </w:r>
      <w:r>
        <w:rPr>
          <w:rFonts w:ascii="Arial Narrow" w:hAnsi="Arial Narrow"/>
          <w:sz w:val="22"/>
          <w:szCs w:val="22"/>
        </w:rPr>
        <w:t>2</w:t>
      </w:r>
    </w:p>
    <w:p w14:paraId="0CAF8DBF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</w:p>
    <w:tbl>
      <w:tblPr>
        <w:tblW w:w="316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4"/>
        <w:gridCol w:w="5360"/>
        <w:gridCol w:w="1274"/>
        <w:gridCol w:w="5025"/>
        <w:gridCol w:w="1843"/>
        <w:gridCol w:w="6324"/>
        <w:gridCol w:w="5447"/>
        <w:gridCol w:w="5447"/>
      </w:tblGrid>
      <w:tr w:rsidR="00854805" w:rsidRPr="00B63B5B" w14:paraId="3CD4F608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DA124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5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BCA3A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Wymagania do przedmiotu zamówienia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9FF58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Wymagana wartość</w:t>
            </w:r>
          </w:p>
        </w:tc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59881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Parametr oferowany przez dostawcę – TAK/NIE, podać wartość, zakres, wymiary, opisać itp. Wg wskazań Zamawiającego określonych w kolumnie 2 i 3 niniejszej tabeli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855EB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Sposób oceny</w:t>
            </w:r>
          </w:p>
        </w:tc>
      </w:tr>
      <w:tr w:rsidR="00854805" w:rsidRPr="00B63B5B" w14:paraId="049AD766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F6CB1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9AFB3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620FF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CAE9A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32D3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854805" w:rsidRPr="00B63B5B" w14:paraId="2B2EA060" w14:textId="77777777" w:rsidTr="00A2554F">
        <w:trPr>
          <w:gridAfter w:val="3"/>
          <w:wAfter w:w="17218" w:type="dxa"/>
        </w:trPr>
        <w:tc>
          <w:tcPr>
            <w:tcW w:w="63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628EA" w14:textId="77777777" w:rsidR="00854805" w:rsidRPr="00B63B5B" w:rsidRDefault="00854805" w:rsidP="004E78CD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B63B5B">
              <w:rPr>
                <w:rFonts w:ascii="Arial Narrow" w:hAnsi="Arial Narrow"/>
                <w:b/>
                <w:sz w:val="22"/>
                <w:szCs w:val="22"/>
              </w:rPr>
              <w:t xml:space="preserve">Sufitowa jednostka zasilająca 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jednostanowiskowa </w:t>
            </w:r>
            <w:r w:rsidRPr="00B63B5B">
              <w:rPr>
                <w:rFonts w:ascii="Arial Narrow" w:hAnsi="Arial Narrow"/>
                <w:b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2 </w:t>
            </w:r>
            <w:r w:rsidRPr="00B63B5B">
              <w:rPr>
                <w:rFonts w:ascii="Arial Narrow" w:hAnsi="Arial Narrow"/>
                <w:b/>
                <w:sz w:val="22"/>
                <w:szCs w:val="22"/>
              </w:rPr>
              <w:t>szt.)</w:t>
            </w:r>
          </w:p>
          <w:p w14:paraId="759C7012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Parametry ogólne:</w:t>
            </w:r>
          </w:p>
        </w:tc>
        <w:tc>
          <w:tcPr>
            <w:tcW w:w="814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4654B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805" w:rsidRPr="00B63B5B" w14:paraId="7F115FF6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B4A35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AAA19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 w:cs="Arial"/>
                <w:sz w:val="22"/>
                <w:szCs w:val="22"/>
              </w:rPr>
              <w:t>Urządzenie fabryczne nowe, nie powystawowe w najnowszej wersji sprzętowej na dzień składania oferty.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C4890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8A118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8D4F5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  <w:p w14:paraId="106EA08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805" w:rsidRPr="00B63B5B" w14:paraId="1B1F4280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B6969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7C386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Sufitowa jednostka zasilająca umożliwiająca ergonomiczne rozmieszczenie aparatury medycznej na stanowisku pacjenta w sali </w:t>
            </w:r>
            <w:proofErr w:type="spellStart"/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poznieczuleniowej</w:t>
            </w:r>
            <w:proofErr w:type="spellEnd"/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4D87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19045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879A4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66E9D2E5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6EBA3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A9C76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System składający się z zawieszonej pod sufitem pojedynczej kolumny 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14951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C651DC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F4FEC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5C042FF1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C83F1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E8BD8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Udźwig kolumny (dopuszczalna waga wyposażenia i urządzeń, które mogą być zawieszone na głowicy zasilającej): 180 kg (lub więcej)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F7A866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041D1B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D7CA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04DC4BF5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01482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F7E8B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Pionowa głowica zasilająca o wysokości min. 1 400 mm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7660A1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5DAEE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C9927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566E0194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AA0DE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A143B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Na każdej z krawędzi głowicy (min. 4) zasilającej zainstalowane pionowe prowadnice montażowe do mocowania wyposażenia kolumny (wysięgników, półek, uchwytów </w:t>
            </w:r>
            <w:proofErr w:type="spellStart"/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itp</w:t>
            </w:r>
            <w:proofErr w:type="spellEnd"/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). Pionowe opływowe (bez ostrych krawędzi) prowadnice wystające poza obrys głowicy na jej całej długości – rozwiązanie umożliwiające łatwe mycie i dezynfekcję.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46DC05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739BAE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869C2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7B40BCA6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F7D41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5156E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Wymiary głowicy zasilającej poniżej 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3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10mm x 270 mm (szerokość x głębokość)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040F9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D75D7C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A5662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55C93AFB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21E58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3017D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Możliwość mocowania wyposażenia kolumny na każdej z 4 stron głowicy.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7D0B6D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2C2778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2FC64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7D32FDA9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880EF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70AD2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Możliwość wyboru koloru prowadnic na etapie zamówienia z zestawu min 10 kolorów.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56E466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84C2D2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2BABE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6D053C52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A3927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F5147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Ścianki głowicy zasilającej łatwe do utrzymania w czystości: jednoczęściowe, bez widocznych śrub lub nitów mocujących, wykonane z materiałów odpornych na działanie środków dezynfekcyjnych.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CDEEE7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52F328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6F3D6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0A99A48F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7FF0F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0EA97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Na ściankach głowicy zasilającej zainstalowane następujące gniazda: </w:t>
            </w:r>
          </w:p>
          <w:p w14:paraId="4EA4A4B5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a) punkty poboru gazów medycznych i próżni: </w:t>
            </w:r>
          </w:p>
          <w:p w14:paraId="1D4F855A" w14:textId="77777777" w:rsidR="00854805" w:rsidRPr="00B63B5B" w:rsidRDefault="00854805" w:rsidP="00854805">
            <w:pPr>
              <w:widowControl/>
              <w:numPr>
                <w:ilvl w:val="0"/>
                <w:numId w:val="2"/>
              </w:numPr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tlen - 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2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 szt.</w:t>
            </w:r>
          </w:p>
          <w:p w14:paraId="0EBBA01F" w14:textId="77777777" w:rsidR="00854805" w:rsidRPr="00B63B5B" w:rsidRDefault="00854805" w:rsidP="00854805">
            <w:pPr>
              <w:widowControl/>
              <w:numPr>
                <w:ilvl w:val="0"/>
                <w:numId w:val="2"/>
              </w:numPr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sprężone powietrze – 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2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 szt.</w:t>
            </w:r>
          </w:p>
          <w:p w14:paraId="4EFA713E" w14:textId="77777777" w:rsidR="00854805" w:rsidRPr="00120D4B" w:rsidRDefault="00854805" w:rsidP="00854805">
            <w:pPr>
              <w:widowControl/>
              <w:numPr>
                <w:ilvl w:val="0"/>
                <w:numId w:val="2"/>
              </w:numPr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próżnia – 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2 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szt.</w:t>
            </w:r>
          </w:p>
          <w:p w14:paraId="78D74943" w14:textId="77777777" w:rsidR="00854805" w:rsidRPr="00B63B5B" w:rsidRDefault="00854805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c) gniazdka elektryczne 230 V – 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12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 szt.</w:t>
            </w:r>
          </w:p>
          <w:p w14:paraId="76228533" w14:textId="77777777" w:rsidR="00854805" w:rsidRPr="00B63B5B" w:rsidRDefault="00854805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d) bolce ekwipotencjalne – 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12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 szt.</w:t>
            </w:r>
          </w:p>
          <w:p w14:paraId="255CEB17" w14:textId="77777777" w:rsidR="00854805" w:rsidRPr="00B63B5B" w:rsidRDefault="00854805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e) gniazdko sieci komputerowej – 4 szt.</w:t>
            </w:r>
          </w:p>
          <w:p w14:paraId="78B3AB0B" w14:textId="77777777" w:rsidR="00854805" w:rsidRPr="00B63B5B" w:rsidRDefault="00854805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f) miejsca przygotowane pod instalację w przyszłości dodatkowych gniazd niskoprądowych – 2 szt.</w:t>
            </w:r>
          </w:p>
          <w:p w14:paraId="1FB5AF19" w14:textId="77777777" w:rsidR="00854805" w:rsidRPr="00B63B5B" w:rsidRDefault="00854805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hAnsi="Arial Narrow" w:cs="Calibri"/>
                <w:color w:val="000000"/>
                <w:sz w:val="22"/>
                <w:szCs w:val="22"/>
              </w:rPr>
              <w:t>Punkty poboru gazów medycznych oraz odciąg tego samego producenta, co kolumna.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0B0D5A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0C032B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E281C8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4291C519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ABFB1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8B68E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Punkty poboru gazów medycznych zgodne ze </w:t>
            </w:r>
            <w:r w:rsidRPr="00575739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standardem DIN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70237A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DDA81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4893D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631067C5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3250C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13CD0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Wszystkie punkty poboru gazów medycznych oznaczone znakiem CE, trwale opisane i oznaczone kolorami kodującymi typ gazu zgodnie z normą PN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noBreakHyphen/>
              <w:t>ISO 32.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B6D05B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3EFE7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73746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622C1320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9EDC6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38C6A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Punkty poboru gazów medycznych posiadające zawór zwrotny, którego wymiana nie wymaga demontażu frontowej pokrywy. Punkty poboru muszą umożliwiać wymianę zaworu końcowego z systemu </w:t>
            </w:r>
            <w:r w:rsidRPr="00575739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DIN na system AGA 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bez konieczności demontażu gniazda.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BE7CED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CB4F56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F7BC5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805" w:rsidRPr="00B63B5B" w14:paraId="54DB0217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6954E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AB3A4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Gniazdka elektryczne i bolce ekwipotencjalne zainstalowane obok siebie. Nie dopuszcza się bolców ekwipotencjalny montowanych w modułach po klika sztuk obok siebie.</w:t>
            </w:r>
          </w:p>
          <w:p w14:paraId="3BCA8068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Do oferty załączone zdjęcie przedstawiające zaoferowane rozwiązanie.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ACE9D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942265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83A22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2F1A8CEA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C2117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E6F69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Gniazdka elektryczne i bolce ekwipotencjalne zainstalowane na tych samych ściankach głowicy zasilającej co gniazda gazowe.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4D2F4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DDC33F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7EAE2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01A3203C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CA8F4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A581B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Gniazdka elektryczne zainstalowane w ściankach głowicy pod kątem 45˚ w stosunku do osi głowicy.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E2D7E1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80A4F0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448A1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28A08D26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845CE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AEFE4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Gniazdka sieci komputerowej typu RJ-45.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1CD07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F35F28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664A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3B956517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3B7E8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31599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Przygotowanie pod instalację w przyszłości 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br/>
              <w:t xml:space="preserve">dodatkowych gniazd niskoprądowych: </w:t>
            </w:r>
          </w:p>
          <w:p w14:paraId="67207203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w ściance głowicy zasilającej wycięty otwór 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br/>
              <w:t xml:space="preserve">zasłonięty łatwą do zdemontowania pokrywką 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br/>
              <w:t xml:space="preserve">oraz zainstalowana puszka instalacyjna umożliwiająca zamocowanie gniazda niskoprądowego 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br/>
              <w:t>(np. audio, wideo, system przywoławczy, itp.).</w:t>
            </w:r>
          </w:p>
          <w:p w14:paraId="62C2B85A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Wewnątrz głowicy zasilającej i wysięgnika kolumny, od puszki do przestrzeni technicznej między stropem a sufitem podwieszanym poprowadzony pilot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br/>
              <w:t>(</w:t>
            </w:r>
            <w:proofErr w:type="spellStart"/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t.j</w:t>
            </w:r>
            <w:proofErr w:type="spellEnd"/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. żyłka ułatwiająca wciągnięcie właściwego kabla).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2737AC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FBFA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8B21B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58A4E7ED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3EE6E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EF250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Możliwość obrotu głowicy zasilającej wokół własnej osi w zakresie 330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vertAlign w:val="superscript"/>
                <w:lang w:eastAsia="pl-PL" w:bidi="ar-SA"/>
              </w:rPr>
              <w:t>o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 (±15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vertAlign w:val="superscript"/>
                <w:lang w:eastAsia="pl-PL" w:bidi="ar-SA"/>
              </w:rPr>
              <w:t>o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)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D2C6BF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1F6581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5D0B7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7F81805C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25B38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2514D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E40002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W górnej części głowicy aparaturowej oraz infuzyjnej we frontową ściankę wbudowane oświetlenie LED min. 3W skierowane na wyższą półkę ułatwiające przeglądanie i uzupełnianie dokumentacji medycznej. Do oferty należy załączyć zdjęcie z oryginalnego, powszechnie dostępnego na stronie internetowej producenta katalogu przedstawiające zaoferowane rozwiązanie.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05EEA2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A099C4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7B0AB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30A6047D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64D86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8CA26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Wyposażenie kolumny:</w:t>
            </w:r>
          </w:p>
          <w:p w14:paraId="02EFDDB0" w14:textId="77777777" w:rsidR="00854805" w:rsidRPr="00B63B5B" w:rsidRDefault="00854805" w:rsidP="00854805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pionowa rura montażowa – 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1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 szt.</w:t>
            </w:r>
          </w:p>
          <w:p w14:paraId="47186029" w14:textId="77777777" w:rsidR="00854805" w:rsidRPr="00B63B5B" w:rsidRDefault="00854805" w:rsidP="00854805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półka 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440x480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- 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1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 szt.</w:t>
            </w:r>
          </w:p>
          <w:p w14:paraId="0D2DD9B8" w14:textId="77777777" w:rsidR="00854805" w:rsidRPr="00B63B5B" w:rsidRDefault="00854805" w:rsidP="00854805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szuflada – 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1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 szt.</w:t>
            </w:r>
          </w:p>
          <w:p w14:paraId="330623A3" w14:textId="77777777" w:rsidR="00854805" w:rsidRPr="00B63B5B" w:rsidRDefault="00854805" w:rsidP="00854805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drążek infuzyjny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– 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1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 szt.</w:t>
            </w:r>
          </w:p>
          <w:p w14:paraId="0D91FC1C" w14:textId="77777777" w:rsidR="00854805" w:rsidRPr="00B63B5B" w:rsidRDefault="00854805" w:rsidP="00854805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wysięgnik przegubowy do mocowania drążka – 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1 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szt.</w:t>
            </w:r>
          </w:p>
          <w:p w14:paraId="3481741F" w14:textId="77777777" w:rsidR="00854805" w:rsidRDefault="00854805" w:rsidP="00854805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wysięgnik przegubowy do mocowania kardiomonitora – 2 szt.</w:t>
            </w:r>
          </w:p>
          <w:p w14:paraId="65509AB5" w14:textId="77777777" w:rsidR="00854805" w:rsidRDefault="00854805" w:rsidP="00854805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półka na klawiaturę mocowana pod głowica wysięgnika na kardiomonitor – 1 szt. </w:t>
            </w:r>
          </w:p>
          <w:p w14:paraId="604BFC9A" w14:textId="77777777" w:rsidR="00854805" w:rsidRDefault="00854805" w:rsidP="00854805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oświetlenie frontowe kolumny – 1 szt.</w:t>
            </w:r>
          </w:p>
          <w:p w14:paraId="5E267A88" w14:textId="77777777" w:rsidR="00854805" w:rsidRPr="00B63B5B" w:rsidRDefault="00854805" w:rsidP="00854805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oświetlenie podłogowe kolumny – 1 szt.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37A467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AAB39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8C68E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09B0934A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6ED26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4BE6B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Wszystkie półki wyposażone w boczne szyny montażowe.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C9F332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3CDAF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68A9E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518631F2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F20B9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744CE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Wymiary wszystkich szyn montażowych na kolumnie szerokości od 25 do 35 mm oraz o grubość 10 mm.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C76662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AF8563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CDAE4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7D5B6F1A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6F7F1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2A905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Powierzchnia robocza półek łatwa do utrzymania w czystości: gładka, bez widocznych śrub lub nitów mocujących.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AB282B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30BD22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48E14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7E4F809E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2307B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AB839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Narożniki półek zabezpieczone zintegrowanymi z półką nakładkami z tworzywa sztucznego.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A3EDF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1AB486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C4567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6FB9E20C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2582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9CCA9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Możliwość regulacji wysokości zawieszenia </w:t>
            </w:r>
            <w:r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półki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 na kolumnie przez użytkownika.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8D4077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EF039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9F3C8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01F7F217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1CE82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C3DA6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Jedna szuflada zainstalowana pod półką. Szuflada bez wystających uchwytów.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D5DCC6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837F1B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00D38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6692E978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F208B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03336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Wewnętrzna wysokość szuflad powyżej 10 cm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9990BC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2485A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E662F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2CE64DA3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39CFA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9EA60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 xml:space="preserve">Możliwość łatwego (bez użycia narzędzi) </w:t>
            </w: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br/>
              <w:t>wyjmowania szuflady do mycia i dezynfekcji.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21509F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1EC53D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1C16E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53E781A7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D344B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BDF10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Front i boczne ścianki szuflady łatwe do utrzymania czystości: gładkie, bez widocznych śrub lub nitów mocujących, bez wystających uchwytów.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793D0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73C0B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72731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74556377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5D16F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09380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</w:pPr>
            <w:r w:rsidRPr="00B63B5B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pl-PL" w:bidi="ar-SA"/>
              </w:rPr>
              <w:t>Powierzchnia półki od strony głowicy wyprofilowana ku górze. Profil uniemożliwiający swobodne przelewnie się cieczy na powierzchnie głowicy z gniazdami podczas przypadkowego rozlania płynu na półkę.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758DD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8D513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31BFC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73A592E6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5D308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D84B1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 xml:space="preserve">Drążek infuzyjny o długości około 100 cm z wysuwanym wieszakiem do kroplówek (4 metalowe zaczepy).  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A84946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0FED80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736FE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2FE5E761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17FA9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B44D7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Wysięgnik do mocowania drążka infuzyjnego oraz kardiomonitora na kolumnie dwuramienny, obrotowy, o zasięgu min. 80 cm (wymiar liczony od osi mocowania ramienia do osi drążka infuzyjnego) i udźwigu minimum 25 kg.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DCF320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67F8C1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ECDB2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2FB5DAA4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A332E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A355E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Wysięgniki wyposażone w wewnętrzne kanały do prowadzenia kabli (np. zasilania pomp infuzyjnych).</w:t>
            </w:r>
          </w:p>
          <w:p w14:paraId="729E1FD3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Do oferty załączone zdjęcie przedstawiające zaoferowane rozwiązanie.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37E933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FA13A1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FF9FA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4FAAB44F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191ED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834D2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Ramiona każdego wysięgnika z hamulcem ciernym. Możliwa regulacja siły hamowania hamulca ciernego w łatwy sposób przez użytkownika za pomocą ergonomicznego pokrętła.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F42B8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1F4BEF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0E76A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13FEF48D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41CA1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B35D5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 głowicą wysięgnika na kardiomonitor zainstalowana półka na klawiaturę z wysuwaną podkładką na mysz. Możliwości dogodnego ustawienia wysuwanej podkładki zarówno z prawej jak i z lewej strony półki.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2D3B6C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4D4845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A5516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4E2C7D4E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88A9B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A3DCA" w14:textId="77777777" w:rsidR="00854805" w:rsidRPr="00B63B5B" w:rsidRDefault="00854805" w:rsidP="004E78CD">
            <w:pPr>
              <w:rPr>
                <w:rFonts w:ascii="Arial Narrow" w:hAnsi="Arial Narrow" w:cs="Arial"/>
                <w:sz w:val="22"/>
                <w:szCs w:val="22"/>
              </w:rPr>
            </w:pPr>
            <w:r w:rsidRPr="00B63B5B">
              <w:rPr>
                <w:rFonts w:ascii="Arial Narrow" w:hAnsi="Arial Narrow" w:cs="Arial"/>
                <w:sz w:val="22"/>
                <w:szCs w:val="22"/>
              </w:rPr>
              <w:t>Zamawiający wymaga by oferowana jednostka medyczna była produktem powszechnie stosowanym, nie dopuszcza się rozwiązań prototypowych jeszcze nie sprawdzonych w warunkach pracy na oddziałach szpitalnych.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515448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B4F8E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7EF1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12437621" w14:textId="77777777" w:rsidTr="00A2554F">
        <w:tc>
          <w:tcPr>
            <w:tcW w:w="6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FF068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3B5B">
              <w:rPr>
                <w:rFonts w:ascii="Arial Narrow" w:hAnsi="Arial Narrow"/>
                <w:b/>
                <w:sz w:val="22"/>
                <w:szCs w:val="22"/>
              </w:rPr>
              <w:t>Wymogi formalne</w:t>
            </w:r>
          </w:p>
        </w:tc>
        <w:tc>
          <w:tcPr>
            <w:tcW w:w="81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7BCF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324" w:type="dxa"/>
          </w:tcPr>
          <w:p w14:paraId="12086641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47" w:type="dxa"/>
          </w:tcPr>
          <w:p w14:paraId="67478BFA" w14:textId="77777777" w:rsidR="00854805" w:rsidRPr="00B63B5B" w:rsidRDefault="00854805" w:rsidP="004E78CD">
            <w:pPr>
              <w:widowControl/>
              <w:suppressAutoHyphens w:val="0"/>
              <w:autoSpaceDN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47" w:type="dxa"/>
          </w:tcPr>
          <w:p w14:paraId="3ED1D0C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805" w:rsidRPr="00B63B5B" w14:paraId="0BA67F1F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791ED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604F1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Do oferty należy dołączyć ulotki urządzenia w języku polskim potwierdzające parametry techniczne.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87534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Załączyć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F53C0E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DE212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0433C6C9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76CAE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10D53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Urządzenie posiada dokumentację  (Certyfikat CE / Deklarację Zgodności) potwierdzające zgodność wyrobu z dyrektywą 93/42/EEC.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9193F" w14:textId="77777777" w:rsidR="00854805" w:rsidRPr="00B63B5B" w:rsidRDefault="00854805" w:rsidP="004E78CD">
            <w:pPr>
              <w:tabs>
                <w:tab w:val="left" w:pos="51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Załączyć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BA5589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045D5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1358B3C5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DCEA8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DE15E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Oferta obejmuje pełne szkolenie personelu z obsługi dostarczanego urządzenia.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BA0EC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696C68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09032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1681827D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54BBB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7237D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Konstrukcja sprzętu musi umożliwić spełnienie wszystkich warunków technicznych zawartych w niniejszej tabeli.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97B75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91F386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8221D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7FC9F293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7A19F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00AAE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Zaoferowane urządzenie jest fabrycznie nowe i gotowe do użytku bez żadnych dodatkowych zakupów czy inwestycji oprócz materiałów eksploatacyjnych.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69EB5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387D4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EB671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03B71987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BF654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5B0FC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Oferowane urządzenie, oprócz spełnienia odpowiednich parametrów funkcyjnych, gwarantuje bezpieczeństwo pacjentów i personelu medycznego oraz zapewnia wymagany poziom świadczonych usług medycznych.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37D6E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1FA7AF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0C80A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3EC66EA5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B071E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CD0C9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Gwarancja min. 24 miesiące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25C0D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A23EEE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512FE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  <w:tr w:rsidR="00854805" w:rsidRPr="00B63B5B" w14:paraId="61B223CD" w14:textId="77777777" w:rsidTr="00A2554F">
        <w:trPr>
          <w:gridAfter w:val="3"/>
          <w:wAfter w:w="17218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F77A5" w14:textId="77777777" w:rsidR="00854805" w:rsidRPr="00B63B5B" w:rsidRDefault="00854805" w:rsidP="00854805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DEEA0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Czas reakcji serwisu max. 48h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8495E" w14:textId="77777777" w:rsidR="00854805" w:rsidRPr="00B63B5B" w:rsidRDefault="00854805" w:rsidP="004E78CD">
            <w:pPr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Tak, Podać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35B70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7ABAE" w14:textId="77777777" w:rsidR="00854805" w:rsidRPr="00B63B5B" w:rsidRDefault="00854805" w:rsidP="004E78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63B5B">
              <w:rPr>
                <w:rFonts w:ascii="Arial Narrow" w:hAnsi="Arial Narrow"/>
                <w:sz w:val="22"/>
                <w:szCs w:val="22"/>
              </w:rPr>
              <w:t>Bez punktacji</w:t>
            </w:r>
          </w:p>
        </w:tc>
      </w:tr>
    </w:tbl>
    <w:p w14:paraId="0A145767" w14:textId="77777777" w:rsidR="00854805" w:rsidRPr="00B63B5B" w:rsidRDefault="00854805" w:rsidP="00854805">
      <w:pPr>
        <w:rPr>
          <w:rFonts w:ascii="Arial Narrow" w:hAnsi="Arial Narrow"/>
          <w:vanish/>
          <w:sz w:val="22"/>
          <w:szCs w:val="22"/>
        </w:rPr>
      </w:pPr>
    </w:p>
    <w:p w14:paraId="4969BB6C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</w:p>
    <w:p w14:paraId="7847F021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>Nie spełnienie wymaganych parametrów i warunków spowoduje odrzucenie oferty.</w:t>
      </w:r>
    </w:p>
    <w:p w14:paraId="7AD41048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</w:p>
    <w:p w14:paraId="34818262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>Wszystkie parametry techniczne muszą być spełnione łącznie (aby oferta była ważna i spełniała wszystkie wymagania, we wszystkich pozycjach Dostawca winien wpisać "TAK", a tam gdzie jest to wymagane dokładnie opisać oferowane parametry).</w:t>
      </w:r>
    </w:p>
    <w:p w14:paraId="6773B68D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</w:p>
    <w:p w14:paraId="5D2F2DF7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>Niniejszy opis wymagań granicznych, jest dokumentem nadrzędnym w stosunku do pozostałej dokumentacji projektowej, w przypadku rozbieżności lub braku spójności pomiędzy różnymi elementami dokumentacji projektowej.</w:t>
      </w:r>
    </w:p>
    <w:p w14:paraId="76034866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</w:p>
    <w:p w14:paraId="76FD71EE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</w:p>
    <w:p w14:paraId="7408A17B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</w:p>
    <w:p w14:paraId="0A27ECCA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>.................................................</w:t>
      </w:r>
    </w:p>
    <w:p w14:paraId="38B3B3A9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  <w:r w:rsidRPr="00B63B5B">
        <w:rPr>
          <w:rFonts w:ascii="Arial Narrow" w:hAnsi="Arial Narrow"/>
          <w:sz w:val="22"/>
          <w:szCs w:val="22"/>
        </w:rPr>
        <w:t>Podpis Wykonawcy</w:t>
      </w:r>
    </w:p>
    <w:p w14:paraId="61002FA9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</w:p>
    <w:p w14:paraId="5F315B5B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</w:p>
    <w:p w14:paraId="038AA0A8" w14:textId="77777777" w:rsidR="00854805" w:rsidRPr="00B63B5B" w:rsidRDefault="00854805" w:rsidP="00854805">
      <w:pPr>
        <w:rPr>
          <w:rFonts w:ascii="Arial Narrow" w:hAnsi="Arial Narrow"/>
          <w:sz w:val="22"/>
          <w:szCs w:val="22"/>
        </w:rPr>
      </w:pPr>
    </w:p>
    <w:p w14:paraId="5411CAFB" w14:textId="77777777" w:rsidR="00AB4AF0" w:rsidRDefault="00AB4AF0"/>
    <w:sectPr w:rsidR="00AB4AF0" w:rsidSect="008548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13F5E"/>
    <w:multiLevelType w:val="hybridMultilevel"/>
    <w:tmpl w:val="E5161F42"/>
    <w:lvl w:ilvl="0" w:tplc="F4DC3B7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4DC3B7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D531143"/>
    <w:multiLevelType w:val="hybridMultilevel"/>
    <w:tmpl w:val="DFC2ABB8"/>
    <w:name w:val="WW8Num2"/>
    <w:lvl w:ilvl="0" w:tplc="DC8A2622">
      <w:start w:val="1"/>
      <w:numFmt w:val="decimal"/>
      <w:lvlText w:val="%1."/>
      <w:lvlJc w:val="left"/>
      <w:pPr>
        <w:tabs>
          <w:tab w:val="num" w:pos="-1980"/>
        </w:tabs>
        <w:ind w:left="360" w:hanging="360"/>
      </w:pPr>
      <w:rPr>
        <w:rFonts w:ascii="Calibri" w:hAnsi="Calibri" w:cs="Calibri" w:hint="default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805"/>
    <w:rsid w:val="00017055"/>
    <w:rsid w:val="001063C1"/>
    <w:rsid w:val="0074437E"/>
    <w:rsid w:val="00837932"/>
    <w:rsid w:val="00854805"/>
    <w:rsid w:val="00A2554F"/>
    <w:rsid w:val="00AB4AF0"/>
    <w:rsid w:val="00E6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3325"/>
  <w15:chartTrackingRefBased/>
  <w15:docId w15:val="{FB6FEA98-ECC2-4F02-A287-9B53A1FD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80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1321</Words>
  <Characters>7926</Characters>
  <Application>Microsoft Office Word</Application>
  <DocSecurity>0</DocSecurity>
  <Lines>66</Lines>
  <Paragraphs>18</Paragraphs>
  <ScaleCrop>false</ScaleCrop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czapla.a</cp:lastModifiedBy>
  <cp:revision>2</cp:revision>
  <dcterms:created xsi:type="dcterms:W3CDTF">2025-01-09T09:35:00Z</dcterms:created>
  <dcterms:modified xsi:type="dcterms:W3CDTF">2025-01-09T09:35:00Z</dcterms:modified>
</cp:coreProperties>
</file>