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65B7" w14:textId="38F5BCE8" w:rsidR="00F53499" w:rsidRDefault="00F53499" w:rsidP="00F53499">
      <w:pPr>
        <w:suppressAutoHyphens/>
        <w:autoSpaceDN w:val="0"/>
        <w:spacing w:after="0" w:line="240" w:lineRule="auto"/>
        <w:jc w:val="both"/>
        <w:textAlignment w:val="baseline"/>
        <w:rPr>
          <w:rFonts w:ascii="Times New Roman" w:eastAsia="Times New Roman" w:hAnsi="Times New Roman" w:cs="Times New Roman"/>
          <w:szCs w:val="20"/>
          <w:lang w:eastAsia="ar-SA"/>
        </w:rPr>
      </w:pPr>
    </w:p>
    <w:p w14:paraId="4C970E66" w14:textId="77777777" w:rsidR="00F53499" w:rsidRDefault="00F53499" w:rsidP="00F53499">
      <w:pPr>
        <w:suppressAutoHyphens/>
        <w:autoSpaceDN w:val="0"/>
        <w:spacing w:after="0" w:line="240" w:lineRule="auto"/>
        <w:jc w:val="both"/>
        <w:textAlignment w:val="baseline"/>
        <w:rPr>
          <w:rFonts w:ascii="Times New Roman" w:eastAsia="Calibri" w:hAnsi="Times New Roman" w:cs="Times New Roman"/>
          <w:kern w:val="3"/>
          <w:sz w:val="24"/>
          <w:szCs w:val="24"/>
          <w:lang w:eastAsia="hi-IN" w:bidi="hi-IN"/>
        </w:rPr>
      </w:pPr>
      <w:r w:rsidRPr="00F53499">
        <w:rPr>
          <w:rFonts w:ascii="Times New Roman" w:eastAsia="Times New Roman" w:hAnsi="Times New Roman" w:cs="Times New Roman"/>
          <w:szCs w:val="20"/>
          <w:lang w:eastAsia="ar-SA"/>
        </w:rPr>
        <w:t xml:space="preserve">Opracowanie wielobranżowej dokumentacji projektowo - kosztorysowej dla zadania p.n.  </w:t>
      </w:r>
      <w:r w:rsidRPr="00F53499">
        <w:rPr>
          <w:rFonts w:ascii="Times New Roman" w:eastAsia="Times New Roman" w:hAnsi="Times New Roman" w:cs="Times New Roman"/>
          <w:bCs/>
          <w:iCs/>
          <w:kern w:val="3"/>
          <w:sz w:val="24"/>
          <w:szCs w:val="24"/>
          <w:lang w:eastAsia="pl-PL" w:bidi="hi-IN"/>
        </w:rPr>
        <w:t>„Rozbudowa i przebudowa zamkniętego składowiska odpadów komunalnych w Kiełpinie o Punkt Selektywnego Zbierania Odpadów Komunalnych oraz Punkt Napraw i Ponownego Użycia Produktów wraz z infrastrukturą i zagospodarowaniem terenów na dz. nr 78/10, 78/11, 78/3, 78/5, 78/7, 78/8, 78/9, jednostka ewidencyjna 220303_2- Człuchów – obszar wiejski, obręb 0011- Kiełpin ”</w:t>
      </w:r>
      <w:r w:rsidR="00FE6211">
        <w:rPr>
          <w:rFonts w:ascii="Times New Roman" w:eastAsia="Calibri" w:hAnsi="Times New Roman" w:cs="Times New Roman"/>
          <w:kern w:val="3"/>
          <w:sz w:val="24"/>
          <w:szCs w:val="24"/>
          <w:lang w:eastAsia="hi-IN" w:bidi="hi-IN"/>
        </w:rPr>
        <w:t>.</w:t>
      </w:r>
    </w:p>
    <w:p w14:paraId="5A102EB4" w14:textId="77777777" w:rsidR="00FE6211" w:rsidRDefault="00FE6211" w:rsidP="00F53499">
      <w:pPr>
        <w:suppressAutoHyphens/>
        <w:autoSpaceDN w:val="0"/>
        <w:spacing w:after="0" w:line="240" w:lineRule="auto"/>
        <w:jc w:val="both"/>
        <w:textAlignment w:val="baseline"/>
        <w:rPr>
          <w:rFonts w:ascii="Times New Roman" w:eastAsia="Calibri" w:hAnsi="Times New Roman" w:cs="Times New Roman"/>
          <w:kern w:val="3"/>
          <w:sz w:val="24"/>
          <w:szCs w:val="24"/>
          <w:lang w:eastAsia="hi-IN" w:bidi="hi-IN"/>
        </w:rPr>
      </w:pPr>
    </w:p>
    <w:p w14:paraId="39DC8C74" w14:textId="77777777" w:rsidR="00FE6211" w:rsidRPr="00F53499" w:rsidRDefault="00FE6211" w:rsidP="00F53499">
      <w:pPr>
        <w:suppressAutoHyphens/>
        <w:autoSpaceDN w:val="0"/>
        <w:spacing w:after="0" w:line="240" w:lineRule="auto"/>
        <w:jc w:val="both"/>
        <w:textAlignment w:val="baseline"/>
        <w:rPr>
          <w:rFonts w:ascii="Calibri" w:eastAsia="Calibri" w:hAnsi="Calibri" w:cs="Times New Roman"/>
          <w:kern w:val="3"/>
        </w:rPr>
      </w:pPr>
    </w:p>
    <w:p w14:paraId="5D05088B" w14:textId="77777777" w:rsidR="004C0434" w:rsidRPr="004C0434" w:rsidRDefault="004C0434" w:rsidP="004C0434">
      <w:pPr>
        <w:suppressAutoHyphens/>
        <w:autoSpaceDN w:val="0"/>
        <w:spacing w:after="0" w:line="240" w:lineRule="auto"/>
        <w:ind w:firstLine="360"/>
        <w:textAlignment w:val="baseline"/>
        <w:rPr>
          <w:rFonts w:ascii="Times New Roman" w:eastAsia="Times New Roman" w:hAnsi="Times New Roman" w:cs="Times New Roman"/>
          <w:sz w:val="24"/>
          <w:szCs w:val="24"/>
          <w:lang w:eastAsia="ar-SA"/>
        </w:rPr>
      </w:pPr>
      <w:r w:rsidRPr="004C0434">
        <w:rPr>
          <w:rFonts w:ascii="Times New Roman" w:eastAsia="Times New Roman" w:hAnsi="Times New Roman" w:cs="Times New Roman"/>
          <w:sz w:val="24"/>
          <w:szCs w:val="24"/>
          <w:lang w:eastAsia="ar-SA"/>
        </w:rPr>
        <w:t xml:space="preserve">Przedmiotem zamówienia jest opracowanie dokumentacji projektowo – kosztorysowej rozbudowy i przebudowy istniejącego składowiska odpadów komunalnych, które zostało zamknięte (1 kwatera) w 2013r. i przeprowadzono jego rekultywację w 2015r,  pozostającego w fazie poeksploatacyjnej przez następne 30 lat. Dokumentacja obejmuje w/w działki, w tym niezagospodarowane nieruchomości gruntowe oraz te, które  zagospodarowane zostały na potrzeby składowiska, z wyłączeniem kwatery, a wykorzystywane są obecnie przez  Punkt Selektywnego Zbierania Odpadów Komunalnych. </w:t>
      </w:r>
    </w:p>
    <w:p w14:paraId="2525A480" w14:textId="77777777" w:rsidR="004C0434" w:rsidRPr="004C0434" w:rsidRDefault="004C0434" w:rsidP="004C0434">
      <w:pPr>
        <w:suppressAutoHyphens/>
        <w:autoSpaceDN w:val="0"/>
        <w:spacing w:after="0" w:line="240" w:lineRule="auto"/>
        <w:ind w:firstLine="360"/>
        <w:textAlignment w:val="baseline"/>
        <w:rPr>
          <w:rFonts w:ascii="Times New Roman" w:eastAsia="Times New Roman" w:hAnsi="Times New Roman" w:cs="Times New Roman"/>
          <w:sz w:val="24"/>
          <w:szCs w:val="24"/>
          <w:lang w:eastAsia="ar-SA"/>
        </w:rPr>
      </w:pPr>
      <w:r w:rsidRPr="004C0434">
        <w:rPr>
          <w:rFonts w:ascii="Times New Roman" w:eastAsia="Times New Roman" w:hAnsi="Times New Roman" w:cs="Times New Roman"/>
          <w:sz w:val="24"/>
          <w:szCs w:val="24"/>
          <w:lang w:eastAsia="ar-SA"/>
        </w:rPr>
        <w:t xml:space="preserve">Nieruchomości przeznacza się pod rozbudowę i przebudowę  na: Punkt Selektywnego Zbierania Odpadów Komunalnych oraz Punkt Napraw i Ponownego Użycia Produktów wraz z infrastrukturą i zagospodarowaniem terenów. </w:t>
      </w:r>
    </w:p>
    <w:p w14:paraId="30247A79" w14:textId="77777777" w:rsidR="004C0434" w:rsidRPr="004C0434" w:rsidRDefault="004C0434" w:rsidP="004C0434">
      <w:pPr>
        <w:tabs>
          <w:tab w:val="left" w:pos="426"/>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p>
    <w:p w14:paraId="027B41BD" w14:textId="77777777" w:rsidR="004C0434" w:rsidRPr="004C0434" w:rsidRDefault="004C0434" w:rsidP="004C0434">
      <w:pPr>
        <w:tabs>
          <w:tab w:val="left" w:pos="426"/>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p>
    <w:p w14:paraId="4D95919A" w14:textId="77777777" w:rsidR="004C0434" w:rsidRPr="004C0434" w:rsidRDefault="004C0434" w:rsidP="004C0434">
      <w:pPr>
        <w:suppressAutoHyphens/>
        <w:autoSpaceDN w:val="0"/>
        <w:spacing w:line="240" w:lineRule="auto"/>
        <w:ind w:firstLine="708"/>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Nieruchomości gruntowe zlokalizowane na działkach nr 78/10, 78/11, 78/3, 78/5, 78/7, 78/8, 78/9, jednostka ewidencyjna 220303_2- Człuchów – obszar wiejski, obręb 0011- Kiełpin, stanowią własność GMINY MIEJSKIEJ CZŁUCHÓW, zajmują powierzchnię łącznie: 28,46 ha. Istniejący obiekt obsługuje dwie gminy partnerskie: miasto i gminę wiejską Człuchów, działające wspólnie na podstawie porozumienia.</w:t>
      </w:r>
    </w:p>
    <w:p w14:paraId="7DFFA5A6" w14:textId="6705C612" w:rsidR="004C0434" w:rsidRPr="004C0434" w:rsidRDefault="004C0434" w:rsidP="004C0434">
      <w:pPr>
        <w:suppressAutoHyphens/>
        <w:autoSpaceDN w:val="0"/>
        <w:spacing w:line="240" w:lineRule="auto"/>
        <w:textAlignment w:val="baseline"/>
        <w:rPr>
          <w:rFonts w:ascii="Times New Roman" w:eastAsia="Times New Roman" w:hAnsi="Times New Roman" w:cs="Times New Roman"/>
          <w:sz w:val="24"/>
          <w:szCs w:val="24"/>
          <w:lang w:eastAsia="pl-PL"/>
        </w:rPr>
      </w:pPr>
      <w:bookmarkStart w:id="0" w:name="_Hlk133312752"/>
      <w:r w:rsidRPr="004C0434">
        <w:rPr>
          <w:rFonts w:ascii="Times New Roman" w:eastAsia="Times New Roman" w:hAnsi="Times New Roman" w:cs="Times New Roman"/>
          <w:sz w:val="24"/>
          <w:szCs w:val="24"/>
          <w:lang w:eastAsia="pl-PL"/>
        </w:rPr>
        <w:t>Planowana rozbudowa ma przyczynić się do transformacji gospodarki w kierunku modelu GOZ - gospodarki obiegu zamkniętego, do osiągnięcia przez gminy partnerskie ustawowych poziomów odzysku i recyklingu</w:t>
      </w:r>
      <w:r w:rsidR="00E8595D">
        <w:rPr>
          <w:rFonts w:ascii="Times New Roman" w:eastAsia="Times New Roman" w:hAnsi="Times New Roman" w:cs="Times New Roman"/>
          <w:sz w:val="24"/>
          <w:szCs w:val="24"/>
          <w:lang w:eastAsia="pl-PL"/>
        </w:rPr>
        <w:t>, przy zastosowaniu zasady „nie czyń znaczącej szkody”</w:t>
      </w:r>
      <w:r w:rsidRPr="004C0434">
        <w:rPr>
          <w:rFonts w:ascii="Times New Roman" w:eastAsia="Times New Roman" w:hAnsi="Times New Roman" w:cs="Times New Roman"/>
          <w:sz w:val="24"/>
          <w:szCs w:val="24"/>
          <w:lang w:eastAsia="pl-PL"/>
        </w:rPr>
        <w:t xml:space="preserve"> i jednocześnie stworzyć miejsce edukacji ekologicznej, gdzie w sposób warsztatowy można będzie pogłębiać wiedzę i podnosić kwalifikacje uczestników gminnych systemów gospodarowania odpadami komunalnymi. </w:t>
      </w:r>
    </w:p>
    <w:p w14:paraId="5382C6F1" w14:textId="77777777" w:rsidR="004C0434" w:rsidRPr="004C0434" w:rsidRDefault="004C0434" w:rsidP="004C0434">
      <w:p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Oczekuje się również wymiernych korzyści ekonomicznych i środowiskowych m. in. poprzez racjonalizację kosztów, przekształcanie odpadów poprzez drobne naprawy w produkty tj. wydłużanie cyklu życia produktów, umożliwienie wymiany produktów zanim staną się odpadami (typu Pchli targ), zmniejszanie </w:t>
      </w:r>
      <w:proofErr w:type="spellStart"/>
      <w:r w:rsidRPr="004C0434">
        <w:rPr>
          <w:rFonts w:ascii="Times New Roman" w:eastAsia="Times New Roman" w:hAnsi="Times New Roman" w:cs="Times New Roman"/>
          <w:sz w:val="24"/>
          <w:szCs w:val="24"/>
          <w:lang w:eastAsia="pl-PL"/>
        </w:rPr>
        <w:t>zasobochłonności</w:t>
      </w:r>
      <w:proofErr w:type="spellEnd"/>
      <w:r w:rsidRPr="004C0434">
        <w:rPr>
          <w:rFonts w:ascii="Times New Roman" w:eastAsia="Times New Roman" w:hAnsi="Times New Roman" w:cs="Times New Roman"/>
          <w:sz w:val="24"/>
          <w:szCs w:val="24"/>
          <w:lang w:eastAsia="pl-PL"/>
        </w:rPr>
        <w:t xml:space="preserve"> procesów gospodarowania odpadami, m. in. przez wdrożenie nowoczesnej logistyki i wykorzystanie OZE oraz obiegu zamkniętego.</w:t>
      </w:r>
    </w:p>
    <w:p w14:paraId="5B16EC48" w14:textId="77777777" w:rsidR="004C0434" w:rsidRPr="004C0434" w:rsidRDefault="004C0434" w:rsidP="004C0434">
      <w:pPr>
        <w:suppressAutoHyphens/>
        <w:autoSpaceDN w:val="0"/>
        <w:spacing w:line="240" w:lineRule="auto"/>
        <w:textAlignment w:val="baseline"/>
        <w:rPr>
          <w:rFonts w:ascii="Calibri" w:eastAsia="Calibri" w:hAnsi="Calibri" w:cs="Times New Roman"/>
          <w:kern w:val="3"/>
        </w:rPr>
      </w:pPr>
      <w:r w:rsidRPr="004C0434">
        <w:rPr>
          <w:rFonts w:ascii="Times New Roman" w:eastAsia="Times New Roman" w:hAnsi="Times New Roman" w:cs="Times New Roman"/>
          <w:sz w:val="24"/>
          <w:szCs w:val="24"/>
          <w:lang w:eastAsia="pl-PL"/>
        </w:rPr>
        <w:t xml:space="preserve"> Zamawiający planuje zrealizować za pomocą dokumentacji stanowiącej przedmiot zamówienia niżej wymieniony zakres :</w:t>
      </w:r>
    </w:p>
    <w:p w14:paraId="1973731B" w14:textId="77777777" w:rsidR="004C0434" w:rsidRPr="004C0434" w:rsidRDefault="004C0434" w:rsidP="004C0434">
      <w:pPr>
        <w:numPr>
          <w:ilvl w:val="0"/>
          <w:numId w:val="3"/>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remont oraz dostosowanie istniejących pomieszczeń budynków i miejsc magazynowania odpadów do wymagań przepisów ochrony środowiska,  p.poż. oraz celów zamierzenia inwestycyjnego,</w:t>
      </w:r>
    </w:p>
    <w:p w14:paraId="7D138A54"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instalacji przeciw pożarowej,</w:t>
      </w:r>
    </w:p>
    <w:p w14:paraId="71AEA934"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przebudowę istniejącego budynku administracyjnego w szczególności w zakresie dostosowania do nowych funkcji, energooszczędności, zmiany źródła ciepła z wykorzystaniem instalacji ogrzewania w kierunku OZE oraz funkcjonalne powiązanie go z </w:t>
      </w:r>
      <w:proofErr w:type="spellStart"/>
      <w:r w:rsidRPr="004C0434">
        <w:rPr>
          <w:rFonts w:ascii="Times New Roman" w:eastAsia="Times New Roman" w:hAnsi="Times New Roman" w:cs="Times New Roman"/>
          <w:sz w:val="24"/>
          <w:szCs w:val="24"/>
          <w:lang w:eastAsia="pl-PL"/>
        </w:rPr>
        <w:t>PNiPU</w:t>
      </w:r>
      <w:proofErr w:type="spellEnd"/>
      <w:r w:rsidRPr="004C0434">
        <w:rPr>
          <w:rFonts w:ascii="Times New Roman" w:eastAsia="Times New Roman" w:hAnsi="Times New Roman" w:cs="Times New Roman"/>
          <w:sz w:val="24"/>
          <w:szCs w:val="24"/>
          <w:lang w:eastAsia="pl-PL"/>
        </w:rPr>
        <w:t>,</w:t>
      </w:r>
    </w:p>
    <w:p w14:paraId="549E3749" w14:textId="77777777" w:rsidR="004C0434" w:rsidRPr="004C0434" w:rsidRDefault="004C0434" w:rsidP="004C0434">
      <w:pPr>
        <w:numPr>
          <w:ilvl w:val="0"/>
          <w:numId w:val="2"/>
        </w:num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lastRenderedPageBreak/>
        <w:t>budowę budynku usługowego: Punktu Napraw i Ponownego Użycia Produktów wraz z wyposażeniem, częścią magazynową i wystawienniczą,</w:t>
      </w:r>
    </w:p>
    <w:p w14:paraId="54BBCE0D" w14:textId="77777777" w:rsidR="004C0434" w:rsidRPr="004C0434" w:rsidRDefault="004C0434" w:rsidP="004C0434">
      <w:p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Miejsce napraw dostarczonych elementów wyposażenia, dla których możliwe jest wydłużenie cyklu życia, przystosowane powinno być do świadczenia usług naprawczych oraz posiadać część magazynową produktów podlegających wymianie. Budynek ten winien również posiadać możliwości prowadzenia usług edukacyjnych w zakresie edukacji ekologicznej, działań warsztatowych, szkoleniowych, promujących transformację w kierunku gospodarki obiegu zamkniętego (GOZ), w połączeniu z infrastrukturą plenerową (np. zadaszone miejsce spotkań większych grup, ścieżki edukacyjne, stała ekspozycja typu: obieg energii, materii, zużycie zasobów naturalnych itp.) oraz zadaszone miejsce wystawiennicze na akcje typu „Pchli targ”. </w:t>
      </w:r>
    </w:p>
    <w:p w14:paraId="43DC9D18"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wymianę istniejącego oświetlenia zewnętrznego na energooszczędne typu LED oraz rozbudowa na potrzeby nowego zagospodarowania wraz z budową instalacji działających z wykorzystaniem energii słońca/ wiatru oraz  magazynowania jej na potrzeby pracy obiektu jak np. przeznaczonej do oświetlenia, ogrzewania obiektów,</w:t>
      </w:r>
    </w:p>
    <w:p w14:paraId="0183696E"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głównego budynku PSZOK wraz z wyposażeniem, w którym mieszkańcy będą pozostawiać dostarczone indywidualnie odpady z wjazdem i wyjazdem poprzez rampę najazdową i z ręcznym rozładunkiem z pojazdu, poprzez złożenie odpadów w kontenerach wielkogabarytowych. Transport kontenerów bezpośrednio po zapełnieniu do ZZO (bez przeładunku), z dostępem bocznym dla pojazdów transportowych,</w:t>
      </w:r>
    </w:p>
    <w:p w14:paraId="29704DEB"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 do wyboru) hal magazynowych towarzyszących, magazynów z osłoniętymi i zadaszonymi boksami, obiektów magazynowych o lekkiej konstrukcji – w zależności od potrzeb danego rodzaju odpadów, które przeznaczone będą:</w:t>
      </w:r>
    </w:p>
    <w:p w14:paraId="546A099C"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dla odpadów np. papier i tektura, szkło, tworzywa i metale, popiół w celu zabezpieczenia przed negatywnym wpływem czynników atmosferycznych.,</w:t>
      </w:r>
    </w:p>
    <w:p w14:paraId="02FF97D4"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dla bioodpadów i odpadów zielonych , w celu zabezpieczenia przed negatywnym wpływem czynników atmosferycznych,</w:t>
      </w:r>
    </w:p>
    <w:p w14:paraId="22705C43"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Calibri" w:eastAsia="Calibri" w:hAnsi="Calibri" w:cs="Times New Roman"/>
          <w:kern w:val="3"/>
        </w:rPr>
      </w:pPr>
      <w:r w:rsidRPr="004C0434">
        <w:rPr>
          <w:rFonts w:ascii="Times New Roman" w:eastAsia="Times New Roman" w:hAnsi="Times New Roman" w:cs="Times New Roman"/>
          <w:sz w:val="24"/>
          <w:szCs w:val="24"/>
          <w:lang w:eastAsia="pl-PL"/>
        </w:rPr>
        <w:t>dla:</w:t>
      </w:r>
      <w:r w:rsidRPr="004C0434">
        <w:rPr>
          <w:rFonts w:ascii="Times New Roman" w:eastAsia="Calibri" w:hAnsi="Times New Roman" w:cs="Times New Roman"/>
          <w:kern w:val="3"/>
          <w:sz w:val="24"/>
          <w:szCs w:val="24"/>
        </w:rPr>
        <w:t xml:space="preserve"> 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 szczególności igieł i strzykawek, zużytych baterii i akumulatorów, zużytego sprzętu elektrycznego i elektronicznego,</w:t>
      </w:r>
    </w:p>
    <w:p w14:paraId="4B902B51"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Calibri" w:eastAsia="Calibri" w:hAnsi="Calibri" w:cs="Times New Roman"/>
          <w:kern w:val="3"/>
        </w:rPr>
      </w:pPr>
      <w:r w:rsidRPr="004C0434">
        <w:rPr>
          <w:rFonts w:ascii="Times New Roman" w:eastAsia="Calibri" w:hAnsi="Times New Roman" w:cs="Times New Roman"/>
          <w:kern w:val="3"/>
          <w:sz w:val="24"/>
          <w:szCs w:val="24"/>
        </w:rPr>
        <w:t xml:space="preserve">dla </w:t>
      </w:r>
      <w:r w:rsidRPr="004C0434">
        <w:rPr>
          <w:rFonts w:ascii="Times New Roman" w:eastAsia="Times New Roman" w:hAnsi="Times New Roman" w:cs="Times New Roman"/>
          <w:sz w:val="24"/>
          <w:szCs w:val="24"/>
          <w:lang w:eastAsia="pl-PL"/>
        </w:rPr>
        <w:t xml:space="preserve">odpadów w postaci </w:t>
      </w:r>
      <w:r w:rsidRPr="004C0434">
        <w:rPr>
          <w:rFonts w:ascii="Times New Roman" w:eastAsia="Calibri" w:hAnsi="Times New Roman" w:cs="Times New Roman"/>
          <w:kern w:val="3"/>
          <w:sz w:val="24"/>
          <w:szCs w:val="24"/>
        </w:rPr>
        <w:t>mebli i innych odpadów wielkogabarytowych, zużytych opon oraz odpadów tekstyliów i odzieży, (użytkowych i osobistych).</w:t>
      </w:r>
    </w:p>
    <w:p w14:paraId="74DA9D03"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dla odpadów budowlanych i rozbiórkowych z gospodarstw domowych z wielkogabarytowymi kontenerami,</w:t>
      </w:r>
    </w:p>
    <w:p w14:paraId="01C66D16" w14:textId="77777777" w:rsidR="004C0434" w:rsidRPr="004C0434" w:rsidRDefault="004C0434" w:rsidP="004C0434">
      <w:pPr>
        <w:numPr>
          <w:ilvl w:val="0"/>
          <w:numId w:val="4"/>
        </w:numPr>
        <w:tabs>
          <w:tab w:val="left" w:pos="-1229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odpadów z działalności rolniczej niestanowiących odpadów komunalnych w trybie ustawy o utrzymaniu czystości i porządku w gminach,</w:t>
      </w:r>
    </w:p>
    <w:p w14:paraId="3453952C" w14:textId="77777777" w:rsidR="004C0434" w:rsidRPr="004C0434" w:rsidRDefault="004C0434" w:rsidP="004C0434">
      <w:pPr>
        <w:tabs>
          <w:tab w:val="left" w:pos="-294"/>
        </w:tabs>
        <w:suppressAutoHyphens/>
        <w:autoSpaceDE w:val="0"/>
        <w:autoSpaceDN w:val="0"/>
        <w:spacing w:after="0" w:line="240" w:lineRule="auto"/>
        <w:ind w:left="2220"/>
        <w:textAlignment w:val="baseline"/>
        <w:rPr>
          <w:rFonts w:ascii="Times New Roman" w:eastAsia="Times New Roman" w:hAnsi="Times New Roman" w:cs="Times New Roman"/>
          <w:sz w:val="24"/>
          <w:szCs w:val="24"/>
          <w:lang w:eastAsia="pl-PL"/>
        </w:rPr>
      </w:pPr>
    </w:p>
    <w:p w14:paraId="058E8AF6"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Calibri" w:eastAsia="Calibri" w:hAnsi="Calibri" w:cs="Times New Roman"/>
          <w:kern w:val="3"/>
        </w:rPr>
      </w:pPr>
      <w:r w:rsidRPr="004C0434">
        <w:rPr>
          <w:rFonts w:ascii="Times New Roman" w:eastAsia="Times New Roman" w:hAnsi="Times New Roman" w:cs="Times New Roman"/>
          <w:sz w:val="24"/>
          <w:szCs w:val="24"/>
          <w:lang w:eastAsia="pl-PL"/>
        </w:rPr>
        <w:lastRenderedPageBreak/>
        <w:t xml:space="preserve">budowę budynku wystawienniczo - usługowo – magazynowego </w:t>
      </w:r>
      <w:r w:rsidRPr="004C0434">
        <w:rPr>
          <w:rFonts w:ascii="Times New Roman" w:eastAsia="Calibri" w:hAnsi="Times New Roman" w:cs="Times New Roman"/>
          <w:kern w:val="3"/>
          <w:sz w:val="24"/>
          <w:szCs w:val="24"/>
        </w:rPr>
        <w:t xml:space="preserve"> Punktu Napraw i Ponownego Użycia produktów lub części produktów niebędących odpadami,</w:t>
      </w:r>
    </w:p>
    <w:p w14:paraId="4875BEE8"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instalacji wewnętrznych doprowadzających wodę (ciepłą i zimną) oraz liniowego odprowadzenia wody brudnej w posadzkach na potrzeby codziennego utrzymania czystości i czynności sprzątania posadzek w obiektach magazynowych, z wykorzystaniem obiegu zamkniętego wody,</w:t>
      </w:r>
    </w:p>
    <w:p w14:paraId="6829A551"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instalacji wentylacyjnych/ grzewczych wewnątrz hal magazynowych, rozwiązań zabezpieczających przed gryzoniami, owadami itp., ułatwiających utrzymanie wysokiego standardu sanitarnego oraz BHP,</w:t>
      </w:r>
    </w:p>
    <w:p w14:paraId="20B808DE"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budowę magazynu na potrzeby urządzeń komunalnych obsługujących PSZOK i </w:t>
      </w:r>
      <w:proofErr w:type="spellStart"/>
      <w:r w:rsidRPr="004C0434">
        <w:rPr>
          <w:rFonts w:ascii="Times New Roman" w:eastAsia="Times New Roman" w:hAnsi="Times New Roman" w:cs="Times New Roman"/>
          <w:sz w:val="24"/>
          <w:szCs w:val="24"/>
          <w:lang w:eastAsia="pl-PL"/>
        </w:rPr>
        <w:t>PNiPU</w:t>
      </w:r>
      <w:proofErr w:type="spellEnd"/>
      <w:r w:rsidRPr="004C0434">
        <w:rPr>
          <w:rFonts w:ascii="Times New Roman" w:eastAsia="Times New Roman" w:hAnsi="Times New Roman" w:cs="Times New Roman"/>
          <w:sz w:val="24"/>
          <w:szCs w:val="24"/>
          <w:lang w:eastAsia="pl-PL"/>
        </w:rPr>
        <w:t xml:space="preserve"> np. pojemników, urządzeń i narzędzi,</w:t>
      </w:r>
    </w:p>
    <w:p w14:paraId="4F38EA77"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zaadaptowanie zbiornika odcieków zamkniętego składowiska na zbiornik p.poż.,</w:t>
      </w:r>
    </w:p>
    <w:p w14:paraId="5587AB73"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utwardzonych placów, ciągów bezkolizyjnej komunikacji kołowej i pieszej wewnątrz obiektu,</w:t>
      </w:r>
    </w:p>
    <w:p w14:paraId="50C93AE9"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wykonanie instalacji kanalizacyjnej na odcieki wraz z przepompownią/ podczyszczalnią ścieków, o ile będzie wymagana,</w:t>
      </w:r>
    </w:p>
    <w:p w14:paraId="52E5D835"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zagospodarowanie wód opadowych w obiegu zamkniętym – budowa niebiesko – zielonej infrastruktury,</w:t>
      </w:r>
    </w:p>
    <w:p w14:paraId="56A441BE"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modernizację i rozbudowę systemu monitoringu wizyjnego, systemu informatycznego, systemu sygnalizacji pożaru, systemu sygnalizacji włamania itp.</w:t>
      </w:r>
    </w:p>
    <w:p w14:paraId="767B03B7"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badanie i ocenę sprawności, udrożnienie i modernizacja niecki dezynfekcyjnej pozostałej po składowisku , wagi najazdowej itp.,</w:t>
      </w:r>
    </w:p>
    <w:p w14:paraId="684A80AF"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budowę ogrodzenia z bramami wjazdowymi, szlabanami itp. elementami kierunkującymi ruch wewnątrz obiektu tj. odrębnie dla PSZOK i </w:t>
      </w:r>
      <w:proofErr w:type="spellStart"/>
      <w:r w:rsidRPr="004C0434">
        <w:rPr>
          <w:rFonts w:ascii="Times New Roman" w:eastAsia="Times New Roman" w:hAnsi="Times New Roman" w:cs="Times New Roman"/>
          <w:sz w:val="24"/>
          <w:szCs w:val="24"/>
          <w:lang w:eastAsia="pl-PL"/>
        </w:rPr>
        <w:t>PNiPU</w:t>
      </w:r>
      <w:proofErr w:type="spellEnd"/>
      <w:r w:rsidRPr="004C0434">
        <w:rPr>
          <w:rFonts w:ascii="Times New Roman" w:eastAsia="Times New Roman" w:hAnsi="Times New Roman" w:cs="Times New Roman"/>
          <w:sz w:val="24"/>
          <w:szCs w:val="24"/>
          <w:lang w:eastAsia="pl-PL"/>
        </w:rPr>
        <w:t>,</w:t>
      </w:r>
    </w:p>
    <w:p w14:paraId="0D37A77F"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zagospodarowanie terenu, w tym zieleni, z częścią pokazową ogrodu dla owadów zapylających: „Człuchów dla owadów”, kompostowników przydomowych – jak założyć i prowadzić itp. jako elementami szkoleniowymi w zakresie dobrych praktyk,</w:t>
      </w:r>
    </w:p>
    <w:p w14:paraId="2B217886" w14:textId="77777777" w:rsidR="004C0434" w:rsidRPr="004C0434" w:rsidRDefault="004C0434" w:rsidP="004C0434">
      <w:pPr>
        <w:numPr>
          <w:ilvl w:val="0"/>
          <w:numId w:val="2"/>
        </w:num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budowę stanowisk do prowadzenia pomiarów meteorologicznych: klatka meteorologiczna, deszczomierz., wiatromierz,</w:t>
      </w:r>
    </w:p>
    <w:p w14:paraId="3E1967CC" w14:textId="77777777" w:rsidR="004C0434" w:rsidRPr="004C0434" w:rsidRDefault="004C0434" w:rsidP="004C0434">
      <w:pPr>
        <w:numPr>
          <w:ilvl w:val="0"/>
          <w:numId w:val="2"/>
        </w:numPr>
        <w:tabs>
          <w:tab w:val="left" w:pos="-6054"/>
        </w:tabs>
        <w:suppressAutoHyphens/>
        <w:autoSpaceDE w:val="0"/>
        <w:autoSpaceDN w:val="0"/>
        <w:spacing w:after="0"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doposażenie i wymianę zużytych pojemników, wdrożenie rozwiązań zwiększających recykling oraz wyposażenie (ujęcie w przedmiarach i kosztorysach) w:</w:t>
      </w:r>
    </w:p>
    <w:p w14:paraId="6FAFE302"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tablice z nazwami obiektów i pomieszczeń, </w:t>
      </w:r>
    </w:p>
    <w:p w14:paraId="49A4C521"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parametrami zbiornika p.poż. (objętość całkowita i czynna, głębokość całkowita i czynna), </w:t>
      </w:r>
    </w:p>
    <w:p w14:paraId="512B5123"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schemat technologiczny PSZOK, </w:t>
      </w:r>
    </w:p>
    <w:p w14:paraId="05D496DE"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oznaczenia urządzeń, armatury, rurociągów, </w:t>
      </w:r>
    </w:p>
    <w:p w14:paraId="47AC6C62"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oznaczenia gaśnic wraz z instrukcją obsługi, instrukcję </w:t>
      </w:r>
      <w:proofErr w:type="spellStart"/>
      <w:r w:rsidRPr="004C0434">
        <w:rPr>
          <w:rFonts w:ascii="Times New Roman" w:eastAsia="Times New Roman" w:hAnsi="Times New Roman" w:cs="Times New Roman"/>
          <w:sz w:val="24"/>
          <w:szCs w:val="24"/>
          <w:lang w:eastAsia="pl-PL"/>
        </w:rPr>
        <w:t>ppoż</w:t>
      </w:r>
      <w:proofErr w:type="spellEnd"/>
      <w:r w:rsidRPr="004C0434">
        <w:rPr>
          <w:rFonts w:ascii="Times New Roman" w:eastAsia="Times New Roman" w:hAnsi="Times New Roman" w:cs="Times New Roman"/>
          <w:sz w:val="24"/>
          <w:szCs w:val="24"/>
          <w:lang w:eastAsia="pl-PL"/>
        </w:rPr>
        <w:t xml:space="preserve"> ogólną i postępowania na wypadek pożaru, </w:t>
      </w:r>
    </w:p>
    <w:p w14:paraId="3CC6CC1C" w14:textId="77777777" w:rsidR="004C0434" w:rsidRPr="004C0434" w:rsidRDefault="004C0434" w:rsidP="004C0434">
      <w:pPr>
        <w:numPr>
          <w:ilvl w:val="0"/>
          <w:numId w:val="5"/>
        </w:numPr>
        <w:suppressAutoHyphens/>
        <w:autoSpaceDE w:val="0"/>
        <w:autoSpaceDN w:val="0"/>
        <w:spacing w:after="23"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oznaczenia, instrukcje i znaki zawieszone przy stanowiskach pracy - zasady postępowania przy udzielaniu pierwszej pomocy poszkodowanym w wypadkach, instrukcja BHP w PSZOK, instrukcje stanowiskowe, wykaz rodzajów prac, które powinny być wykonywane przez co najmniej dwie osoby i inne w uzgodnieniu z odpowiednimi służbami (inspektor pracy, specjalista bhp, specjalista </w:t>
      </w:r>
      <w:proofErr w:type="spellStart"/>
      <w:r w:rsidRPr="004C0434">
        <w:rPr>
          <w:rFonts w:ascii="Times New Roman" w:eastAsia="Times New Roman" w:hAnsi="Times New Roman" w:cs="Times New Roman"/>
          <w:sz w:val="24"/>
          <w:szCs w:val="24"/>
          <w:lang w:eastAsia="pl-PL"/>
        </w:rPr>
        <w:t>ppoż</w:t>
      </w:r>
      <w:proofErr w:type="spellEnd"/>
      <w:r w:rsidRPr="004C0434">
        <w:rPr>
          <w:rFonts w:ascii="Times New Roman" w:eastAsia="Times New Roman" w:hAnsi="Times New Roman" w:cs="Times New Roman"/>
          <w:sz w:val="24"/>
          <w:szCs w:val="24"/>
          <w:lang w:eastAsia="pl-PL"/>
        </w:rPr>
        <w:t xml:space="preserve">). </w:t>
      </w:r>
    </w:p>
    <w:p w14:paraId="31912637" w14:textId="77777777" w:rsidR="004C0434" w:rsidRPr="004C0434" w:rsidRDefault="004C0434" w:rsidP="004C0434">
      <w:pPr>
        <w:widowControl w:val="0"/>
        <w:autoSpaceDN w:val="0"/>
        <w:snapToGrid w:val="0"/>
        <w:spacing w:before="120" w:after="0" w:line="240" w:lineRule="auto"/>
        <w:rPr>
          <w:rFonts w:ascii="Times New Roman" w:eastAsia="Times New Roman" w:hAnsi="Times New Roman" w:cs="Times New Roman"/>
          <w:sz w:val="24"/>
          <w:szCs w:val="24"/>
          <w:lang w:eastAsia="ar-SA"/>
        </w:rPr>
      </w:pPr>
      <w:r w:rsidRPr="004C0434">
        <w:rPr>
          <w:rFonts w:ascii="Times New Roman" w:eastAsia="Times New Roman" w:hAnsi="Times New Roman" w:cs="Times New Roman"/>
          <w:sz w:val="24"/>
          <w:szCs w:val="24"/>
          <w:lang w:eastAsia="ar-SA"/>
        </w:rPr>
        <w:lastRenderedPageBreak/>
        <w:t>- Rozwiązania projektowe mają:</w:t>
      </w:r>
    </w:p>
    <w:p w14:paraId="2873CFDE" w14:textId="7E44B9C3"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zagwarantować uzyskanie zakładanych efektów poprzez zaangażowanie racjonalnych nakładów inwestycyjnych oraz transformację w kierunku GOZ,</w:t>
      </w:r>
      <w:r w:rsidR="00E8595D">
        <w:rPr>
          <w:rFonts w:ascii="Times New Roman" w:eastAsia="Times New Roman" w:hAnsi="Times New Roman" w:cs="Times New Roman"/>
          <w:kern w:val="3"/>
          <w:sz w:val="24"/>
          <w:szCs w:val="24"/>
          <w:lang w:eastAsia="ar-SA"/>
        </w:rPr>
        <w:t xml:space="preserve"> przy uwzględnieniu zasady „nie czyń znaczącej szkody”.</w:t>
      </w:r>
    </w:p>
    <w:p w14:paraId="7DFA40DA"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być zrównoważone pod względem rozwiązań technicznych i kosztów na etapie eksploatacji, uwzględniające dotychczas eksploatowane urządzenia,</w:t>
      </w:r>
    </w:p>
    <w:p w14:paraId="0496D6CC"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charakteryzować się wysoką, jakością wykonania, niską energochłonnością, niską emisją zanieczyszczeń i niskim poziomem wytwarzania produktów ubocznych / odpadów,</w:t>
      </w:r>
    </w:p>
    <w:p w14:paraId="29BAFD4B"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gwarantować niezawodność w działaniu oraz uwzględnić odporność na zmiany klimatu przy jednoczesnym zastosowaniu rozwiązań adaptacyjnych,</w:t>
      </w:r>
    </w:p>
    <w:p w14:paraId="0593EE08"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wszystkie urządzenia muszą pochodzić z bieżąco prowadzonej produkcji,</w:t>
      </w:r>
    </w:p>
    <w:p w14:paraId="171F5CD6"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proponowane rozwiązania materiałowe muszą być dostosowane do specyficznych warunków pracy i środowiska  i cechować się odpornością na korozję oraz wysoką trwałością,</w:t>
      </w:r>
    </w:p>
    <w:p w14:paraId="29392C80" w14:textId="77777777" w:rsidR="004C0434" w:rsidRPr="004C0434" w:rsidRDefault="004C0434" w:rsidP="004C0434">
      <w:pPr>
        <w:numPr>
          <w:ilvl w:val="0"/>
          <w:numId w:val="6"/>
        </w:numPr>
        <w:tabs>
          <w:tab w:val="left" w:pos="1134"/>
        </w:tabs>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proponowane obiekty i instalacje mają zapewnić zaplecze socjalne dla pracowników oraz  zagwarantować warunki pracy zgodne z obowiązującymi przepisami w zakresie BHP oraz warunki techniczne zgodne ze szczegółowymi wymaganiami dla miejsc magazynowania odpadów.</w:t>
      </w:r>
    </w:p>
    <w:p w14:paraId="116CEB2B" w14:textId="77777777" w:rsidR="004C0434" w:rsidRPr="004C0434" w:rsidRDefault="004C0434" w:rsidP="004C0434">
      <w:pPr>
        <w:autoSpaceDN w:val="0"/>
        <w:spacing w:after="200" w:line="240" w:lineRule="auto"/>
        <w:ind w:left="567"/>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UWAGA:</w:t>
      </w:r>
    </w:p>
    <w:p w14:paraId="1A867ABC" w14:textId="77777777" w:rsidR="004C0434" w:rsidRPr="004C0434" w:rsidRDefault="004C0434" w:rsidP="004C0434">
      <w:pPr>
        <w:autoSpaceDN w:val="0"/>
        <w:spacing w:after="200" w:line="240" w:lineRule="auto"/>
        <w:ind w:left="567"/>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Powyższe dane są ogólnymi wytycznymi do procesu projektowania, które należy na każdym etapie projektowania weryfikować i konsultować z Zamawiającym, w zależności od możliwości ekonomicznych, technicznych i technologicznych modernizowanego obiektu.</w:t>
      </w:r>
    </w:p>
    <w:p w14:paraId="341F34EC" w14:textId="77777777" w:rsidR="004C0434" w:rsidRPr="004C0434" w:rsidRDefault="004C0434" w:rsidP="004C0434">
      <w:pPr>
        <w:numPr>
          <w:ilvl w:val="0"/>
          <w:numId w:val="6"/>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Wykonawca zobowiązany jest opisać przedmiot zamówienia za pomocą cech technicznych i jakościowych, przy przestrzeganiu Polskich Norm przenoszących normy europejskie lub normy innych państw członkowskich Europejskiego Obszaru Gospodarczego, przenoszących te normy. W przypadku braku Polskich Norm przenoszących normy europejskie lub normy innych państw członkowskich EOG, należy uwzględnić normy zgodnie z ustawą Prawo zamówień publicznych.</w:t>
      </w:r>
    </w:p>
    <w:p w14:paraId="2C3E052C" w14:textId="77777777" w:rsidR="004C0434" w:rsidRPr="004C0434" w:rsidRDefault="004C0434" w:rsidP="004C0434">
      <w:pPr>
        <w:numPr>
          <w:ilvl w:val="0"/>
          <w:numId w:val="6"/>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 xml:space="preserve"> Wykonawca dokumentacji zobowiązany jest sporządzić wykaz maszyn/urządzeń/wyposażenia (lub ich grup) i opisać parametry techniczne, technologiczne i eksploatacyjne urządzeń zaprojektowanych oraz parametry, które będą brane pod uwagę przy ocenie równoważności. Wykaz sporządzony zostanie w formie uzgodnionej z Zamawiającym.</w:t>
      </w:r>
    </w:p>
    <w:p w14:paraId="62592EBE" w14:textId="77777777" w:rsidR="004C0434" w:rsidRPr="004C0434" w:rsidRDefault="004C0434" w:rsidP="004C0434">
      <w:pPr>
        <w:numPr>
          <w:ilvl w:val="0"/>
          <w:numId w:val="6"/>
        </w:numPr>
        <w:suppressAutoHyphens/>
        <w:autoSpaceDN w:val="0"/>
        <w:spacing w:after="200" w:line="240" w:lineRule="auto"/>
        <w:ind w:left="567"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Dokumentacja powinna ocenić przydatność istniejących obiektów (ekspertyza techniczna) do wykorzystania w proponowanej technologii, przewidzieć i obejmować ewentualny zakres ich rozbudowy lub przebudowy.</w:t>
      </w:r>
    </w:p>
    <w:p w14:paraId="12630CFD" w14:textId="77777777" w:rsidR="004C0434" w:rsidRPr="004C0434" w:rsidRDefault="004C0434" w:rsidP="004C0434">
      <w:pPr>
        <w:widowControl w:val="0"/>
        <w:autoSpaceDN w:val="0"/>
        <w:snapToGrid w:val="0"/>
        <w:spacing w:before="120" w:after="0" w:line="240" w:lineRule="auto"/>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 Do pozostałych obowiązków Wykonawcy należeć będzie:</w:t>
      </w:r>
    </w:p>
    <w:p w14:paraId="7CF5F0D7" w14:textId="77777777" w:rsidR="004C0434" w:rsidRPr="004C0434" w:rsidRDefault="004C0434" w:rsidP="004C0434">
      <w:pPr>
        <w:widowControl w:val="0"/>
        <w:autoSpaceDN w:val="0"/>
        <w:snapToGrid w:val="0"/>
        <w:spacing w:before="120" w:after="0" w:line="240" w:lineRule="auto"/>
        <w:rPr>
          <w:rFonts w:ascii="Times New Roman" w:eastAsia="Times New Roman" w:hAnsi="Times New Roman" w:cs="Times New Roman"/>
          <w:kern w:val="3"/>
          <w:sz w:val="24"/>
          <w:szCs w:val="24"/>
          <w:lang w:eastAsia="ar-SA"/>
        </w:rPr>
      </w:pPr>
    </w:p>
    <w:p w14:paraId="02256B62"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lastRenderedPageBreak/>
        <w:t>uwzględnienie w rozwiązaniach projektowych i opisanie w projekcie nieprzerwanej pracy obiektu PSZOK przy realizacji zadania (tzn. na etapie budowy),</w:t>
      </w:r>
    </w:p>
    <w:p w14:paraId="70954B11"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zapewnienie udziału w opracowaniu dokumentacji osób posiadających wymagane uprawnienia do projektowania w odpowiedniej specjalności oraz doświadczenie z podobnymi realizacjami,</w:t>
      </w:r>
    </w:p>
    <w:p w14:paraId="2A6DBB6C"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dokonanie skoordynowania i sprawdzenia zawartości i treści wszystkich opracowań, w zakresie wzajemnej zgodności,</w:t>
      </w:r>
    </w:p>
    <w:p w14:paraId="4EBBEC89"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znajomość wszystkich aktów prawa oraz regulaminów i wytycznych, które są w jakikolwiek sposób związane z wykonywaną dokumentacją i pełna odpowiedzialność za przestrzeganie ich postanowień podczas jej wykonywania,</w:t>
      </w:r>
    </w:p>
    <w:p w14:paraId="1A6E167E"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wyjaśnianie wątpliwości dotyczących projektu i zawartych w nim rozwiązań,</w:t>
      </w:r>
    </w:p>
    <w:p w14:paraId="0C61A7A2"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sprawdzenie dokumentacji pod względem zgodności z przepisami, w tym techniczno-budowlanymi i obowiązującymi Polskimi Normami, przez osobę posiadającą uprawnienia budowlane do projektowania bez ograniczeń w odpowiedniej specjalności lub przez rzeczoznawcę budowlanego,</w:t>
      </w:r>
    </w:p>
    <w:p w14:paraId="1968ACBF" w14:textId="77777777" w:rsidR="004C0434" w:rsidRPr="004C0434" w:rsidRDefault="004C0434" w:rsidP="004C0434">
      <w:pPr>
        <w:numPr>
          <w:ilvl w:val="0"/>
          <w:numId w:val="7"/>
        </w:numPr>
        <w:suppressAutoHyphens/>
        <w:autoSpaceDN w:val="0"/>
        <w:spacing w:after="200" w:line="240" w:lineRule="auto"/>
        <w:ind w:left="1134" w:hanging="425"/>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 xml:space="preserve">ciągła współpraca i pisemne uzgadnianie z Zamawiającym, między innymi rozwiązań projektowych i materiałowych (standard, parametry techniczne itp.)  na etapie realizacji niniejszego zamówienia, mających wpływ na koszt realizacji robót budowlanych i koszt eksploatacji obiektu PSZOK i </w:t>
      </w:r>
      <w:proofErr w:type="spellStart"/>
      <w:r w:rsidRPr="004C0434">
        <w:rPr>
          <w:rFonts w:ascii="Times New Roman" w:eastAsia="Times New Roman" w:hAnsi="Times New Roman" w:cs="Times New Roman"/>
          <w:kern w:val="3"/>
          <w:sz w:val="24"/>
          <w:szCs w:val="24"/>
          <w:lang w:eastAsia="ar-SA"/>
        </w:rPr>
        <w:t>PNiPU</w:t>
      </w:r>
      <w:proofErr w:type="spellEnd"/>
      <w:r w:rsidRPr="004C0434">
        <w:rPr>
          <w:rFonts w:ascii="Times New Roman" w:eastAsia="Times New Roman" w:hAnsi="Times New Roman" w:cs="Times New Roman"/>
          <w:kern w:val="3"/>
          <w:sz w:val="24"/>
          <w:szCs w:val="24"/>
          <w:lang w:eastAsia="ar-SA"/>
        </w:rPr>
        <w:t xml:space="preserve">, </w:t>
      </w:r>
    </w:p>
    <w:p w14:paraId="5FB7EC62" w14:textId="77777777" w:rsidR="004C0434" w:rsidRPr="004C0434" w:rsidRDefault="004C0434" w:rsidP="004C0434">
      <w:pPr>
        <w:widowControl w:val="0"/>
        <w:autoSpaceDN w:val="0"/>
        <w:snapToGrid w:val="0"/>
        <w:spacing w:before="120" w:after="0" w:line="240" w:lineRule="auto"/>
        <w:rPr>
          <w:rFonts w:ascii="Times New Roman" w:eastAsia="Times New Roman" w:hAnsi="Times New Roman" w:cs="Times New Roman"/>
          <w:bCs/>
          <w:sz w:val="24"/>
          <w:szCs w:val="24"/>
          <w:lang w:eastAsia="ar-SA"/>
        </w:rPr>
      </w:pPr>
      <w:r w:rsidRPr="004C0434">
        <w:rPr>
          <w:rFonts w:ascii="Times New Roman" w:eastAsia="Times New Roman" w:hAnsi="Times New Roman" w:cs="Times New Roman"/>
          <w:bCs/>
          <w:sz w:val="24"/>
          <w:szCs w:val="24"/>
          <w:lang w:eastAsia="ar-SA"/>
        </w:rPr>
        <w:t xml:space="preserve">- Obowiązki wykonawcy na etapie wyboru Wykonawcy Robót, wykonywania robót budowlanych i w okresie rękojmi. </w:t>
      </w:r>
    </w:p>
    <w:p w14:paraId="2DF45301" w14:textId="77777777" w:rsidR="004C0434" w:rsidRPr="004C0434" w:rsidRDefault="004C0434" w:rsidP="004C0434">
      <w:pPr>
        <w:widowControl w:val="0"/>
        <w:autoSpaceDN w:val="0"/>
        <w:snapToGrid w:val="0"/>
        <w:spacing w:before="120" w:after="0" w:line="240" w:lineRule="auto"/>
        <w:rPr>
          <w:rFonts w:ascii="Calibri" w:eastAsia="Calibri" w:hAnsi="Calibri" w:cs="Times New Roman"/>
          <w:kern w:val="3"/>
        </w:rPr>
      </w:pPr>
      <w:r w:rsidRPr="004C0434">
        <w:rPr>
          <w:rFonts w:ascii="Times New Roman" w:eastAsia="Times New Roman" w:hAnsi="Times New Roman" w:cs="Times New Roman"/>
          <w:bCs/>
          <w:kern w:val="3"/>
          <w:sz w:val="24"/>
          <w:szCs w:val="24"/>
          <w:lang w:eastAsia="ar-SA"/>
        </w:rPr>
        <w:t>Wykonawca zobowiązany jest w ramach ceny oferty do:</w:t>
      </w:r>
    </w:p>
    <w:p w14:paraId="11211A51" w14:textId="77777777" w:rsidR="004C0434" w:rsidRPr="004C0434" w:rsidRDefault="004C0434" w:rsidP="004C0434">
      <w:pPr>
        <w:numPr>
          <w:ilvl w:val="1"/>
          <w:numId w:val="8"/>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współpracy z Zamawiającym na etapie prowadzonych postępowań przetargowych na wybór wykonawcy/wykonawców robót, jak też do udzielania pisemnej odpowiedzi na zgłaszane zapytania wykonawców (w zakresie dotyczącym rozwiązań projektowych), w terminie maksymalnie do 2 dni roboczych, od dnia otrzymania zapytania,</w:t>
      </w:r>
    </w:p>
    <w:p w14:paraId="3DFB5DCF" w14:textId="77777777" w:rsidR="004C0434" w:rsidRPr="004C0434" w:rsidRDefault="004C0434" w:rsidP="004C0434">
      <w:pPr>
        <w:numPr>
          <w:ilvl w:val="1"/>
          <w:numId w:val="8"/>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 xml:space="preserve">udziału, w niezbędnym zakresie, w czynnościach badania i oceny złożonych ofert </w:t>
      </w:r>
      <w:r w:rsidRPr="004C0434">
        <w:rPr>
          <w:rFonts w:ascii="Times New Roman" w:eastAsia="Times New Roman" w:hAnsi="Times New Roman" w:cs="Times New Roman"/>
          <w:kern w:val="3"/>
          <w:sz w:val="24"/>
          <w:szCs w:val="24"/>
          <w:lang w:eastAsia="ar-SA"/>
        </w:rPr>
        <w:br/>
        <w:t xml:space="preserve">w postępowaniu o zamówienie publiczne na wykonanie robót budowlanych, obejmujących sprawdzenie równoważności oferowanych maszyn, urządzeń i wyposażenia pod kątem zgodności z wymaganiami określonymi w dokumentacji projektowej, </w:t>
      </w:r>
      <w:proofErr w:type="spellStart"/>
      <w:r w:rsidRPr="004C0434">
        <w:rPr>
          <w:rFonts w:ascii="Times New Roman" w:eastAsia="Times New Roman" w:hAnsi="Times New Roman" w:cs="Times New Roman"/>
          <w:kern w:val="3"/>
          <w:sz w:val="24"/>
          <w:szCs w:val="24"/>
          <w:lang w:eastAsia="ar-SA"/>
        </w:rPr>
        <w:t>STWiORB</w:t>
      </w:r>
      <w:proofErr w:type="spellEnd"/>
      <w:r w:rsidRPr="004C0434">
        <w:rPr>
          <w:rFonts w:ascii="Times New Roman" w:eastAsia="Times New Roman" w:hAnsi="Times New Roman" w:cs="Times New Roman"/>
          <w:kern w:val="3"/>
          <w:sz w:val="24"/>
          <w:szCs w:val="24"/>
          <w:lang w:eastAsia="ar-SA"/>
        </w:rPr>
        <w:t xml:space="preserve"> i w warunkach SIWZ oraz wydania w tym zakresie opinii pisemnej,</w:t>
      </w:r>
    </w:p>
    <w:p w14:paraId="6F4A9381" w14:textId="77777777" w:rsidR="004C0434" w:rsidRPr="004C0434" w:rsidRDefault="004C0434" w:rsidP="004C0434">
      <w:pPr>
        <w:numPr>
          <w:ilvl w:val="1"/>
          <w:numId w:val="8"/>
        </w:numPr>
        <w:tabs>
          <w:tab w:val="left" w:pos="2718"/>
        </w:tabs>
        <w:suppressAutoHyphens/>
        <w:autoSpaceDN w:val="0"/>
        <w:spacing w:after="200" w:line="240" w:lineRule="auto"/>
        <w:ind w:left="1134" w:hanging="283"/>
        <w:textAlignment w:val="baseline"/>
        <w:rPr>
          <w:rFonts w:ascii="Times New Roman" w:eastAsia="Times New Roman" w:hAnsi="Times New Roman" w:cs="Times New Roman"/>
          <w:kern w:val="3"/>
          <w:sz w:val="24"/>
          <w:szCs w:val="24"/>
          <w:lang w:eastAsia="ar-SA"/>
        </w:rPr>
      </w:pPr>
      <w:r w:rsidRPr="004C0434">
        <w:rPr>
          <w:rFonts w:ascii="Times New Roman" w:eastAsia="Times New Roman" w:hAnsi="Times New Roman" w:cs="Times New Roman"/>
          <w:kern w:val="3"/>
          <w:sz w:val="24"/>
          <w:szCs w:val="24"/>
          <w:lang w:eastAsia="ar-SA"/>
        </w:rPr>
        <w:t>do jednokrotnego wykonania aktualizacji każdego z kosztorysów inwestorskich, w terminie i w zakresie określonym przez Zamawiającego.</w:t>
      </w:r>
    </w:p>
    <w:p w14:paraId="1B09BCBE" w14:textId="77777777" w:rsidR="004C0434" w:rsidRPr="004C0434" w:rsidRDefault="004C0434" w:rsidP="004C0434">
      <w:pPr>
        <w:autoSpaceDN w:val="0"/>
        <w:spacing w:after="200" w:line="240" w:lineRule="auto"/>
        <w:rPr>
          <w:rFonts w:ascii="Calibri" w:eastAsia="Calibri" w:hAnsi="Calibri" w:cs="Times New Roman"/>
          <w:kern w:val="3"/>
        </w:rPr>
      </w:pPr>
      <w:r w:rsidRPr="004C0434">
        <w:rPr>
          <w:rFonts w:ascii="Times New Roman" w:eastAsia="Times New Roman" w:hAnsi="Times New Roman" w:cs="Times New Roman"/>
          <w:bCs/>
          <w:sz w:val="24"/>
          <w:szCs w:val="24"/>
          <w:lang w:eastAsia="ar-SA"/>
        </w:rPr>
        <w:t>- Wykonawca zobowiązuje się do pełnienia nadzoru autorskiego w okresie wykonywania robót budowlanych, wykonywanych w oparciu o opracowaną dokumentację, w zakresie i na warunkach określonych w odrębnej umowie.</w:t>
      </w:r>
    </w:p>
    <w:bookmarkEnd w:id="0"/>
    <w:p w14:paraId="5F9A88AF" w14:textId="77777777" w:rsidR="004C0434" w:rsidRPr="004C0434" w:rsidRDefault="004C0434" w:rsidP="004C0434">
      <w:p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Punktem wyjścia są ilości odpadów magazynowanych w PSZOK, z zastrzeżeniem, że mogą one ulec zwiększeniu, a w pierwszej kolejności zmienią się rodzaje odpadów, ponieważ oczekiwanym wynikiem przebudowy jest większa i bardziej efektywna segregacja odpadów. </w:t>
      </w:r>
    </w:p>
    <w:p w14:paraId="467A7C3D"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lastRenderedPageBreak/>
        <w:t>Zgodnie z art. 3 ust. 1 pkt 7 ustawy z dnia 14 grudnia 2012r. o odpadach, gdy w opisie przedmiotu zamówienia mowa o  odpadach komunalnych -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w:t>
      </w:r>
    </w:p>
    <w:p w14:paraId="63FD01C1"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a)  z gospodarstw domowych, w tym papier i tektura, szkło, metale, tworzywa sztuczne, bioodpady, drewno, tekstylia, opakowania, zużyty sprzęt elektryczny i elektroniczny, zużyte baterie i akumulatory oraz odpady wielkogabarytowe, w tym materace i meble, oraz</w:t>
      </w:r>
    </w:p>
    <w:p w14:paraId="7C3941E5"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b)  ze źródeł innych niż gospodarstwa domowe, jeżeli odpady te są podobne pod względem charakteru i składu do odpadów z gospodarstw domowych</w:t>
      </w:r>
    </w:p>
    <w:p w14:paraId="3BA1E6E7"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4D23F75F"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p>
    <w:p w14:paraId="77D5CDFA" w14:textId="77777777" w:rsidR="004C0434" w:rsidRPr="004C0434" w:rsidRDefault="004C0434" w:rsidP="004C0434">
      <w:pPr>
        <w:suppressAutoHyphens/>
        <w:autoSpaceDN w:val="0"/>
        <w:spacing w:line="240" w:lineRule="auto"/>
        <w:ind w:firstLine="708"/>
        <w:textAlignment w:val="baseline"/>
        <w:rPr>
          <w:rFonts w:ascii="Calibri" w:eastAsia="Calibri" w:hAnsi="Calibri" w:cs="Times New Roman"/>
          <w:kern w:val="3"/>
        </w:rPr>
      </w:pPr>
      <w:r w:rsidRPr="004C0434">
        <w:rPr>
          <w:rFonts w:ascii="Times New Roman" w:eastAsia="Times New Roman" w:hAnsi="Times New Roman" w:cs="Times New Roman"/>
          <w:sz w:val="24"/>
          <w:szCs w:val="24"/>
          <w:lang w:eastAsia="pl-PL"/>
        </w:rPr>
        <w:t xml:space="preserve">Na podstawie art. 4 ust. 1 odpady klasyfikuje się przez ich zaliczenie do odpowiedniej grupy, podgrupy i rodzaju odpadów, kierując się rozporządzeniem Ministra Klimatu w sprawie katalogu odpadów, </w:t>
      </w:r>
      <w:r w:rsidRPr="004C0434">
        <w:rPr>
          <w:rFonts w:ascii="Times New Roman" w:eastAsia="Calibri" w:hAnsi="Times New Roman" w:cs="Times New Roman"/>
          <w:kern w:val="3"/>
          <w:sz w:val="24"/>
          <w:szCs w:val="24"/>
        </w:rPr>
        <w:t>odpady, w zależności od źródła ich powstawania, dzieli się na grupy, które ze względu na przedmiot zadania należą do odpadów takich jak:</w:t>
      </w:r>
    </w:p>
    <w:p w14:paraId="604BE12F"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2 pkt 15) odpady opakowaniowe; sorbenty, tkaniny do wycierania, materiały filtracyjne i ubrania ochronne nieujęte w innych grupach - 15;</w:t>
      </w:r>
    </w:p>
    <w:p w14:paraId="5A0AC188"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2 pkt 16) odpady nieujęte w innych grupach - 16;</w:t>
      </w:r>
    </w:p>
    <w:p w14:paraId="69AF691A"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2 pkt 17) odpady z budowy, remontów i demontażu obiektów budowlanych oraz infrastruktury drogowej (włączając glebę i ziemię z terenów zanieczyszczonych) - 17;</w:t>
      </w:r>
    </w:p>
    <w:p w14:paraId="095FFD77"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2 pkt 20) odpady komunalne łącznie z frakcjami gromadzonymi selektywnie - 20.</w:t>
      </w:r>
    </w:p>
    <w:p w14:paraId="428B6ABD" w14:textId="77777777" w:rsidR="004C0434" w:rsidRPr="004C0434" w:rsidRDefault="004C0434" w:rsidP="004C0434">
      <w:pPr>
        <w:autoSpaceDN w:val="0"/>
        <w:spacing w:after="0" w:line="240" w:lineRule="auto"/>
        <w:rPr>
          <w:rFonts w:ascii="Times New Roman" w:eastAsia="Times New Roman" w:hAnsi="Times New Roman" w:cs="Times New Roman"/>
          <w:sz w:val="24"/>
          <w:szCs w:val="24"/>
          <w:lang w:eastAsia="pl-PL"/>
        </w:rPr>
      </w:pPr>
    </w:p>
    <w:p w14:paraId="798AAA73" w14:textId="77777777" w:rsidR="004C0434" w:rsidRPr="004C0434" w:rsidRDefault="004C0434" w:rsidP="004C0434">
      <w:pPr>
        <w:autoSpaceDN w:val="0"/>
        <w:spacing w:line="240" w:lineRule="auto"/>
        <w:ind w:firstLine="708"/>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Ustawa o utrzymaniu czystości i porządku w gminach w art. 1a stanowi, że w sprawach dotyczących postępowania z odpadami komunalnymi w zakresie nieuregulowanym w niniejszej ustawie stosuje się przepisy </w:t>
      </w:r>
      <w:hyperlink r:id="rId6" w:anchor="/document/17940659?cm=DOCUMENT" w:history="1">
        <w:r w:rsidRPr="004C0434">
          <w:rPr>
            <w:rFonts w:ascii="Times New Roman" w:eastAsia="Times New Roman" w:hAnsi="Times New Roman" w:cs="Times New Roman"/>
            <w:color w:val="0000FF"/>
            <w:sz w:val="24"/>
            <w:szCs w:val="24"/>
            <w:u w:val="single"/>
            <w:lang w:eastAsia="pl-PL"/>
          </w:rPr>
          <w:t>ustawy</w:t>
        </w:r>
      </w:hyperlink>
      <w:r w:rsidRPr="004C0434">
        <w:rPr>
          <w:rFonts w:ascii="Times New Roman" w:eastAsia="Times New Roman" w:hAnsi="Times New Roman" w:cs="Times New Roman"/>
          <w:sz w:val="24"/>
          <w:szCs w:val="24"/>
          <w:lang w:eastAsia="pl-PL"/>
        </w:rPr>
        <w:t xml:space="preserve"> z dnia 14 grudnia 2012 r. o odpadach (Dz. U. z 2022 r. poz. 699, 1250, 1726 i 2127). </w:t>
      </w:r>
    </w:p>
    <w:p w14:paraId="57B9FD28" w14:textId="77777777" w:rsidR="004C0434" w:rsidRPr="004C0434" w:rsidRDefault="004C0434" w:rsidP="004C0434">
      <w:pPr>
        <w:autoSpaceDN w:val="0"/>
        <w:spacing w:line="240" w:lineRule="auto"/>
        <w:textAlignment w:val="baseline"/>
        <w:rPr>
          <w:rFonts w:ascii="Calibri" w:eastAsia="Calibri" w:hAnsi="Calibri" w:cs="Times New Roman"/>
          <w:kern w:val="3"/>
        </w:rPr>
      </w:pPr>
      <w:r w:rsidRPr="004C0434">
        <w:rPr>
          <w:rFonts w:ascii="Times New Roman" w:eastAsia="Times New Roman" w:hAnsi="Times New Roman" w:cs="Times New Roman"/>
          <w:sz w:val="24"/>
          <w:szCs w:val="24"/>
          <w:lang w:eastAsia="pl-PL"/>
        </w:rPr>
        <w:t xml:space="preserve">W związku z czym, mając na względzie art. 3 ust. 2 pkt 6, zgodnie z którym gminy  tworzą w sposób umożliwiający łatwy dostęp wszystkim mieszkańcom gminy punkty selektywnego zbierania odpadów komunalnych, które zapewniają przyjmowanie co najmniej odpadów komunalnych wymienionych w pkt 5 (tj. </w:t>
      </w:r>
      <w:r w:rsidRPr="004C0434">
        <w:rPr>
          <w:rFonts w:ascii="Times New Roman" w:eastAsia="Calibri" w:hAnsi="Times New Roman" w:cs="Times New Roman"/>
          <w:kern w:val="3"/>
          <w:sz w:val="24"/>
          <w:szCs w:val="24"/>
        </w:rPr>
        <w:t xml:space="preserve">papier, metale, tworzywa sztuczne, szkło, odpady opakowaniowe wielomateriałowe oraz bioodpady), </w:t>
      </w:r>
      <w:r w:rsidRPr="004C0434">
        <w:rPr>
          <w:rFonts w:ascii="Times New Roman" w:eastAsia="Times New Roman" w:hAnsi="Times New Roman" w:cs="Times New Roman"/>
          <w:sz w:val="24"/>
          <w:szCs w:val="24"/>
          <w:lang w:eastAsia="pl-PL"/>
        </w:rPr>
        <w:t>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oraz odpadów tekstyliów i odzieży, a także odpadów budowlanych i rozbiórkowych z gospodarstw domowych, należy zaprojektować rozbudowę i przebudowę obiektu, z uwzględnieniem fazy poeksploatacyjnej istniejącej kwatery zamkniętego składowiska.</w:t>
      </w:r>
    </w:p>
    <w:p w14:paraId="1531B948" w14:textId="77777777" w:rsidR="004C0434" w:rsidRPr="004C0434" w:rsidRDefault="004C0434" w:rsidP="004C0434">
      <w:pPr>
        <w:suppressAutoHyphens/>
        <w:autoSpaceDN w:val="0"/>
        <w:spacing w:line="240" w:lineRule="auto"/>
        <w:textAlignment w:val="baseline"/>
        <w:rPr>
          <w:rFonts w:ascii="Times New Roman" w:eastAsia="Times New Roman" w:hAnsi="Times New Roman" w:cs="Times New Roman"/>
          <w:sz w:val="24"/>
          <w:szCs w:val="24"/>
          <w:lang w:eastAsia="pl-PL"/>
        </w:rPr>
      </w:pPr>
      <w:r w:rsidRPr="004C0434">
        <w:rPr>
          <w:rFonts w:ascii="Times New Roman" w:eastAsia="Times New Roman" w:hAnsi="Times New Roman" w:cs="Times New Roman"/>
          <w:sz w:val="24"/>
          <w:szCs w:val="24"/>
          <w:lang w:eastAsia="pl-PL"/>
        </w:rPr>
        <w:t xml:space="preserve">Rzeczywiste ilości zebrane w ramach magazynowania w latach 2021 i 2022 przedstawia tabela, która jest punktem wyjścia, a nie zestawieniem wiążącym, co do rodzajów opadów. </w:t>
      </w:r>
      <w:r w:rsidRPr="004C0434">
        <w:rPr>
          <w:rFonts w:ascii="Times New Roman" w:eastAsia="Times New Roman" w:hAnsi="Times New Roman" w:cs="Times New Roman"/>
          <w:sz w:val="24"/>
          <w:szCs w:val="24"/>
          <w:lang w:eastAsia="pl-PL"/>
        </w:rPr>
        <w:lastRenderedPageBreak/>
        <w:t>Istotne bowiem jest takie zaplanowanie przedsięwzięcia, aby segregacja odpadów „u źródła” została znacząco zwiększona, w celu nadążania za wymaganiami w zakresie osiągnięcia poziomów odzysku i recyklingu w następnych latach.</w:t>
      </w:r>
    </w:p>
    <w:p w14:paraId="2F9DB927" w14:textId="77777777" w:rsidR="004C0434" w:rsidRPr="004C0434" w:rsidRDefault="004C0434" w:rsidP="004C0434">
      <w:pPr>
        <w:suppressAutoHyphens/>
        <w:autoSpaceDN w:val="0"/>
        <w:spacing w:line="240" w:lineRule="auto"/>
        <w:textAlignment w:val="baseline"/>
        <w:rPr>
          <w:rFonts w:ascii="Calibri" w:eastAsia="Calibri" w:hAnsi="Calibri" w:cs="Times New Roman"/>
          <w:kern w:val="3"/>
        </w:rPr>
      </w:pPr>
      <w:r w:rsidRPr="004C0434">
        <w:rPr>
          <w:rFonts w:ascii="Times New Roman" w:eastAsia="Calibri" w:hAnsi="Times New Roman" w:cs="Times New Roman"/>
          <w:noProof/>
          <w:kern w:val="3"/>
          <w:sz w:val="24"/>
          <w:szCs w:val="24"/>
          <w:lang w:eastAsia="pl-PL"/>
        </w:rPr>
        <w:drawing>
          <wp:inline distT="0" distB="0" distL="0" distR="0" wp14:anchorId="6A458A67" wp14:editId="08DB8410">
            <wp:extent cx="5848350" cy="4772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4772025"/>
                    </a:xfrm>
                    <a:prstGeom prst="rect">
                      <a:avLst/>
                    </a:prstGeom>
                    <a:noFill/>
                    <a:ln>
                      <a:noFill/>
                    </a:ln>
                  </pic:spPr>
                </pic:pic>
              </a:graphicData>
            </a:graphic>
          </wp:inline>
        </w:drawing>
      </w:r>
    </w:p>
    <w:p w14:paraId="50D4D745" w14:textId="77777777" w:rsidR="00F53499" w:rsidRPr="00F53499" w:rsidRDefault="004C0434" w:rsidP="004C0434">
      <w:pPr>
        <w:suppressAutoHyphens/>
        <w:autoSpaceDN w:val="0"/>
        <w:spacing w:after="0" w:line="360" w:lineRule="auto"/>
        <w:jc w:val="both"/>
        <w:textAlignment w:val="baseline"/>
        <w:rPr>
          <w:rFonts w:ascii="Times New Roman" w:eastAsia="Times New Roman" w:hAnsi="Times New Roman" w:cs="Times New Roman"/>
          <w:szCs w:val="20"/>
          <w:lang w:eastAsia="ar-SA"/>
        </w:rPr>
      </w:pPr>
      <w:r w:rsidRPr="004C0434">
        <w:rPr>
          <w:rFonts w:ascii="Times New Roman" w:eastAsia="Times New Roman" w:hAnsi="Times New Roman" w:cs="Times New Roman"/>
          <w:sz w:val="24"/>
          <w:szCs w:val="24"/>
          <w:lang w:eastAsia="pl-PL"/>
        </w:rPr>
        <w:t xml:space="preserve">Mając na uwadze cel planowanej </w:t>
      </w:r>
      <w:r w:rsidRPr="004C0434">
        <w:rPr>
          <w:rFonts w:ascii="Times New Roman" w:eastAsia="Times New Roman" w:hAnsi="Times New Roman" w:cs="Times New Roman"/>
          <w:iCs/>
          <w:kern w:val="3"/>
          <w:sz w:val="24"/>
          <w:szCs w:val="24"/>
          <w:lang w:eastAsia="pl-PL" w:bidi="hi-IN"/>
        </w:rPr>
        <w:t>rozbudowy i przebudowy istniejącego obiektu należy brać pod uwagę oczekiwany stan tj. zwiększenie poziomów odzysku i recyklingu oraz</w:t>
      </w:r>
      <w:r w:rsidRPr="004C0434">
        <w:rPr>
          <w:rFonts w:ascii="Times New Roman" w:eastAsia="Times New Roman" w:hAnsi="Times New Roman" w:cs="Times New Roman"/>
          <w:b/>
          <w:bCs/>
          <w:iCs/>
          <w:kern w:val="3"/>
          <w:sz w:val="24"/>
          <w:szCs w:val="24"/>
          <w:lang w:eastAsia="pl-PL" w:bidi="hi-IN"/>
        </w:rPr>
        <w:t xml:space="preserve"> </w:t>
      </w:r>
      <w:r w:rsidRPr="004C0434">
        <w:rPr>
          <w:rFonts w:ascii="Times New Roman" w:eastAsia="Times New Roman" w:hAnsi="Times New Roman" w:cs="Times New Roman"/>
          <w:sz w:val="24"/>
          <w:szCs w:val="24"/>
          <w:lang w:eastAsia="pl-PL"/>
        </w:rPr>
        <w:t xml:space="preserve"> transformację w kierunku modelu GOZ - gospodarki obiegu zamkniętego, jak również osiągnięcie wymiernych korzyści ekonomicznych i środowiskowych m. in. poprzez racjonalizację kosztów, przekształcanie odpadów w produkty tj. wydłużanie cyklu życia produktów, umożliwienie wymiany produktów zanim staną się odpadami, mniejsze zużycie zasobów naturalnych dla procesów gospodarowania odpadami, m. in. przez wdrożenie nowoczesnej logistyki i wykorzystanie OZE oraz obiegu zamknięte</w:t>
      </w:r>
    </w:p>
    <w:p w14:paraId="1053648F" w14:textId="77777777" w:rsidR="00C72258" w:rsidRDefault="00C72258"/>
    <w:sectPr w:rsidR="00C72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B1E"/>
    <w:multiLevelType w:val="multilevel"/>
    <w:tmpl w:val="D4D6952E"/>
    <w:lvl w:ilvl="0">
      <w:numFmt w:val="bullet"/>
      <w:lvlText w:val=""/>
      <w:lvlJc w:val="left"/>
      <w:pPr>
        <w:ind w:left="2220" w:hanging="360"/>
      </w:pPr>
      <w:rPr>
        <w:rFonts w:ascii="Symbol" w:hAnsi="Symbol"/>
      </w:rPr>
    </w:lvl>
    <w:lvl w:ilvl="1">
      <w:numFmt w:val="bullet"/>
      <w:lvlText w:val="o"/>
      <w:lvlJc w:val="left"/>
      <w:pPr>
        <w:ind w:left="2940" w:hanging="360"/>
      </w:pPr>
      <w:rPr>
        <w:rFonts w:ascii="Courier New" w:hAnsi="Courier New" w:cs="Courier New"/>
      </w:rPr>
    </w:lvl>
    <w:lvl w:ilvl="2">
      <w:numFmt w:val="bullet"/>
      <w:lvlText w:val=""/>
      <w:lvlJc w:val="left"/>
      <w:pPr>
        <w:ind w:left="3660" w:hanging="360"/>
      </w:pPr>
      <w:rPr>
        <w:rFonts w:ascii="Wingdings" w:hAnsi="Wingdings"/>
      </w:rPr>
    </w:lvl>
    <w:lvl w:ilvl="3">
      <w:numFmt w:val="bullet"/>
      <w:lvlText w:val=""/>
      <w:lvlJc w:val="left"/>
      <w:pPr>
        <w:ind w:left="4380" w:hanging="360"/>
      </w:pPr>
      <w:rPr>
        <w:rFonts w:ascii="Symbol" w:hAnsi="Symbol"/>
      </w:rPr>
    </w:lvl>
    <w:lvl w:ilvl="4">
      <w:numFmt w:val="bullet"/>
      <w:lvlText w:val="o"/>
      <w:lvlJc w:val="left"/>
      <w:pPr>
        <w:ind w:left="5100" w:hanging="360"/>
      </w:pPr>
      <w:rPr>
        <w:rFonts w:ascii="Courier New" w:hAnsi="Courier New" w:cs="Courier New"/>
      </w:rPr>
    </w:lvl>
    <w:lvl w:ilvl="5">
      <w:numFmt w:val="bullet"/>
      <w:lvlText w:val=""/>
      <w:lvlJc w:val="left"/>
      <w:pPr>
        <w:ind w:left="5820" w:hanging="360"/>
      </w:pPr>
      <w:rPr>
        <w:rFonts w:ascii="Wingdings" w:hAnsi="Wingdings"/>
      </w:rPr>
    </w:lvl>
    <w:lvl w:ilvl="6">
      <w:numFmt w:val="bullet"/>
      <w:lvlText w:val=""/>
      <w:lvlJc w:val="left"/>
      <w:pPr>
        <w:ind w:left="6540" w:hanging="360"/>
      </w:pPr>
      <w:rPr>
        <w:rFonts w:ascii="Symbol" w:hAnsi="Symbol"/>
      </w:rPr>
    </w:lvl>
    <w:lvl w:ilvl="7">
      <w:numFmt w:val="bullet"/>
      <w:lvlText w:val="o"/>
      <w:lvlJc w:val="left"/>
      <w:pPr>
        <w:ind w:left="7260" w:hanging="360"/>
      </w:pPr>
      <w:rPr>
        <w:rFonts w:ascii="Courier New" w:hAnsi="Courier New" w:cs="Courier New"/>
      </w:rPr>
    </w:lvl>
    <w:lvl w:ilvl="8">
      <w:numFmt w:val="bullet"/>
      <w:lvlText w:val=""/>
      <w:lvlJc w:val="left"/>
      <w:pPr>
        <w:ind w:left="7980" w:hanging="360"/>
      </w:pPr>
      <w:rPr>
        <w:rFonts w:ascii="Wingdings" w:hAnsi="Wingdings"/>
      </w:rPr>
    </w:lvl>
  </w:abstractNum>
  <w:abstractNum w:abstractNumId="1" w15:restartNumberingAfterBreak="0">
    <w:nsid w:val="0B7409C1"/>
    <w:multiLevelType w:val="multilevel"/>
    <w:tmpl w:val="D2BC0DB0"/>
    <w:lvl w:ilvl="0">
      <w:start w:val="1"/>
      <w:numFmt w:val="lowerLetter"/>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2" w15:restartNumberingAfterBreak="0">
    <w:nsid w:val="10B073FD"/>
    <w:multiLevelType w:val="multilevel"/>
    <w:tmpl w:val="E5269204"/>
    <w:lvl w:ilvl="0">
      <w:start w:val="1"/>
      <w:numFmt w:val="lowerLetter"/>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3" w15:restartNumberingAfterBreak="0">
    <w:nsid w:val="18760EE7"/>
    <w:multiLevelType w:val="multilevel"/>
    <w:tmpl w:val="BA6E91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D41042"/>
    <w:multiLevelType w:val="multilevel"/>
    <w:tmpl w:val="B0E61E0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73122"/>
    <w:multiLevelType w:val="multilevel"/>
    <w:tmpl w:val="208ACAF2"/>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FCF2C7F"/>
    <w:multiLevelType w:val="multilevel"/>
    <w:tmpl w:val="8C7C02EA"/>
    <w:lvl w:ilvl="0">
      <w:start w:val="1"/>
      <w:numFmt w:val="decimal"/>
      <w:lvlText w:val="%1)"/>
      <w:lvlJc w:val="left"/>
      <w:pPr>
        <w:ind w:left="786" w:hanging="360"/>
      </w:pPr>
      <w:rPr>
        <w:color w:val="auto"/>
      </w:rPr>
    </w:lvl>
    <w:lvl w:ilvl="1">
      <w:start w:val="1"/>
      <w:numFmt w:val="lowerLetter"/>
      <w:lvlText w:val="%2)"/>
      <w:lvlJc w:val="left"/>
      <w:pPr>
        <w:ind w:left="2718" w:hanging="360"/>
      </w:pPr>
      <w:rPr>
        <w:color w:val="auto"/>
      </w:rPr>
    </w:lvl>
    <w:lvl w:ilvl="2">
      <w:numFmt w:val="bullet"/>
      <w:lvlText w:val=""/>
      <w:lvlJc w:val="left"/>
      <w:pPr>
        <w:ind w:left="3438" w:hanging="360"/>
      </w:pPr>
      <w:rPr>
        <w:rFonts w:ascii="Wingdings" w:hAnsi="Wingdings"/>
      </w:rPr>
    </w:lvl>
    <w:lvl w:ilvl="3">
      <w:start w:val="1"/>
      <w:numFmt w:val="decimal"/>
      <w:lvlText w:val="%4)"/>
      <w:lvlJc w:val="left"/>
      <w:pPr>
        <w:ind w:left="4158" w:hanging="360"/>
      </w:pPr>
    </w:lvl>
    <w:lvl w:ilvl="4">
      <w:start w:val="6"/>
      <w:numFmt w:val="decimal"/>
      <w:lvlText w:val="%5."/>
      <w:lvlJc w:val="left"/>
      <w:pPr>
        <w:ind w:left="4878" w:hanging="360"/>
      </w:pPr>
      <w:rPr>
        <w:rFonts w:ascii="Times New Roman" w:hAnsi="Times New Roman" w:cs="Times New Roman"/>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num w:numId="1" w16cid:durableId="696468166">
    <w:abstractNumId w:val="4"/>
  </w:num>
  <w:num w:numId="2" w16cid:durableId="1709330235">
    <w:abstractNumId w:val="3"/>
  </w:num>
  <w:num w:numId="3" w16cid:durableId="251625149">
    <w:abstractNumId w:val="3"/>
    <w:lvlOverride w:ilvl="0">
      <w:startOverride w:val="1"/>
    </w:lvlOverride>
  </w:num>
  <w:num w:numId="4" w16cid:durableId="1062749184">
    <w:abstractNumId w:val="0"/>
  </w:num>
  <w:num w:numId="5" w16cid:durableId="701788950">
    <w:abstractNumId w:val="5"/>
  </w:num>
  <w:num w:numId="6" w16cid:durableId="522090926">
    <w:abstractNumId w:val="2"/>
  </w:num>
  <w:num w:numId="7" w16cid:durableId="1635522427">
    <w:abstractNumId w:val="1"/>
  </w:num>
  <w:num w:numId="8" w16cid:durableId="89693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6C"/>
    <w:rsid w:val="003152E0"/>
    <w:rsid w:val="003B4B6C"/>
    <w:rsid w:val="004C0434"/>
    <w:rsid w:val="009968FF"/>
    <w:rsid w:val="00C72258"/>
    <w:rsid w:val="00E8595D"/>
    <w:rsid w:val="00F53499"/>
    <w:rsid w:val="00FE6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6781"/>
  <w15:chartTrackingRefBased/>
  <w15:docId w15:val="{6CE4C2F3-C875-45E1-A8D6-3C56F423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5B93-76FD-4B6B-913F-15D7D910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2614</Words>
  <Characters>15688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Dorota Lipska</cp:lastModifiedBy>
  <cp:revision>4</cp:revision>
  <dcterms:created xsi:type="dcterms:W3CDTF">2023-05-15T05:38:00Z</dcterms:created>
  <dcterms:modified xsi:type="dcterms:W3CDTF">2023-05-17T08:48:00Z</dcterms:modified>
</cp:coreProperties>
</file>