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7104FF">
      <w:pPr>
        <w:spacing w:after="120" w:line="276" w:lineRule="auto"/>
        <w:ind w:left="0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r w:rsidRPr="00FC4A8D">
        <w:rPr>
          <w:rFonts w:ascii="Arial" w:eastAsia="Calibri" w:hAnsi="Arial" w:cs="Arial"/>
          <w:b/>
          <w:sz w:val="22"/>
          <w:lang w:eastAsia="en-US"/>
        </w:rPr>
        <w:t>na</w:t>
      </w:r>
      <w:r w:rsidR="00090509">
        <w:rPr>
          <w:rFonts w:ascii="Arial" w:eastAsia="Calibri" w:hAnsi="Arial" w:cs="Arial"/>
          <w:b/>
          <w:sz w:val="22"/>
          <w:lang w:eastAsia="en-US"/>
        </w:rPr>
        <w:br/>
      </w:r>
      <w:r w:rsidR="004F295F" w:rsidRPr="00FC4A8D">
        <w:rPr>
          <w:rFonts w:ascii="Arial" w:eastAsia="Calibri" w:hAnsi="Arial" w:cs="Arial"/>
          <w:b/>
          <w:sz w:val="22"/>
          <w:lang w:eastAsia="en-US"/>
        </w:rPr>
        <w:t>d</w:t>
      </w:r>
      <w:r w:rsidRPr="00FC4A8D">
        <w:rPr>
          <w:rFonts w:ascii="Arial" w:eastAsia="Calibri" w:hAnsi="Arial" w:cs="Arial"/>
          <w:b/>
          <w:sz w:val="22"/>
          <w:lang w:eastAsia="en-US"/>
        </w:rPr>
        <w:t xml:space="preserve">ostawę </w:t>
      </w:r>
      <w:r w:rsidR="00090509" w:rsidRPr="00090509">
        <w:rPr>
          <w:rFonts w:ascii="Arial" w:eastAsia="Calibri" w:hAnsi="Arial" w:cs="Arial"/>
          <w:b/>
          <w:color w:val="auto"/>
          <w:sz w:val="22"/>
          <w:lang w:eastAsia="en-US"/>
        </w:rPr>
        <w:t xml:space="preserve">i wdrożenie </w:t>
      </w:r>
      <w:r w:rsidR="009808A6">
        <w:rPr>
          <w:rFonts w:ascii="Arial" w:eastAsia="Calibri" w:hAnsi="Arial" w:cs="Arial"/>
          <w:b/>
          <w:color w:val="auto"/>
          <w:sz w:val="22"/>
          <w:lang w:eastAsia="en-US"/>
        </w:rPr>
        <w:t>przełączników sieci LAN</w:t>
      </w:r>
      <w:r w:rsidR="00090509" w:rsidRPr="00090509">
        <w:rPr>
          <w:rFonts w:ascii="Arial" w:eastAsia="Calibri" w:hAnsi="Arial" w:cs="Arial"/>
          <w:b/>
          <w:color w:val="auto"/>
          <w:sz w:val="22"/>
          <w:lang w:eastAsia="en-US"/>
        </w:rPr>
        <w:t xml:space="preserve"> KG PSP</w:t>
      </w:r>
    </w:p>
    <w:p w:rsidR="00042894" w:rsidRPr="00FC4A8D" w:rsidRDefault="00042894" w:rsidP="007104FF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>nr sprawy: BF-IV</w:t>
      </w:r>
      <w:r w:rsidR="009808A6">
        <w:rPr>
          <w:rFonts w:ascii="Arial" w:hAnsi="Arial" w:cs="Arial"/>
          <w:b/>
          <w:sz w:val="22"/>
        </w:rPr>
        <w:t>.</w:t>
      </w:r>
      <w:r w:rsidRPr="00FC4A8D">
        <w:rPr>
          <w:rFonts w:ascii="Arial" w:hAnsi="Arial" w:cs="Arial"/>
          <w:b/>
          <w:sz w:val="22"/>
        </w:rPr>
        <w:t>2370</w:t>
      </w:r>
      <w:r w:rsidR="009808A6">
        <w:rPr>
          <w:rFonts w:ascii="Arial" w:hAnsi="Arial" w:cs="Arial"/>
          <w:b/>
          <w:sz w:val="22"/>
        </w:rPr>
        <w:t>.3.2022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 2021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1129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treci0"/>
        <w:shd w:val="clear" w:color="auto" w:fill="auto"/>
        <w:spacing w:after="260" w:line="276" w:lineRule="auto"/>
        <w:jc w:val="left"/>
        <w:rPr>
          <w:rFonts w:ascii="Arial" w:hAnsi="Arial" w:cs="Arial"/>
          <w:sz w:val="22"/>
          <w:szCs w:val="22"/>
        </w:rPr>
      </w:pPr>
      <w:r w:rsidRPr="00FC4A8D">
        <w:rPr>
          <w:rFonts w:ascii="Arial" w:hAnsi="Arial" w:cs="Arial"/>
          <w:sz w:val="22"/>
          <w:szCs w:val="22"/>
        </w:rPr>
        <w:br w:type="page"/>
      </w: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lastRenderedPageBreak/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22 523 33 3</w:t>
      </w:r>
      <w:r w:rsidR="00090509">
        <w:rPr>
          <w:rFonts w:ascii="Arial" w:hAnsi="Arial" w:cs="Arial"/>
          <w:sz w:val="22"/>
          <w:szCs w:val="22"/>
        </w:rPr>
        <w:t>1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:rsidR="00947143" w:rsidRPr="00AF1D5F" w:rsidRDefault="00947143" w:rsidP="004F0062">
      <w:pPr>
        <w:pStyle w:val="Teksttreci0"/>
        <w:numPr>
          <w:ilvl w:val="0"/>
          <w:numId w:val="16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10" w:history="1"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0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0"/>
    </w:p>
    <w:p w:rsidR="00CB3763" w:rsidRPr="00CB3763" w:rsidRDefault="00090509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7D3CDB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 xml:space="preserve">Zamawiający </w:t>
      </w:r>
      <w:r w:rsidR="00090509" w:rsidRPr="001257FA">
        <w:rPr>
          <w:rFonts w:ascii="Arial" w:hAnsi="Arial" w:cs="Arial"/>
          <w:color w:val="000000" w:themeColor="text1"/>
          <w:sz w:val="22"/>
        </w:rPr>
        <w:t xml:space="preserve">nie </w:t>
      </w:r>
      <w:r w:rsidRPr="001257FA">
        <w:rPr>
          <w:rFonts w:ascii="Arial" w:hAnsi="Arial" w:cs="Arial"/>
          <w:color w:val="000000" w:themeColor="text1"/>
          <w:sz w:val="22"/>
        </w:rPr>
        <w:t>dopuszcza składani</w:t>
      </w:r>
      <w:r w:rsidR="00090509" w:rsidRPr="001257FA">
        <w:rPr>
          <w:rFonts w:ascii="Arial" w:hAnsi="Arial" w:cs="Arial"/>
          <w:color w:val="000000" w:themeColor="text1"/>
          <w:sz w:val="22"/>
        </w:rPr>
        <w:t>a</w:t>
      </w:r>
      <w:r w:rsidR="00CB3763" w:rsidRPr="001257FA">
        <w:rPr>
          <w:rFonts w:ascii="Arial" w:hAnsi="Arial" w:cs="Arial"/>
          <w:color w:val="000000" w:themeColor="text1"/>
          <w:sz w:val="22"/>
        </w:rPr>
        <w:t xml:space="preserve"> ofert częściowych</w:t>
      </w:r>
      <w:r w:rsidR="00090509" w:rsidRPr="001257FA">
        <w:rPr>
          <w:rFonts w:ascii="Arial" w:hAnsi="Arial" w:cs="Arial"/>
          <w:color w:val="000000" w:themeColor="text1"/>
          <w:sz w:val="22"/>
        </w:rPr>
        <w:t>.</w:t>
      </w:r>
      <w:r w:rsidR="001257FA" w:rsidRPr="001257FA">
        <w:rPr>
          <w:rFonts w:ascii="Arial" w:hAnsi="Arial" w:cs="Arial"/>
          <w:sz w:val="22"/>
        </w:rPr>
        <w:t xml:space="preserve"> Powody niedokonania podziału zamówienia na części są następujące:</w:t>
      </w:r>
    </w:p>
    <w:p w:rsidR="001257FA" w:rsidRPr="001257FA" w:rsidRDefault="001257FA" w:rsidP="00B51F7F">
      <w:pPr>
        <w:widowControl w:val="0"/>
        <w:tabs>
          <w:tab w:val="left" w:pos="754"/>
        </w:tabs>
        <w:spacing w:after="0" w:line="276" w:lineRule="auto"/>
        <w:ind w:left="700" w:right="0" w:firstLine="0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 xml:space="preserve">1) jednolity charakter merytoryczny przedmiotu zamówienia jakim </w:t>
      </w:r>
      <w:r w:rsidR="000365B2">
        <w:rPr>
          <w:rFonts w:ascii="Arial" w:hAnsi="Arial" w:cs="Arial"/>
          <w:color w:val="auto"/>
          <w:sz w:val="22"/>
        </w:rPr>
        <w:t>są urządzenia sieci LAN</w:t>
      </w:r>
      <w:r w:rsidRPr="001257FA">
        <w:rPr>
          <w:rFonts w:ascii="Arial" w:hAnsi="Arial" w:cs="Arial"/>
          <w:color w:val="auto"/>
          <w:sz w:val="22"/>
        </w:rPr>
        <w:t>,</w:t>
      </w:r>
    </w:p>
    <w:p w:rsidR="001257FA" w:rsidRPr="001257FA" w:rsidRDefault="001257FA" w:rsidP="00B51F7F">
      <w:pPr>
        <w:widowControl w:val="0"/>
        <w:tabs>
          <w:tab w:val="left" w:pos="754"/>
        </w:tabs>
        <w:spacing w:after="0" w:line="276" w:lineRule="auto"/>
        <w:ind w:left="700" w:right="0" w:firstLine="0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>2) wykonanie przedmiotu zamówienia realizowane przez różnych dostawców mogłoby poważnie zagrozić właściwemu wykonaniu zamówienia,</w:t>
      </w:r>
    </w:p>
    <w:p w:rsidR="001257FA" w:rsidRPr="001257FA" w:rsidRDefault="001257FA" w:rsidP="00B51F7F">
      <w:pPr>
        <w:widowControl w:val="0"/>
        <w:tabs>
          <w:tab w:val="left" w:pos="754"/>
        </w:tabs>
        <w:spacing w:after="0" w:line="276" w:lineRule="auto"/>
        <w:ind w:left="700" w:right="0" w:firstLine="0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 xml:space="preserve">3) realizacja projektu nie będzie ograniczała konkurencji. 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:rsidR="00771D23" w:rsidRPr="00CB3763" w:rsidRDefault="00461B50" w:rsidP="00B51F7F">
      <w:pPr>
        <w:spacing w:after="51" w:line="276" w:lineRule="auto"/>
        <w:ind w:left="785" w:right="0" w:firstLine="0"/>
        <w:jc w:val="left"/>
        <w:rPr>
          <w:rFonts w:ascii="Arial" w:hAnsi="Arial" w:cs="Arial"/>
          <w:sz w:val="22"/>
        </w:rPr>
      </w:pPr>
      <w:r w:rsidRPr="00CB3763">
        <w:rPr>
          <w:rFonts w:ascii="Arial" w:eastAsia="Times New Roman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lastRenderedPageBreak/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:rsidR="004142E2" w:rsidRPr="004142E2" w:rsidRDefault="00947143" w:rsidP="00EB257F">
      <w:pPr>
        <w:pStyle w:val="Teksttreci0"/>
        <w:numPr>
          <w:ilvl w:val="0"/>
          <w:numId w:val="4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6D633C">
        <w:rPr>
          <w:rFonts w:ascii="Arial" w:hAnsi="Arial" w:cs="Arial"/>
          <w:sz w:val="22"/>
          <w:szCs w:val="22"/>
        </w:rPr>
        <w:t xml:space="preserve">dostawa </w:t>
      </w:r>
      <w:r w:rsidR="006D633C" w:rsidRPr="006D633C">
        <w:rPr>
          <w:rFonts w:ascii="Arial" w:eastAsia="Calibri" w:hAnsi="Arial" w:cs="Arial"/>
          <w:sz w:val="22"/>
          <w:szCs w:val="22"/>
          <w:lang w:eastAsia="en-US"/>
        </w:rPr>
        <w:t xml:space="preserve">i wdrożenie </w:t>
      </w:r>
      <w:r w:rsidR="001341CB">
        <w:rPr>
          <w:rFonts w:ascii="Arial" w:eastAsia="Calibri" w:hAnsi="Arial" w:cs="Arial"/>
          <w:sz w:val="22"/>
          <w:szCs w:val="22"/>
          <w:lang w:eastAsia="en-US"/>
        </w:rPr>
        <w:t xml:space="preserve">przełączników sieci LAN </w:t>
      </w:r>
      <w:r w:rsidR="006D633C" w:rsidRPr="006D633C">
        <w:rPr>
          <w:rFonts w:ascii="Arial" w:eastAsia="Calibri" w:hAnsi="Arial" w:cs="Arial"/>
          <w:sz w:val="22"/>
          <w:szCs w:val="22"/>
          <w:lang w:eastAsia="en-US"/>
        </w:rPr>
        <w:t>KG PSP</w:t>
      </w:r>
      <w:r w:rsidR="004142E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142E2" w:rsidRPr="00B02203" w:rsidRDefault="004142E2" w:rsidP="00EB25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:rsidR="006D633C" w:rsidRPr="006D633C" w:rsidRDefault="00947143" w:rsidP="00B51F7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1341CB">
        <w:rPr>
          <w:rFonts w:ascii="Arial" w:hAnsi="Arial" w:cs="Arial"/>
          <w:sz w:val="22"/>
          <w:szCs w:val="22"/>
        </w:rPr>
        <w:t>32420000-3</w:t>
      </w:r>
      <w:r w:rsidR="006D633C" w:rsidRPr="006D633C">
        <w:rPr>
          <w:rFonts w:ascii="Arial" w:eastAsia="Times New Roman" w:hAnsi="Arial" w:cs="Arial"/>
          <w:sz w:val="22"/>
          <w:szCs w:val="22"/>
        </w:rPr>
        <w:t xml:space="preserve"> </w:t>
      </w:r>
      <w:r w:rsidR="001341CB">
        <w:rPr>
          <w:rFonts w:ascii="Arial" w:eastAsia="Times New Roman" w:hAnsi="Arial" w:cs="Arial"/>
          <w:sz w:val="22"/>
          <w:szCs w:val="22"/>
        </w:rPr>
        <w:t>Urządzenia sieciowe</w:t>
      </w:r>
      <w:r w:rsidR="006D633C" w:rsidRPr="006D633C">
        <w:rPr>
          <w:rFonts w:ascii="Arial" w:eastAsia="Times New Roman" w:hAnsi="Arial" w:cs="Arial"/>
          <w:sz w:val="22"/>
          <w:szCs w:val="22"/>
        </w:rPr>
        <w:t>,</w:t>
      </w:r>
    </w:p>
    <w:p w:rsidR="00072D64" w:rsidRDefault="006D633C" w:rsidP="00B51F7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sz w:val="22"/>
          <w:szCs w:val="22"/>
        </w:rPr>
      </w:pPr>
      <w:r w:rsidRPr="006D633C">
        <w:rPr>
          <w:rFonts w:ascii="Arial" w:eastAsia="Times New Roman" w:hAnsi="Arial" w:cs="Arial"/>
          <w:sz w:val="22"/>
          <w:szCs w:val="22"/>
        </w:rPr>
        <w:t xml:space="preserve">- </w:t>
      </w:r>
      <w:r w:rsidR="001341CB">
        <w:rPr>
          <w:rFonts w:ascii="Arial" w:eastAsia="Times New Roman" w:hAnsi="Arial" w:cs="Arial"/>
          <w:sz w:val="22"/>
          <w:szCs w:val="22"/>
        </w:rPr>
        <w:t>32428000-9</w:t>
      </w:r>
      <w:r w:rsidRPr="006D633C">
        <w:rPr>
          <w:rFonts w:ascii="Arial" w:eastAsia="Times New Roman" w:hAnsi="Arial" w:cs="Arial"/>
          <w:sz w:val="22"/>
          <w:szCs w:val="22"/>
        </w:rPr>
        <w:t xml:space="preserve"> </w:t>
      </w:r>
      <w:r w:rsidR="001341CB">
        <w:rPr>
          <w:rFonts w:ascii="Arial" w:eastAsia="Times New Roman" w:hAnsi="Arial" w:cs="Arial"/>
          <w:sz w:val="22"/>
          <w:szCs w:val="22"/>
        </w:rPr>
        <w:t>Modernizacja sieci</w:t>
      </w:r>
      <w:r w:rsidR="006F7B4D" w:rsidRPr="006D633C">
        <w:rPr>
          <w:rFonts w:ascii="Arial" w:hAnsi="Arial" w:cs="Arial"/>
          <w:sz w:val="22"/>
          <w:szCs w:val="22"/>
        </w:rPr>
        <w:t>.</w:t>
      </w:r>
      <w:r w:rsidR="006F7B4D">
        <w:rPr>
          <w:rFonts w:ascii="Arial" w:hAnsi="Arial" w:cs="Arial"/>
          <w:sz w:val="22"/>
          <w:szCs w:val="22"/>
        </w:rPr>
        <w:t xml:space="preserve"> 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>Opis przedmiotu zamówienia (OPZ) zawiera załączniki nr 1 do SWZ.</w:t>
      </w:r>
    </w:p>
    <w:p w:rsidR="00072D64" w:rsidRP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sprzęt określony w załączniku nr 1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 xml:space="preserve">y, nie używany wcześniej przez inny podmiot, wyprodukowany nie wcześniej niż w 2021 roku i zakupiony w oficjalnym kanale sprzedaży producenta na rynek Polski lub UE. </w:t>
      </w:r>
    </w:p>
    <w:p w:rsidR="00947143" w:rsidRPr="004142E2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1341CB">
        <w:rPr>
          <w:rFonts w:ascii="Arial" w:hAnsi="Arial" w:cs="Arial"/>
          <w:sz w:val="22"/>
          <w:szCs w:val="22"/>
        </w:rPr>
        <w:t>wymaga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:rsidR="00540B4F" w:rsidRP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1341CB">
        <w:rPr>
          <w:rFonts w:ascii="Arial" w:hAnsi="Arial" w:cs="Arial"/>
          <w:sz w:val="22"/>
        </w:rPr>
        <w:t>8</w:t>
      </w:r>
      <w:r w:rsidR="005F4E4C" w:rsidRPr="002171B9">
        <w:rPr>
          <w:rFonts w:ascii="Arial" w:hAnsi="Arial" w:cs="Arial"/>
          <w:color w:val="000000" w:themeColor="text1"/>
          <w:sz w:val="22"/>
        </w:rPr>
        <w:t>0</w:t>
      </w:r>
      <w:r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="005F4E4C" w:rsidRPr="002171B9">
        <w:rPr>
          <w:rFonts w:ascii="Arial" w:hAnsi="Arial" w:cs="Arial"/>
          <w:color w:val="000000" w:themeColor="text1"/>
          <w:sz w:val="22"/>
        </w:rPr>
        <w:t>dni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umowy.</w:t>
      </w:r>
    </w:p>
    <w:p w:rsidR="006C7C7F" w:rsidRPr="00AF1D5F" w:rsidRDefault="00941AFB" w:rsidP="00B51F7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  <w:r w:rsidR="006C7C7F">
        <w:rPr>
          <w:rFonts w:ascii="Arial" w:hAnsi="Arial" w:cs="Arial"/>
          <w:sz w:val="22"/>
        </w:rPr>
        <w:t xml:space="preserve"> </w:t>
      </w:r>
    </w:p>
    <w:p w:rsidR="00947143" w:rsidRPr="00AF1D5F" w:rsidRDefault="00947143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:rsidR="00335AF8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:rsidR="00335AF8" w:rsidRPr="00727C55" w:rsidRDefault="00335AF8" w:rsidP="00B51F7F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:rsidR="00335AF8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1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1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335AF8" w:rsidRPr="00EE2ADA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:rsidR="00335AF8" w:rsidRDefault="00D559F7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:rsidR="00F10395" w:rsidRPr="00F41C1E" w:rsidRDefault="00F10395" w:rsidP="00F1039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r w:rsidRPr="00F41C1E">
        <w:rPr>
          <w:rFonts w:ascii="Arial" w:hAnsi="Arial" w:cs="Arial"/>
          <w:color w:val="000000" w:themeColor="text1"/>
          <w:spacing w:val="0"/>
        </w:rPr>
        <w:t>Wykonawca,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 xml:space="preserve">o udzielenie zamówienia publicznego lub konkursie (Dz. U. z 2020 r. poz. 2452) zwane dalej: </w:t>
      </w:r>
      <w:r w:rsidR="00335AF8" w:rsidRPr="00EE2ADA">
        <w:rPr>
          <w:rFonts w:ascii="Arial" w:hAnsi="Arial" w:cs="Arial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:rsidR="00335AF8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:rsidR="00335AF8" w:rsidRPr="00EE2ADA" w:rsidRDefault="00F10395" w:rsidP="00B51F7F">
      <w:pPr>
        <w:spacing w:after="0" w:line="276" w:lineRule="auto"/>
        <w:ind w:left="884" w:right="1395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 zamówienia publicznego:</w:t>
      </w:r>
    </w:p>
    <w:p w:rsidR="00335AF8" w:rsidRPr="00EE2ADA" w:rsidRDefault="00335AF8" w:rsidP="00B51F7F">
      <w:pPr>
        <w:numPr>
          <w:ilvl w:val="0"/>
          <w:numId w:val="29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:rsidR="00335AF8" w:rsidRPr="00EE2ADA" w:rsidRDefault="00335AF8" w:rsidP="00B51F7F">
      <w:pPr>
        <w:numPr>
          <w:ilvl w:val="0"/>
          <w:numId w:val="29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(tj.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2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2"/>
    <w:p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warunkiem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1221B" w:rsidRPr="00AF1D5F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:rsidR="0091221B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:rsidR="004F0062" w:rsidRDefault="004F0062" w:rsidP="004F0062">
      <w:pPr>
        <w:pStyle w:val="Teksttreci0"/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F0062" w:rsidRPr="00AF1D5F" w:rsidRDefault="004F0062" w:rsidP="004F0062">
      <w:pPr>
        <w:pStyle w:val="Teksttreci0"/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Zamawiający wymaga</w:t>
      </w:r>
      <w:r w:rsidR="00DF603C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>
        <w:rPr>
          <w:rFonts w:ascii="Arial" w:hAnsi="Arial" w:cs="Arial"/>
          <w:sz w:val="22"/>
          <w:szCs w:val="22"/>
        </w:rPr>
        <w:br/>
      </w:r>
      <w:r w:rsidRPr="00AF1D5F">
        <w:rPr>
          <w:rFonts w:ascii="Arial" w:hAnsi="Arial" w:cs="Arial"/>
          <w:sz w:val="22"/>
          <w:szCs w:val="22"/>
        </w:rPr>
        <w:t xml:space="preserve">w art. 112 ust. 2 pkt 4 Ustawy dotyczących - zdolności </w:t>
      </w:r>
      <w:r w:rsidR="00992C10" w:rsidRPr="00AF1D5F">
        <w:rPr>
          <w:rFonts w:ascii="Arial" w:hAnsi="Arial" w:cs="Arial"/>
          <w:sz w:val="22"/>
          <w:szCs w:val="22"/>
        </w:rPr>
        <w:t xml:space="preserve">technicznej lub </w:t>
      </w:r>
      <w:r w:rsidRPr="00AF1D5F">
        <w:rPr>
          <w:rFonts w:ascii="Arial" w:hAnsi="Arial" w:cs="Arial"/>
          <w:sz w:val="22"/>
          <w:szCs w:val="22"/>
        </w:rPr>
        <w:t>zawodowej:</w:t>
      </w:r>
    </w:p>
    <w:p w:rsidR="004D23FE" w:rsidRDefault="004D23FE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uzna, </w:t>
      </w:r>
      <w:r w:rsidR="008B437F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wykonawca spełnia warunek w zakresie:</w:t>
      </w:r>
    </w:p>
    <w:p w:rsidR="00F611FE" w:rsidRDefault="004D23FE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zdolności technicznej, jeżeli Wykonawca wykaże, że należycie wykonał w okresie ostatnich trzech lat przed upływem terminu składania ofert , a jeżeli okres prowadzenia działalności jest krótszy – w tym okresie co najmniej dwie dostawy 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w zakresie wdrożenia 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 xml:space="preserve">architektury sieciowej, rozwiązań w infrastrukturze IP, sprzętu sieciowego, w tym przynajmniej jedną obejmującą Cisco Application </w:t>
      </w:r>
      <w:proofErr w:type="spellStart"/>
      <w:r w:rsidR="00F611FE">
        <w:rPr>
          <w:rFonts w:ascii="Arial" w:hAnsi="Arial" w:cs="Arial"/>
          <w:color w:val="000000" w:themeColor="text1"/>
          <w:sz w:val="22"/>
          <w:lang w:bidi="pl-PL"/>
        </w:rPr>
        <w:t>Centric</w:t>
      </w:r>
      <w:proofErr w:type="spellEnd"/>
      <w:r w:rsidR="00F611FE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proofErr w:type="spellStart"/>
      <w:r w:rsidR="00F611FE">
        <w:rPr>
          <w:rFonts w:ascii="Arial" w:hAnsi="Arial" w:cs="Arial"/>
          <w:color w:val="000000" w:themeColor="text1"/>
          <w:sz w:val="22"/>
          <w:lang w:bidi="pl-PL"/>
        </w:rPr>
        <w:t>Infrastructure</w:t>
      </w:r>
      <w:proofErr w:type="spellEnd"/>
      <w:r w:rsidR="00F611FE">
        <w:rPr>
          <w:rFonts w:ascii="Arial" w:hAnsi="Arial" w:cs="Arial"/>
          <w:color w:val="000000" w:themeColor="text1"/>
          <w:sz w:val="22"/>
          <w:lang w:bidi="pl-PL"/>
        </w:rPr>
        <w:t xml:space="preserve"> (Cisco ACI), 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>o wartości minimum 500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>000,00 zł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>otych</w:t>
      </w:r>
      <w:r w:rsidR="002171B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 brutto każda</w:t>
      </w:r>
      <w:r w:rsidR="00F611FE">
        <w:rPr>
          <w:rFonts w:ascii="Arial" w:hAnsi="Arial" w:cs="Arial"/>
          <w:color w:val="000000" w:themeColor="text1"/>
          <w:sz w:val="22"/>
          <w:lang w:bidi="pl-PL"/>
        </w:rPr>
        <w:t>.</w:t>
      </w:r>
    </w:p>
    <w:p w:rsidR="002171B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spełnia”;</w:t>
      </w:r>
    </w:p>
    <w:p w:rsidR="00F611FE" w:rsidRDefault="004D23FE" w:rsidP="00F611FE">
      <w:pPr>
        <w:pStyle w:val="Teksttreci0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zdolności zawodowej, jeżeli Wykonawca wykaże, że dysponuje </w:t>
      </w:r>
      <w:r w:rsidR="00F611FE" w:rsidRPr="00F611FE">
        <w:rPr>
          <w:rFonts w:ascii="Arial" w:eastAsia="Courier New" w:hAnsi="Arial" w:cs="Arial"/>
          <w:color w:val="000000"/>
          <w:sz w:val="22"/>
          <w:szCs w:val="22"/>
          <w:lang w:bidi="pl-PL"/>
        </w:rPr>
        <w:t>lub będzie dysponował</w:t>
      </w:r>
      <w:r w:rsidR="00F611FE" w:rsidRPr="00F611FE">
        <w:rPr>
          <w:rFonts w:ascii="Arial" w:hAnsi="Arial" w:cs="Arial"/>
          <w:color w:val="000000"/>
          <w:sz w:val="22"/>
          <w:lang w:bidi="pl-PL"/>
        </w:rPr>
        <w:t xml:space="preserve">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>minimum 2 osobami</w:t>
      </w:r>
      <w:bookmarkStart w:id="3" w:name="_Hlk74663843"/>
      <w:r w:rsidR="00F611FE" w:rsidRPr="00F611FE">
        <w:rPr>
          <w:rFonts w:ascii="Arial" w:eastAsia="Courier New" w:hAnsi="Arial" w:cs="Arial"/>
          <w:sz w:val="22"/>
          <w:lang w:bidi="pl-PL"/>
        </w:rPr>
        <w:t xml:space="preserve"> </w:t>
      </w:r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o kwalifikacjach na poziomie inżyniera posiadającego certyfikaty CCIE, tj.  w tym minimum jedna osoba z certyfikatem co najmniej Cisco </w:t>
      </w:r>
      <w:proofErr w:type="spellStart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>Certified</w:t>
      </w:r>
      <w:proofErr w:type="spellEnd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proofErr w:type="spellStart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>Internetwork</w:t>
      </w:r>
      <w:proofErr w:type="spellEnd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proofErr w:type="spellStart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>Expert</w:t>
      </w:r>
      <w:proofErr w:type="spellEnd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 - Enterprise </w:t>
      </w:r>
      <w:proofErr w:type="spellStart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>Infrastructure</w:t>
      </w:r>
      <w:proofErr w:type="spellEnd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, oraz minimum jedna osoba z certyfikatem co najmniej Cisco </w:t>
      </w:r>
      <w:proofErr w:type="spellStart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>Certified</w:t>
      </w:r>
      <w:proofErr w:type="spellEnd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proofErr w:type="spellStart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>Internetwork</w:t>
      </w:r>
      <w:proofErr w:type="spellEnd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proofErr w:type="spellStart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>Expert</w:t>
      </w:r>
      <w:proofErr w:type="spellEnd"/>
      <w:r w:rsidR="00F611FE" w:rsidRPr="00F611FE">
        <w:rPr>
          <w:rFonts w:ascii="Arial" w:hAnsi="Arial" w:cs="Arial"/>
          <w:color w:val="000000" w:themeColor="text1"/>
          <w:sz w:val="22"/>
          <w:lang w:bidi="pl-PL"/>
        </w:rPr>
        <w:t xml:space="preserve"> – CCIE Voice lub CCIE Collaboration.</w:t>
      </w:r>
    </w:p>
    <w:p w:rsidR="00F611FE" w:rsidRPr="00F611FE" w:rsidRDefault="00F611FE" w:rsidP="00F611FE">
      <w:pPr>
        <w:pStyle w:val="Teksttreci0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F611FE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spełnia”.</w:t>
      </w:r>
    </w:p>
    <w:p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 w odniesieniu do warunków  dotyczących wykształcenia, kwalifikacji zawodowych lub doświadczenia mogą polegać na zdolnościach tych z Wykonawców, którzy wykonają dostawy lub usługi, do realizacji których te zdolności są wymagane.</w:t>
      </w:r>
      <w:bookmarkEnd w:id="3"/>
    </w:p>
    <w:p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>Wykonawca może w celu potwierdzenia spełniania warunków udziału w postępowaniu,</w:t>
      </w:r>
      <w:r w:rsidR="00F434A9">
        <w:rPr>
          <w:rFonts w:ascii="Arial" w:hAnsi="Arial" w:cs="Arial"/>
          <w:sz w:val="22"/>
          <w:szCs w:val="22"/>
        </w:rPr>
        <w:t xml:space="preserve">               </w:t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 art. 108 ust. 1 Ustawy oraz art. 109 ust. 1 pkt 4 Ustawy.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 </w:t>
      </w:r>
    </w:p>
    <w:p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oceniona, do złożenia</w:t>
      </w:r>
      <w:r w:rsidR="009A2B13" w:rsidRPr="00AF1D5F">
        <w:rPr>
          <w:rFonts w:ascii="Arial" w:hAnsi="Arial" w:cs="Arial"/>
          <w:sz w:val="22"/>
        </w:rPr>
        <w:t xml:space="preserve">  </w:t>
      </w:r>
      <w:r w:rsidR="00637EDF" w:rsidRPr="00AF1D5F">
        <w:rPr>
          <w:rFonts w:ascii="Arial" w:hAnsi="Arial" w:cs="Arial"/>
          <w:sz w:val="22"/>
        </w:rPr>
        <w:t xml:space="preserve">  </w:t>
      </w:r>
      <w:r w:rsidR="009A2B13" w:rsidRPr="00AF1D5F">
        <w:rPr>
          <w:rFonts w:ascii="Arial" w:hAnsi="Arial" w:cs="Arial"/>
          <w:sz w:val="22"/>
        </w:rPr>
        <w:t xml:space="preserve">   </w:t>
      </w:r>
      <w:r w:rsidRPr="00AF1D5F">
        <w:rPr>
          <w:rFonts w:ascii="Arial" w:hAnsi="Arial" w:cs="Arial"/>
          <w:sz w:val="22"/>
        </w:rPr>
        <w:t xml:space="preserve"> w wyznaczonym terminie, nie krótszym niż 10 dni od dnia wezwania, aktualnych na dzień złożenia następujących podmiotowych środków dowodowych potwierdzających: </w:t>
      </w:r>
    </w:p>
    <w:p w:rsidR="001717C3" w:rsidRPr="00AF1D5F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miesięcy;</w:t>
      </w:r>
    </w:p>
    <w:p w:rsidR="006F67E0" w:rsidRPr="00AF1D5F" w:rsidRDefault="006F67E0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F67E0">
        <w:rPr>
          <w:rFonts w:ascii="Arial" w:hAnsi="Arial" w:cs="Arial"/>
          <w:sz w:val="22"/>
          <w:szCs w:val="22"/>
        </w:rPr>
        <w:t>wykaz</w:t>
      </w:r>
      <w:r>
        <w:rPr>
          <w:rFonts w:ascii="Arial" w:hAnsi="Arial" w:cs="Arial"/>
          <w:sz w:val="22"/>
          <w:szCs w:val="22"/>
        </w:rPr>
        <w:t>u</w:t>
      </w:r>
      <w:r w:rsidRPr="006F67E0">
        <w:rPr>
          <w:rFonts w:ascii="Arial" w:hAnsi="Arial" w:cs="Arial"/>
          <w:sz w:val="22"/>
          <w:szCs w:val="22"/>
        </w:rPr>
        <w:t xml:space="preserve"> osób, które będą uczestniczyć w wykonywaniu zamówienia wraz z informacjami dotyczącymi ich kwalifikacji zawodowych, wykształcenia niezbędnych do wykonania zamówienia (posiadane certyfikaty), zakresu wykonywanych czynności i podstawy do dysponowania tymi osobami złożony zgodnie z załącznikiem nr </w:t>
      </w:r>
      <w:r>
        <w:rPr>
          <w:rFonts w:ascii="Arial" w:hAnsi="Arial" w:cs="Arial"/>
          <w:sz w:val="22"/>
          <w:szCs w:val="22"/>
        </w:rPr>
        <w:t>9</w:t>
      </w:r>
      <w:r w:rsidRPr="006F67E0">
        <w:rPr>
          <w:rFonts w:ascii="Arial" w:hAnsi="Arial" w:cs="Arial"/>
          <w:sz w:val="22"/>
          <w:szCs w:val="22"/>
        </w:rPr>
        <w:t xml:space="preserve"> do SWZ</w:t>
      </w:r>
      <w:r>
        <w:rPr>
          <w:rFonts w:ascii="Arial" w:hAnsi="Arial" w:cs="Arial"/>
          <w:sz w:val="22"/>
          <w:szCs w:val="22"/>
        </w:rPr>
        <w:t>.</w:t>
      </w:r>
    </w:p>
    <w:p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lastRenderedPageBreak/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:rsidR="004F4444" w:rsidRPr="00AF1D5F" w:rsidRDefault="001D4073" w:rsidP="001D4073">
      <w:pPr>
        <w:tabs>
          <w:tab w:val="left" w:pos="1134"/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3 Ustawy,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>art. 108 ust. 1 pkt 4 Ustawy, dotyczących orzeczenia zakazu ubiegania się</w:t>
      </w:r>
      <w:r w:rsidR="004F0062">
        <w:rPr>
          <w:rFonts w:ascii="Arial" w:hAnsi="Arial" w:cs="Arial"/>
          <w:sz w:val="22"/>
        </w:rPr>
        <w:br/>
      </w:r>
      <w:r w:rsidR="004F4444"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:rsidR="004F4444" w:rsidRPr="00AF1D5F" w:rsidRDefault="001D4073" w:rsidP="001D4073">
      <w:pPr>
        <w:tabs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6 Ustawy, </w:t>
      </w:r>
    </w:p>
    <w:p w:rsidR="004F4444" w:rsidRPr="00AF1D5F" w:rsidRDefault="004F4444" w:rsidP="001D4073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odpisu lub informacji z Krajowego Rejestru Sądowego lub z Centralnej Ewidencji</w:t>
      </w:r>
      <w:r w:rsidR="004F0062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i Informacji o Działalności Gospodarczej, w zakresie art. 109 ust. 1 pkt 4 Ustawy, sporządzonych nie wcześniej niż 3 miesiące przed jej złożeniem, jeżeli odrębne przepisy wymagają wpisu do</w:t>
      </w:r>
      <w:r w:rsidR="00CB743A">
        <w:rPr>
          <w:rFonts w:ascii="Arial" w:hAnsi="Arial" w:cs="Arial"/>
          <w:sz w:val="22"/>
        </w:rPr>
        <w:t xml:space="preserve"> rejestru lub ewidencji.</w:t>
      </w:r>
    </w:p>
    <w:p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SWZ,      </w:t>
      </w:r>
      <w:r w:rsidR="009A2B13" w:rsidRPr="00AF1D5F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 xml:space="preserve"> 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120EFC">
        <w:rPr>
          <w:rFonts w:ascii="Arial" w:hAnsi="Arial" w:cs="Arial"/>
          <w:sz w:val="22"/>
        </w:rPr>
        <w:t>d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 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:rsidR="00771D23" w:rsidRPr="00AF1D5F" w:rsidRDefault="00461B50" w:rsidP="00B51F7F">
      <w:pPr>
        <w:numPr>
          <w:ilvl w:val="2"/>
          <w:numId w:val="7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:rsidR="00771D23" w:rsidRPr="00120EFC" w:rsidRDefault="00461B50" w:rsidP="0009504D">
      <w:pPr>
        <w:numPr>
          <w:ilvl w:val="2"/>
          <w:numId w:val="7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>lit. d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</w:t>
      </w:r>
      <w:r w:rsidRPr="00120EFC">
        <w:rPr>
          <w:rFonts w:ascii="Arial" w:hAnsi="Arial" w:cs="Arial"/>
          <w:sz w:val="22"/>
        </w:rPr>
        <w:lastRenderedPageBreak/>
        <w:t xml:space="preserve">on w innej tego rodzaju sytuacji wynikającej z podobnej procedury przewidzianej w przepisach miejsca wszczęcia tej procedury. </w:t>
      </w:r>
    </w:p>
    <w:p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:rsidR="00583B7C" w:rsidRPr="00976DF0" w:rsidRDefault="00583B7C" w:rsidP="00B51F7F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AF5F4E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50411">
        <w:rPr>
          <w:rFonts w:ascii="Arial" w:hAnsi="Arial" w:cs="Arial"/>
          <w:b/>
          <w:sz w:val="22"/>
          <w:szCs w:val="22"/>
          <w:u w:val="single"/>
        </w:rPr>
        <w:t xml:space="preserve">20 lipca 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400F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771D23" w:rsidRPr="00AF1D5F" w:rsidRDefault="00683E7A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:rsidR="00771D23" w:rsidRPr="00AF1D5F" w:rsidRDefault="00461B50" w:rsidP="00B51F7F">
      <w:pPr>
        <w:numPr>
          <w:ilvl w:val="0"/>
          <w:numId w:val="9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10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="00A64F9A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:rsidR="00F86639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się skorzystanie z Formularza oferty, stanowiącego </w:t>
      </w:r>
      <w:r w:rsidRPr="00AF1D5F">
        <w:rPr>
          <w:rFonts w:ascii="Arial" w:hAnsi="Arial" w:cs="Arial"/>
          <w:b/>
          <w:sz w:val="22"/>
        </w:rPr>
        <w:t xml:space="preserve">załącznik nr </w:t>
      </w:r>
      <w:r w:rsidR="00766AB4" w:rsidRPr="00AF1D5F">
        <w:rPr>
          <w:rFonts w:ascii="Arial" w:hAnsi="Arial" w:cs="Arial"/>
          <w:b/>
          <w:sz w:val="22"/>
        </w:rPr>
        <w:t>3</w:t>
      </w:r>
      <w:r w:rsidRPr="00AF1D5F">
        <w:rPr>
          <w:rFonts w:ascii="Arial" w:hAnsi="Arial" w:cs="Arial"/>
          <w:b/>
          <w:sz w:val="22"/>
        </w:rPr>
        <w:t xml:space="preserve"> do SWZ.</w:t>
      </w:r>
      <w:r w:rsidRPr="00AF1D5F">
        <w:rPr>
          <w:rFonts w:ascii="Arial" w:hAnsi="Arial" w:cs="Arial"/>
          <w:sz w:val="22"/>
        </w:rPr>
        <w:t xml:space="preserve"> </w:t>
      </w:r>
      <w:r w:rsidR="00A64F9A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:rsidR="00750F84" w:rsidRDefault="00750F84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</w:p>
    <w:p w:rsidR="00750F84" w:rsidRDefault="00750F84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:rsidR="00771D23" w:rsidRPr="00AF1D5F" w:rsidRDefault="00461B50" w:rsidP="00B51F7F">
      <w:pPr>
        <w:numPr>
          <w:ilvl w:val="0"/>
          <w:numId w:val="10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AF1D5F">
        <w:rPr>
          <w:rFonts w:ascii="Arial" w:hAnsi="Arial" w:cs="Arial"/>
          <w:sz w:val="22"/>
        </w:rPr>
        <w:t>Dz.Urz</w:t>
      </w:r>
      <w:proofErr w:type="spellEnd"/>
      <w:r w:rsidRPr="00AF1D5F">
        <w:rPr>
          <w:rFonts w:ascii="Arial" w:hAnsi="Arial" w:cs="Arial"/>
          <w:sz w:val="22"/>
        </w:rPr>
        <w:t xml:space="preserve">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 xml:space="preserve">w postępowaniu. 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</w:t>
      </w:r>
      <w:r w:rsidRPr="00AF1D5F">
        <w:rPr>
          <w:rFonts w:ascii="Arial" w:hAnsi="Arial" w:cs="Arial"/>
          <w:sz w:val="22"/>
        </w:rPr>
        <w:lastRenderedPageBreak/>
        <w:t xml:space="preserve">warunków udziału w postępowaniu w zakresie, w jakim Wykonawca powołuje się na jego zasoby.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:rsidR="00F41180" w:rsidRDefault="00D8392A" w:rsidP="00B51F7F">
      <w:pPr>
        <w:numPr>
          <w:ilvl w:val="0"/>
          <w:numId w:val="11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 3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</w:t>
      </w:r>
      <w:r w:rsidR="00B822E2">
        <w:rPr>
          <w:rFonts w:ascii="Arial" w:hAnsi="Arial" w:cs="Arial"/>
          <w:b/>
          <w:sz w:val="22"/>
        </w:rPr>
        <w:t xml:space="preserve"> wypełniony i podpisany</w:t>
      </w:r>
      <w:r w:rsidRPr="00F455C4">
        <w:rPr>
          <w:rFonts w:ascii="Arial" w:hAnsi="Arial" w:cs="Arial"/>
          <w:b/>
          <w:sz w:val="22"/>
        </w:rPr>
        <w:t>:</w:t>
      </w:r>
    </w:p>
    <w:p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Formularz cenowy – załącznik nr 10 do SWZ,</w:t>
      </w:r>
    </w:p>
    <w:p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2) Oświadczenie składane na podstawie art. 125 ust. 1 Ustawy na formularzu jednolitego europejskiego dokumentu zamówień,</w:t>
      </w:r>
    </w:p>
    <w:p w:rsidR="00F41180" w:rsidRDefault="00F41180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41180">
        <w:rPr>
          <w:rFonts w:ascii="Arial" w:hAnsi="Arial" w:cs="Arial"/>
          <w:sz w:val="22"/>
        </w:rPr>
        <w:t xml:space="preserve">3) </w:t>
      </w:r>
      <w:r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:rsidR="00750F84" w:rsidRDefault="00750F84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4) </w:t>
      </w:r>
      <w:r w:rsidRPr="00F41180">
        <w:rPr>
          <w:rFonts w:ascii="Arial" w:hAnsi="Arial" w:cs="Arial"/>
          <w:sz w:val="22"/>
        </w:rPr>
        <w:t xml:space="preserve">Oświadczenie stanowiące załącznik nr </w:t>
      </w:r>
      <w:r>
        <w:rPr>
          <w:rFonts w:ascii="Arial" w:hAnsi="Arial" w:cs="Arial"/>
          <w:sz w:val="22"/>
        </w:rPr>
        <w:t>4</w:t>
      </w:r>
      <w:r w:rsidRPr="00F41180">
        <w:rPr>
          <w:rFonts w:ascii="Arial" w:hAnsi="Arial" w:cs="Arial"/>
          <w:sz w:val="22"/>
        </w:rPr>
        <w:t xml:space="preserve"> do SWZ  – jeżeli dotyczy .</w:t>
      </w:r>
    </w:p>
    <w:p w:rsidR="00F41180" w:rsidRDefault="008D2AB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 xml:space="preserve">– jeżeli dotyczy </w:t>
      </w:r>
      <w:r w:rsidR="00CE2EA8" w:rsidRPr="00F41180">
        <w:rPr>
          <w:rFonts w:ascii="Arial" w:hAnsi="Arial" w:cs="Arial"/>
          <w:sz w:val="22"/>
        </w:rPr>
        <w:t>.</w:t>
      </w:r>
      <w:r w:rsidR="00461B50" w:rsidRPr="00F41180">
        <w:rPr>
          <w:rFonts w:ascii="Arial" w:hAnsi="Arial" w:cs="Arial"/>
          <w:sz w:val="22"/>
        </w:rPr>
        <w:t xml:space="preserve"> </w:t>
      </w:r>
    </w:p>
    <w:p w:rsidR="002400F1" w:rsidRPr="00F41180" w:rsidRDefault="008D2AB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400F1">
        <w:rPr>
          <w:rFonts w:ascii="Arial" w:hAnsi="Arial" w:cs="Arial"/>
          <w:sz w:val="22"/>
        </w:rPr>
        <w:t>) Oświadczenie składane na podstawie art. 117 ust. 4 Ustawy – jeżeli dotyczy.</w:t>
      </w:r>
    </w:p>
    <w:p w:rsidR="00771D23" w:rsidRPr="00F455C4" w:rsidRDefault="00CE2EA8" w:rsidP="00B51F7F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:rsidR="009F603C" w:rsidRPr="00AF1D5F" w:rsidRDefault="009F603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:rsidR="00FF5CA0" w:rsidRPr="00FF5CA0" w:rsidRDefault="00FF5CA0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>Zamawiający nie wymaga wniesienia wadium.</w:t>
      </w:r>
    </w:p>
    <w:p w:rsidR="00771D23" w:rsidRPr="00AF1D5F" w:rsidRDefault="00461B50" w:rsidP="00AF1D5F">
      <w:pPr>
        <w:spacing w:after="3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:rsidR="00FF5CA0" w:rsidRDefault="00DA3E6C" w:rsidP="002400F1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 xml:space="preserve">tylko jedna </w:t>
      </w:r>
      <w:r w:rsidRPr="00FF5CA0">
        <w:rPr>
          <w:rFonts w:ascii="Arial" w:hAnsi="Arial" w:cs="Arial"/>
          <w:sz w:val="22"/>
        </w:rPr>
        <w:t>ofertę</w:t>
      </w:r>
      <w:r w:rsidR="00FF5CA0" w:rsidRPr="00FF5CA0">
        <w:rPr>
          <w:rFonts w:ascii="Arial" w:hAnsi="Arial" w:cs="Arial"/>
          <w:sz w:val="22"/>
        </w:rPr>
        <w:t>.</w:t>
      </w:r>
    </w:p>
    <w:p w:rsidR="00771D23" w:rsidRPr="00FF5CA0" w:rsidRDefault="00461B50" w:rsidP="00B51F7F">
      <w:pPr>
        <w:numPr>
          <w:ilvl w:val="0"/>
          <w:numId w:val="12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</w:t>
      </w:r>
      <w:r w:rsidRPr="00AF1D5F">
        <w:rPr>
          <w:rFonts w:ascii="Arial" w:hAnsi="Arial" w:cs="Arial"/>
          <w:sz w:val="22"/>
        </w:rPr>
        <w:tab/>
        <w:t xml:space="preserve">składa </w:t>
      </w:r>
      <w:r w:rsidR="002A4B76">
        <w:rPr>
          <w:rFonts w:ascii="Arial" w:hAnsi="Arial" w:cs="Arial"/>
          <w:sz w:val="22"/>
        </w:rPr>
        <w:t xml:space="preserve">  </w:t>
      </w:r>
      <w:r w:rsidRPr="00AF1D5F">
        <w:rPr>
          <w:rFonts w:ascii="Arial" w:hAnsi="Arial" w:cs="Arial"/>
          <w:sz w:val="22"/>
        </w:rPr>
        <w:tab/>
        <w:t>ofert</w:t>
      </w:r>
      <w:r w:rsidR="00571E93">
        <w:rPr>
          <w:rFonts w:ascii="Arial" w:hAnsi="Arial" w:cs="Arial"/>
          <w:sz w:val="22"/>
        </w:rPr>
        <w:t xml:space="preserve">ę </w:t>
      </w:r>
      <w:r w:rsidR="002A4B76">
        <w:rPr>
          <w:rFonts w:ascii="Arial" w:hAnsi="Arial" w:cs="Arial"/>
          <w:sz w:val="22"/>
        </w:rPr>
        <w:t xml:space="preserve">    </w:t>
      </w:r>
      <w:r w:rsidR="00571E93">
        <w:rPr>
          <w:rFonts w:ascii="Arial" w:hAnsi="Arial" w:cs="Arial"/>
          <w:sz w:val="22"/>
        </w:rPr>
        <w:t xml:space="preserve">za </w:t>
      </w:r>
      <w:r w:rsidR="00571E93">
        <w:rPr>
          <w:rFonts w:ascii="Arial" w:hAnsi="Arial" w:cs="Arial"/>
          <w:sz w:val="22"/>
        </w:rPr>
        <w:tab/>
        <w:t xml:space="preserve">pośrednictwem </w:t>
      </w:r>
      <w:r w:rsidR="002A4B76">
        <w:rPr>
          <w:rFonts w:ascii="Arial" w:hAnsi="Arial" w:cs="Arial"/>
          <w:sz w:val="22"/>
        </w:rPr>
        <w:t xml:space="preserve">     </w:t>
      </w:r>
      <w:r w:rsidR="00571E93">
        <w:rPr>
          <w:rFonts w:ascii="Arial" w:hAnsi="Arial" w:cs="Arial"/>
          <w:sz w:val="22"/>
        </w:rPr>
        <w:t xml:space="preserve">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lastRenderedPageBreak/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:rsidR="00EE2ADA" w:rsidRPr="00EE2ADA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F11D38" w:rsidRPr="00F11D38">
        <w:rPr>
          <w:rFonts w:ascii="Arial" w:hAnsi="Arial" w:cs="Arial"/>
          <w:b/>
          <w:sz w:val="22"/>
          <w:u w:val="single"/>
        </w:rPr>
        <w:t>22 kwietnia</w:t>
      </w:r>
      <w:r w:rsidR="00F11D38">
        <w:rPr>
          <w:rFonts w:ascii="Arial" w:hAnsi="Arial" w:cs="Arial"/>
          <w:b/>
          <w:sz w:val="22"/>
          <w:u w:val="single"/>
        </w:rPr>
        <w:t xml:space="preserve">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10:00.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:rsidR="00771D23" w:rsidRPr="00AF1D5F" w:rsidRDefault="00461B50" w:rsidP="00B51F7F">
      <w:pPr>
        <w:numPr>
          <w:ilvl w:val="0"/>
          <w:numId w:val="12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:rsidR="00771D23" w:rsidRPr="00AF1D5F" w:rsidRDefault="00461B50" w:rsidP="00B51F7F">
      <w:pPr>
        <w:spacing w:after="35" w:line="276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:rsidR="00771D23" w:rsidRPr="00AF1D5F" w:rsidRDefault="00461B50" w:rsidP="00B51F7F">
      <w:pPr>
        <w:numPr>
          <w:ilvl w:val="0"/>
          <w:numId w:val="13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</w:t>
      </w:r>
      <w:bookmarkStart w:id="4" w:name="_GoBack"/>
      <w:bookmarkEnd w:id="4"/>
      <w:r w:rsidRPr="00AF1D5F">
        <w:rPr>
          <w:rFonts w:ascii="Arial" w:hAnsi="Arial" w:cs="Arial"/>
          <w:b/>
          <w:sz w:val="22"/>
        </w:rPr>
        <w:t>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672B04">
        <w:rPr>
          <w:rFonts w:ascii="Arial" w:hAnsi="Arial" w:cs="Arial"/>
          <w:b/>
          <w:sz w:val="22"/>
        </w:rPr>
        <w:t xml:space="preserve">           </w:t>
      </w:r>
      <w:r w:rsidR="00F11D38" w:rsidRPr="00F11D38">
        <w:rPr>
          <w:rFonts w:ascii="Arial" w:hAnsi="Arial" w:cs="Arial"/>
          <w:b/>
          <w:sz w:val="22"/>
          <w:u w:val="single"/>
        </w:rPr>
        <w:t xml:space="preserve">22 kwietnia </w:t>
      </w:r>
      <w:r w:rsidR="00CE2EA8" w:rsidRPr="00F11D38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F11D38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="00CE2EA8"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9E1497" w:rsidRPr="00FC24CC">
        <w:rPr>
          <w:rFonts w:ascii="Arial" w:hAnsi="Arial" w:cs="Arial"/>
          <w:b/>
          <w:color w:val="000000" w:themeColor="text1"/>
          <w:sz w:val="22"/>
          <w:u w:val="single"/>
        </w:rPr>
        <w:t>0:</w:t>
      </w:r>
      <w:r w:rsidR="009003AC" w:rsidRPr="00FC24CC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:rsidR="00771D23" w:rsidRPr="00AF1D5F" w:rsidRDefault="00461B50" w:rsidP="00B51F7F">
      <w:pPr>
        <w:numPr>
          <w:ilvl w:val="0"/>
          <w:numId w:val="13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:rsidR="00771D23" w:rsidRPr="00AF1D5F" w:rsidRDefault="00461B50" w:rsidP="00B51F7F">
      <w:pPr>
        <w:numPr>
          <w:ilvl w:val="1"/>
          <w:numId w:val="13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:rsidR="00771D23" w:rsidRPr="00B822E2" w:rsidRDefault="00461B50" w:rsidP="00B51F7F">
      <w:pPr>
        <w:numPr>
          <w:ilvl w:val="1"/>
          <w:numId w:val="13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B822E2" w:rsidRDefault="00B822E2" w:rsidP="00B51F7F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>
        <w:rPr>
          <w:rFonts w:ascii="Arial" w:hAnsi="Arial" w:cs="Arial"/>
          <w:sz w:val="22"/>
          <w:szCs w:val="22"/>
        </w:rPr>
        <w:t xml:space="preserve"> oraz powinna wynikać z załącznika nr 10 do SWZ „Formularz cenowy”</w:t>
      </w:r>
      <w:r w:rsidRPr="001F729A">
        <w:rPr>
          <w:rFonts w:ascii="Arial" w:hAnsi="Arial" w:cs="Arial"/>
          <w:sz w:val="22"/>
          <w:szCs w:val="22"/>
        </w:rPr>
        <w:t>.</w:t>
      </w:r>
    </w:p>
    <w:p w:rsidR="00B822E2" w:rsidRPr="00B822E2" w:rsidRDefault="00B822E2" w:rsidP="00B51F7F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822E2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 wskazane  przez  Wykonawcę  muszą  być podane w PLN cyfrowo w zaokrągleniu do</w:t>
      </w:r>
    </w:p>
    <w:p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lastRenderedPageBreak/>
        <w:t>Rozliczenia pomiędzy Wykonawcą, a Zamawiającym będą dokonywane w złotych          polskich (PLN).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:rsidR="009C3F40" w:rsidRPr="00AF1D5F" w:rsidRDefault="009C3F40" w:rsidP="00B51F7F">
      <w:pPr>
        <w:pStyle w:val="Teksttreci0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   wartości   towaru   lub  usługi   objętego   obowiązkiem podatkowym Zamawiającego, bez kwoty podatku;</w:t>
      </w:r>
    </w:p>
    <w:p w:rsidR="009C3F40" w:rsidRPr="00AF1D5F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:rsidR="00771D23" w:rsidRPr="009003AC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:rsidR="00B822E2" w:rsidRPr="00B51F7F" w:rsidRDefault="00B822E2" w:rsidP="00DD5697">
      <w:pPr>
        <w:autoSpaceDE w:val="0"/>
        <w:autoSpaceDN w:val="0"/>
        <w:adjustRightInd w:val="0"/>
        <w:spacing w:before="240" w:line="276" w:lineRule="auto"/>
        <w:ind w:left="425" w:right="1395" w:hanging="11"/>
        <w:rPr>
          <w:rFonts w:ascii="Arial" w:hAnsi="Arial" w:cs="Arial"/>
          <w:bCs/>
          <w:sz w:val="22"/>
        </w:rPr>
      </w:pPr>
      <w:r w:rsidRPr="00B51F7F">
        <w:rPr>
          <w:rFonts w:ascii="Arial" w:hAnsi="Arial" w:cs="Arial"/>
          <w:bCs/>
          <w:sz w:val="22"/>
        </w:rPr>
        <w:t>1. Kryteria oceny ofert i ich waga.</w:t>
      </w:r>
    </w:p>
    <w:p w:rsidR="00B822E2" w:rsidRPr="00B822E2" w:rsidRDefault="00B822E2" w:rsidP="00ED2237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  <w:spacing w:val="0"/>
        </w:rPr>
      </w:pPr>
      <w:r w:rsidRPr="00B822E2">
        <w:rPr>
          <w:rFonts w:ascii="Arial" w:hAnsi="Arial" w:cs="Arial"/>
          <w:spacing w:val="0"/>
        </w:rPr>
        <w:t>Ocenie będą podlegały oferty ważne tj. oferty niepodlegające odrzuceniu.</w:t>
      </w:r>
    </w:p>
    <w:p w:rsidR="00B822E2" w:rsidRDefault="00B822E2" w:rsidP="00ED2237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  <w:spacing w:val="0"/>
        </w:rPr>
      </w:pPr>
      <w:r w:rsidRPr="00B822E2">
        <w:rPr>
          <w:rFonts w:ascii="Arial" w:hAnsi="Arial" w:cs="Arial"/>
          <w:spacing w:val="0"/>
        </w:rPr>
        <w:t xml:space="preserve">Oferty będą oceniane na podstawie kryterium: </w:t>
      </w:r>
      <w:r w:rsidRPr="00ED2237">
        <w:rPr>
          <w:rFonts w:ascii="Arial" w:hAnsi="Arial" w:cs="Arial"/>
          <w:b/>
          <w:spacing w:val="0"/>
        </w:rPr>
        <w:t xml:space="preserve">cena brutto oferty </w:t>
      </w:r>
      <w:r w:rsidRPr="00ED2237">
        <w:rPr>
          <w:rFonts w:ascii="Arial" w:hAnsi="Arial" w:cs="Arial"/>
          <w:b/>
          <w:bCs/>
          <w:spacing w:val="0"/>
        </w:rPr>
        <w:t xml:space="preserve">– </w:t>
      </w:r>
      <w:r w:rsidRPr="00ED2237">
        <w:rPr>
          <w:rFonts w:ascii="Arial" w:hAnsi="Arial" w:cs="Arial"/>
          <w:b/>
          <w:spacing w:val="0"/>
        </w:rPr>
        <w:t>waga 100</w:t>
      </w:r>
      <w:r w:rsidR="000E3FBE">
        <w:rPr>
          <w:rFonts w:ascii="Arial" w:hAnsi="Arial" w:cs="Arial"/>
          <w:b/>
          <w:spacing w:val="0"/>
        </w:rPr>
        <w:t xml:space="preserve"> pkt</w:t>
      </w:r>
    </w:p>
    <w:p w:rsidR="00B51F7F" w:rsidRPr="00B822E2" w:rsidRDefault="00B51F7F" w:rsidP="00B51F7F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  <w:b/>
          <w:bCs/>
          <w:spacing w:val="0"/>
        </w:rPr>
      </w:pPr>
    </w:p>
    <w:p w:rsidR="00B822E2" w:rsidRPr="00B51F7F" w:rsidRDefault="00B822E2" w:rsidP="00B822E2">
      <w:pPr>
        <w:autoSpaceDE w:val="0"/>
        <w:autoSpaceDN w:val="0"/>
        <w:adjustRightInd w:val="0"/>
        <w:spacing w:line="276" w:lineRule="auto"/>
        <w:ind w:left="284" w:firstLine="142"/>
        <w:rPr>
          <w:rFonts w:ascii="Arial" w:hAnsi="Arial" w:cs="Arial"/>
          <w:bCs/>
          <w:sz w:val="22"/>
        </w:rPr>
      </w:pPr>
      <w:r w:rsidRPr="00B51F7F">
        <w:rPr>
          <w:rFonts w:ascii="Arial" w:hAnsi="Arial" w:cs="Arial"/>
          <w:bCs/>
          <w:sz w:val="22"/>
        </w:rPr>
        <w:t>2. Sposób oceny ofert</w:t>
      </w:r>
    </w:p>
    <w:p w:rsidR="007C108B" w:rsidRDefault="00B822E2" w:rsidP="00B822E2">
      <w:pPr>
        <w:autoSpaceDE w:val="0"/>
        <w:autoSpaceDN w:val="0"/>
        <w:adjustRightInd w:val="0"/>
        <w:spacing w:line="276" w:lineRule="auto"/>
        <w:ind w:hanging="9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2D1698">
        <w:rPr>
          <w:rFonts w:ascii="Arial" w:hAnsi="Arial" w:cs="Arial"/>
          <w:sz w:val="22"/>
        </w:rPr>
        <w:t xml:space="preserve"> Ocena ofert zostanie dokonana wg poniższego wzoru:</w:t>
      </w:r>
      <w:r>
        <w:rPr>
          <w:rFonts w:ascii="Arial" w:hAnsi="Arial" w:cs="Arial"/>
          <w:sz w:val="22"/>
        </w:rPr>
        <w:t xml:space="preserve"> </w:t>
      </w:r>
    </w:p>
    <w:p w:rsidR="00B822E2" w:rsidRPr="002D1698" w:rsidRDefault="00B822E2" w:rsidP="00ED2237">
      <w:pPr>
        <w:autoSpaceDE w:val="0"/>
        <w:autoSpaceDN w:val="0"/>
        <w:adjustRightInd w:val="0"/>
        <w:spacing w:line="276" w:lineRule="auto"/>
        <w:ind w:hanging="488"/>
        <w:rPr>
          <w:rFonts w:ascii="Arial" w:hAnsi="Arial" w:cs="Arial"/>
          <w:sz w:val="22"/>
        </w:rPr>
      </w:pPr>
      <w:r w:rsidRPr="002D1698">
        <w:rPr>
          <w:rFonts w:ascii="Arial" w:hAnsi="Arial" w:cs="Arial"/>
          <w:b/>
          <w:sz w:val="22"/>
        </w:rPr>
        <w:t xml:space="preserve">P = </w:t>
      </w:r>
      <w:proofErr w:type="spellStart"/>
      <w:r w:rsidRPr="002D1698">
        <w:rPr>
          <w:rFonts w:ascii="Arial" w:hAnsi="Arial" w:cs="Arial"/>
          <w:b/>
          <w:sz w:val="22"/>
        </w:rPr>
        <w:t>Pc</w:t>
      </w:r>
      <w:proofErr w:type="spellEnd"/>
      <w:r w:rsidRPr="002D1698">
        <w:rPr>
          <w:rFonts w:ascii="Arial" w:hAnsi="Arial" w:cs="Arial"/>
          <w:b/>
          <w:sz w:val="22"/>
        </w:rPr>
        <w:t xml:space="preserve">, </w:t>
      </w:r>
      <w:r w:rsidRPr="002D1698">
        <w:rPr>
          <w:rFonts w:ascii="Arial" w:hAnsi="Arial" w:cs="Arial"/>
          <w:sz w:val="22"/>
        </w:rPr>
        <w:t>gdzie: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 w:firstLine="285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>P – łączna liczba punktów przyznanych badanej ofercie,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 w:firstLine="285"/>
        <w:rPr>
          <w:rFonts w:ascii="Arial" w:hAnsi="Arial" w:cs="Arial"/>
          <w:sz w:val="22"/>
        </w:rPr>
      </w:pPr>
      <w:proofErr w:type="spellStart"/>
      <w:r w:rsidRPr="002D1698">
        <w:rPr>
          <w:rFonts w:ascii="Arial" w:hAnsi="Arial" w:cs="Arial"/>
          <w:sz w:val="22"/>
        </w:rPr>
        <w:t>Pc</w:t>
      </w:r>
      <w:proofErr w:type="spellEnd"/>
      <w:r w:rsidRPr="002D1698">
        <w:rPr>
          <w:rFonts w:ascii="Arial" w:hAnsi="Arial" w:cs="Arial"/>
          <w:sz w:val="22"/>
        </w:rPr>
        <w:t xml:space="preserve"> – liczba punktów w kryterium </w:t>
      </w:r>
      <w:r w:rsidRPr="002D1698">
        <w:rPr>
          <w:rFonts w:ascii="Arial" w:hAnsi="Arial" w:cs="Arial"/>
          <w:i/>
          <w:iCs/>
          <w:sz w:val="22"/>
        </w:rPr>
        <w:t>„cena brutto oferty”</w:t>
      </w:r>
      <w:r w:rsidRPr="002D1698">
        <w:rPr>
          <w:rFonts w:ascii="Arial" w:hAnsi="Arial" w:cs="Arial"/>
          <w:sz w:val="22"/>
        </w:rPr>
        <w:t>,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right="-8" w:hanging="772"/>
        <w:rPr>
          <w:rFonts w:ascii="Arial" w:hAnsi="Arial" w:cs="Arial"/>
          <w:b/>
          <w:bCs/>
          <w:sz w:val="22"/>
        </w:rPr>
      </w:pPr>
      <w:r w:rsidRPr="002D1698">
        <w:rPr>
          <w:rFonts w:ascii="Arial" w:hAnsi="Arial" w:cs="Arial"/>
          <w:sz w:val="22"/>
        </w:rPr>
        <w:t>Obliczenia dokonywane będą z dokładnością do dwóch miejsc po przecinku.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5" w:right="-8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 xml:space="preserve">Każda z ważnych ofert będzie punktowana w kryterium </w:t>
      </w:r>
      <w:r>
        <w:rPr>
          <w:rFonts w:ascii="Arial" w:hAnsi="Arial" w:cs="Arial"/>
          <w:sz w:val="22"/>
        </w:rPr>
        <w:t xml:space="preserve">cena </w:t>
      </w:r>
      <w:r w:rsidRPr="002D1698">
        <w:rPr>
          <w:rFonts w:ascii="Arial" w:hAnsi="Arial" w:cs="Arial"/>
          <w:sz w:val="22"/>
        </w:rPr>
        <w:t>poprzez porównanie ceny brutto oferty badanej do ceny brutto oferty najniższej ze wszystkich ważnych ofert, wg poniższego wzoru: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/>
          <w:sz w:val="22"/>
        </w:rPr>
      </w:pPr>
      <w:proofErr w:type="spellStart"/>
      <w:r w:rsidRPr="002D1698">
        <w:rPr>
          <w:rFonts w:ascii="Arial" w:hAnsi="Arial" w:cs="Arial"/>
          <w:b/>
          <w:sz w:val="22"/>
        </w:rPr>
        <w:t>Pc</w:t>
      </w:r>
      <w:proofErr w:type="spellEnd"/>
      <w:r w:rsidRPr="002D1698">
        <w:rPr>
          <w:rFonts w:ascii="Arial" w:hAnsi="Arial" w:cs="Arial"/>
          <w:b/>
          <w:sz w:val="22"/>
        </w:rPr>
        <w:t xml:space="preserve"> = (</w:t>
      </w:r>
      <w:proofErr w:type="spellStart"/>
      <w:r w:rsidRPr="002D1698">
        <w:rPr>
          <w:rFonts w:ascii="Arial" w:hAnsi="Arial" w:cs="Arial"/>
          <w:b/>
          <w:sz w:val="22"/>
        </w:rPr>
        <w:t>Cn</w:t>
      </w:r>
      <w:proofErr w:type="spellEnd"/>
      <w:r w:rsidRPr="002D1698">
        <w:rPr>
          <w:rFonts w:ascii="Arial" w:hAnsi="Arial" w:cs="Arial"/>
          <w:b/>
          <w:sz w:val="22"/>
        </w:rPr>
        <w:t xml:space="preserve"> : </w:t>
      </w:r>
      <w:proofErr w:type="spellStart"/>
      <w:r w:rsidRPr="002D1698">
        <w:rPr>
          <w:rFonts w:ascii="Arial" w:hAnsi="Arial" w:cs="Arial"/>
          <w:b/>
          <w:sz w:val="22"/>
        </w:rPr>
        <w:t>Cb</w:t>
      </w:r>
      <w:proofErr w:type="spellEnd"/>
      <w:r w:rsidRPr="002D1698">
        <w:rPr>
          <w:rFonts w:ascii="Arial" w:hAnsi="Arial" w:cs="Arial"/>
          <w:b/>
          <w:sz w:val="22"/>
        </w:rPr>
        <w:t xml:space="preserve">) x 100 pkt </w:t>
      </w:r>
    </w:p>
    <w:p w:rsidR="00B822E2" w:rsidRPr="002D1698" w:rsidRDefault="00B822E2" w:rsidP="00B822E2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>gdzie:</w:t>
      </w:r>
    </w:p>
    <w:p w:rsidR="00B822E2" w:rsidRPr="002D1698" w:rsidRDefault="00B822E2" w:rsidP="009173F7">
      <w:pPr>
        <w:autoSpaceDE w:val="0"/>
        <w:autoSpaceDN w:val="0"/>
        <w:adjustRightInd w:val="0"/>
        <w:spacing w:line="276" w:lineRule="auto"/>
        <w:ind w:left="1416" w:right="-8"/>
        <w:rPr>
          <w:rFonts w:ascii="Arial" w:hAnsi="Arial" w:cs="Arial"/>
          <w:sz w:val="22"/>
        </w:rPr>
      </w:pPr>
      <w:proofErr w:type="spellStart"/>
      <w:r w:rsidRPr="002D1698">
        <w:rPr>
          <w:rFonts w:ascii="Arial" w:hAnsi="Arial" w:cs="Arial"/>
          <w:sz w:val="22"/>
        </w:rPr>
        <w:t>Cn</w:t>
      </w:r>
      <w:proofErr w:type="spellEnd"/>
      <w:r w:rsidRPr="002D1698">
        <w:rPr>
          <w:rFonts w:ascii="Arial" w:hAnsi="Arial" w:cs="Arial"/>
          <w:sz w:val="22"/>
        </w:rPr>
        <w:t xml:space="preserve"> – cena brutto oferty najniższej spośród wszystkich ofert podlegających ocenie,</w:t>
      </w:r>
    </w:p>
    <w:p w:rsidR="00B822E2" w:rsidRDefault="00B822E2" w:rsidP="00B822E2">
      <w:pPr>
        <w:autoSpaceDE w:val="0"/>
        <w:autoSpaceDN w:val="0"/>
        <w:adjustRightInd w:val="0"/>
        <w:spacing w:line="276" w:lineRule="auto"/>
        <w:ind w:left="1416"/>
        <w:rPr>
          <w:rFonts w:ascii="Arial" w:hAnsi="Arial" w:cs="Arial"/>
          <w:sz w:val="22"/>
        </w:rPr>
      </w:pPr>
      <w:proofErr w:type="spellStart"/>
      <w:r w:rsidRPr="002D1698">
        <w:rPr>
          <w:rFonts w:ascii="Arial" w:hAnsi="Arial" w:cs="Arial"/>
          <w:sz w:val="22"/>
        </w:rPr>
        <w:t>Cb</w:t>
      </w:r>
      <w:proofErr w:type="spellEnd"/>
      <w:r w:rsidRPr="002D1698">
        <w:rPr>
          <w:rFonts w:ascii="Arial" w:hAnsi="Arial" w:cs="Arial"/>
          <w:sz w:val="22"/>
        </w:rPr>
        <w:t xml:space="preserve"> – cena brutto oferty badanej.</w:t>
      </w:r>
    </w:p>
    <w:p w:rsidR="00B822E2" w:rsidRDefault="00B822E2" w:rsidP="009800D3">
      <w:pPr>
        <w:autoSpaceDE w:val="0"/>
        <w:autoSpaceDN w:val="0"/>
        <w:adjustRightInd w:val="0"/>
        <w:spacing w:before="120" w:line="276" w:lineRule="auto"/>
        <w:ind w:left="567" w:right="-6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opisie przedmiotu zamówienia zawarto wszystkie wymagania jakościowe odnoszące się do głównych </w:t>
      </w:r>
      <w:r w:rsidR="009173F7" w:rsidRPr="009003AC">
        <w:rPr>
          <w:rFonts w:ascii="Arial" w:hAnsi="Arial" w:cs="Arial"/>
          <w:color w:val="000000" w:themeColor="text1"/>
          <w:sz w:val="22"/>
        </w:rPr>
        <w:t xml:space="preserve">elementów składających się na </w:t>
      </w:r>
      <w:r w:rsidRPr="009003AC">
        <w:rPr>
          <w:rFonts w:ascii="Arial" w:hAnsi="Arial" w:cs="Arial"/>
          <w:color w:val="000000" w:themeColor="text1"/>
          <w:sz w:val="22"/>
        </w:rPr>
        <w:t>przedmiot zamówienia</w:t>
      </w:r>
      <w:r>
        <w:rPr>
          <w:rFonts w:ascii="Arial" w:hAnsi="Arial" w:cs="Arial"/>
          <w:sz w:val="22"/>
        </w:rPr>
        <w:t>, dlatego kryterium ceny jest jedynym zgodnie z art. 246 ust. 2 Ustawy.</w:t>
      </w:r>
    </w:p>
    <w:p w:rsidR="00B822E2" w:rsidRPr="00B51F7F" w:rsidRDefault="00B822E2" w:rsidP="009003AC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hanging="1055"/>
        <w:rPr>
          <w:rFonts w:ascii="Arial" w:hAnsi="Arial" w:cs="Arial"/>
          <w:sz w:val="22"/>
        </w:rPr>
      </w:pPr>
      <w:r w:rsidRPr="00B51F7F">
        <w:rPr>
          <w:rFonts w:ascii="Arial" w:hAnsi="Arial" w:cs="Arial"/>
          <w:sz w:val="22"/>
        </w:rPr>
        <w:t>3. Wybór oferty.</w:t>
      </w:r>
    </w:p>
    <w:p w:rsidR="007C108B" w:rsidRDefault="00B822E2" w:rsidP="00B76A69">
      <w:pPr>
        <w:autoSpaceDE w:val="0"/>
        <w:autoSpaceDN w:val="0"/>
        <w:adjustRightInd w:val="0"/>
        <w:spacing w:after="0" w:line="276" w:lineRule="auto"/>
        <w:ind w:left="567" w:right="-6" w:firstLine="0"/>
        <w:rPr>
          <w:rFonts w:ascii="Arial" w:hAnsi="Arial" w:cs="Arial"/>
          <w:sz w:val="22"/>
        </w:rPr>
      </w:pPr>
      <w:r w:rsidRPr="002D1698">
        <w:rPr>
          <w:rFonts w:ascii="Arial" w:hAnsi="Arial" w:cs="Arial"/>
          <w:sz w:val="22"/>
        </w:rPr>
        <w:t>Za najkorzystniejszą zostanie uznana oferta, która u</w:t>
      </w:r>
      <w:r>
        <w:rPr>
          <w:rFonts w:ascii="Arial" w:hAnsi="Arial" w:cs="Arial"/>
          <w:sz w:val="22"/>
        </w:rPr>
        <w:t>zyska największą liczbę</w:t>
      </w:r>
      <w:r w:rsidR="007C108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punktów</w:t>
      </w:r>
      <w:r w:rsidR="001C1866">
        <w:rPr>
          <w:rFonts w:ascii="Arial" w:hAnsi="Arial" w:cs="Arial"/>
          <w:sz w:val="22"/>
        </w:rPr>
        <w:t xml:space="preserve"> obliczonych zgodnie z wzorem:</w:t>
      </w:r>
    </w:p>
    <w:p w:rsidR="00B822E2" w:rsidRPr="002D1698" w:rsidRDefault="00B822E2" w:rsidP="00B76A69">
      <w:pPr>
        <w:autoSpaceDE w:val="0"/>
        <w:autoSpaceDN w:val="0"/>
        <w:adjustRightInd w:val="0"/>
        <w:spacing w:line="276" w:lineRule="auto"/>
        <w:ind w:left="567" w:right="-8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 = </w:t>
      </w:r>
      <w:proofErr w:type="spellStart"/>
      <w:r>
        <w:rPr>
          <w:rFonts w:ascii="Arial" w:hAnsi="Arial" w:cs="Arial"/>
          <w:b/>
          <w:sz w:val="22"/>
        </w:rPr>
        <w:t>Pc</w:t>
      </w:r>
      <w:proofErr w:type="spellEnd"/>
      <w:r>
        <w:rPr>
          <w:rFonts w:ascii="Arial" w:hAnsi="Arial" w:cs="Arial"/>
          <w:sz w:val="22"/>
        </w:rPr>
        <w:t>.</w:t>
      </w:r>
    </w:p>
    <w:p w:rsidR="009003AC" w:rsidRDefault="00A7784D" w:rsidP="00B76A69">
      <w:pPr>
        <w:pStyle w:val="Teksttreci0"/>
        <w:numPr>
          <w:ilvl w:val="0"/>
          <w:numId w:val="24"/>
        </w:numPr>
        <w:shd w:val="clear" w:color="auto" w:fill="auto"/>
        <w:tabs>
          <w:tab w:val="left" w:pos="776"/>
        </w:tabs>
        <w:spacing w:before="120" w:line="276" w:lineRule="auto"/>
        <w:ind w:left="709" w:hanging="284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:rsidR="009003AC" w:rsidRPr="009003AC" w:rsidRDefault="009003AC" w:rsidP="00B51F7F">
      <w:pPr>
        <w:pStyle w:val="Teksttreci0"/>
        <w:numPr>
          <w:ilvl w:val="0"/>
          <w:numId w:val="24"/>
        </w:numPr>
        <w:shd w:val="clear" w:color="auto" w:fill="auto"/>
        <w:tabs>
          <w:tab w:val="left" w:pos="77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003AC">
        <w:rPr>
          <w:rFonts w:ascii="Arial" w:hAnsi="Arial" w:cs="Arial"/>
          <w:sz w:val="22"/>
          <w:szCs w:val="22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</w:t>
      </w:r>
      <w:r w:rsidRPr="009003AC">
        <w:rPr>
          <w:rFonts w:ascii="Arial" w:hAnsi="Arial" w:cs="Arial"/>
          <w:sz w:val="22"/>
          <w:szCs w:val="22"/>
        </w:rPr>
        <w:lastRenderedPageBreak/>
        <w:t>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:rsidR="009173F7" w:rsidRPr="009173F7" w:rsidRDefault="009173F7" w:rsidP="00B51F7F">
      <w:pPr>
        <w:spacing w:before="120" w:after="0" w:line="276" w:lineRule="auto"/>
        <w:ind w:left="425" w:right="0" w:firstLine="0"/>
        <w:rPr>
          <w:rFonts w:ascii="Arial" w:hAnsi="Arial" w:cs="Arial"/>
          <w:color w:val="auto"/>
          <w:sz w:val="22"/>
          <w:lang w:bidi="pl-PL"/>
        </w:rPr>
      </w:pPr>
      <w:r>
        <w:rPr>
          <w:rFonts w:ascii="Arial" w:hAnsi="Arial" w:cs="Arial"/>
          <w:color w:val="auto"/>
          <w:sz w:val="22"/>
          <w:lang w:bidi="pl-PL"/>
        </w:rPr>
        <w:t xml:space="preserve">1. </w:t>
      </w:r>
      <w:r w:rsidRPr="009173F7">
        <w:rPr>
          <w:rFonts w:ascii="Arial" w:hAnsi="Arial" w:cs="Arial"/>
          <w:color w:val="auto"/>
          <w:sz w:val="22"/>
          <w:lang w:bidi="pl-PL"/>
        </w:rPr>
        <w:t>Wykonawca, którego oferta została wybrana zobowiązany jest do wniesienia  zabezpieczenia należytego wykonania umowy (dalej "zabezpieczenie") w wysokości 5% ceny całkowitej brutto wskazanej w ofercie.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2. Zabezpieczenie służy pokryciu roszczeń z tytułu niewykonania lub nienależytego wykonania umowy.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3. Zabezpieczenie może być wnoszone według wyboru Wykonawcy w jednej lub kilku następujących formach: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1) pieniądzu;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2) poręczeniach bankowych lub poręczeniach spółdzielczej kasy oszczędnościowo-kredytowej, z tym że zobowiązanie kasy jest zawsze zobowiązaniem pieniężnym;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3) gwarancjach bankowych;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4) gwarancjach ubezpieczeniowych;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5) poręczeniach udzielanych przez podmioty, o których mowa w art. 6b ust. 5 pkt 2 ustawy</w:t>
      </w:r>
      <w:r w:rsidR="0081443F">
        <w:rPr>
          <w:rFonts w:ascii="Arial" w:hAnsi="Arial" w:cs="Arial"/>
          <w:color w:val="auto"/>
          <w:sz w:val="22"/>
          <w:lang w:bidi="pl-PL"/>
        </w:rPr>
        <w:t xml:space="preserve">    </w:t>
      </w:r>
      <w:r w:rsidRPr="009173F7">
        <w:rPr>
          <w:rFonts w:ascii="Arial" w:hAnsi="Arial" w:cs="Arial"/>
          <w:color w:val="auto"/>
          <w:sz w:val="22"/>
          <w:lang w:bidi="pl-PL"/>
        </w:rPr>
        <w:t>z dnia 09.11.2000 r. o utworzeniu Polskiej Agencji Rozwoju Przedsiębiorczości (Dz. U. z 2020 r.</w:t>
      </w:r>
      <w:r w:rsidR="0081443F">
        <w:rPr>
          <w:rFonts w:ascii="Arial" w:hAnsi="Arial" w:cs="Arial"/>
          <w:color w:val="auto"/>
          <w:sz w:val="22"/>
          <w:lang w:bidi="pl-PL"/>
        </w:rPr>
        <w:t xml:space="preserve"> </w:t>
      </w:r>
      <w:r w:rsidRPr="009173F7">
        <w:rPr>
          <w:rFonts w:ascii="Arial" w:hAnsi="Arial" w:cs="Arial"/>
          <w:color w:val="auto"/>
          <w:sz w:val="22"/>
          <w:lang w:bidi="pl-PL"/>
        </w:rPr>
        <w:t>poz. 299).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 xml:space="preserve">4. Zamawiający nie wyraża zgody na wniesienie zabezpieczenia w formach określonych art. 450 ust. 2 ustawy </w:t>
      </w:r>
      <w:proofErr w:type="spellStart"/>
      <w:r w:rsidRPr="009173F7">
        <w:rPr>
          <w:rFonts w:ascii="Arial" w:hAnsi="Arial" w:cs="Arial"/>
          <w:color w:val="auto"/>
          <w:sz w:val="22"/>
          <w:lang w:bidi="pl-PL"/>
        </w:rPr>
        <w:t>Pzp</w:t>
      </w:r>
      <w:proofErr w:type="spellEnd"/>
      <w:r w:rsidRPr="009173F7">
        <w:rPr>
          <w:rFonts w:ascii="Arial" w:hAnsi="Arial" w:cs="Arial"/>
          <w:color w:val="auto"/>
          <w:sz w:val="22"/>
          <w:lang w:bidi="pl-PL"/>
        </w:rPr>
        <w:t>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5. Zabezpieczenie w formie pieniądza należy wnieść przelewem na konto, Komendy Głównej Państwowej Straży Pożarnej w Narodowym Banku Polskim, Oddział Okręgowy w Warszawie,             nr r-ku:  54 1010 1010 0047 9213 9120 1000.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6. W przypadku wniesienia wadium w pieniądzu Wykonawca może wyrazić zgodę na zaliczenie kwoty wadium na poczet zabezpieczenia.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bCs/>
          <w:color w:val="auto"/>
          <w:sz w:val="22"/>
          <w:lang w:bidi="pl-PL"/>
        </w:rPr>
      </w:pPr>
      <w:r w:rsidRPr="009173F7">
        <w:rPr>
          <w:rFonts w:ascii="Arial" w:hAnsi="Arial" w:cs="Arial"/>
          <w:bCs/>
          <w:color w:val="auto"/>
          <w:sz w:val="22"/>
          <w:lang w:bidi="pl-PL"/>
        </w:rPr>
        <w:t xml:space="preserve">7. Wykonawca jest zobowiązany przed zawarciem umowy do wniesienia 100 % kwoty  zabezpieczenia, z tym, że: 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val="cs-CZ"/>
        </w:rPr>
      </w:pPr>
      <w:r w:rsidRPr="009173F7">
        <w:rPr>
          <w:rFonts w:ascii="Arial" w:hAnsi="Arial" w:cs="Arial"/>
          <w:bCs/>
          <w:color w:val="auto"/>
          <w:sz w:val="22"/>
          <w:lang w:val="cs-CZ"/>
        </w:rPr>
        <w:t>1) 70 % wysokości zabezpieczenia przysługiwać będzie Zamawiającemu w okresie od dnia</w:t>
      </w:r>
      <w:r w:rsidRPr="009173F7">
        <w:rPr>
          <w:rFonts w:ascii="Arial" w:hAnsi="Arial" w:cs="Arial"/>
          <w:color w:val="auto"/>
          <w:sz w:val="22"/>
          <w:lang w:val="cs-CZ"/>
        </w:rPr>
        <w:t xml:space="preserve"> podpisania umowy do dnia podpisania protokołu odbioru przedmiotu umowy i uznania go przez Zamawiającego za należycie wykonany, 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val="cs-CZ"/>
        </w:rPr>
      </w:pPr>
      <w:r w:rsidRPr="009173F7">
        <w:rPr>
          <w:rFonts w:ascii="Arial" w:hAnsi="Arial" w:cs="Arial"/>
          <w:color w:val="auto"/>
          <w:sz w:val="22"/>
          <w:lang w:val="cs-CZ"/>
        </w:rPr>
        <w:t xml:space="preserve">2) 30 % wysokości zabezpieczenia stanowić będzie zabezpieczenie z tytułu rękojmi za wady i przysługiwać będzie Zamawiającemu w okresie od dnia podpisania porotokołu odbioru przedmiotu umowy do dnia upływu rękojmi </w:t>
      </w:r>
      <w:r w:rsidR="000E3FBE">
        <w:rPr>
          <w:rFonts w:ascii="Arial" w:hAnsi="Arial" w:cs="Arial"/>
          <w:color w:val="auto"/>
          <w:sz w:val="22"/>
          <w:lang w:val="cs-CZ"/>
        </w:rPr>
        <w:t xml:space="preserve">lub gwarancji </w:t>
      </w:r>
      <w:r w:rsidRPr="009173F7">
        <w:rPr>
          <w:rFonts w:ascii="Arial" w:hAnsi="Arial" w:cs="Arial"/>
          <w:color w:val="auto"/>
          <w:sz w:val="22"/>
          <w:lang w:val="cs-CZ"/>
        </w:rPr>
        <w:t>wynikającej z oferty Wykonawcy, którego oferta została wybrana.</w:t>
      </w:r>
    </w:p>
    <w:p w:rsidR="009173F7" w:rsidRPr="009173F7" w:rsidRDefault="009173F7" w:rsidP="00B51F7F">
      <w:pPr>
        <w:spacing w:after="34" w:line="276" w:lineRule="auto"/>
        <w:ind w:left="426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8. Zwrot zabezpieczenia należytego wykonania umowy. Zabezpieczenie należytego wykonania umowy zostanie zwrócone lub zwolnione w następujący sposób: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1) 70% wysokości wniesionego zabezpieczenia w terminie do 30 dni od dnia wykonania zamówienia i uznania go przez Zamawiającego za należycie wykonane;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2) 30% wysokości wniesionego zabezpieczenia nie później niż w 15 dniu po upływie okresu rękojmi lub gwarancji w zależności co nastąpi później.</w:t>
      </w:r>
    </w:p>
    <w:p w:rsidR="009173F7" w:rsidRPr="009173F7" w:rsidRDefault="009173F7" w:rsidP="00B51F7F">
      <w:pPr>
        <w:spacing w:after="34" w:line="276" w:lineRule="auto"/>
        <w:ind w:left="567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9. Uwaga: Przed złożeniem poręczenia lub gwarancji Wykonawca winien przedstawić projekt dokumentu Zamawiającemu w celu uzyskania akceptacji jego treści.</w:t>
      </w:r>
    </w:p>
    <w:p w:rsidR="009173F7" w:rsidRPr="009173F7" w:rsidRDefault="009173F7" w:rsidP="00B51F7F">
      <w:pPr>
        <w:spacing w:after="34" w:line="276" w:lineRule="auto"/>
        <w:ind w:left="567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10. Zabezpieczenie wnoszone w formie poręczeń lub gwarancji musi spełniać co najmniej poniższe wymagania: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lastRenderedPageBreak/>
        <w:t>1) musi obejmować odpowiedzialność za wszystkie okoliczności związane z niewykonaniem lub nienależytym wykonaniem umowy (w tym m.in. pokryciu naliczonych kar umownych), bez potwierdzania tych okoliczności;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2) wszelkie zmiany, uzupełnienia lub modyfikacje warunków umowy lub przedmiotu zamówienia nie mogą zwalniać gwaranta z odpowiedzialności wynikającej z poręczenia lub gwarancji;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3) z jej treści powinno jednoznacznie wynikać zobowiązanie gwaranta lub poręczyciela do zapłaty całej kwoty zabezpieczenia;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4) powinna być nieodwołalna i bezwarunkowa oraz płatna na pierwsze żądanie;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5) musi jednoznacznie określać termin obowiązywania poręczenia lub gwarancji;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6) w treści poręczenia lub gwarancji powinna znaleźć się nazwa przedmiotowego postępowania;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auto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7) beneficjentem poręczenia lub gwarancji jest: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b/>
          <w:color w:val="auto"/>
          <w:sz w:val="22"/>
          <w:lang w:bidi="pl-PL"/>
        </w:rPr>
      </w:pPr>
      <w:r w:rsidRPr="009173F7">
        <w:rPr>
          <w:rFonts w:ascii="Arial" w:hAnsi="Arial" w:cs="Arial"/>
          <w:b/>
          <w:color w:val="auto"/>
          <w:sz w:val="22"/>
          <w:lang w:bidi="pl-PL"/>
        </w:rPr>
        <w:t>Skarb Państwa – Komendant Główny Państwowej Straży Pożarnej</w:t>
      </w:r>
    </w:p>
    <w:p w:rsidR="009173F7" w:rsidRPr="009173F7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b/>
          <w:color w:val="auto"/>
          <w:sz w:val="22"/>
          <w:lang w:bidi="pl-PL"/>
        </w:rPr>
      </w:pPr>
      <w:r w:rsidRPr="009173F7">
        <w:rPr>
          <w:rFonts w:ascii="Arial" w:hAnsi="Arial" w:cs="Arial"/>
          <w:b/>
          <w:color w:val="auto"/>
          <w:sz w:val="22"/>
          <w:lang w:bidi="pl-PL"/>
        </w:rPr>
        <w:t>ul. Podchorążych 38, 00-463 Warszawa;</w:t>
      </w:r>
    </w:p>
    <w:p w:rsidR="009173F7" w:rsidRPr="00663355" w:rsidRDefault="009173F7" w:rsidP="00B51F7F">
      <w:pPr>
        <w:spacing w:after="34" w:line="276" w:lineRule="auto"/>
        <w:ind w:left="785" w:right="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9173F7">
        <w:rPr>
          <w:rFonts w:ascii="Arial" w:hAnsi="Arial" w:cs="Arial"/>
          <w:color w:val="auto"/>
          <w:sz w:val="22"/>
          <w:lang w:bidi="pl-PL"/>
        </w:rPr>
        <w:t>8) w przypadku Wykonawców wspólnie ubiegających się o udzielenie zamówienia, Zamawiający wymaga aby poręczenie lub gwarancja obejmowała swą treścią</w:t>
      </w:r>
      <w:r w:rsidRPr="009173F7">
        <w:rPr>
          <w:rFonts w:ascii="Arial" w:hAnsi="Arial" w:cs="Arial"/>
          <w:b/>
          <w:bCs/>
          <w:color w:val="auto"/>
          <w:sz w:val="22"/>
          <w:lang w:bidi="pl-PL"/>
        </w:rPr>
        <w:t xml:space="preserve"> </w:t>
      </w:r>
      <w:r w:rsidRPr="009173F7">
        <w:rPr>
          <w:rFonts w:ascii="Arial" w:hAnsi="Arial" w:cs="Arial"/>
          <w:color w:val="auto"/>
          <w:sz w:val="22"/>
          <w:lang w:bidi="pl-PL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 (konsorcjum</w:t>
      </w:r>
      <w:r w:rsidR="000E3FBE">
        <w:rPr>
          <w:rFonts w:ascii="Arial" w:hAnsi="Arial" w:cs="Arial"/>
          <w:color w:val="auto"/>
          <w:sz w:val="22"/>
          <w:lang w:bidi="pl-PL"/>
        </w:rPr>
        <w:t xml:space="preserve">, </w:t>
      </w:r>
      <w:r w:rsidR="000E3FBE" w:rsidRPr="00663355">
        <w:rPr>
          <w:rFonts w:ascii="Arial" w:hAnsi="Arial" w:cs="Arial"/>
          <w:color w:val="000000" w:themeColor="text1"/>
          <w:sz w:val="22"/>
          <w:lang w:bidi="pl-PL"/>
        </w:rPr>
        <w:t>spółka cywilna</w:t>
      </w:r>
      <w:r w:rsidRPr="00663355">
        <w:rPr>
          <w:rFonts w:ascii="Arial" w:hAnsi="Arial" w:cs="Arial"/>
          <w:color w:val="000000" w:themeColor="text1"/>
          <w:sz w:val="22"/>
          <w:lang w:bidi="pl-PL"/>
        </w:rPr>
        <w:t>).</w:t>
      </w:r>
    </w:p>
    <w:p w:rsidR="00771D23" w:rsidRPr="00AF1D5F" w:rsidRDefault="00771D23" w:rsidP="00AF1D5F">
      <w:pPr>
        <w:spacing w:after="34" w:line="240" w:lineRule="auto"/>
        <w:ind w:left="785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1A481B">
      <w:pPr>
        <w:numPr>
          <w:ilvl w:val="0"/>
          <w:numId w:val="14"/>
        </w:numPr>
        <w:spacing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:rsidR="00771D23" w:rsidRPr="00AF1D5F" w:rsidRDefault="00461B50" w:rsidP="001A481B">
      <w:pPr>
        <w:numPr>
          <w:ilvl w:val="0"/>
          <w:numId w:val="14"/>
        </w:numPr>
        <w:spacing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:rsidR="00771D23" w:rsidRDefault="00461B50" w:rsidP="001A481B">
      <w:pPr>
        <w:numPr>
          <w:ilvl w:val="0"/>
          <w:numId w:val="14"/>
        </w:numPr>
        <w:spacing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:rsidR="00771D23" w:rsidRDefault="00461B50" w:rsidP="001A481B">
      <w:pPr>
        <w:numPr>
          <w:ilvl w:val="0"/>
          <w:numId w:val="14"/>
        </w:num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 podpisaniem umowy wybrany Wykonawca przekaże Zamawiającemu informacje niezbędne do wpisania do treści umowy (np. imiona i nazwiska upoważnionych osób, które będą reprezentować Wykonawcę przy podpisaniu umowy). </w:t>
      </w:r>
    </w:p>
    <w:p w:rsidR="001A481B" w:rsidRDefault="001A481B" w:rsidP="001A481B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Warunkiem zawarcia umowy jest wniesienie zabezpieczenia na</w:t>
      </w:r>
      <w:r>
        <w:rPr>
          <w:rFonts w:ascii="Arial" w:hAnsi="Arial" w:cs="Arial"/>
          <w:sz w:val="22"/>
          <w:szCs w:val="22"/>
        </w:rPr>
        <w:t>leżytego wykonania umowy.</w:t>
      </w:r>
    </w:p>
    <w:p w:rsidR="001A481B" w:rsidRPr="001A481B" w:rsidRDefault="001A481B" w:rsidP="001A481B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1C3DFC" w:rsidRPr="001C3DFC" w:rsidRDefault="001C3DFC" w:rsidP="00F47539">
      <w:pPr>
        <w:widowControl w:val="0"/>
        <w:numPr>
          <w:ilvl w:val="0"/>
          <w:numId w:val="37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:rsidR="00771D23" w:rsidRPr="00AF1D5F" w:rsidRDefault="00461B50" w:rsidP="001A481B">
      <w:pPr>
        <w:spacing w:after="0" w:line="276" w:lineRule="auto"/>
        <w:ind w:left="0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:rsidR="009808A6" w:rsidRPr="009808A6" w:rsidRDefault="009808A6" w:rsidP="009808A6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9808A6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Klauzula informacyjna</w:t>
      </w:r>
    </w:p>
    <w:p w:rsidR="009808A6" w:rsidRPr="009808A6" w:rsidRDefault="009808A6" w:rsidP="002C09A5">
      <w:pPr>
        <w:spacing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Administrator będzie przetwarzać wyłącznie niezbędne dane osobowe, w szczególności: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których mowa w art. 17 ust. 3 RODO;,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przetwarzanie podanych przez Pana/Panią danych osobowych nie będzie podlegało zautomatyzowanemu podejmowaniu decyzji, w tym profilowaniu, o którym mowa w art. 22 ust. 1 i 4 RODO. </w:t>
      </w:r>
    </w:p>
    <w:p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1 –  Opis przedmiotu zamówienia</w:t>
      </w:r>
      <w:r w:rsidR="001C3DFC" w:rsidRPr="001C3DFC">
        <w:rPr>
          <w:rFonts w:ascii="Arial" w:hAnsi="Arial" w:cs="Arial"/>
          <w:sz w:val="22"/>
          <w:szCs w:val="22"/>
        </w:rPr>
        <w:t xml:space="preserve">, 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</w:t>
      </w:r>
      <w:r w:rsidR="00142345" w:rsidRPr="001C3DFC">
        <w:rPr>
          <w:rFonts w:ascii="Arial" w:hAnsi="Arial" w:cs="Arial"/>
          <w:sz w:val="22"/>
          <w:szCs w:val="22"/>
        </w:rPr>
        <w:t>łącznik nr 2 –  Projekt umowy,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3 –  </w:t>
      </w:r>
      <w:r w:rsidR="00142345" w:rsidRPr="001C3DFC">
        <w:rPr>
          <w:rFonts w:ascii="Arial" w:hAnsi="Arial" w:cs="Arial"/>
          <w:sz w:val="22"/>
          <w:szCs w:val="22"/>
        </w:rPr>
        <w:t>Formularz oferty,</w:t>
      </w:r>
    </w:p>
    <w:p w:rsidR="009E4B93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1C3DFC">
        <w:rPr>
          <w:rFonts w:ascii="Arial" w:hAnsi="Arial" w:cs="Arial"/>
          <w:sz w:val="22"/>
          <w:szCs w:val="22"/>
        </w:rPr>
        <w:t>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:rsidR="006C7C7F" w:rsidRPr="001C3DFC" w:rsidRDefault="00AD4FB4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F47539">
        <w:rPr>
          <w:rFonts w:ascii="Arial" w:hAnsi="Arial" w:cs="Arial"/>
          <w:sz w:val="22"/>
          <w:szCs w:val="22"/>
        </w:rPr>
        <w:t>,</w:t>
      </w:r>
      <w:r w:rsidR="006C7C7F" w:rsidRPr="001C3DFC">
        <w:rPr>
          <w:rFonts w:ascii="Arial" w:hAnsi="Arial" w:cs="Arial"/>
          <w:sz w:val="22"/>
          <w:szCs w:val="22"/>
        </w:rPr>
        <w:t xml:space="preserve"> </w:t>
      </w:r>
      <w:r w:rsidR="00CF62DF" w:rsidRPr="001C3DFC">
        <w:rPr>
          <w:rFonts w:ascii="Arial" w:hAnsi="Arial" w:cs="Arial"/>
          <w:sz w:val="22"/>
          <w:szCs w:val="22"/>
        </w:rPr>
        <w:t xml:space="preserve">              </w:t>
      </w:r>
    </w:p>
    <w:p w:rsidR="006C7C7F" w:rsidRPr="001C3DFC" w:rsidRDefault="006C7C7F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1C3DFC" w:rsidRPr="001C3DFC">
        <w:rPr>
          <w:rFonts w:ascii="Arial" w:hAnsi="Arial" w:cs="Arial"/>
          <w:sz w:val="22"/>
          <w:szCs w:val="22"/>
        </w:rPr>
        <w:t>9</w:t>
      </w:r>
      <w:r w:rsidRPr="001C3DFC">
        <w:rPr>
          <w:rFonts w:ascii="Arial" w:hAnsi="Arial" w:cs="Arial"/>
          <w:sz w:val="22"/>
          <w:szCs w:val="22"/>
        </w:rPr>
        <w:t xml:space="preserve"> –  </w:t>
      </w:r>
      <w:r w:rsidR="001C3DFC" w:rsidRPr="001C3DFC">
        <w:rPr>
          <w:rFonts w:ascii="Arial" w:hAnsi="Arial" w:cs="Arial"/>
          <w:sz w:val="22"/>
          <w:szCs w:val="22"/>
        </w:rPr>
        <w:t>Wykaz osób,</w:t>
      </w:r>
    </w:p>
    <w:p w:rsidR="008E4782" w:rsidRPr="001C3DFC" w:rsidRDefault="001C3DFC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</w:t>
      </w:r>
      <w:r w:rsidR="00B51F7F">
        <w:rPr>
          <w:rFonts w:ascii="Arial" w:hAnsi="Arial" w:cs="Arial"/>
          <w:sz w:val="22"/>
          <w:szCs w:val="22"/>
        </w:rPr>
        <w:t>ą</w:t>
      </w:r>
      <w:r w:rsidRPr="001C3DFC">
        <w:rPr>
          <w:rFonts w:ascii="Arial" w:hAnsi="Arial" w:cs="Arial"/>
          <w:sz w:val="22"/>
          <w:szCs w:val="22"/>
        </w:rPr>
        <w:t>cznik nr 10 – Formularz cenowy.</w:t>
      </w:r>
    </w:p>
    <w:p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F5" w:rsidRDefault="00076CF5">
      <w:pPr>
        <w:spacing w:after="0" w:line="240" w:lineRule="auto"/>
      </w:pPr>
      <w:r>
        <w:separator/>
      </w:r>
    </w:p>
  </w:endnote>
  <w:endnote w:type="continuationSeparator" w:id="0">
    <w:p w:rsidR="00076CF5" w:rsidRDefault="0007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F1" w:rsidRDefault="002400F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F1" w:rsidRDefault="002400F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F1" w:rsidRDefault="002400F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F5" w:rsidRDefault="00076CF5">
      <w:pPr>
        <w:spacing w:after="0" w:line="240" w:lineRule="auto"/>
      </w:pPr>
      <w:r>
        <w:separator/>
      </w:r>
    </w:p>
  </w:footnote>
  <w:footnote w:type="continuationSeparator" w:id="0">
    <w:p w:rsidR="00076CF5" w:rsidRDefault="0007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F1" w:rsidRPr="00282B58" w:rsidRDefault="002400F1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282B58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282B58">
      <w:rPr>
        <w:rFonts w:ascii="Arial" w:hAnsi="Arial" w:cs="Arial"/>
      </w:rPr>
      <w:t>2370</w:t>
    </w:r>
    <w:r>
      <w:rPr>
        <w:rFonts w:ascii="Arial" w:hAnsi="Arial" w:cs="Arial"/>
      </w:rPr>
      <w:t>.3.2022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1B454C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0C4010"/>
    <w:multiLevelType w:val="hybridMultilevel"/>
    <w:tmpl w:val="AD54F146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AF92">
      <w:start w:val="1"/>
      <w:numFmt w:val="lowerLetter"/>
      <w:lvlRestart w:val="0"/>
      <w:lvlText w:val="%4)"/>
      <w:lvlJc w:val="left"/>
      <w:pPr>
        <w:ind w:left="85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23F6"/>
    <w:multiLevelType w:val="multilevel"/>
    <w:tmpl w:val="76726838"/>
    <w:lvl w:ilvl="0">
      <w:start w:val="5"/>
      <w:numFmt w:val="decimal"/>
      <w:lvlText w:val="%1."/>
      <w:lvlJc w:val="left"/>
      <w:pPr>
        <w:ind w:left="142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8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EE7E1A"/>
    <w:multiLevelType w:val="multilevel"/>
    <w:tmpl w:val="0B68EDC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5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24"/>
  </w:num>
  <w:num w:numId="5">
    <w:abstractNumId w:val="23"/>
  </w:num>
  <w:num w:numId="6">
    <w:abstractNumId w:val="30"/>
  </w:num>
  <w:num w:numId="7">
    <w:abstractNumId w:val="2"/>
  </w:num>
  <w:num w:numId="8">
    <w:abstractNumId w:val="22"/>
  </w:num>
  <w:num w:numId="9">
    <w:abstractNumId w:val="6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31"/>
  </w:num>
  <w:num w:numId="15">
    <w:abstractNumId w:val="18"/>
  </w:num>
  <w:num w:numId="16">
    <w:abstractNumId w:val="21"/>
  </w:num>
  <w:num w:numId="17">
    <w:abstractNumId w:val="3"/>
  </w:num>
  <w:num w:numId="18">
    <w:abstractNumId w:val="12"/>
  </w:num>
  <w:num w:numId="19">
    <w:abstractNumId w:val="8"/>
  </w:num>
  <w:num w:numId="20">
    <w:abstractNumId w:val="37"/>
  </w:num>
  <w:num w:numId="21">
    <w:abstractNumId w:val="11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19"/>
  </w:num>
  <w:num w:numId="30">
    <w:abstractNumId w:val="16"/>
  </w:num>
  <w:num w:numId="31">
    <w:abstractNumId w:val="29"/>
  </w:num>
  <w:num w:numId="32">
    <w:abstractNumId w:val="7"/>
  </w:num>
  <w:num w:numId="33">
    <w:abstractNumId w:val="33"/>
  </w:num>
  <w:num w:numId="34">
    <w:abstractNumId w:val="27"/>
  </w:num>
  <w:num w:numId="35">
    <w:abstractNumId w:val="26"/>
  </w:num>
  <w:num w:numId="36">
    <w:abstractNumId w:val="20"/>
  </w:num>
  <w:num w:numId="37">
    <w:abstractNumId w:val="32"/>
  </w:num>
  <w:num w:numId="38">
    <w:abstractNumId w:val="35"/>
  </w:num>
  <w:num w:numId="39">
    <w:abstractNumId w:val="13"/>
  </w:num>
  <w:num w:numId="40">
    <w:abstractNumId w:val="34"/>
  </w:num>
  <w:num w:numId="41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6AD"/>
    <w:rsid w:val="00015286"/>
    <w:rsid w:val="000215D1"/>
    <w:rsid w:val="00021A38"/>
    <w:rsid w:val="0003490B"/>
    <w:rsid w:val="000365B2"/>
    <w:rsid w:val="00042894"/>
    <w:rsid w:val="000537E7"/>
    <w:rsid w:val="00064474"/>
    <w:rsid w:val="00072D64"/>
    <w:rsid w:val="00076CF5"/>
    <w:rsid w:val="00090509"/>
    <w:rsid w:val="000A0A31"/>
    <w:rsid w:val="000B3828"/>
    <w:rsid w:val="000E3FBE"/>
    <w:rsid w:val="000E6EFB"/>
    <w:rsid w:val="000F5533"/>
    <w:rsid w:val="00101105"/>
    <w:rsid w:val="00120EFC"/>
    <w:rsid w:val="0012469E"/>
    <w:rsid w:val="001257FA"/>
    <w:rsid w:val="001341CB"/>
    <w:rsid w:val="00141A5B"/>
    <w:rsid w:val="00142345"/>
    <w:rsid w:val="001717C3"/>
    <w:rsid w:val="00173481"/>
    <w:rsid w:val="00174909"/>
    <w:rsid w:val="001759A4"/>
    <w:rsid w:val="00183298"/>
    <w:rsid w:val="001846B6"/>
    <w:rsid w:val="00191A25"/>
    <w:rsid w:val="001A193F"/>
    <w:rsid w:val="001A1D5E"/>
    <w:rsid w:val="001A481B"/>
    <w:rsid w:val="001B47B8"/>
    <w:rsid w:val="001C1866"/>
    <w:rsid w:val="001C2207"/>
    <w:rsid w:val="001C3DFC"/>
    <w:rsid w:val="001C4AE7"/>
    <w:rsid w:val="001D4073"/>
    <w:rsid w:val="001E00F3"/>
    <w:rsid w:val="001E7080"/>
    <w:rsid w:val="001F1CD9"/>
    <w:rsid w:val="00215797"/>
    <w:rsid w:val="002171B9"/>
    <w:rsid w:val="002400F1"/>
    <w:rsid w:val="00252C71"/>
    <w:rsid w:val="00253366"/>
    <w:rsid w:val="00282B58"/>
    <w:rsid w:val="00296043"/>
    <w:rsid w:val="002A4B76"/>
    <w:rsid w:val="002A5400"/>
    <w:rsid w:val="002A774F"/>
    <w:rsid w:val="002C0686"/>
    <w:rsid w:val="002C09A5"/>
    <w:rsid w:val="002C2365"/>
    <w:rsid w:val="002C3536"/>
    <w:rsid w:val="002E0F5A"/>
    <w:rsid w:val="002F1C4E"/>
    <w:rsid w:val="0030676F"/>
    <w:rsid w:val="00310397"/>
    <w:rsid w:val="003119AC"/>
    <w:rsid w:val="00321714"/>
    <w:rsid w:val="0032524C"/>
    <w:rsid w:val="00335AF8"/>
    <w:rsid w:val="00335ECD"/>
    <w:rsid w:val="003564D8"/>
    <w:rsid w:val="00363A9A"/>
    <w:rsid w:val="003705E2"/>
    <w:rsid w:val="00375026"/>
    <w:rsid w:val="00382E9B"/>
    <w:rsid w:val="00385A42"/>
    <w:rsid w:val="003A31A1"/>
    <w:rsid w:val="003A7018"/>
    <w:rsid w:val="003B4843"/>
    <w:rsid w:val="003C3C69"/>
    <w:rsid w:val="003D65E8"/>
    <w:rsid w:val="003E30DF"/>
    <w:rsid w:val="003F05C8"/>
    <w:rsid w:val="004142E2"/>
    <w:rsid w:val="00422F06"/>
    <w:rsid w:val="004241D6"/>
    <w:rsid w:val="004330E3"/>
    <w:rsid w:val="00436CBB"/>
    <w:rsid w:val="00461B50"/>
    <w:rsid w:val="00473F85"/>
    <w:rsid w:val="00481EDA"/>
    <w:rsid w:val="004832C5"/>
    <w:rsid w:val="00496CC3"/>
    <w:rsid w:val="004A09EF"/>
    <w:rsid w:val="004A25E4"/>
    <w:rsid w:val="004D09B2"/>
    <w:rsid w:val="004D23FE"/>
    <w:rsid w:val="004E0C2C"/>
    <w:rsid w:val="004E68A9"/>
    <w:rsid w:val="004F0062"/>
    <w:rsid w:val="004F295F"/>
    <w:rsid w:val="004F4444"/>
    <w:rsid w:val="004F609F"/>
    <w:rsid w:val="00500B37"/>
    <w:rsid w:val="00505A81"/>
    <w:rsid w:val="00514988"/>
    <w:rsid w:val="00521C71"/>
    <w:rsid w:val="00522041"/>
    <w:rsid w:val="0052686A"/>
    <w:rsid w:val="00533685"/>
    <w:rsid w:val="00540B4F"/>
    <w:rsid w:val="005458DB"/>
    <w:rsid w:val="0055177D"/>
    <w:rsid w:val="00567459"/>
    <w:rsid w:val="005677D5"/>
    <w:rsid w:val="00571E93"/>
    <w:rsid w:val="00573017"/>
    <w:rsid w:val="00583B7C"/>
    <w:rsid w:val="00583EF7"/>
    <w:rsid w:val="00595D97"/>
    <w:rsid w:val="00597615"/>
    <w:rsid w:val="005A19A1"/>
    <w:rsid w:val="005A4E7A"/>
    <w:rsid w:val="005D0F0C"/>
    <w:rsid w:val="005E3903"/>
    <w:rsid w:val="005F4E4C"/>
    <w:rsid w:val="005F66E1"/>
    <w:rsid w:val="006127DF"/>
    <w:rsid w:val="006275B1"/>
    <w:rsid w:val="00630127"/>
    <w:rsid w:val="00636B72"/>
    <w:rsid w:val="00637EDF"/>
    <w:rsid w:val="00662BE0"/>
    <w:rsid w:val="00663355"/>
    <w:rsid w:val="00667E33"/>
    <w:rsid w:val="00672B04"/>
    <w:rsid w:val="0068396B"/>
    <w:rsid w:val="00683E7A"/>
    <w:rsid w:val="00684F7B"/>
    <w:rsid w:val="006B6844"/>
    <w:rsid w:val="006B7C46"/>
    <w:rsid w:val="006C7C7F"/>
    <w:rsid w:val="006D2A03"/>
    <w:rsid w:val="006D633C"/>
    <w:rsid w:val="006E30FA"/>
    <w:rsid w:val="006F67E0"/>
    <w:rsid w:val="006F7B4D"/>
    <w:rsid w:val="00700315"/>
    <w:rsid w:val="00703AB4"/>
    <w:rsid w:val="007104FF"/>
    <w:rsid w:val="00725700"/>
    <w:rsid w:val="00726075"/>
    <w:rsid w:val="007278D2"/>
    <w:rsid w:val="00736623"/>
    <w:rsid w:val="00737FCD"/>
    <w:rsid w:val="00750F84"/>
    <w:rsid w:val="00756430"/>
    <w:rsid w:val="00766AB4"/>
    <w:rsid w:val="00771D23"/>
    <w:rsid w:val="0078082D"/>
    <w:rsid w:val="00783269"/>
    <w:rsid w:val="007A462D"/>
    <w:rsid w:val="007A7BE8"/>
    <w:rsid w:val="007C108B"/>
    <w:rsid w:val="007C27C2"/>
    <w:rsid w:val="007D2281"/>
    <w:rsid w:val="007D3CDB"/>
    <w:rsid w:val="007D4FA3"/>
    <w:rsid w:val="007D79C4"/>
    <w:rsid w:val="007E6ECC"/>
    <w:rsid w:val="007F2311"/>
    <w:rsid w:val="008011BD"/>
    <w:rsid w:val="00813EF1"/>
    <w:rsid w:val="0081443F"/>
    <w:rsid w:val="00820097"/>
    <w:rsid w:val="00842DE8"/>
    <w:rsid w:val="00845538"/>
    <w:rsid w:val="00845654"/>
    <w:rsid w:val="008625D3"/>
    <w:rsid w:val="008648B5"/>
    <w:rsid w:val="00870724"/>
    <w:rsid w:val="00891A22"/>
    <w:rsid w:val="00893BCB"/>
    <w:rsid w:val="00896D7E"/>
    <w:rsid w:val="00897CB2"/>
    <w:rsid w:val="008A6619"/>
    <w:rsid w:val="008B437F"/>
    <w:rsid w:val="008D2AB4"/>
    <w:rsid w:val="008D3521"/>
    <w:rsid w:val="008E44B5"/>
    <w:rsid w:val="008E4782"/>
    <w:rsid w:val="009003AC"/>
    <w:rsid w:val="0090341F"/>
    <w:rsid w:val="0091221B"/>
    <w:rsid w:val="009172D9"/>
    <w:rsid w:val="009173F7"/>
    <w:rsid w:val="00923618"/>
    <w:rsid w:val="00941570"/>
    <w:rsid w:val="00941AFB"/>
    <w:rsid w:val="009450EB"/>
    <w:rsid w:val="00947143"/>
    <w:rsid w:val="00950411"/>
    <w:rsid w:val="009510BB"/>
    <w:rsid w:val="00954119"/>
    <w:rsid w:val="00962A42"/>
    <w:rsid w:val="00966E57"/>
    <w:rsid w:val="009800D3"/>
    <w:rsid w:val="009808A6"/>
    <w:rsid w:val="009907F7"/>
    <w:rsid w:val="00992C10"/>
    <w:rsid w:val="009A1607"/>
    <w:rsid w:val="009A2B13"/>
    <w:rsid w:val="009A2E39"/>
    <w:rsid w:val="009B7BD6"/>
    <w:rsid w:val="009C3851"/>
    <w:rsid w:val="009C3F40"/>
    <w:rsid w:val="009C703F"/>
    <w:rsid w:val="009D3136"/>
    <w:rsid w:val="009E1497"/>
    <w:rsid w:val="009E23DF"/>
    <w:rsid w:val="009E4B93"/>
    <w:rsid w:val="009F24A6"/>
    <w:rsid w:val="009F603C"/>
    <w:rsid w:val="00A17076"/>
    <w:rsid w:val="00A21DA8"/>
    <w:rsid w:val="00A37AEC"/>
    <w:rsid w:val="00A5673F"/>
    <w:rsid w:val="00A60396"/>
    <w:rsid w:val="00A64F9A"/>
    <w:rsid w:val="00A656CD"/>
    <w:rsid w:val="00A7784D"/>
    <w:rsid w:val="00A90883"/>
    <w:rsid w:val="00A909F2"/>
    <w:rsid w:val="00A943EE"/>
    <w:rsid w:val="00AA0EFE"/>
    <w:rsid w:val="00AB1FF5"/>
    <w:rsid w:val="00AB738A"/>
    <w:rsid w:val="00AB7A4C"/>
    <w:rsid w:val="00AC756F"/>
    <w:rsid w:val="00AD2936"/>
    <w:rsid w:val="00AD4FB4"/>
    <w:rsid w:val="00AE7349"/>
    <w:rsid w:val="00AE7D53"/>
    <w:rsid w:val="00AF0084"/>
    <w:rsid w:val="00AF1D5F"/>
    <w:rsid w:val="00AF5F4E"/>
    <w:rsid w:val="00B00AB0"/>
    <w:rsid w:val="00B51F7F"/>
    <w:rsid w:val="00B5550D"/>
    <w:rsid w:val="00B6421F"/>
    <w:rsid w:val="00B6608A"/>
    <w:rsid w:val="00B76A69"/>
    <w:rsid w:val="00B822E2"/>
    <w:rsid w:val="00BB68A6"/>
    <w:rsid w:val="00BD2C03"/>
    <w:rsid w:val="00BE1D9F"/>
    <w:rsid w:val="00C03E62"/>
    <w:rsid w:val="00C23092"/>
    <w:rsid w:val="00C3574B"/>
    <w:rsid w:val="00C375B2"/>
    <w:rsid w:val="00C470E2"/>
    <w:rsid w:val="00C62AAF"/>
    <w:rsid w:val="00C80AD1"/>
    <w:rsid w:val="00C8705A"/>
    <w:rsid w:val="00CA7355"/>
    <w:rsid w:val="00CB11D2"/>
    <w:rsid w:val="00CB3763"/>
    <w:rsid w:val="00CB5E6A"/>
    <w:rsid w:val="00CB743A"/>
    <w:rsid w:val="00CC3495"/>
    <w:rsid w:val="00CD2E9F"/>
    <w:rsid w:val="00CE2EA8"/>
    <w:rsid w:val="00CE3835"/>
    <w:rsid w:val="00CF62DF"/>
    <w:rsid w:val="00D004C3"/>
    <w:rsid w:val="00D05081"/>
    <w:rsid w:val="00D072ED"/>
    <w:rsid w:val="00D265D6"/>
    <w:rsid w:val="00D3067C"/>
    <w:rsid w:val="00D32843"/>
    <w:rsid w:val="00D34885"/>
    <w:rsid w:val="00D37476"/>
    <w:rsid w:val="00D41C2C"/>
    <w:rsid w:val="00D46596"/>
    <w:rsid w:val="00D6211F"/>
    <w:rsid w:val="00D65021"/>
    <w:rsid w:val="00D67AC7"/>
    <w:rsid w:val="00D8392A"/>
    <w:rsid w:val="00D93712"/>
    <w:rsid w:val="00DA3E6C"/>
    <w:rsid w:val="00DA70B1"/>
    <w:rsid w:val="00DB2BEF"/>
    <w:rsid w:val="00DC6DE2"/>
    <w:rsid w:val="00DD0934"/>
    <w:rsid w:val="00DD1C17"/>
    <w:rsid w:val="00DD5697"/>
    <w:rsid w:val="00DF5BDE"/>
    <w:rsid w:val="00DF603C"/>
    <w:rsid w:val="00E04E3F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82024"/>
    <w:rsid w:val="00E83163"/>
    <w:rsid w:val="00E85077"/>
    <w:rsid w:val="00EA1ADB"/>
    <w:rsid w:val="00EB257F"/>
    <w:rsid w:val="00EC12CA"/>
    <w:rsid w:val="00EC18B0"/>
    <w:rsid w:val="00EC3360"/>
    <w:rsid w:val="00EC5224"/>
    <w:rsid w:val="00ED2237"/>
    <w:rsid w:val="00EE2ADA"/>
    <w:rsid w:val="00F07F4C"/>
    <w:rsid w:val="00F10395"/>
    <w:rsid w:val="00F11D38"/>
    <w:rsid w:val="00F12206"/>
    <w:rsid w:val="00F23DBF"/>
    <w:rsid w:val="00F32CB3"/>
    <w:rsid w:val="00F41180"/>
    <w:rsid w:val="00F41C1E"/>
    <w:rsid w:val="00F434A9"/>
    <w:rsid w:val="00F455C4"/>
    <w:rsid w:val="00F47539"/>
    <w:rsid w:val="00F55807"/>
    <w:rsid w:val="00F57644"/>
    <w:rsid w:val="00F611FE"/>
    <w:rsid w:val="00F65BD9"/>
    <w:rsid w:val="00F80B49"/>
    <w:rsid w:val="00F84320"/>
    <w:rsid w:val="00F86639"/>
    <w:rsid w:val="00F877B9"/>
    <w:rsid w:val="00FB00C6"/>
    <w:rsid w:val="00FB2409"/>
    <w:rsid w:val="00FC24CC"/>
    <w:rsid w:val="00FC42C5"/>
    <w:rsid w:val="00FC4A8D"/>
    <w:rsid w:val="00FD0C51"/>
    <w:rsid w:val="00FE7E99"/>
    <w:rsid w:val="00FF385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1CDF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F54C-F562-4435-854A-0407726C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17</Pages>
  <Words>7451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K.Owsianko (KG PSP)</cp:lastModifiedBy>
  <cp:revision>428</cp:revision>
  <cp:lastPrinted>2022-03-17T11:49:00Z</cp:lastPrinted>
  <dcterms:created xsi:type="dcterms:W3CDTF">2021-03-29T14:14:00Z</dcterms:created>
  <dcterms:modified xsi:type="dcterms:W3CDTF">2022-03-18T10:44:00Z</dcterms:modified>
</cp:coreProperties>
</file>