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358E4" w14:textId="100D6EF3" w:rsidR="000A4774" w:rsidRPr="000A4774" w:rsidRDefault="000A4774" w:rsidP="000A4774">
      <w:pPr>
        <w:keepNext/>
        <w:keepLines/>
        <w:spacing w:after="0" w:line="276" w:lineRule="auto"/>
        <w:rPr>
          <w:rFonts w:ascii="Calibri" w:eastAsia="Times New Roman" w:hAnsi="Calibri" w:cs="Times New Roman"/>
          <w:b/>
          <w:bCs/>
          <w:color w:val="002060"/>
          <w:sz w:val="28"/>
          <w:szCs w:val="28"/>
        </w:rPr>
      </w:pPr>
      <w:r w:rsidRPr="00D83147">
        <w:rPr>
          <w:rFonts w:ascii="Calibri" w:eastAsia="Times New Roman" w:hAnsi="Calibri" w:cs="Times New Roman"/>
          <w:b/>
          <w:bCs/>
          <w:color w:val="002060"/>
          <w:sz w:val="28"/>
          <w:szCs w:val="28"/>
        </w:rPr>
        <w:t>Ubezpieczenia komunikacyjne</w:t>
      </w:r>
    </w:p>
    <w:p w14:paraId="4E2CC4BA" w14:textId="77777777" w:rsidR="007B6CC8" w:rsidRDefault="007B6CC8" w:rsidP="007B6CC8">
      <w:pPr>
        <w:jc w:val="both"/>
        <w:rPr>
          <w:rFonts w:ascii="Segoe UI" w:hAnsi="Segoe UI" w:cs="Segoe UI"/>
          <w:color w:val="000000" w:themeColor="text1"/>
        </w:rPr>
      </w:pPr>
    </w:p>
    <w:p w14:paraId="598D2332" w14:textId="77777777" w:rsidR="001A5E8E" w:rsidRPr="001A5E8E" w:rsidRDefault="001A5E8E" w:rsidP="001A5E8E">
      <w:pPr>
        <w:jc w:val="both"/>
        <w:rPr>
          <w:rFonts w:ascii="Calibri" w:eastAsia="Calibri" w:hAnsi="Calibri" w:cs="Calibri"/>
          <w:b/>
          <w:bCs/>
          <w:color w:val="000000"/>
        </w:rPr>
      </w:pPr>
      <w:r w:rsidRPr="001A5E8E">
        <w:rPr>
          <w:rFonts w:ascii="Calibri" w:eastAsia="Calibri" w:hAnsi="Calibri" w:cs="Calibri"/>
          <w:b/>
          <w:bCs/>
          <w:color w:val="000000"/>
        </w:rPr>
        <w:t>I. POSTANOWIENIA WSPÓLNE</w:t>
      </w:r>
    </w:p>
    <w:p w14:paraId="168C25B6" w14:textId="584322A2" w:rsidR="001A5E8E" w:rsidRPr="001A5E8E" w:rsidRDefault="001A5E8E" w:rsidP="001A5E8E">
      <w:pPr>
        <w:numPr>
          <w:ilvl w:val="0"/>
          <w:numId w:val="13"/>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 xml:space="preserve">Przedmiotem ubezpieczenia są pojazdy, stanowiące własność lub będące w posiadaniu Gminy Miasta </w:t>
      </w:r>
      <w:r w:rsidR="00740981">
        <w:rPr>
          <w:rFonts w:ascii="Calibri" w:eastAsia="Times New Roman" w:hAnsi="Calibri" w:cs="Times New Roman"/>
        </w:rPr>
        <w:t xml:space="preserve">WOLIN </w:t>
      </w:r>
      <w:r>
        <w:rPr>
          <w:rFonts w:ascii="Calibri" w:eastAsia="Times New Roman" w:hAnsi="Calibri" w:cs="Times New Roman"/>
        </w:rPr>
        <w:t xml:space="preserve"> </w:t>
      </w:r>
      <w:r w:rsidRPr="001A5E8E">
        <w:rPr>
          <w:rFonts w:ascii="Calibri" w:eastAsia="Times New Roman" w:hAnsi="Calibri" w:cs="Times New Roman"/>
        </w:rPr>
        <w:t xml:space="preserve"> oraz pojazdy, w posiadanie których Zamawiający wejdzie w okresie ubezpieczenia.</w:t>
      </w:r>
    </w:p>
    <w:p w14:paraId="198F63DA" w14:textId="77777777" w:rsidR="001A5E8E" w:rsidRPr="001A5E8E" w:rsidRDefault="001A5E8E" w:rsidP="001A5E8E">
      <w:pPr>
        <w:numPr>
          <w:ilvl w:val="0"/>
          <w:numId w:val="13"/>
        </w:numPr>
        <w:spacing w:after="100" w:afterAutospacing="1" w:line="240" w:lineRule="auto"/>
        <w:contextualSpacing/>
        <w:jc w:val="both"/>
        <w:rPr>
          <w:rFonts w:ascii="Calibri" w:eastAsia="Times New Roman" w:hAnsi="Calibri" w:cs="Times New Roman"/>
        </w:rPr>
      </w:pPr>
      <w:r w:rsidRPr="001A5E8E">
        <w:rPr>
          <w:rFonts w:ascii="Calibri" w:eastAsia="Calibri" w:hAnsi="Calibri" w:cs="Calibri"/>
          <w:color w:val="000000"/>
        </w:rPr>
        <w:t xml:space="preserve">Podstawowe dokumenty stanowić będą: </w:t>
      </w:r>
    </w:p>
    <w:p w14:paraId="2CF66688"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Umowa Generalna regulująca zasady funkcjonowania ubezpieczenia flotowego, tj. ujmująca całość warunków merytorycznych i finansowych, na mocy której będzie zawierane ubezpieczenie pojazdów,</w:t>
      </w:r>
    </w:p>
    <w:p w14:paraId="03C83C10"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Polisy oraz potwierdzenia OC dla ubezpieczanych pojazdów,</w:t>
      </w:r>
    </w:p>
    <w:p w14:paraId="33B4DE52" w14:textId="77777777" w:rsidR="001A5E8E" w:rsidRPr="001A5E8E" w:rsidRDefault="001A5E8E" w:rsidP="001A5E8E">
      <w:pPr>
        <w:numPr>
          <w:ilvl w:val="0"/>
          <w:numId w:val="14"/>
        </w:numPr>
        <w:spacing w:after="100" w:afterAutospacing="1" w:line="240" w:lineRule="auto"/>
        <w:contextualSpacing/>
        <w:jc w:val="both"/>
        <w:rPr>
          <w:rFonts w:ascii="Calibri" w:eastAsia="Times New Roman" w:hAnsi="Calibri" w:cs="Times New Roman"/>
        </w:rPr>
      </w:pPr>
      <w:r w:rsidRPr="001A5E8E">
        <w:rPr>
          <w:rFonts w:ascii="Calibri" w:eastAsia="Calibri" w:hAnsi="Calibri" w:cs="Calibri"/>
          <w:color w:val="000000"/>
        </w:rPr>
        <w:t>Ogólne Warunki Ubezpieczenia.</w:t>
      </w:r>
    </w:p>
    <w:p w14:paraId="3CC1C595" w14:textId="3E0BC864" w:rsidR="001A5E8E" w:rsidRPr="007B2F13"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7B2F13">
        <w:rPr>
          <w:rFonts w:ascii="Calibri" w:eastAsia="Calibri" w:hAnsi="Calibri" w:cs="Calibri"/>
          <w:color w:val="000000"/>
        </w:rPr>
        <w:t xml:space="preserve">Na dzień ogłoszenia przetargu stan floty wynosi </w:t>
      </w:r>
      <w:r w:rsidR="001F4434">
        <w:rPr>
          <w:rFonts w:ascii="Calibri" w:eastAsia="Calibri" w:hAnsi="Calibri" w:cs="Calibri"/>
          <w:color w:val="000000"/>
        </w:rPr>
        <w:t xml:space="preserve">26 </w:t>
      </w:r>
      <w:r w:rsidR="005D1A5E" w:rsidRPr="007B2F13">
        <w:rPr>
          <w:rFonts w:ascii="Calibri" w:eastAsia="Calibri" w:hAnsi="Calibri" w:cs="Calibri"/>
          <w:color w:val="000000"/>
        </w:rPr>
        <w:t>p</w:t>
      </w:r>
      <w:r w:rsidRPr="007B2F13">
        <w:rPr>
          <w:rFonts w:ascii="Calibri" w:eastAsia="Calibri" w:hAnsi="Calibri" w:cs="Calibri"/>
          <w:color w:val="000000"/>
        </w:rPr>
        <w:t xml:space="preserve">ojazdów, wskazanych w Załączniku nr </w:t>
      </w:r>
      <w:r w:rsidR="001F4434">
        <w:rPr>
          <w:rFonts w:ascii="Calibri" w:eastAsia="Calibri" w:hAnsi="Calibri" w:cs="Calibri"/>
          <w:color w:val="000000"/>
        </w:rPr>
        <w:t>1</w:t>
      </w:r>
      <w:r w:rsidRPr="007B2F13">
        <w:rPr>
          <w:rFonts w:ascii="Calibri" w:eastAsia="Calibri" w:hAnsi="Calibri" w:cs="Calibri"/>
          <w:color w:val="000000"/>
        </w:rPr>
        <w:t xml:space="preserve"> do OPZ.</w:t>
      </w:r>
    </w:p>
    <w:p w14:paraId="70C5BE24" w14:textId="4EF33E69" w:rsidR="001A5E8E" w:rsidRPr="001A5E8E"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 xml:space="preserve">Ewentualne nowe pojazdy będą objęte ubezpieczeniem na warunkach określonych w niniejszym OPZ, przy zastosowaniu składek / stawek takich, jak w złożonej przez Wykonawcę ofercie dla danego rodzaju pojazdów (w przypadku ubezpieczenia autocasco składki będzie stanowić iloczyn sumy ubezpieczenia i określonych w ofercie stawek). Okres ubezpieczeń NNW </w:t>
      </w:r>
    </w:p>
    <w:p w14:paraId="6D1C6330" w14:textId="77777777" w:rsidR="001A5E8E" w:rsidRPr="001A5E8E"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Zgłoszenie pojazdu do ubezpieczenia powinno zawierać następujące dane:</w:t>
      </w:r>
    </w:p>
    <w:p w14:paraId="751608DE"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Dane Zamawiającego (w tym nazwa, adres);</w:t>
      </w:r>
    </w:p>
    <w:p w14:paraId="695F2428"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Dane właściciela (jeśli inny niż Zamawiający - w tym nazwa, adres);</w:t>
      </w:r>
    </w:p>
    <w:p w14:paraId="01FB07F3"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Marka, model, typ i rodzaj pojazdu;</w:t>
      </w:r>
    </w:p>
    <w:p w14:paraId="166C9A98"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Rok produkcji;</w:t>
      </w:r>
    </w:p>
    <w:p w14:paraId="5F737E3A"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Pojemność silnika;</w:t>
      </w:r>
    </w:p>
    <w:p w14:paraId="6CBE7313"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Dopuszczalna ładowność, zgodnie z zapisem w dowodzie rejestracyjnym;</w:t>
      </w:r>
    </w:p>
    <w:p w14:paraId="61519158"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Numer rejestracyjny;</w:t>
      </w:r>
    </w:p>
    <w:p w14:paraId="1141B71C"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Numer VIN;</w:t>
      </w:r>
    </w:p>
    <w:p w14:paraId="211A745B"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Okres ubezpieczenia;</w:t>
      </w:r>
    </w:p>
    <w:p w14:paraId="119F02E3" w14:textId="77777777" w:rsidR="00540B3D" w:rsidRPr="001A5E8E" w:rsidRDefault="00540B3D" w:rsidP="00540B3D">
      <w:pPr>
        <w:spacing w:after="100" w:afterAutospacing="1" w:line="240" w:lineRule="auto"/>
        <w:ind w:left="1440"/>
        <w:contextualSpacing/>
        <w:jc w:val="both"/>
        <w:rPr>
          <w:rFonts w:ascii="Calibri" w:eastAsia="Calibri" w:hAnsi="Calibri" w:cs="Calibri"/>
          <w:color w:val="000000"/>
        </w:rPr>
      </w:pPr>
    </w:p>
    <w:p w14:paraId="6B6B342B" w14:textId="77777777" w:rsidR="001A5E8E" w:rsidRPr="001A5E8E"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Okres ubezpieczenia</w:t>
      </w:r>
    </w:p>
    <w:p w14:paraId="0ABD4258" w14:textId="1DED482D"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 xml:space="preserve">Umowa ubezpieczeń komunikacyjnych zostanie zawarta na okres </w:t>
      </w:r>
      <w:r w:rsidR="00231DAD">
        <w:rPr>
          <w:rFonts w:ascii="Calibri" w:eastAsia="Calibri" w:hAnsi="Calibri" w:cs="Calibri"/>
          <w:color w:val="000000"/>
        </w:rPr>
        <w:t>12</w:t>
      </w:r>
      <w:r w:rsidRPr="001A5E8E">
        <w:rPr>
          <w:rFonts w:ascii="Calibri" w:eastAsia="Calibri" w:hAnsi="Calibri" w:cs="Calibri"/>
          <w:color w:val="000000"/>
        </w:rPr>
        <w:t xml:space="preserve"> miesięcy.</w:t>
      </w:r>
    </w:p>
    <w:p w14:paraId="1D2A858F" w14:textId="66CB29BE" w:rsidR="000B407F" w:rsidRPr="001A5E8E" w:rsidRDefault="000B407F" w:rsidP="001A5E8E">
      <w:pPr>
        <w:ind w:left="708"/>
        <w:jc w:val="both"/>
        <w:rPr>
          <w:rFonts w:ascii="Calibri" w:eastAsia="Calibri" w:hAnsi="Calibri" w:cs="Calibri"/>
          <w:color w:val="000000"/>
        </w:rPr>
      </w:pPr>
      <w:r>
        <w:rPr>
          <w:rFonts w:ascii="Calibri" w:eastAsia="Calibri" w:hAnsi="Calibri" w:cs="Calibri"/>
          <w:color w:val="000000"/>
        </w:rPr>
        <w:t xml:space="preserve">okres rozliczeniowy </w:t>
      </w:r>
      <w:r w:rsidR="00651BA9">
        <w:rPr>
          <w:rFonts w:ascii="Calibri" w:eastAsia="Calibri" w:hAnsi="Calibri" w:cs="Calibri"/>
          <w:color w:val="000000"/>
        </w:rPr>
        <w:t>od 0</w:t>
      </w:r>
      <w:r w:rsidR="00315AD5">
        <w:rPr>
          <w:rFonts w:ascii="Calibri" w:eastAsia="Calibri" w:hAnsi="Calibri" w:cs="Calibri"/>
          <w:color w:val="000000"/>
        </w:rPr>
        <w:t xml:space="preserve">1.04.2024 do 31.04.2025 </w:t>
      </w:r>
    </w:p>
    <w:p w14:paraId="2C9AB5E5" w14:textId="3BFBE85B"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 xml:space="preserve">Pojazdy wymienione w </w:t>
      </w:r>
      <w:r w:rsidRPr="007B2F13">
        <w:rPr>
          <w:rFonts w:ascii="Calibri" w:eastAsia="Calibri" w:hAnsi="Calibri" w:cs="Calibri"/>
          <w:color w:val="000000"/>
        </w:rPr>
        <w:t xml:space="preserve">Załączniku nr </w:t>
      </w:r>
      <w:r w:rsidR="00231DAD">
        <w:rPr>
          <w:rFonts w:ascii="Calibri" w:eastAsia="Calibri" w:hAnsi="Calibri" w:cs="Calibri"/>
          <w:color w:val="000000"/>
        </w:rPr>
        <w:t>1</w:t>
      </w:r>
      <w:r w:rsidRPr="007B2F13">
        <w:rPr>
          <w:rFonts w:ascii="Calibri" w:eastAsia="Calibri" w:hAnsi="Calibri" w:cs="Calibri"/>
          <w:color w:val="000000"/>
        </w:rPr>
        <w:t xml:space="preserve"> do</w:t>
      </w:r>
      <w:r w:rsidRPr="001A5E8E">
        <w:rPr>
          <w:rFonts w:ascii="Calibri" w:eastAsia="Calibri" w:hAnsi="Calibri" w:cs="Calibri"/>
          <w:color w:val="000000"/>
        </w:rPr>
        <w:t xml:space="preserve"> OPZ będą włączane do ochrony od dnia następnego po dacie ekspiracji aktualnego ubezpieczenia.</w:t>
      </w:r>
    </w:p>
    <w:p w14:paraId="4640D939" w14:textId="77777777"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Pojazdy nowe będą włączane do ochrony od daty zgłoszenia do ubezpieczenia i przy zachowaniu zapisów dotyczących wyrównywania okresów ubezpieczenia w poszczególnych ryzykach.</w:t>
      </w:r>
    </w:p>
    <w:p w14:paraId="40DA410A" w14:textId="44A09660" w:rsidR="001A5E8E"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 xml:space="preserve">Płatność składki: jednorazowo lub </w:t>
      </w:r>
      <w:r w:rsidR="00AD3064">
        <w:rPr>
          <w:rFonts w:ascii="Calibri" w:eastAsia="Calibri" w:hAnsi="Calibri" w:cs="Calibri"/>
          <w:color w:val="000000"/>
        </w:rPr>
        <w:t xml:space="preserve">w </w:t>
      </w:r>
      <w:r w:rsidR="0055181E">
        <w:rPr>
          <w:rFonts w:ascii="Calibri" w:eastAsia="Calibri" w:hAnsi="Calibri" w:cs="Calibri"/>
          <w:color w:val="000000"/>
        </w:rPr>
        <w:t>II</w:t>
      </w:r>
      <w:r w:rsidRPr="001A5E8E">
        <w:rPr>
          <w:rFonts w:ascii="Calibri" w:eastAsia="Calibri" w:hAnsi="Calibri" w:cs="Calibri"/>
          <w:color w:val="000000"/>
        </w:rPr>
        <w:t xml:space="preserve"> ratach bez zwyżki składki zgodnie z wyborem Zamawiającego, przelew w terminie nie wcześniejszym niż 14 dni od daty prawidłowo wystawionej polisy.     </w:t>
      </w:r>
    </w:p>
    <w:p w14:paraId="17A7C84E" w14:textId="66648FEE" w:rsidR="0023744D" w:rsidRDefault="004A14EC" w:rsidP="001A5E8E">
      <w:pPr>
        <w:numPr>
          <w:ilvl w:val="0"/>
          <w:numId w:val="13"/>
        </w:numPr>
        <w:spacing w:after="100" w:afterAutospacing="1" w:line="240" w:lineRule="auto"/>
        <w:contextualSpacing/>
        <w:jc w:val="both"/>
        <w:rPr>
          <w:rFonts w:ascii="Calibri" w:eastAsia="Calibri" w:hAnsi="Calibri" w:cs="Calibri"/>
          <w:color w:val="000000"/>
        </w:rPr>
      </w:pPr>
      <w:r w:rsidRPr="004A14EC">
        <w:rPr>
          <w:rFonts w:ascii="Calibri" w:eastAsia="Calibri" w:hAnsi="Calibri" w:cs="Calibri"/>
          <w:color w:val="000000"/>
        </w:rPr>
        <w:t>Zamawiający zastrzega sobie prawo do aktualizacji danych do ubezpieczenia ( wartości pojazdów ) w miesiącu, w którym następuje ekspiracja polisy.</w:t>
      </w:r>
    </w:p>
    <w:p w14:paraId="5E1C7D10" w14:textId="77777777" w:rsidR="00315AD5" w:rsidRPr="001A5E8E" w:rsidRDefault="00315AD5" w:rsidP="00315AD5">
      <w:pPr>
        <w:spacing w:after="100" w:afterAutospacing="1" w:line="240" w:lineRule="auto"/>
        <w:ind w:left="720"/>
        <w:contextualSpacing/>
        <w:jc w:val="both"/>
        <w:rPr>
          <w:rFonts w:ascii="Calibri" w:eastAsia="Calibri" w:hAnsi="Calibri" w:cs="Calibri"/>
          <w:color w:val="000000"/>
        </w:rPr>
      </w:pPr>
    </w:p>
    <w:p w14:paraId="0FFDF49A"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b/>
          <w:bCs/>
          <w:color w:val="000000"/>
        </w:rPr>
        <w:t>II. SZKODOWOŚĆ FLOTY</w:t>
      </w:r>
    </w:p>
    <w:p w14:paraId="1C9D74DD" w14:textId="0CDA4225" w:rsidR="001A5E8E" w:rsidRPr="001A5E8E" w:rsidRDefault="001A5E8E" w:rsidP="001A5E8E">
      <w:pPr>
        <w:jc w:val="both"/>
        <w:rPr>
          <w:rFonts w:ascii="Calibri" w:eastAsia="Calibri" w:hAnsi="Calibri" w:cs="Calibri"/>
          <w:color w:val="000000"/>
        </w:rPr>
      </w:pPr>
      <w:r w:rsidRPr="007B2F13">
        <w:rPr>
          <w:rFonts w:ascii="Calibri" w:eastAsia="Calibri" w:hAnsi="Calibri" w:cs="Calibri"/>
          <w:color w:val="000000"/>
        </w:rPr>
        <w:t xml:space="preserve">Zgodnie z Załącznikiem nr </w:t>
      </w:r>
      <w:r w:rsidR="00231DAD">
        <w:rPr>
          <w:rFonts w:ascii="Calibri" w:eastAsia="Calibri" w:hAnsi="Calibri" w:cs="Calibri"/>
          <w:color w:val="000000"/>
        </w:rPr>
        <w:t>2</w:t>
      </w:r>
      <w:r w:rsidRPr="007B2F13">
        <w:rPr>
          <w:rFonts w:ascii="Calibri" w:eastAsia="Calibri" w:hAnsi="Calibri" w:cs="Calibri"/>
          <w:color w:val="000000"/>
        </w:rPr>
        <w:t xml:space="preserve"> do OPZ.</w:t>
      </w:r>
    </w:p>
    <w:p w14:paraId="5F990F9C" w14:textId="77777777" w:rsidR="001A5E8E" w:rsidRPr="001A5E8E" w:rsidRDefault="001A5E8E" w:rsidP="001A5E8E">
      <w:pPr>
        <w:jc w:val="both"/>
        <w:rPr>
          <w:rFonts w:ascii="Calibri" w:eastAsia="Calibri" w:hAnsi="Calibri" w:cs="Calibri"/>
          <w:b/>
          <w:bCs/>
          <w:color w:val="000000"/>
        </w:rPr>
      </w:pPr>
      <w:r w:rsidRPr="001A5E8E">
        <w:rPr>
          <w:rFonts w:ascii="Calibri" w:eastAsia="Calibri" w:hAnsi="Calibri" w:cs="Calibri"/>
          <w:b/>
          <w:bCs/>
          <w:color w:val="000000"/>
        </w:rPr>
        <w:lastRenderedPageBreak/>
        <w:t>III. OPIS RYZYK</w:t>
      </w:r>
    </w:p>
    <w:p w14:paraId="0DF8BEE6" w14:textId="77777777" w:rsidR="001A5E8E" w:rsidRPr="001A5E8E" w:rsidRDefault="001A5E8E" w:rsidP="001A5E8E">
      <w:pPr>
        <w:jc w:val="both"/>
        <w:rPr>
          <w:rFonts w:ascii="Calibri" w:eastAsia="Calibri" w:hAnsi="Calibri" w:cs="Calibri"/>
          <w:b/>
          <w:bCs/>
          <w:color w:val="000000"/>
        </w:rPr>
      </w:pPr>
      <w:r w:rsidRPr="001A5E8E">
        <w:rPr>
          <w:rFonts w:ascii="Calibri" w:eastAsia="Calibri" w:hAnsi="Calibri" w:cs="Calibri"/>
          <w:b/>
          <w:bCs/>
          <w:color w:val="000000"/>
        </w:rPr>
        <w:t>A. Ubezpieczenie odpowiedzialności cywilnej posiadacza pojazdów mechanicznych</w:t>
      </w:r>
      <w:r w:rsidRPr="001A5E8E">
        <w:rPr>
          <w:rFonts w:ascii="Calibri" w:eastAsia="Calibri" w:hAnsi="Calibri" w:cs="Calibri"/>
          <w:color w:val="000000"/>
          <w:u w:val="single"/>
        </w:rPr>
        <w:t xml:space="preserve"> </w:t>
      </w:r>
    </w:p>
    <w:p w14:paraId="1AC02E43"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1.</w:t>
      </w:r>
      <w:r w:rsidRPr="001A5E8E">
        <w:rPr>
          <w:rFonts w:ascii="Calibri" w:eastAsia="Calibri" w:hAnsi="Calibri" w:cs="Calibri"/>
          <w:color w:val="000000"/>
        </w:rPr>
        <w:tab/>
        <w:t>Zakres ubezpieczenia</w:t>
      </w:r>
    </w:p>
    <w:p w14:paraId="59BB765D" w14:textId="77777777"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1A5E8E">
        <w:rPr>
          <w:rFonts w:ascii="Calibri" w:eastAsia="Calibri" w:hAnsi="Calibri" w:cs="Calibri"/>
          <w:color w:val="000000"/>
        </w:rPr>
        <w:t>późn</w:t>
      </w:r>
      <w:proofErr w:type="spellEnd"/>
      <w:r w:rsidRPr="001A5E8E">
        <w:rPr>
          <w:rFonts w:ascii="Calibri" w:eastAsia="Calibri" w:hAnsi="Calibri" w:cs="Calibri"/>
          <w:color w:val="000000"/>
        </w:rPr>
        <w:t>. zm.) wraz z Zieloną Kartą (tam gdzie będzie wymagana – na osobny wniosek).</w:t>
      </w:r>
    </w:p>
    <w:p w14:paraId="07B8A634"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w:t>
      </w:r>
      <w:r w:rsidRPr="001A5E8E">
        <w:rPr>
          <w:rFonts w:ascii="Calibri" w:eastAsia="Calibri" w:hAnsi="Calibri" w:cs="Calibri"/>
          <w:color w:val="000000"/>
        </w:rPr>
        <w:tab/>
        <w:t>Suma gwarancyjna - ustawowa:</w:t>
      </w:r>
    </w:p>
    <w:p w14:paraId="51CCD941"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 przypadku szkód na osobie – 5 210 000 euro w odniesieniu do jednego zdarzenia, którego skutki są objęte ubezpieczeniem bez względu na liczbę poszkodowanych,</w:t>
      </w:r>
    </w:p>
    <w:p w14:paraId="3AB76D94"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Calibri" w:hAnsi="Calibri" w:cs="Calibri"/>
          <w:color w:val="000000"/>
        </w:rPr>
        <w:t>w przypadku szkód w mieniu – 1 050 000 euro w odniesieniu do jednego zdarzenia, którego skutki są objęte ubezpieczeniem bez względu na liczbę poszkodowanych.</w:t>
      </w:r>
    </w:p>
    <w:p w14:paraId="29F38DE0" w14:textId="77777777"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Zmiana przez Ustawodawcę sumy gwarancyjnej w okresie obowiązywania umowy generalnej nie będzie miała wpływu na wysokość składek OC zaproponowanych w ofercie.</w:t>
      </w:r>
    </w:p>
    <w:p w14:paraId="7F968C4F"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3.</w:t>
      </w:r>
      <w:r w:rsidRPr="001A5E8E">
        <w:rPr>
          <w:rFonts w:ascii="Calibri" w:eastAsia="Calibri" w:hAnsi="Calibri" w:cs="Calibri"/>
          <w:color w:val="000000"/>
        </w:rPr>
        <w:tab/>
        <w:t>Okres ubezpieczenia</w:t>
      </w:r>
    </w:p>
    <w:p w14:paraId="4D91ACE8" w14:textId="77777777" w:rsidR="001A5E8E" w:rsidRPr="001A5E8E" w:rsidRDefault="001A5E8E" w:rsidP="001A5E8E">
      <w:pPr>
        <w:numPr>
          <w:ilvl w:val="0"/>
          <w:numId w:val="12"/>
        </w:numPr>
        <w:spacing w:after="100" w:afterAutospacing="1" w:line="240" w:lineRule="auto"/>
        <w:contextualSpacing/>
        <w:jc w:val="both"/>
        <w:rPr>
          <w:rFonts w:ascii="Calibri" w:eastAsia="Times New Roman" w:hAnsi="Calibri" w:cs="Times New Roman"/>
          <w:vanish/>
        </w:rPr>
      </w:pPr>
    </w:p>
    <w:p w14:paraId="68A32402"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Ubezpieczenie zawierane jest na okres 12 miesięcy i rozpoczyna się najpóźniej od dnia zarejestrowania pojazdu lub ekspiracji poprzedniego ubezpieczenia.</w:t>
      </w:r>
    </w:p>
    <w:p w14:paraId="55A957DD"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Nowe pojazdy zakupione przez Ubezpieczonych zostaną automatycznie objęte ochroną od dnia ich zgłoszenia do Wykonawcy. Zgłoszenie powinno nastąpić nie później niż w dniu rejestracji pojazdu.</w:t>
      </w:r>
    </w:p>
    <w:p w14:paraId="5C9C8BC8"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Ubezpieczony ma możliwość dostarczenia niezbędnych do zawarcia umowy ubezpieczenia dokumentów w terminie 3 dni roboczych od dnia rejestracji pojazdu.</w:t>
      </w:r>
    </w:p>
    <w:p w14:paraId="7CAB50F8"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4.</w:t>
      </w:r>
      <w:r w:rsidRPr="001A5E8E">
        <w:rPr>
          <w:rFonts w:ascii="Calibri" w:eastAsia="Calibri" w:hAnsi="Calibri" w:cs="Calibri"/>
          <w:color w:val="000000"/>
        </w:rPr>
        <w:tab/>
        <w:t>Pozostałe postanowienia obligatoryjne</w:t>
      </w:r>
    </w:p>
    <w:p w14:paraId="534E27B7" w14:textId="77777777" w:rsidR="001A5E8E" w:rsidRPr="001A5E8E" w:rsidRDefault="001A5E8E" w:rsidP="001A5E8E">
      <w:pPr>
        <w:numPr>
          <w:ilvl w:val="0"/>
          <w:numId w:val="12"/>
        </w:numPr>
        <w:spacing w:after="100" w:afterAutospacing="1" w:line="240" w:lineRule="auto"/>
        <w:contextualSpacing/>
        <w:jc w:val="both"/>
        <w:rPr>
          <w:rFonts w:ascii="Calibri" w:eastAsia="Times New Roman" w:hAnsi="Calibri" w:cs="Times New Roman"/>
          <w:vanish/>
        </w:rPr>
      </w:pPr>
    </w:p>
    <w:p w14:paraId="7856676D"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25CAB989" w14:textId="77777777" w:rsidR="001A5E8E" w:rsidRPr="001A5E8E" w:rsidRDefault="001A5E8E" w:rsidP="001A5E8E">
      <w:pPr>
        <w:numPr>
          <w:ilvl w:val="1"/>
          <w:numId w:val="15"/>
        </w:numPr>
        <w:spacing w:line="288" w:lineRule="auto"/>
        <w:contextualSpacing/>
        <w:jc w:val="both"/>
        <w:rPr>
          <w:rFonts w:ascii="Calibri" w:eastAsia="Calibri" w:hAnsi="Calibri" w:cs="Calibri"/>
          <w:color w:val="000000"/>
        </w:rPr>
      </w:pPr>
      <w:r w:rsidRPr="001A5E8E">
        <w:rPr>
          <w:rFonts w:ascii="Calibri" w:eastAsia="Calibri" w:hAnsi="Calibri" w:cs="Calibri"/>
          <w:color w:val="000000"/>
        </w:rPr>
        <w:t>faktura/umowa sprzedaży,</w:t>
      </w:r>
    </w:p>
    <w:p w14:paraId="6D3C76D6" w14:textId="77777777" w:rsidR="001A5E8E" w:rsidRPr="001A5E8E" w:rsidRDefault="001A5E8E" w:rsidP="001A5E8E">
      <w:pPr>
        <w:numPr>
          <w:ilvl w:val="1"/>
          <w:numId w:val="15"/>
        </w:numPr>
        <w:spacing w:line="288" w:lineRule="auto"/>
        <w:contextualSpacing/>
        <w:jc w:val="both"/>
        <w:rPr>
          <w:rFonts w:ascii="Calibri" w:eastAsia="Calibri" w:hAnsi="Calibri" w:cs="Calibri"/>
          <w:color w:val="000000"/>
        </w:rPr>
      </w:pPr>
      <w:r w:rsidRPr="001A5E8E">
        <w:rPr>
          <w:rFonts w:ascii="Calibri" w:eastAsia="Calibri" w:hAnsi="Calibri" w:cs="Calibri"/>
          <w:color w:val="000000"/>
        </w:rPr>
        <w:t>pismo brokera dotyczące dot. sprzedaży lub wyrejestrowania pojazdu,</w:t>
      </w:r>
    </w:p>
    <w:p w14:paraId="43A7E72E" w14:textId="77777777" w:rsidR="001A5E8E" w:rsidRPr="001A5E8E" w:rsidRDefault="001A5E8E" w:rsidP="001A5E8E">
      <w:pPr>
        <w:numPr>
          <w:ilvl w:val="1"/>
          <w:numId w:val="15"/>
        </w:numPr>
        <w:spacing w:line="288" w:lineRule="auto"/>
        <w:contextualSpacing/>
        <w:jc w:val="both"/>
        <w:rPr>
          <w:rFonts w:ascii="Calibri" w:eastAsia="Calibri" w:hAnsi="Calibri" w:cs="Calibri"/>
          <w:color w:val="000000"/>
        </w:rPr>
      </w:pPr>
      <w:r w:rsidRPr="001A5E8E">
        <w:rPr>
          <w:rFonts w:ascii="Calibri" w:eastAsia="Calibri" w:hAnsi="Calibri" w:cs="Calibri"/>
          <w:color w:val="000000"/>
        </w:rPr>
        <w:t>ewentualnie kserokopia wypowiedzenia OC podpisanego przez nowego nabywcę pojazdu.</w:t>
      </w:r>
    </w:p>
    <w:p w14:paraId="1B5C97DF"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 xml:space="preserve">Zwrot składki zgodnie z Ustawą z dnia 22 maja 2003 r. o ubezpieczeniach obowiązkowych, Ubezpieczeniowym Funduszu Gwarancyjnym i Polskim Biurze Ubezpieczycieli Komunikacyjnych (Dz.U.2013.392 z </w:t>
      </w:r>
      <w:proofErr w:type="spellStart"/>
      <w:r w:rsidRPr="001A5E8E">
        <w:rPr>
          <w:rFonts w:ascii="Calibri" w:eastAsia="Times New Roman" w:hAnsi="Calibri" w:cs="Times New Roman"/>
        </w:rPr>
        <w:t>późn</w:t>
      </w:r>
      <w:proofErr w:type="spellEnd"/>
      <w:r w:rsidRPr="001A5E8E">
        <w:rPr>
          <w:rFonts w:ascii="Calibri" w:eastAsia="Times New Roman" w:hAnsi="Calibri" w:cs="Times New Roman"/>
        </w:rPr>
        <w:t>. zm.).</w:t>
      </w:r>
    </w:p>
    <w:p w14:paraId="4A3AF66A"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Wyrównanie okresów ubezpieczenia:</w:t>
      </w:r>
    </w:p>
    <w:p w14:paraId="530C2762" w14:textId="77777777" w:rsidR="001A5E8E" w:rsidRPr="001A5E8E" w:rsidRDefault="001A5E8E" w:rsidP="001A5E8E">
      <w:pPr>
        <w:spacing w:after="100" w:afterAutospacing="1" w:line="240" w:lineRule="auto"/>
        <w:ind w:left="720"/>
        <w:contextualSpacing/>
        <w:jc w:val="both"/>
        <w:rPr>
          <w:rFonts w:ascii="Calibri" w:eastAsia="Times New Roman" w:hAnsi="Calibri" w:cs="Times New Roman"/>
        </w:rPr>
      </w:pPr>
      <w:r w:rsidRPr="001A5E8E">
        <w:rPr>
          <w:rFonts w:ascii="Calibri" w:eastAsia="Times New Roman" w:hAnsi="Calibri" w:cs="Times New Roman"/>
        </w:rPr>
        <w:t>Jeżeli będzie to miało na celu wyrównanie okresu ubezpieczenia składka z tytułu ubezpieczenia OC płatna jest w dwóch ratach bez zwyżki składki, według następującego schematu:</w:t>
      </w:r>
    </w:p>
    <w:p w14:paraId="144FC381" w14:textId="77777777" w:rsidR="001A5E8E" w:rsidRPr="001A5E8E" w:rsidRDefault="001A5E8E" w:rsidP="001A5E8E">
      <w:pPr>
        <w:autoSpaceDE w:val="0"/>
        <w:autoSpaceDN w:val="0"/>
        <w:adjustRightInd w:val="0"/>
        <w:spacing w:line="240" w:lineRule="atLeast"/>
        <w:ind w:left="960" w:hanging="240"/>
        <w:jc w:val="both"/>
        <w:rPr>
          <w:rFonts w:ascii="Calibri" w:eastAsia="Calibri" w:hAnsi="Calibri" w:cs="Calibri"/>
        </w:rPr>
      </w:pPr>
      <w:r w:rsidRPr="001A5E8E">
        <w:rPr>
          <w:rFonts w:ascii="Calibri" w:eastAsia="Calibri" w:hAnsi="Calibri" w:cs="Calibri"/>
        </w:rPr>
        <w:t>-  Pierwsza rata składki jest należna za okres od dnia zawarcia umowy ubezpieczenia dla danego pojazdu do ostatniego dnia okresu rozliczeniowego. Wysokość pierwszej raty składki jest liczona pro rata za każdy dzień.</w:t>
      </w:r>
    </w:p>
    <w:p w14:paraId="530BEABA" w14:textId="77777777" w:rsidR="001A5E8E" w:rsidRPr="001A5E8E" w:rsidRDefault="001A5E8E" w:rsidP="001A5E8E">
      <w:pPr>
        <w:autoSpaceDE w:val="0"/>
        <w:autoSpaceDN w:val="0"/>
        <w:adjustRightInd w:val="0"/>
        <w:spacing w:line="240" w:lineRule="atLeast"/>
        <w:ind w:left="960" w:hanging="240"/>
        <w:jc w:val="both"/>
        <w:rPr>
          <w:rFonts w:ascii="Calibri" w:eastAsia="Calibri" w:hAnsi="Calibri" w:cs="Calibri"/>
        </w:rPr>
      </w:pPr>
      <w:r w:rsidRPr="001A5E8E">
        <w:rPr>
          <w:rFonts w:ascii="Calibri" w:eastAsia="Calibri" w:hAnsi="Calibri" w:cs="Calibri"/>
        </w:rPr>
        <w:t xml:space="preserve">-  Druga rata składki jest należna za okres od pierwszego dnia po zakończeniu okresu rozliczeniowego do ostatniego dnia umowy ubezpieczenia dla danego pojazdu. Wysokość </w:t>
      </w:r>
      <w:r w:rsidRPr="001A5E8E">
        <w:rPr>
          <w:rFonts w:ascii="Calibri" w:eastAsia="Calibri" w:hAnsi="Calibri" w:cs="Calibri"/>
        </w:rPr>
        <w:lastRenderedPageBreak/>
        <w:t>drugiej raty składki stanowi różnicę pomiędzy wysokością składki rocznej a wysokością pierwszej raty - druga rata liczona pro rata za każdy dzień.</w:t>
      </w:r>
    </w:p>
    <w:p w14:paraId="0B38CAA0" w14:textId="77777777" w:rsidR="001A5E8E" w:rsidRPr="001A5E8E" w:rsidRDefault="001A5E8E" w:rsidP="001A5E8E">
      <w:pPr>
        <w:autoSpaceDE w:val="0"/>
        <w:autoSpaceDN w:val="0"/>
        <w:adjustRightInd w:val="0"/>
        <w:spacing w:line="240" w:lineRule="atLeast"/>
        <w:ind w:left="708"/>
        <w:jc w:val="both"/>
        <w:rPr>
          <w:rFonts w:ascii="Calibri" w:eastAsia="Calibri" w:hAnsi="Calibri" w:cs="Calibri"/>
        </w:rPr>
      </w:pPr>
      <w:r w:rsidRPr="001A5E8E">
        <w:rPr>
          <w:rFonts w:ascii="Calibri" w:eastAsia="Calibri" w:hAnsi="Calibri" w:cs="Calibri"/>
        </w:rPr>
        <w:t>Strony zgodnie oświadczają, że rozwiążą na mocy porozumienia stron wszystkie indywidualne umowy ubezpieczenia OC bez dodatkowych obostrzeń ze skutkiem na ostatni dzień obowiązywania okresu rozliczeniowego a druga rata składek nie będzie należna.</w:t>
      </w:r>
    </w:p>
    <w:p w14:paraId="2C399691" w14:textId="77777777" w:rsidR="001A5E8E" w:rsidRPr="001A5E8E" w:rsidRDefault="001A5E8E" w:rsidP="001A5E8E">
      <w:pPr>
        <w:jc w:val="both"/>
        <w:rPr>
          <w:rFonts w:ascii="Calibri" w:eastAsia="Calibri" w:hAnsi="Calibri" w:cs="Calibri"/>
          <w:b/>
          <w:bCs/>
          <w:color w:val="000000"/>
        </w:rPr>
      </w:pPr>
      <w:r w:rsidRPr="001A5E8E">
        <w:rPr>
          <w:rFonts w:ascii="Calibri" w:eastAsia="Calibri" w:hAnsi="Calibri" w:cs="Calibri"/>
          <w:b/>
          <w:bCs/>
          <w:color w:val="000000"/>
        </w:rPr>
        <w:t>C. Ubezpieczenie NNW</w:t>
      </w:r>
    </w:p>
    <w:p w14:paraId="3851FEBC" w14:textId="77777777"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Przedmiotem ubezpieczenia jest trwałe uszkodzenie ciała, rozstrój zdrowia lub śmierć ubezpieczonego powstałe w związku z ruchem pojazdu ( również podczas zatrzymania, postoju, załadunku, rozładunku, podczas wsiadania i wysiadania z pojazdu, naprawy pojazdu, jego upadku, pożaru lub wybuchu ).</w:t>
      </w:r>
    </w:p>
    <w:p w14:paraId="3CA645C4"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1.</w:t>
      </w:r>
      <w:r w:rsidRPr="001A5E8E">
        <w:rPr>
          <w:rFonts w:ascii="Calibri" w:eastAsia="Calibri" w:hAnsi="Calibri" w:cs="Calibri"/>
          <w:color w:val="000000"/>
        </w:rPr>
        <w:tab/>
        <w:t xml:space="preserve">Suma ubezpieczenia </w:t>
      </w:r>
    </w:p>
    <w:p w14:paraId="51CF5761"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1.1.</w:t>
      </w:r>
      <w:r w:rsidRPr="001A5E8E">
        <w:rPr>
          <w:rFonts w:ascii="Calibri" w:eastAsia="Calibri" w:hAnsi="Calibri" w:cs="Calibri"/>
          <w:color w:val="000000"/>
        </w:rPr>
        <w:tab/>
        <w:t>10 000 zł na każdą osobę na każde zdarzenie</w:t>
      </w:r>
    </w:p>
    <w:p w14:paraId="1A5802A7"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1.2.</w:t>
      </w:r>
      <w:r w:rsidRPr="001A5E8E">
        <w:rPr>
          <w:rFonts w:ascii="Calibri" w:eastAsia="Calibri" w:hAnsi="Calibri" w:cs="Calibri"/>
          <w:color w:val="000000"/>
        </w:rPr>
        <w:tab/>
        <w:t>Suma ubezpieczenia na wypadek śmierci: 100%</w:t>
      </w:r>
    </w:p>
    <w:p w14:paraId="3D6A6F0D" w14:textId="77777777" w:rsidR="001A5E8E" w:rsidRPr="001A5E8E" w:rsidRDefault="001A5E8E" w:rsidP="001A5E8E">
      <w:pPr>
        <w:ind w:left="705" w:hanging="705"/>
        <w:jc w:val="both"/>
        <w:rPr>
          <w:rFonts w:ascii="Calibri" w:eastAsia="Calibri" w:hAnsi="Calibri" w:cs="Calibri"/>
          <w:color w:val="000000"/>
        </w:rPr>
      </w:pPr>
      <w:r w:rsidRPr="001A5E8E">
        <w:rPr>
          <w:rFonts w:ascii="Calibri" w:eastAsia="Calibri" w:hAnsi="Calibri" w:cs="Calibri"/>
          <w:color w:val="000000"/>
        </w:rPr>
        <w:t>1.3.</w:t>
      </w:r>
      <w:r w:rsidRPr="001A5E8E">
        <w:rPr>
          <w:rFonts w:ascii="Calibri" w:eastAsia="Calibri" w:hAnsi="Calibri" w:cs="Calibri"/>
          <w:color w:val="000000"/>
        </w:rPr>
        <w:tab/>
        <w:t>Świadczenie w przypadku uszczerbku na zdrowiu wynosi 1% sumy ubezpieczenia za każdy procent uszczerbku,</w:t>
      </w:r>
    </w:p>
    <w:p w14:paraId="373309E9" w14:textId="77777777" w:rsidR="001A5E8E" w:rsidRPr="001A5E8E" w:rsidRDefault="001A5E8E" w:rsidP="001A5E8E">
      <w:pPr>
        <w:ind w:left="705" w:hanging="705"/>
        <w:jc w:val="both"/>
        <w:rPr>
          <w:rFonts w:ascii="Calibri" w:eastAsia="Calibri" w:hAnsi="Calibri" w:cs="Calibri"/>
          <w:color w:val="000000"/>
        </w:rPr>
      </w:pPr>
      <w:r w:rsidRPr="001A5E8E">
        <w:rPr>
          <w:rFonts w:ascii="Calibri" w:eastAsia="Calibri" w:hAnsi="Calibri" w:cs="Calibri"/>
          <w:color w:val="000000"/>
        </w:rPr>
        <w:t>1.4.</w:t>
      </w:r>
      <w:r w:rsidRPr="001A5E8E">
        <w:rPr>
          <w:rFonts w:ascii="Calibri" w:eastAsia="Calibri" w:hAnsi="Calibri" w:cs="Calibri"/>
          <w:color w:val="000000"/>
        </w:rPr>
        <w:tab/>
        <w:t>Świadczenie na wypadek całkowitego trwałego uszczerbku na zdrowiu wynosi 100% sumy ubezpieczenia.</w:t>
      </w:r>
    </w:p>
    <w:p w14:paraId="3C0FEE5C"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w:t>
      </w:r>
      <w:r w:rsidRPr="001A5E8E">
        <w:rPr>
          <w:rFonts w:ascii="Calibri" w:eastAsia="Calibri" w:hAnsi="Calibri" w:cs="Calibri"/>
          <w:color w:val="000000"/>
        </w:rPr>
        <w:tab/>
        <w:t>Pozostałe postanowienia obligatoryjne</w:t>
      </w:r>
    </w:p>
    <w:p w14:paraId="4A381A89"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2.1.</w:t>
      </w:r>
      <w:r w:rsidRPr="001A5E8E">
        <w:rPr>
          <w:rFonts w:ascii="Calibri" w:eastAsia="Calibri" w:hAnsi="Calibri" w:cs="Calibri"/>
          <w:color w:val="000000"/>
        </w:rPr>
        <w:tab/>
        <w:t>Zwrot składki bez potrącania kosztów manipulacyjnych.</w:t>
      </w:r>
    </w:p>
    <w:p w14:paraId="655ECED0"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2.2.</w:t>
      </w:r>
      <w:r w:rsidRPr="001A5E8E">
        <w:rPr>
          <w:rFonts w:ascii="Calibri" w:eastAsia="Calibri" w:hAnsi="Calibri" w:cs="Calibri"/>
          <w:color w:val="000000"/>
        </w:rPr>
        <w:tab/>
        <w:t>Udział własny nie ma zastosowania.</w:t>
      </w:r>
    </w:p>
    <w:p w14:paraId="0130E1A0"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2.3.</w:t>
      </w:r>
      <w:r w:rsidRPr="001A5E8E">
        <w:rPr>
          <w:rFonts w:ascii="Calibri" w:eastAsia="Calibri" w:hAnsi="Calibri" w:cs="Calibri"/>
          <w:color w:val="000000"/>
        </w:rPr>
        <w:tab/>
        <w:t>Zakres terytorialny: Polska i Europa.</w:t>
      </w:r>
    </w:p>
    <w:p w14:paraId="4B4C655B" w14:textId="77777777" w:rsidR="001A5E8E" w:rsidRPr="001A5E8E" w:rsidRDefault="001A5E8E" w:rsidP="001A5E8E">
      <w:pPr>
        <w:ind w:left="705" w:hanging="705"/>
        <w:jc w:val="both"/>
        <w:rPr>
          <w:rFonts w:ascii="Calibri" w:eastAsia="Calibri" w:hAnsi="Calibri" w:cs="Calibri"/>
          <w:color w:val="000000"/>
        </w:rPr>
      </w:pPr>
      <w:r w:rsidRPr="001A5E8E">
        <w:rPr>
          <w:rFonts w:ascii="Calibri" w:eastAsia="Calibri" w:hAnsi="Calibri" w:cs="Calibri"/>
          <w:color w:val="000000"/>
        </w:rPr>
        <w:t xml:space="preserve">2.4 </w:t>
      </w:r>
      <w:r w:rsidRPr="001A5E8E">
        <w:rPr>
          <w:rFonts w:ascii="Calibri" w:eastAsia="Calibri" w:hAnsi="Calibri" w:cs="Calibri"/>
          <w:color w:val="000000"/>
        </w:rPr>
        <w:tab/>
      </w:r>
      <w:r w:rsidRPr="001A5E8E">
        <w:rPr>
          <w:rFonts w:ascii="Calibri" w:eastAsia="Calibri" w:hAnsi="Calibri" w:cs="Calibri"/>
        </w:rPr>
        <w:t>Możliwość wyrównywania okresów ubezpieczenia na zasadzie pro rata temporis, co do dnia.</w:t>
      </w:r>
    </w:p>
    <w:p w14:paraId="055CBDEF" w14:textId="77777777" w:rsidR="001A5E8E" w:rsidRPr="001A5E8E" w:rsidRDefault="001A5E8E" w:rsidP="001A5E8E">
      <w:pPr>
        <w:jc w:val="both"/>
        <w:rPr>
          <w:rFonts w:ascii="Calibri" w:eastAsia="Calibri" w:hAnsi="Calibri" w:cs="Calibri"/>
          <w:color w:val="000000"/>
        </w:rPr>
      </w:pPr>
    </w:p>
    <w:p w14:paraId="51EF31A5"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b/>
          <w:bCs/>
          <w:color w:val="000000"/>
        </w:rPr>
        <w:t>E. Likwidacja szkód</w:t>
      </w:r>
    </w:p>
    <w:p w14:paraId="60506D24"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Zgłaszanie szkód na terenie całego kraju.</w:t>
      </w:r>
    </w:p>
    <w:p w14:paraId="0877F4FE" w14:textId="77777777" w:rsidR="001A5E8E" w:rsidRPr="001A5E8E" w:rsidRDefault="001A5E8E" w:rsidP="001A5E8E">
      <w:pPr>
        <w:numPr>
          <w:ilvl w:val="0"/>
          <w:numId w:val="19"/>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Wykonawca wyraża zgodę na uwierzytelnianie podpisu przez przedstawiciela Zamawiającego na wszystkich niezbędnych do likwidacji szkody dokumentach.</w:t>
      </w:r>
    </w:p>
    <w:p w14:paraId="7CFE71DC"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Wykonawca, w przypadku naprawy powypadkowej pojazdu, będzie akceptował stawki za roboczo godzinę w wysokości stosowanej przez autoryzowane serwisy danych marek w miejscu naprawiania pojazdu.</w:t>
      </w:r>
    </w:p>
    <w:p w14:paraId="486310F6"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Wszystkie koszty naprawy pojazdu ustalane będą na podstawie cen części oryginalnych serwisowych.</w:t>
      </w:r>
    </w:p>
    <w:p w14:paraId="1B8E99F1"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Zbiorczy rejestr szkód i statystyka szkodowa prowadzona będzie przez Wykonawcę i przesyłana na wniosek brokera w odstępach kwartalnych ciągu 14 dni po zakończeniu kwartału.</w:t>
      </w:r>
    </w:p>
    <w:p w14:paraId="48B46D98"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Wykonawca zobowiązuje się do obligatoryjnego przesyłania klientowi decyzji o wypłacie odszkodowania w przypadku każdej szkody na pisemny wniosek klienta (lub reprezentującego go brokera) o ile jest to zgodne z przepisami dot. ochrony danych osobowych.</w:t>
      </w:r>
    </w:p>
    <w:p w14:paraId="4CDD3F27"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 xml:space="preserve">Wykonanie oględzin pojazdu oraz oceny technicznej poza siedzibą Wykonawcy odbywa się najdalej w ciągu 5 dni roboczych po zgłoszeniu szkody. W przypadku niewykonania oględzin pojazdu oraz oceny technicznej w ciągu 3 dni roboczych po zgłoszeniu szkody Zamawiający ma </w:t>
      </w:r>
      <w:r w:rsidRPr="001A5E8E">
        <w:rPr>
          <w:rFonts w:ascii="Calibri" w:eastAsia="Times New Roman" w:hAnsi="Calibri" w:cs="Times New Roman"/>
        </w:rPr>
        <w:lastRenderedPageBreak/>
        <w:t>prawo do rozpoczęcia naprawy pojazdu. Odszkodowanie zostanie wówczas wypłacone na podstawie dostarczonych do Wykonawcy faktur za naprawę w należnej kwocie.</w:t>
      </w:r>
    </w:p>
    <w:p w14:paraId="5ECC9A53"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 xml:space="preserve">Sporządzenie kalkulacji szkody (opisu uszkodzeń pojazdu) nastąpi najpóźniej w ciągu 3 dni roboczych po dokonaniu oględzin pojazdu. Powyższe warunki obowiązują również w przypadku konieczności dokonania dodatkowych oględzin uszkodzonego pojazdu. </w:t>
      </w:r>
    </w:p>
    <w:p w14:paraId="6A495637"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Wykonawca zobowiązuje się do zweryfikowania / zatwierdzenia kosztorysu i/lub faktur naprawy przekazanego przez warsztat lub Zamawiającego najpóźniej w ciągu 3 dni roboczych po dostarczeniu dokumentów. Niedokonanie weryfikacji kosztorysu i/lub faktur w w/w terminie będzie uznawane za zatwierdzenie kosztorysu bez zastrzeżeń i zgodę na wykonywanie naprawy wedle przedstawionych kosztów. Po akceptacji kosztorysu Wykonawca ma obowiązek niezwłocznego pisemnego (w pierwszej kolejności drogą elektroniczną) poinformowania o tym Zamawiającego i/lub warsztat, w którym pojazd jest naprawiany.</w:t>
      </w:r>
    </w:p>
    <w:p w14:paraId="3BE7EE37" w14:textId="77777777" w:rsidR="001A5E8E" w:rsidRPr="001A5E8E" w:rsidRDefault="001A5E8E" w:rsidP="001A5E8E">
      <w:pPr>
        <w:jc w:val="both"/>
        <w:rPr>
          <w:rFonts w:ascii="Calibri" w:eastAsia="Calibri" w:hAnsi="Calibri" w:cs="Calibri"/>
          <w:color w:val="000000"/>
        </w:rPr>
      </w:pPr>
    </w:p>
    <w:p w14:paraId="4BAA807B" w14:textId="77777777" w:rsidR="001A5E8E" w:rsidRPr="001A5E8E" w:rsidRDefault="001A5E8E" w:rsidP="001A5E8E">
      <w:pPr>
        <w:spacing w:line="288" w:lineRule="auto"/>
        <w:rPr>
          <w:rFonts w:ascii="Calibri" w:eastAsia="Times New Roman" w:hAnsi="Calibri" w:cs="Times New Roman"/>
          <w:b/>
          <w:bCs/>
        </w:rPr>
      </w:pPr>
    </w:p>
    <w:sectPr w:rsidR="001A5E8E" w:rsidRPr="001A5E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86557"/>
    <w:multiLevelType w:val="multilevel"/>
    <w:tmpl w:val="FD42650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F54C4B"/>
    <w:multiLevelType w:val="multilevel"/>
    <w:tmpl w:val="8FE01CA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726015"/>
    <w:multiLevelType w:val="hybridMultilevel"/>
    <w:tmpl w:val="405EE0F6"/>
    <w:lvl w:ilvl="0" w:tplc="CB9C986E">
      <w:start w:val="7"/>
      <w:numFmt w:val="decimal"/>
      <w:lvlText w:val="%1."/>
      <w:lvlJc w:val="left"/>
      <w:pPr>
        <w:ind w:left="717" w:hanging="360"/>
      </w:pPr>
      <w:rPr>
        <w:rFonts w:ascii="Calibri" w:hAnsi="Calibri" w:cstheme="minorBid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2297259E"/>
    <w:multiLevelType w:val="multilevel"/>
    <w:tmpl w:val="70747D20"/>
    <w:lvl w:ilvl="0">
      <w:start w:val="1"/>
      <w:numFmt w:val="decimal"/>
      <w:lvlText w:val="%1."/>
      <w:lvlJc w:val="left"/>
      <w:pPr>
        <w:ind w:left="720" w:hanging="720"/>
      </w:pPr>
      <w:rPr>
        <w:rFonts w:asciiTheme="minorHAnsi" w:hAnsiTheme="minorHAnsi" w:cstheme="minorHAnsi" w:hint="default"/>
        <w:b w:val="0"/>
        <w:bCs w:val="0"/>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BCD226D"/>
    <w:multiLevelType w:val="hybridMultilevel"/>
    <w:tmpl w:val="E22E8D7A"/>
    <w:lvl w:ilvl="0" w:tplc="F2EE1E98">
      <w:start w:val="1"/>
      <w:numFmt w:val="ordinal"/>
      <w:lvlText w:val="%1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4C0521"/>
    <w:multiLevelType w:val="hybridMultilevel"/>
    <w:tmpl w:val="7452D74A"/>
    <w:lvl w:ilvl="0" w:tplc="04150001">
      <w:start w:val="1"/>
      <w:numFmt w:val="bullet"/>
      <w:lvlText w:val=""/>
      <w:lvlJc w:val="left"/>
      <w:pPr>
        <w:ind w:left="788" w:hanging="360"/>
      </w:pPr>
      <w:rPr>
        <w:rFonts w:ascii="Symbol" w:hAnsi="Symbol" w:hint="default"/>
      </w:rPr>
    </w:lvl>
    <w:lvl w:ilvl="1" w:tplc="04150003">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6" w15:restartNumberingAfterBreak="0">
    <w:nsid w:val="2E2F7133"/>
    <w:multiLevelType w:val="multilevel"/>
    <w:tmpl w:val="0C92B124"/>
    <w:lvl w:ilvl="0">
      <w:start w:val="4"/>
      <w:numFmt w:val="decimal"/>
      <w:lvlText w:val="%1."/>
      <w:lvlJc w:val="left"/>
      <w:pPr>
        <w:tabs>
          <w:tab w:val="num" w:pos="357"/>
        </w:tabs>
        <w:ind w:left="357" w:hanging="35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3AB20271"/>
    <w:multiLevelType w:val="hybridMultilevel"/>
    <w:tmpl w:val="B35077E8"/>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435435FA"/>
    <w:multiLevelType w:val="multilevel"/>
    <w:tmpl w:val="0C92B124"/>
    <w:lvl w:ilvl="0">
      <w:start w:val="4"/>
      <w:numFmt w:val="decimal"/>
      <w:lvlText w:val="%1."/>
      <w:lvlJc w:val="left"/>
      <w:pPr>
        <w:tabs>
          <w:tab w:val="num" w:pos="357"/>
        </w:tabs>
        <w:ind w:left="357" w:hanging="35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49B45021"/>
    <w:multiLevelType w:val="hybridMultilevel"/>
    <w:tmpl w:val="7402D6CA"/>
    <w:lvl w:ilvl="0" w:tplc="0400B80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C4A04EB"/>
    <w:multiLevelType w:val="multilevel"/>
    <w:tmpl w:val="DBEEE09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440E97"/>
    <w:multiLevelType w:val="multilevel"/>
    <w:tmpl w:val="4A7874D2"/>
    <w:lvl w:ilvl="0">
      <w:start w:val="1"/>
      <w:numFmt w:val="decimal"/>
      <w:lvlText w:val="%1."/>
      <w:lvlJc w:val="left"/>
      <w:pPr>
        <w:ind w:left="720" w:hanging="720"/>
      </w:pPr>
      <w:rPr>
        <w:rFonts w:asciiTheme="minorHAnsi" w:hAnsiTheme="minorHAnsi" w:cstheme="minorHAnsi" w:hint="default"/>
        <w:b w:val="0"/>
        <w:bCs w:val="0"/>
        <w:sz w:val="22"/>
        <w:szCs w:val="22"/>
      </w:rPr>
    </w:lvl>
    <w:lvl w:ilvl="1">
      <w:start w:val="1"/>
      <w:numFmt w:val="decimal"/>
      <w:lvlText w:val="%1.%2."/>
      <w:lvlJc w:val="left"/>
      <w:pPr>
        <w:ind w:left="720" w:hanging="294"/>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44535BA"/>
    <w:multiLevelType w:val="hybridMultilevel"/>
    <w:tmpl w:val="D2D24986"/>
    <w:lvl w:ilvl="0" w:tplc="04150001">
      <w:start w:val="1"/>
      <w:numFmt w:val="bullet"/>
      <w:lvlText w:val=""/>
      <w:lvlJc w:val="left"/>
      <w:pPr>
        <w:ind w:left="1440" w:hanging="360"/>
      </w:pPr>
      <w:rPr>
        <w:rFonts w:ascii="Symbol" w:hAnsi="Symbol" w:hint="default"/>
      </w:rPr>
    </w:lvl>
    <w:lvl w:ilvl="1" w:tplc="F20A1CD8">
      <w:start w:val="1"/>
      <w:numFmt w:val="bullet"/>
      <w:lvlText w:val="•"/>
      <w:lvlJc w:val="left"/>
      <w:pPr>
        <w:ind w:left="2505" w:hanging="705"/>
      </w:pPr>
      <w:rPr>
        <w:rFonts w:ascii="Calibri" w:eastAsia="Calibri"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560B2806"/>
    <w:multiLevelType w:val="multilevel"/>
    <w:tmpl w:val="B34051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B016F5A"/>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B0A67AC"/>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6566368A"/>
    <w:multiLevelType w:val="hybridMultilevel"/>
    <w:tmpl w:val="14B4AC00"/>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D983B96"/>
    <w:multiLevelType w:val="hybridMultilevel"/>
    <w:tmpl w:val="A45A942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23530A"/>
    <w:multiLevelType w:val="hybridMultilevel"/>
    <w:tmpl w:val="9FC61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0608220">
    <w:abstractNumId w:val="17"/>
  </w:num>
  <w:num w:numId="2" w16cid:durableId="1812746561">
    <w:abstractNumId w:val="7"/>
  </w:num>
  <w:num w:numId="3" w16cid:durableId="699235012">
    <w:abstractNumId w:val="9"/>
  </w:num>
  <w:num w:numId="4" w16cid:durableId="564612244">
    <w:abstractNumId w:val="5"/>
  </w:num>
  <w:num w:numId="5" w16cid:durableId="907233099">
    <w:abstractNumId w:val="2"/>
  </w:num>
  <w:num w:numId="6" w16cid:durableId="1225065281">
    <w:abstractNumId w:val="13"/>
  </w:num>
  <w:num w:numId="7" w16cid:durableId="86735706">
    <w:abstractNumId w:val="10"/>
  </w:num>
  <w:num w:numId="8" w16cid:durableId="413942938">
    <w:abstractNumId w:val="6"/>
  </w:num>
  <w:num w:numId="9" w16cid:durableId="1974603000">
    <w:abstractNumId w:val="0"/>
  </w:num>
  <w:num w:numId="10" w16cid:durableId="1708292427">
    <w:abstractNumId w:val="8"/>
  </w:num>
  <w:num w:numId="11" w16cid:durableId="1033649371">
    <w:abstractNumId w:val="18"/>
  </w:num>
  <w:num w:numId="12" w16cid:durableId="764963538">
    <w:abstractNumId w:val="14"/>
  </w:num>
  <w:num w:numId="13" w16cid:durableId="2127498894">
    <w:abstractNumId w:val="3"/>
  </w:num>
  <w:num w:numId="14" w16cid:durableId="1289818046">
    <w:abstractNumId w:val="12"/>
  </w:num>
  <w:num w:numId="15" w16cid:durableId="1565531295">
    <w:abstractNumId w:val="16"/>
  </w:num>
  <w:num w:numId="16" w16cid:durableId="1247375780">
    <w:abstractNumId w:val="4"/>
  </w:num>
  <w:num w:numId="17" w16cid:durableId="1607427419">
    <w:abstractNumId w:val="1"/>
  </w:num>
  <w:num w:numId="18" w16cid:durableId="65811010">
    <w:abstractNumId w:val="15"/>
  </w:num>
  <w:num w:numId="19" w16cid:durableId="2512811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CC8"/>
    <w:rsid w:val="00052813"/>
    <w:rsid w:val="000562E0"/>
    <w:rsid w:val="00080FAF"/>
    <w:rsid w:val="00085907"/>
    <w:rsid w:val="00090C6E"/>
    <w:rsid w:val="000A1508"/>
    <w:rsid w:val="000A4774"/>
    <w:rsid w:val="000B232A"/>
    <w:rsid w:val="000B407F"/>
    <w:rsid w:val="000E1428"/>
    <w:rsid w:val="000E6005"/>
    <w:rsid w:val="000E75E5"/>
    <w:rsid w:val="000F72E8"/>
    <w:rsid w:val="00101A4A"/>
    <w:rsid w:val="00107E2A"/>
    <w:rsid w:val="00114D85"/>
    <w:rsid w:val="001412E4"/>
    <w:rsid w:val="00143591"/>
    <w:rsid w:val="0015382E"/>
    <w:rsid w:val="00161C4C"/>
    <w:rsid w:val="00163221"/>
    <w:rsid w:val="00163931"/>
    <w:rsid w:val="00186F0E"/>
    <w:rsid w:val="001A5E8E"/>
    <w:rsid w:val="001B1B40"/>
    <w:rsid w:val="001C0DA4"/>
    <w:rsid w:val="001C6C29"/>
    <w:rsid w:val="001D3CFE"/>
    <w:rsid w:val="001D709C"/>
    <w:rsid w:val="001D724D"/>
    <w:rsid w:val="001F4434"/>
    <w:rsid w:val="00201D4C"/>
    <w:rsid w:val="0021024B"/>
    <w:rsid w:val="00210CDA"/>
    <w:rsid w:val="0021298C"/>
    <w:rsid w:val="00212CA5"/>
    <w:rsid w:val="00227110"/>
    <w:rsid w:val="00231DAD"/>
    <w:rsid w:val="00236170"/>
    <w:rsid w:val="0023744D"/>
    <w:rsid w:val="00251DA5"/>
    <w:rsid w:val="00253289"/>
    <w:rsid w:val="00263452"/>
    <w:rsid w:val="00263757"/>
    <w:rsid w:val="00281A5B"/>
    <w:rsid w:val="00297C5B"/>
    <w:rsid w:val="002A558C"/>
    <w:rsid w:val="002A7138"/>
    <w:rsid w:val="002B704A"/>
    <w:rsid w:val="002C2B83"/>
    <w:rsid w:val="002C4FD3"/>
    <w:rsid w:val="002E4F74"/>
    <w:rsid w:val="00307007"/>
    <w:rsid w:val="00315AD5"/>
    <w:rsid w:val="0032273F"/>
    <w:rsid w:val="00331FFD"/>
    <w:rsid w:val="00340B71"/>
    <w:rsid w:val="00364FC4"/>
    <w:rsid w:val="00391974"/>
    <w:rsid w:val="003A0482"/>
    <w:rsid w:val="003D7C6C"/>
    <w:rsid w:val="003E71B6"/>
    <w:rsid w:val="003E7318"/>
    <w:rsid w:val="003F04A7"/>
    <w:rsid w:val="00410EED"/>
    <w:rsid w:val="00424DB5"/>
    <w:rsid w:val="00445518"/>
    <w:rsid w:val="00446BF5"/>
    <w:rsid w:val="00462EDE"/>
    <w:rsid w:val="00464662"/>
    <w:rsid w:val="004668D6"/>
    <w:rsid w:val="00470D0F"/>
    <w:rsid w:val="004742F7"/>
    <w:rsid w:val="0047646C"/>
    <w:rsid w:val="00482F4F"/>
    <w:rsid w:val="0048591E"/>
    <w:rsid w:val="004879D7"/>
    <w:rsid w:val="004A14EC"/>
    <w:rsid w:val="004A6175"/>
    <w:rsid w:val="004D041B"/>
    <w:rsid w:val="004F2E5B"/>
    <w:rsid w:val="005061CF"/>
    <w:rsid w:val="00511FAB"/>
    <w:rsid w:val="00525B31"/>
    <w:rsid w:val="0053469C"/>
    <w:rsid w:val="00535B15"/>
    <w:rsid w:val="00540B3D"/>
    <w:rsid w:val="005411DD"/>
    <w:rsid w:val="00544503"/>
    <w:rsid w:val="0055181E"/>
    <w:rsid w:val="005674CB"/>
    <w:rsid w:val="00567550"/>
    <w:rsid w:val="005936F8"/>
    <w:rsid w:val="005A397A"/>
    <w:rsid w:val="005C0DED"/>
    <w:rsid w:val="005D1A5E"/>
    <w:rsid w:val="006500AB"/>
    <w:rsid w:val="00651BA9"/>
    <w:rsid w:val="00656C2E"/>
    <w:rsid w:val="006873FE"/>
    <w:rsid w:val="00695014"/>
    <w:rsid w:val="0069612F"/>
    <w:rsid w:val="006A45D1"/>
    <w:rsid w:val="006B5AD3"/>
    <w:rsid w:val="006E1826"/>
    <w:rsid w:val="006F1A44"/>
    <w:rsid w:val="00704D24"/>
    <w:rsid w:val="00705298"/>
    <w:rsid w:val="007131B9"/>
    <w:rsid w:val="0072061A"/>
    <w:rsid w:val="00737E32"/>
    <w:rsid w:val="00740981"/>
    <w:rsid w:val="0074403B"/>
    <w:rsid w:val="0074682A"/>
    <w:rsid w:val="00753952"/>
    <w:rsid w:val="00773B0D"/>
    <w:rsid w:val="00784A0D"/>
    <w:rsid w:val="00785D9F"/>
    <w:rsid w:val="007954A6"/>
    <w:rsid w:val="007B2F13"/>
    <w:rsid w:val="007B6CC8"/>
    <w:rsid w:val="007B7A87"/>
    <w:rsid w:val="007B7DE2"/>
    <w:rsid w:val="007D2EA3"/>
    <w:rsid w:val="007D5DAA"/>
    <w:rsid w:val="007D6274"/>
    <w:rsid w:val="007D6556"/>
    <w:rsid w:val="007D7F3A"/>
    <w:rsid w:val="007E420B"/>
    <w:rsid w:val="008022E8"/>
    <w:rsid w:val="00802838"/>
    <w:rsid w:val="008053D5"/>
    <w:rsid w:val="00814AA2"/>
    <w:rsid w:val="00816A75"/>
    <w:rsid w:val="00862760"/>
    <w:rsid w:val="00873613"/>
    <w:rsid w:val="00884E1A"/>
    <w:rsid w:val="008912BE"/>
    <w:rsid w:val="00897F81"/>
    <w:rsid w:val="008B5B15"/>
    <w:rsid w:val="008C1CE8"/>
    <w:rsid w:val="008E320A"/>
    <w:rsid w:val="008F7643"/>
    <w:rsid w:val="00915409"/>
    <w:rsid w:val="009162A2"/>
    <w:rsid w:val="009210BC"/>
    <w:rsid w:val="009226B5"/>
    <w:rsid w:val="009351C9"/>
    <w:rsid w:val="00937E2B"/>
    <w:rsid w:val="00941E8F"/>
    <w:rsid w:val="00963377"/>
    <w:rsid w:val="00983939"/>
    <w:rsid w:val="009907A3"/>
    <w:rsid w:val="009963E4"/>
    <w:rsid w:val="009E077F"/>
    <w:rsid w:val="009E7E60"/>
    <w:rsid w:val="00A00868"/>
    <w:rsid w:val="00A46BC2"/>
    <w:rsid w:val="00A52D0D"/>
    <w:rsid w:val="00A56A52"/>
    <w:rsid w:val="00A56D7F"/>
    <w:rsid w:val="00AA37E2"/>
    <w:rsid w:val="00AA4575"/>
    <w:rsid w:val="00AD3064"/>
    <w:rsid w:val="00AD4852"/>
    <w:rsid w:val="00AE3426"/>
    <w:rsid w:val="00AE4BD7"/>
    <w:rsid w:val="00B016A5"/>
    <w:rsid w:val="00B202D0"/>
    <w:rsid w:val="00B23F0F"/>
    <w:rsid w:val="00B32B36"/>
    <w:rsid w:val="00B4667F"/>
    <w:rsid w:val="00B51ED3"/>
    <w:rsid w:val="00B70F88"/>
    <w:rsid w:val="00B719D3"/>
    <w:rsid w:val="00B72999"/>
    <w:rsid w:val="00B7724E"/>
    <w:rsid w:val="00B80E8E"/>
    <w:rsid w:val="00B827E6"/>
    <w:rsid w:val="00B82FC3"/>
    <w:rsid w:val="00B86FB4"/>
    <w:rsid w:val="00B968FD"/>
    <w:rsid w:val="00BA39DB"/>
    <w:rsid w:val="00BC1C41"/>
    <w:rsid w:val="00BD6FF3"/>
    <w:rsid w:val="00BE541A"/>
    <w:rsid w:val="00BE79E3"/>
    <w:rsid w:val="00BF4321"/>
    <w:rsid w:val="00C2600B"/>
    <w:rsid w:val="00C45CD4"/>
    <w:rsid w:val="00C46D0A"/>
    <w:rsid w:val="00C51C48"/>
    <w:rsid w:val="00C52397"/>
    <w:rsid w:val="00C57E40"/>
    <w:rsid w:val="00C64FE0"/>
    <w:rsid w:val="00C74C71"/>
    <w:rsid w:val="00C74CCF"/>
    <w:rsid w:val="00C8126C"/>
    <w:rsid w:val="00C85B1E"/>
    <w:rsid w:val="00C85F29"/>
    <w:rsid w:val="00CB5F00"/>
    <w:rsid w:val="00CB69CB"/>
    <w:rsid w:val="00CE0E0D"/>
    <w:rsid w:val="00CE3527"/>
    <w:rsid w:val="00CF04F8"/>
    <w:rsid w:val="00D02314"/>
    <w:rsid w:val="00D12397"/>
    <w:rsid w:val="00D30DEE"/>
    <w:rsid w:val="00D35A89"/>
    <w:rsid w:val="00D4498C"/>
    <w:rsid w:val="00D54731"/>
    <w:rsid w:val="00D63B42"/>
    <w:rsid w:val="00D720B8"/>
    <w:rsid w:val="00D8145A"/>
    <w:rsid w:val="00D83147"/>
    <w:rsid w:val="00D87C90"/>
    <w:rsid w:val="00DA0240"/>
    <w:rsid w:val="00DA2A26"/>
    <w:rsid w:val="00DB23AF"/>
    <w:rsid w:val="00DC4ABA"/>
    <w:rsid w:val="00DC4AF5"/>
    <w:rsid w:val="00DD26F4"/>
    <w:rsid w:val="00DF53E2"/>
    <w:rsid w:val="00E27810"/>
    <w:rsid w:val="00E33F69"/>
    <w:rsid w:val="00E352FC"/>
    <w:rsid w:val="00E35924"/>
    <w:rsid w:val="00E64AB5"/>
    <w:rsid w:val="00E66DA3"/>
    <w:rsid w:val="00E8319C"/>
    <w:rsid w:val="00E83C23"/>
    <w:rsid w:val="00E845A7"/>
    <w:rsid w:val="00E84F52"/>
    <w:rsid w:val="00E93EFB"/>
    <w:rsid w:val="00E9688B"/>
    <w:rsid w:val="00EA1EC9"/>
    <w:rsid w:val="00EA58D0"/>
    <w:rsid w:val="00EB33D8"/>
    <w:rsid w:val="00EB4E81"/>
    <w:rsid w:val="00EB662E"/>
    <w:rsid w:val="00ED446C"/>
    <w:rsid w:val="00EE3489"/>
    <w:rsid w:val="00EF7845"/>
    <w:rsid w:val="00F05E5F"/>
    <w:rsid w:val="00F163DD"/>
    <w:rsid w:val="00F24A8C"/>
    <w:rsid w:val="00F30D56"/>
    <w:rsid w:val="00F329FC"/>
    <w:rsid w:val="00F36DDC"/>
    <w:rsid w:val="00F44FC2"/>
    <w:rsid w:val="00F56860"/>
    <w:rsid w:val="00F808D5"/>
    <w:rsid w:val="00FC4207"/>
    <w:rsid w:val="00FD144D"/>
    <w:rsid w:val="00FE75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C33AF"/>
  <w15:chartTrackingRefBased/>
  <w15:docId w15:val="{FB343CDF-143B-490F-A270-AEF1B1BD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C1CE8"/>
    <w:pPr>
      <w:ind w:left="720"/>
      <w:contextualSpacing/>
    </w:pPr>
  </w:style>
  <w:style w:type="table" w:styleId="Siatkatabelijasna">
    <w:name w:val="Grid Table Light"/>
    <w:basedOn w:val="Standardowy"/>
    <w:uiPriority w:val="40"/>
    <w:rsid w:val="008C1CE8"/>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kapitzlistZnak">
    <w:name w:val="Akapit z listą Znak"/>
    <w:link w:val="Akapitzlist"/>
    <w:uiPriority w:val="34"/>
    <w:qFormat/>
    <w:rsid w:val="00DA0240"/>
  </w:style>
  <w:style w:type="paragraph" w:customStyle="1" w:styleId="bodytext3">
    <w:name w:val="bodytext3"/>
    <w:basedOn w:val="Normalny"/>
    <w:rsid w:val="00DA0240"/>
    <w:pPr>
      <w:spacing w:after="0" w:line="360" w:lineRule="auto"/>
      <w:jc w:val="both"/>
    </w:pPr>
    <w:rPr>
      <w:rFonts w:ascii="Arial" w:eastAsia="Arial Unicode MS" w:hAnsi="Arial" w:cs="Arial"/>
      <w:sz w:val="24"/>
      <w:szCs w:val="24"/>
      <w:lang w:eastAsia="pl-PL"/>
    </w:rPr>
  </w:style>
  <w:style w:type="table" w:customStyle="1" w:styleId="Siatkatabelijasna2">
    <w:name w:val="Siatka tabeli — jasna2"/>
    <w:basedOn w:val="Standardowy"/>
    <w:next w:val="Siatkatabelijasna"/>
    <w:uiPriority w:val="40"/>
    <w:rsid w:val="001A5E8E"/>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17254">
      <w:bodyDiv w:val="1"/>
      <w:marLeft w:val="0"/>
      <w:marRight w:val="0"/>
      <w:marTop w:val="0"/>
      <w:marBottom w:val="0"/>
      <w:divBdr>
        <w:top w:val="none" w:sz="0" w:space="0" w:color="auto"/>
        <w:left w:val="none" w:sz="0" w:space="0" w:color="auto"/>
        <w:bottom w:val="none" w:sz="0" w:space="0" w:color="auto"/>
        <w:right w:val="none" w:sz="0" w:space="0" w:color="auto"/>
      </w:divBdr>
    </w:div>
    <w:div w:id="940839513">
      <w:bodyDiv w:val="1"/>
      <w:marLeft w:val="0"/>
      <w:marRight w:val="0"/>
      <w:marTop w:val="0"/>
      <w:marBottom w:val="0"/>
      <w:divBdr>
        <w:top w:val="none" w:sz="0" w:space="0" w:color="auto"/>
        <w:left w:val="none" w:sz="0" w:space="0" w:color="auto"/>
        <w:bottom w:val="none" w:sz="0" w:space="0" w:color="auto"/>
        <w:right w:val="none" w:sz="0" w:space="0" w:color="auto"/>
      </w:divBdr>
    </w:div>
    <w:div w:id="1142844118">
      <w:bodyDiv w:val="1"/>
      <w:marLeft w:val="0"/>
      <w:marRight w:val="0"/>
      <w:marTop w:val="0"/>
      <w:marBottom w:val="0"/>
      <w:divBdr>
        <w:top w:val="none" w:sz="0" w:space="0" w:color="auto"/>
        <w:left w:val="none" w:sz="0" w:space="0" w:color="auto"/>
        <w:bottom w:val="none" w:sz="0" w:space="0" w:color="auto"/>
        <w:right w:val="none" w:sz="0" w:space="0" w:color="auto"/>
      </w:divBdr>
    </w:div>
    <w:div w:id="127378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4659</TotalTime>
  <Pages>4</Pages>
  <Words>1217</Words>
  <Characters>7306</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Batowska</dc:creator>
  <cp:keywords/>
  <dc:description/>
  <cp:lastModifiedBy>Katarzyna Jagielska</cp:lastModifiedBy>
  <cp:revision>259</cp:revision>
  <dcterms:created xsi:type="dcterms:W3CDTF">2021-11-18T08:03:00Z</dcterms:created>
  <dcterms:modified xsi:type="dcterms:W3CDTF">2024-03-05T10:07:00Z</dcterms:modified>
</cp:coreProperties>
</file>